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C2CEF" w14:textId="77777777" w:rsidR="00064584" w:rsidRDefault="00B92FEB">
      <w:pPr>
        <w:pStyle w:val="Heading1"/>
        <w:spacing w:before="129" w:line="345" w:lineRule="auto"/>
        <w:ind w:left="2321" w:right="2132" w:firstLine="595"/>
      </w:pPr>
      <w:r>
        <w:t>Flora and Fauna Guarantee Act 1988 NOTICE</w:t>
      </w:r>
      <w:r>
        <w:rPr>
          <w:spacing w:val="-8"/>
        </w:rPr>
        <w:t xml:space="preserve"> </w:t>
      </w:r>
      <w:r>
        <w:t>OF</w:t>
      </w:r>
      <w:r>
        <w:rPr>
          <w:spacing w:val="-6"/>
        </w:rPr>
        <w:t xml:space="preserve"> </w:t>
      </w:r>
      <w:r>
        <w:t>DECISION</w:t>
      </w:r>
      <w:r>
        <w:rPr>
          <w:spacing w:val="-6"/>
        </w:rPr>
        <w:t xml:space="preserve"> </w:t>
      </w:r>
      <w:r>
        <w:t>UNDER</w:t>
      </w:r>
      <w:r>
        <w:rPr>
          <w:spacing w:val="-6"/>
        </w:rPr>
        <w:t xml:space="preserve"> </w:t>
      </w:r>
      <w:r>
        <w:t>SECTION</w:t>
      </w:r>
      <w:r>
        <w:rPr>
          <w:spacing w:val="-6"/>
        </w:rPr>
        <w:t xml:space="preserve"> </w:t>
      </w:r>
      <w:r>
        <w:t>16G</w:t>
      </w:r>
    </w:p>
    <w:p w14:paraId="36946D45" w14:textId="77777777" w:rsidR="00064584" w:rsidRDefault="00B92FEB">
      <w:pPr>
        <w:spacing w:before="251" w:line="230" w:lineRule="auto"/>
        <w:ind w:left="160" w:right="26"/>
        <w:rPr>
          <w:sz w:val="23"/>
        </w:rPr>
      </w:pPr>
      <w:r>
        <w:rPr>
          <w:sz w:val="23"/>
        </w:rPr>
        <w:t xml:space="preserve">In accordance with section 16G of the </w:t>
      </w:r>
      <w:r>
        <w:rPr>
          <w:b/>
          <w:sz w:val="23"/>
        </w:rPr>
        <w:t>Flora and Fauna Guarantee Act 1988</w:t>
      </w:r>
      <w:r>
        <w:rPr>
          <w:sz w:val="23"/>
        </w:rPr>
        <w:t>, I, Steve Dimopoulos,</w:t>
      </w:r>
      <w:r>
        <w:rPr>
          <w:spacing w:val="-5"/>
          <w:sz w:val="23"/>
        </w:rPr>
        <w:t xml:space="preserve"> </w:t>
      </w:r>
      <w:r>
        <w:rPr>
          <w:sz w:val="23"/>
        </w:rPr>
        <w:t>Minister</w:t>
      </w:r>
      <w:r>
        <w:rPr>
          <w:spacing w:val="-4"/>
          <w:sz w:val="23"/>
        </w:rPr>
        <w:t xml:space="preserve"> </w:t>
      </w:r>
      <w:r>
        <w:rPr>
          <w:sz w:val="23"/>
        </w:rPr>
        <w:t>for</w:t>
      </w:r>
      <w:r>
        <w:rPr>
          <w:spacing w:val="-2"/>
          <w:sz w:val="23"/>
        </w:rPr>
        <w:t xml:space="preserve"> </w:t>
      </w:r>
      <w:r>
        <w:rPr>
          <w:sz w:val="23"/>
        </w:rPr>
        <w:t>Environment,</w:t>
      </w:r>
      <w:r>
        <w:rPr>
          <w:spacing w:val="-5"/>
          <w:sz w:val="23"/>
        </w:rPr>
        <w:t xml:space="preserve"> </w:t>
      </w:r>
      <w:r>
        <w:rPr>
          <w:sz w:val="23"/>
        </w:rPr>
        <w:t>and</w:t>
      </w:r>
      <w:r>
        <w:rPr>
          <w:spacing w:val="-2"/>
          <w:sz w:val="23"/>
        </w:rPr>
        <w:t xml:space="preserve"> </w:t>
      </w:r>
      <w:r>
        <w:rPr>
          <w:sz w:val="23"/>
        </w:rPr>
        <w:t>I,</w:t>
      </w:r>
      <w:r>
        <w:rPr>
          <w:spacing w:val="-4"/>
          <w:sz w:val="23"/>
        </w:rPr>
        <w:t xml:space="preserve"> </w:t>
      </w:r>
      <w:r>
        <w:rPr>
          <w:sz w:val="23"/>
        </w:rPr>
        <w:t>Ros</w:t>
      </w:r>
      <w:r>
        <w:rPr>
          <w:spacing w:val="-7"/>
          <w:sz w:val="23"/>
        </w:rPr>
        <w:t xml:space="preserve"> </w:t>
      </w:r>
      <w:r>
        <w:rPr>
          <w:sz w:val="23"/>
        </w:rPr>
        <w:t>Spence, Minister</w:t>
      </w:r>
      <w:r>
        <w:rPr>
          <w:spacing w:val="-4"/>
          <w:sz w:val="23"/>
        </w:rPr>
        <w:t xml:space="preserve"> </w:t>
      </w:r>
      <w:r>
        <w:rPr>
          <w:sz w:val="23"/>
        </w:rPr>
        <w:t>for</w:t>
      </w:r>
      <w:r>
        <w:rPr>
          <w:spacing w:val="-2"/>
          <w:sz w:val="23"/>
        </w:rPr>
        <w:t xml:space="preserve"> </w:t>
      </w:r>
      <w:r>
        <w:rPr>
          <w:sz w:val="23"/>
        </w:rPr>
        <w:t>Agriculture</w:t>
      </w:r>
      <w:r>
        <w:rPr>
          <w:spacing w:val="-4"/>
          <w:sz w:val="23"/>
        </w:rPr>
        <w:t xml:space="preserve"> </w:t>
      </w:r>
      <w:r>
        <w:rPr>
          <w:sz w:val="23"/>
        </w:rPr>
        <w:t>have:</w:t>
      </w:r>
    </w:p>
    <w:p w14:paraId="7730BC7E" w14:textId="77777777" w:rsidR="00064584" w:rsidRDefault="00064584">
      <w:pPr>
        <w:pStyle w:val="BodyText"/>
        <w:spacing w:before="222"/>
        <w:rPr>
          <w:sz w:val="23"/>
        </w:rPr>
      </w:pPr>
    </w:p>
    <w:p w14:paraId="23BC291C" w14:textId="77777777" w:rsidR="00064584" w:rsidRDefault="00B92FEB">
      <w:pPr>
        <w:pStyle w:val="ListParagraph"/>
        <w:numPr>
          <w:ilvl w:val="0"/>
          <w:numId w:val="2"/>
        </w:numPr>
        <w:tabs>
          <w:tab w:val="left" w:pos="723"/>
          <w:tab w:val="left" w:pos="726"/>
        </w:tabs>
        <w:spacing w:line="230" w:lineRule="auto"/>
        <w:ind w:right="211"/>
        <w:jc w:val="both"/>
      </w:pPr>
      <w:r>
        <w:t xml:space="preserve">considered the recommendation of the Scientific Advisory Committee regarding Salvage Logging of Burnt Native Forests as published on the Internet at </w:t>
      </w:r>
      <w:hyperlink r:id="rId7">
        <w:r>
          <w:rPr>
            <w:u w:val="single"/>
          </w:rPr>
          <w:t>https://www.environment.vic.gov.au/conserving-threatened-species/threatened-list</w:t>
        </w:r>
      </w:hyperlink>
      <w:r>
        <w:t xml:space="preserve"> and in the Government Gazette on 22 July 2024 and</w:t>
      </w:r>
    </w:p>
    <w:p w14:paraId="0481CA0D" w14:textId="77777777" w:rsidR="00064584" w:rsidRDefault="00B92FEB">
      <w:pPr>
        <w:pStyle w:val="ListParagraph"/>
        <w:numPr>
          <w:ilvl w:val="0"/>
          <w:numId w:val="2"/>
        </w:numPr>
        <w:tabs>
          <w:tab w:val="left" w:pos="722"/>
          <w:tab w:val="left" w:pos="726"/>
        </w:tabs>
        <w:spacing w:before="124" w:line="230" w:lineRule="auto"/>
        <w:jc w:val="both"/>
      </w:pPr>
      <w:r>
        <w:t xml:space="preserve">decided not to recommend to the Governor in Council that the potentially threatening process described in Column 1 of Table 1 in the Schedule to this Notice is specified in the Processes List </w:t>
      </w:r>
      <w:proofErr w:type="gramStart"/>
      <w:r>
        <w:t>for the reasons that</w:t>
      </w:r>
      <w:proofErr w:type="gramEnd"/>
      <w:r>
        <w:t xml:space="preserve"> it does not meet the criteria shown in Column 2 of that Table for the reasons described in Column 3 of the Table.</w:t>
      </w:r>
    </w:p>
    <w:p w14:paraId="02311504" w14:textId="77777777" w:rsidR="00064584" w:rsidRDefault="00064584">
      <w:pPr>
        <w:pStyle w:val="BodyText"/>
        <w:spacing w:before="223"/>
      </w:pPr>
    </w:p>
    <w:p w14:paraId="2FFFE816" w14:textId="77777777" w:rsidR="00064584" w:rsidRDefault="00B92FEB">
      <w:pPr>
        <w:pStyle w:val="Heading1"/>
        <w:ind w:right="57"/>
        <w:jc w:val="center"/>
      </w:pPr>
      <w:r>
        <w:rPr>
          <w:spacing w:val="-2"/>
        </w:rPr>
        <w:t>SCHEDULE</w:t>
      </w:r>
    </w:p>
    <w:p w14:paraId="07775F3A" w14:textId="77777777" w:rsidR="00064584" w:rsidRDefault="00B92FEB">
      <w:pPr>
        <w:pStyle w:val="BodyText"/>
        <w:spacing w:before="112"/>
        <w:ind w:left="160"/>
      </w:pPr>
      <w:r>
        <w:t>In</w:t>
      </w:r>
      <w:r>
        <w:rPr>
          <w:spacing w:val="-2"/>
        </w:rPr>
        <w:t xml:space="preserve"> </w:t>
      </w:r>
      <w:r>
        <w:t>Table</w:t>
      </w:r>
      <w:r>
        <w:rPr>
          <w:spacing w:val="-1"/>
        </w:rPr>
        <w:t xml:space="preserve"> </w:t>
      </w:r>
      <w:r>
        <w:t>1</w:t>
      </w:r>
      <w:r>
        <w:rPr>
          <w:spacing w:val="-2"/>
        </w:rPr>
        <w:t xml:space="preserve"> </w:t>
      </w:r>
      <w:r>
        <w:t>in</w:t>
      </w:r>
      <w:r>
        <w:rPr>
          <w:spacing w:val="-2"/>
        </w:rPr>
        <w:t xml:space="preserve"> </w:t>
      </w:r>
      <w:r>
        <w:t>this</w:t>
      </w:r>
      <w:r>
        <w:rPr>
          <w:spacing w:val="-1"/>
        </w:rPr>
        <w:t xml:space="preserve"> </w:t>
      </w:r>
      <w:r>
        <w:rPr>
          <w:spacing w:val="-2"/>
        </w:rPr>
        <w:t>Schedule—</w:t>
      </w:r>
    </w:p>
    <w:p w14:paraId="098CE647" w14:textId="77777777" w:rsidR="00064584" w:rsidRDefault="00B92FEB">
      <w:pPr>
        <w:pStyle w:val="BodyText"/>
        <w:spacing w:line="266" w:lineRule="auto"/>
        <w:ind w:left="520" w:right="1184"/>
        <w:jc w:val="both"/>
      </w:pPr>
      <w:r>
        <w:rPr>
          <w:b/>
        </w:rPr>
        <w:t xml:space="preserve">1.1 </w:t>
      </w:r>
      <w:r>
        <w:t xml:space="preserve">means Criterion </w:t>
      </w:r>
      <w:r>
        <w:rPr>
          <w:b/>
        </w:rPr>
        <w:t xml:space="preserve">1.1 </w:t>
      </w:r>
      <w:r>
        <w:t>of Schedule 3 of the Flora and Fauna Guarantee Regulations 2020 which provides that the potentially threatening process poses or has the potential to pose a significant threat to the survival of two or more taxa.</w:t>
      </w:r>
    </w:p>
    <w:p w14:paraId="7D6AD9BA" w14:textId="77777777" w:rsidR="00064584" w:rsidRDefault="00B92FEB">
      <w:pPr>
        <w:pStyle w:val="BodyText"/>
        <w:spacing w:before="110" w:line="266" w:lineRule="auto"/>
        <w:ind w:left="520" w:right="1188"/>
        <w:jc w:val="both"/>
      </w:pPr>
      <w:r>
        <w:rPr>
          <w:b/>
        </w:rPr>
        <w:t xml:space="preserve">1.3 </w:t>
      </w:r>
      <w:r>
        <w:t xml:space="preserve">means Criterion </w:t>
      </w:r>
      <w:r>
        <w:rPr>
          <w:b/>
        </w:rPr>
        <w:t xml:space="preserve">1.3 </w:t>
      </w:r>
      <w:r>
        <w:t>of Schedule 3 of the Flora and Fauna Guarantee Regulations 2020 which provides that any other circumstance that demonstrates to the satisfaction of the Committee that section 16 applies to the potentially threatening process.</w:t>
      </w:r>
    </w:p>
    <w:p w14:paraId="072FADA9" w14:textId="77777777" w:rsidR="00064584" w:rsidRDefault="00B92FEB">
      <w:pPr>
        <w:pStyle w:val="Heading1"/>
        <w:spacing w:before="238" w:after="2"/>
        <w:ind w:left="160"/>
      </w:pPr>
      <w:r>
        <w:t xml:space="preserve">Table </w:t>
      </w:r>
      <w:r>
        <w:rPr>
          <w:spacing w:val="-10"/>
        </w:rPr>
        <w:t>1</w:t>
      </w:r>
    </w:p>
    <w:tbl>
      <w:tblPr>
        <w:tblW w:w="0" w:type="auto"/>
        <w:tblInd w:w="167" w:type="dxa"/>
        <w:tblLayout w:type="fixed"/>
        <w:tblCellMar>
          <w:left w:w="0" w:type="dxa"/>
          <w:right w:w="0" w:type="dxa"/>
        </w:tblCellMar>
        <w:tblLook w:val="01E0" w:firstRow="1" w:lastRow="1" w:firstColumn="1" w:lastColumn="1" w:noHBand="0" w:noVBand="0"/>
      </w:tblPr>
      <w:tblGrid>
        <w:gridCol w:w="2065"/>
        <w:gridCol w:w="2086"/>
        <w:gridCol w:w="4987"/>
      </w:tblGrid>
      <w:tr w:rsidR="00064584" w14:paraId="67D1EFF3" w14:textId="77777777">
        <w:trPr>
          <w:trHeight w:val="950"/>
        </w:trPr>
        <w:tc>
          <w:tcPr>
            <w:tcW w:w="2065" w:type="dxa"/>
            <w:tcBorders>
              <w:top w:val="single" w:sz="4" w:space="0" w:color="000000"/>
              <w:bottom w:val="single" w:sz="4" w:space="0" w:color="000000"/>
            </w:tcBorders>
          </w:tcPr>
          <w:p w14:paraId="4B25CDE3" w14:textId="77777777" w:rsidR="00064584" w:rsidRDefault="00B92FEB">
            <w:pPr>
              <w:pStyle w:val="TableParagraph"/>
              <w:spacing w:line="243" w:lineRule="exact"/>
              <w:ind w:left="110"/>
              <w:rPr>
                <w:b/>
                <w:i/>
              </w:rPr>
            </w:pPr>
            <w:r>
              <w:rPr>
                <w:b/>
                <w:i/>
              </w:rPr>
              <w:t>Column</w:t>
            </w:r>
            <w:r>
              <w:rPr>
                <w:b/>
                <w:i/>
                <w:spacing w:val="-2"/>
              </w:rPr>
              <w:t xml:space="preserve"> </w:t>
            </w:r>
            <w:r>
              <w:rPr>
                <w:b/>
                <w:i/>
                <w:spacing w:val="-10"/>
              </w:rPr>
              <w:t>1</w:t>
            </w:r>
          </w:p>
          <w:p w14:paraId="04585EBA" w14:textId="77777777" w:rsidR="00064584" w:rsidRDefault="00B92FEB">
            <w:pPr>
              <w:pStyle w:val="TableParagraph"/>
              <w:spacing w:before="227"/>
              <w:ind w:left="110"/>
              <w:rPr>
                <w:b/>
                <w:i/>
              </w:rPr>
            </w:pPr>
            <w:r>
              <w:rPr>
                <w:b/>
                <w:i/>
                <w:spacing w:val="-4"/>
              </w:rPr>
              <w:t>Item</w:t>
            </w:r>
          </w:p>
        </w:tc>
        <w:tc>
          <w:tcPr>
            <w:tcW w:w="2086" w:type="dxa"/>
            <w:tcBorders>
              <w:top w:val="single" w:sz="4" w:space="0" w:color="000000"/>
              <w:bottom w:val="single" w:sz="4" w:space="0" w:color="000000"/>
            </w:tcBorders>
          </w:tcPr>
          <w:p w14:paraId="4D36B034" w14:textId="77777777" w:rsidR="00064584" w:rsidRDefault="00B92FEB">
            <w:pPr>
              <w:pStyle w:val="TableParagraph"/>
              <w:spacing w:line="243" w:lineRule="exact"/>
              <w:ind w:left="121"/>
              <w:rPr>
                <w:b/>
                <w:i/>
              </w:rPr>
            </w:pPr>
            <w:r>
              <w:rPr>
                <w:b/>
                <w:i/>
              </w:rPr>
              <w:t>Column</w:t>
            </w:r>
            <w:r>
              <w:rPr>
                <w:b/>
                <w:i/>
                <w:spacing w:val="-3"/>
              </w:rPr>
              <w:t xml:space="preserve"> </w:t>
            </w:r>
            <w:r>
              <w:rPr>
                <w:b/>
                <w:i/>
                <w:spacing w:val="-10"/>
              </w:rPr>
              <w:t>2</w:t>
            </w:r>
          </w:p>
          <w:p w14:paraId="4612A24B" w14:textId="77777777" w:rsidR="00064584" w:rsidRDefault="00B92FEB">
            <w:pPr>
              <w:pStyle w:val="TableParagraph"/>
              <w:spacing w:before="227"/>
              <w:ind w:left="121"/>
              <w:rPr>
                <w:b/>
                <w:i/>
              </w:rPr>
            </w:pPr>
            <w:r>
              <w:rPr>
                <w:b/>
                <w:i/>
              </w:rPr>
              <w:t>Criteria</w:t>
            </w:r>
            <w:r>
              <w:rPr>
                <w:b/>
                <w:i/>
                <w:spacing w:val="-3"/>
              </w:rPr>
              <w:t xml:space="preserve"> </w:t>
            </w:r>
            <w:r>
              <w:rPr>
                <w:b/>
                <w:i/>
              </w:rPr>
              <w:t>not</w:t>
            </w:r>
            <w:r>
              <w:rPr>
                <w:b/>
                <w:i/>
                <w:spacing w:val="-2"/>
              </w:rPr>
              <w:t xml:space="preserve"> satisfied</w:t>
            </w:r>
          </w:p>
        </w:tc>
        <w:tc>
          <w:tcPr>
            <w:tcW w:w="4987" w:type="dxa"/>
            <w:tcBorders>
              <w:top w:val="single" w:sz="4" w:space="0" w:color="000000"/>
              <w:bottom w:val="single" w:sz="12" w:space="0" w:color="000000"/>
            </w:tcBorders>
          </w:tcPr>
          <w:p w14:paraId="53E8E432" w14:textId="77777777" w:rsidR="00064584" w:rsidRDefault="00B92FEB">
            <w:pPr>
              <w:pStyle w:val="TableParagraph"/>
              <w:spacing w:line="243" w:lineRule="exact"/>
              <w:ind w:left="111"/>
              <w:rPr>
                <w:b/>
                <w:i/>
              </w:rPr>
            </w:pPr>
            <w:r>
              <w:rPr>
                <w:b/>
                <w:i/>
              </w:rPr>
              <w:t>Column</w:t>
            </w:r>
            <w:r>
              <w:rPr>
                <w:b/>
                <w:i/>
                <w:spacing w:val="-2"/>
              </w:rPr>
              <w:t xml:space="preserve"> </w:t>
            </w:r>
            <w:r>
              <w:rPr>
                <w:b/>
                <w:i/>
                <w:spacing w:val="-10"/>
              </w:rPr>
              <w:t>3</w:t>
            </w:r>
          </w:p>
          <w:p w14:paraId="288740E9" w14:textId="77777777" w:rsidR="00064584" w:rsidRDefault="00B92FEB">
            <w:pPr>
              <w:pStyle w:val="TableParagraph"/>
              <w:spacing w:before="227"/>
              <w:ind w:left="111"/>
              <w:rPr>
                <w:b/>
                <w:i/>
              </w:rPr>
            </w:pPr>
            <w:r>
              <w:rPr>
                <w:b/>
                <w:i/>
              </w:rPr>
              <w:t>Reasons criteria not</w:t>
            </w:r>
            <w:r>
              <w:rPr>
                <w:b/>
                <w:i/>
                <w:spacing w:val="-2"/>
              </w:rPr>
              <w:t xml:space="preserve"> satisfied</w:t>
            </w:r>
          </w:p>
        </w:tc>
      </w:tr>
      <w:tr w:rsidR="00064584" w14:paraId="5E829DFA" w14:textId="77777777">
        <w:trPr>
          <w:trHeight w:val="1412"/>
        </w:trPr>
        <w:tc>
          <w:tcPr>
            <w:tcW w:w="2065" w:type="dxa"/>
            <w:tcBorders>
              <w:top w:val="single" w:sz="4" w:space="0" w:color="000000"/>
            </w:tcBorders>
          </w:tcPr>
          <w:p w14:paraId="7BEF3E27" w14:textId="77777777" w:rsidR="00064584" w:rsidRDefault="00B92FEB">
            <w:pPr>
              <w:pStyle w:val="TableParagraph"/>
              <w:spacing w:line="233" w:lineRule="exact"/>
              <w:ind w:left="110"/>
            </w:pPr>
            <w:r>
              <w:t xml:space="preserve">Salvage Logging </w:t>
            </w:r>
            <w:r>
              <w:rPr>
                <w:spacing w:val="-5"/>
              </w:rPr>
              <w:t>of</w:t>
            </w:r>
          </w:p>
          <w:p w14:paraId="24304832" w14:textId="77777777" w:rsidR="00064584" w:rsidRDefault="00B92FEB">
            <w:pPr>
              <w:pStyle w:val="TableParagraph"/>
              <w:spacing w:before="27"/>
              <w:ind w:left="110"/>
            </w:pPr>
            <w:r>
              <w:t>Burnt</w:t>
            </w:r>
            <w:r>
              <w:rPr>
                <w:spacing w:val="-4"/>
              </w:rPr>
              <w:t xml:space="preserve"> </w:t>
            </w:r>
            <w:r>
              <w:t>Native</w:t>
            </w:r>
            <w:r>
              <w:rPr>
                <w:spacing w:val="1"/>
              </w:rPr>
              <w:t xml:space="preserve"> </w:t>
            </w:r>
            <w:r>
              <w:rPr>
                <w:spacing w:val="-2"/>
              </w:rPr>
              <w:t>Forests</w:t>
            </w:r>
          </w:p>
        </w:tc>
        <w:tc>
          <w:tcPr>
            <w:tcW w:w="2086" w:type="dxa"/>
            <w:tcBorders>
              <w:top w:val="single" w:sz="4" w:space="0" w:color="000000"/>
            </w:tcBorders>
          </w:tcPr>
          <w:p w14:paraId="6B4E5A89" w14:textId="77777777" w:rsidR="00064584" w:rsidRDefault="00B92FEB">
            <w:pPr>
              <w:pStyle w:val="TableParagraph"/>
              <w:spacing w:before="19"/>
              <w:ind w:left="121"/>
            </w:pPr>
            <w:r>
              <w:t>Criterion</w:t>
            </w:r>
            <w:r>
              <w:rPr>
                <w:spacing w:val="-3"/>
              </w:rPr>
              <w:t xml:space="preserve"> </w:t>
            </w:r>
            <w:r>
              <w:rPr>
                <w:spacing w:val="-5"/>
              </w:rPr>
              <w:t>1.1</w:t>
            </w:r>
          </w:p>
        </w:tc>
        <w:tc>
          <w:tcPr>
            <w:tcW w:w="4987" w:type="dxa"/>
            <w:tcBorders>
              <w:top w:val="single" w:sz="12" w:space="0" w:color="000000"/>
            </w:tcBorders>
          </w:tcPr>
          <w:p w14:paraId="37F438B3" w14:textId="77777777" w:rsidR="00064584" w:rsidRDefault="00B92FEB">
            <w:pPr>
              <w:pStyle w:val="TableParagraph"/>
              <w:spacing w:before="39" w:line="266" w:lineRule="auto"/>
              <w:ind w:left="326" w:right="184"/>
            </w:pPr>
            <w:r>
              <w:t>Salvage logging of burnt native forests was historically a commercial timber harvesting activity</w:t>
            </w:r>
            <w:r>
              <w:rPr>
                <w:spacing w:val="-9"/>
              </w:rPr>
              <w:t xml:space="preserve"> </w:t>
            </w:r>
            <w:r>
              <w:t>undertaken</w:t>
            </w:r>
            <w:r>
              <w:rPr>
                <w:spacing w:val="-9"/>
              </w:rPr>
              <w:t xml:space="preserve"> </w:t>
            </w:r>
            <w:r>
              <w:t>by</w:t>
            </w:r>
            <w:r>
              <w:rPr>
                <w:spacing w:val="-9"/>
              </w:rPr>
              <w:t xml:space="preserve"> </w:t>
            </w:r>
            <w:proofErr w:type="spellStart"/>
            <w:r>
              <w:t>VicForests</w:t>
            </w:r>
            <w:proofErr w:type="spellEnd"/>
            <w:r>
              <w:t>.</w:t>
            </w:r>
            <w:r>
              <w:rPr>
                <w:spacing w:val="-9"/>
              </w:rPr>
              <w:t xml:space="preserve"> </w:t>
            </w:r>
            <w:r>
              <w:t>However, Victoria’s</w:t>
            </w:r>
            <w:r>
              <w:rPr>
                <w:spacing w:val="-3"/>
              </w:rPr>
              <w:t xml:space="preserve"> </w:t>
            </w:r>
            <w:r>
              <w:t>forest</w:t>
            </w:r>
            <w:r>
              <w:rPr>
                <w:spacing w:val="-3"/>
              </w:rPr>
              <w:t xml:space="preserve"> </w:t>
            </w:r>
            <w:r>
              <w:t>policy</w:t>
            </w:r>
            <w:r>
              <w:rPr>
                <w:spacing w:val="-1"/>
              </w:rPr>
              <w:t xml:space="preserve"> </w:t>
            </w:r>
            <w:r>
              <w:t>has</w:t>
            </w:r>
            <w:r>
              <w:rPr>
                <w:spacing w:val="-6"/>
              </w:rPr>
              <w:t xml:space="preserve"> </w:t>
            </w:r>
            <w:r>
              <w:t>recently</w:t>
            </w:r>
            <w:r>
              <w:rPr>
                <w:spacing w:val="-1"/>
              </w:rPr>
              <w:t xml:space="preserve"> </w:t>
            </w:r>
            <w:r>
              <w:rPr>
                <w:spacing w:val="-2"/>
              </w:rPr>
              <w:t>changed</w:t>
            </w:r>
          </w:p>
          <w:p w14:paraId="2F2FF97B" w14:textId="77777777" w:rsidR="00064584" w:rsidRDefault="00B92FEB">
            <w:pPr>
              <w:pStyle w:val="TableParagraph"/>
              <w:spacing w:line="230" w:lineRule="exact"/>
              <w:ind w:left="326"/>
            </w:pPr>
            <w:r>
              <w:t>significantly.</w:t>
            </w:r>
            <w:r>
              <w:rPr>
                <w:spacing w:val="-1"/>
              </w:rPr>
              <w:t xml:space="preserve"> </w:t>
            </w:r>
            <w:r>
              <w:t>These changes</w:t>
            </w:r>
            <w:r>
              <w:rPr>
                <w:spacing w:val="-1"/>
              </w:rPr>
              <w:t xml:space="preserve"> </w:t>
            </w:r>
            <w:r>
              <w:rPr>
                <w:spacing w:val="-2"/>
              </w:rPr>
              <w:t>include:</w:t>
            </w:r>
          </w:p>
        </w:tc>
      </w:tr>
    </w:tbl>
    <w:p w14:paraId="53F365CC" w14:textId="77777777" w:rsidR="00064584" w:rsidRDefault="00B92FEB">
      <w:pPr>
        <w:pStyle w:val="ListParagraph"/>
        <w:numPr>
          <w:ilvl w:val="0"/>
          <w:numId w:val="1"/>
        </w:numPr>
        <w:tabs>
          <w:tab w:val="left" w:pos="5097"/>
        </w:tabs>
        <w:spacing w:before="228" w:line="266" w:lineRule="auto"/>
        <w:ind w:right="310"/>
        <w:jc w:val="both"/>
      </w:pPr>
      <w:r>
        <w:t>The cessation of commercial native forest timber harvesting within the Allocation</w:t>
      </w:r>
      <w:r>
        <w:rPr>
          <w:spacing w:val="40"/>
        </w:rPr>
        <w:t xml:space="preserve"> </w:t>
      </w:r>
      <w:r>
        <w:t>Order area (primarily in eastern Victoria) from 1 January 2024. This flowed from the Government’s decision on 23 May 2023 to cease commercial native forest timber harvesting from that date.</w:t>
      </w:r>
    </w:p>
    <w:p w14:paraId="3B95251E" w14:textId="77777777" w:rsidR="00064584" w:rsidRDefault="00B92FEB">
      <w:pPr>
        <w:pStyle w:val="ListParagraph"/>
        <w:numPr>
          <w:ilvl w:val="0"/>
          <w:numId w:val="1"/>
        </w:numPr>
        <w:tabs>
          <w:tab w:val="left" w:pos="5097"/>
        </w:tabs>
        <w:spacing w:after="4" w:line="266" w:lineRule="auto"/>
        <w:ind w:right="308"/>
        <w:jc w:val="both"/>
      </w:pPr>
      <w:r>
        <w:t>The</w:t>
      </w:r>
      <w:r>
        <w:rPr>
          <w:spacing w:val="-4"/>
        </w:rPr>
        <w:t xml:space="preserve"> </w:t>
      </w:r>
      <w:r>
        <w:t>Sustainable</w:t>
      </w:r>
      <w:r>
        <w:rPr>
          <w:spacing w:val="-4"/>
        </w:rPr>
        <w:t xml:space="preserve"> </w:t>
      </w:r>
      <w:r>
        <w:t>Forests</w:t>
      </w:r>
      <w:r>
        <w:rPr>
          <w:spacing w:val="-6"/>
        </w:rPr>
        <w:t xml:space="preserve"> </w:t>
      </w:r>
      <w:r>
        <w:t>(Timber)</w:t>
      </w:r>
      <w:r>
        <w:rPr>
          <w:spacing w:val="-5"/>
        </w:rPr>
        <w:t xml:space="preserve"> </w:t>
      </w:r>
      <w:r>
        <w:t>Repeal</w:t>
      </w:r>
      <w:r>
        <w:rPr>
          <w:spacing w:val="-8"/>
        </w:rPr>
        <w:t xml:space="preserve"> </w:t>
      </w:r>
      <w:r>
        <w:t>Act 2024 was passed on 25 June 2024 and commenced operation on 1 July 2024. That Act removed the legal framework</w:t>
      </w:r>
      <w:r>
        <w:rPr>
          <w:spacing w:val="80"/>
        </w:rPr>
        <w:t xml:space="preserve"> </w:t>
      </w:r>
      <w:r>
        <w:t xml:space="preserve">established by the Sustainable Forests (Timber) Act 2004 for commercial timber harvesting by </w:t>
      </w:r>
      <w:proofErr w:type="spellStart"/>
      <w:r>
        <w:t>VicForests</w:t>
      </w:r>
      <w:proofErr w:type="spellEnd"/>
      <w:r>
        <w:t xml:space="preserve"> in State Forests.</w:t>
      </w:r>
    </w:p>
    <w:p w14:paraId="63BDB9DA" w14:textId="77777777" w:rsidR="00064584" w:rsidRDefault="00B92FEB">
      <w:pPr>
        <w:pStyle w:val="BodyText"/>
        <w:spacing w:line="30" w:lineRule="exact"/>
        <w:ind w:left="145"/>
        <w:rPr>
          <w:sz w:val="3"/>
        </w:rPr>
      </w:pPr>
      <w:r>
        <w:rPr>
          <w:noProof/>
          <w:sz w:val="3"/>
        </w:rPr>
        <mc:AlternateContent>
          <mc:Choice Requires="wpg">
            <w:drawing>
              <wp:inline distT="0" distB="0" distL="0" distR="0" wp14:anchorId="58DB4CA2" wp14:editId="7017DA6F">
                <wp:extent cx="5813425" cy="190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3425" cy="19050"/>
                          <a:chOff x="0" y="0"/>
                          <a:chExt cx="5813425" cy="19050"/>
                        </a:xfrm>
                      </wpg:grpSpPr>
                      <wps:wsp>
                        <wps:cNvPr id="4" name="Graphic 4"/>
                        <wps:cNvSpPr/>
                        <wps:spPr>
                          <a:xfrm>
                            <a:off x="0" y="0"/>
                            <a:ext cx="5813425" cy="19050"/>
                          </a:xfrm>
                          <a:custGeom>
                            <a:avLst/>
                            <a:gdLst/>
                            <a:ahLst/>
                            <a:cxnLst/>
                            <a:rect l="l" t="t" r="r" b="b"/>
                            <a:pathLst>
                              <a:path w="5813425" h="19050">
                                <a:moveTo>
                                  <a:pt x="5812853" y="12700"/>
                                </a:moveTo>
                                <a:lnTo>
                                  <a:pt x="5749353" y="12700"/>
                                </a:lnTo>
                                <a:lnTo>
                                  <a:pt x="5749353" y="0"/>
                                </a:lnTo>
                                <a:lnTo>
                                  <a:pt x="2773108" y="0"/>
                                </a:lnTo>
                                <a:lnTo>
                                  <a:pt x="2773108" y="12700"/>
                                </a:lnTo>
                                <a:lnTo>
                                  <a:pt x="2649283" y="12700"/>
                                </a:lnTo>
                                <a:lnTo>
                                  <a:pt x="2646108" y="12700"/>
                                </a:lnTo>
                                <a:lnTo>
                                  <a:pt x="0" y="12700"/>
                                </a:lnTo>
                                <a:lnTo>
                                  <a:pt x="0" y="19050"/>
                                </a:lnTo>
                                <a:lnTo>
                                  <a:pt x="5812853" y="19050"/>
                                </a:lnTo>
                                <a:lnTo>
                                  <a:pt x="5812853" y="1270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92DEC6" id="Group 3" o:spid="_x0000_s1026" style="width:457.75pt;height:1.5pt;mso-position-horizontal-relative:char;mso-position-vertical-relative:line" coordsize="5813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rVtAIAAA0HAAAOAAAAZHJzL2Uyb0RvYy54bWykVdtu2zAMfR+wfxD0vthxkiY16hRDuwYD&#10;iq5AO+xZkeULJkuapMTp34+SLcdNdsG6PFiUfUSRh4fM1fWh4WjPtKmlyPB0EmPEBJV5LcoMf32+&#10;+7DCyFgicsKlYBl+YQZfr9+/u2pVyhJZSZ4zjcCJMGmrMlxZq9IoMrRiDTETqZiAj4XUDbGw1WWU&#10;a9KC94ZHSRxfRK3UudKSMmPg7W33Ea+9/6Jg1H4pCsMs4hmG2Kx/av/cume0viJpqYmqatqHQd4Q&#10;RUNqAZcOrm6JJWin6zNXTU21NLKwEyqbSBZFTZnPAbKZxifZbLTcKZ9LmbalGmgCak94erNb+rDf&#10;aPWkHnUXPZj3kn43wEvUqjIdf3f78gg+FLpxhyAJdPCMvgyMsoNFFF4uVtPZPFlgROHb9DJe9IzT&#10;CspydopWn/54LiJpd6kPbQilVaAdc6TH/B89TxVRzLNuXPqPGtV5hucYCdKAgje9WOZOO+5qwDj+&#10;+p3pqXw7O0OWJKU7YzdMeprJ/t7YTq55sEgVLHoQwdQgeid37uVuMQK5a4xA7ttO7opYd87Vzpmo&#10;HdWpCmVyXxu5Z8/S46wrFlQzWS1mGLliJsvYFxPCPeK4eIVfzi9nv8AHVFhV532EDp4DIqwdMlku&#10;Z9MYJksQHMQQEGE9R44jDqiw9uiL+WWyOs8voMI6oC9CFH/3DcPnhLXgLayd1x4XWuW3mb2qxb+h&#10;R5ULd1MuDQNxwXVOEoPhZQIvx0I0ktf5Xc25E4bR5faGa7QnbsD6nxMZHBnBoF1N2jWGs7Yyf4Gu&#10;aqGRMmx+7IhmGPHPAvrWjehg6GBsg6Etv5F+kHtNamOfD9+IVkiBmWELU+dBhvYlaegYl9SAdSeF&#10;/LizsqhdO/nYuoj6DYwSb/mZ61Pp/x/cUB/vPer4L7b+CQAA//8DAFBLAwQUAAYACAAAACEAZJ9P&#10;H9sAAAADAQAADwAAAGRycy9kb3ducmV2LnhtbEyPQWvCQBCF74X+h2UKvdVNlJQ2ZiMi1pMUqoXi&#10;bcyOSTA7G7JrEv+9217qZeDxHu99ky1G04ieOldbVhBPIhDEhdU1lwq+9x8vbyCcR9bYWCYFV3Kw&#10;yB8fMky1HfiL+p0vRShhl6KCyvs2ldIVFRl0E9sSB+9kO4M+yK6UusMhlJtGTqPoVRqsOSxU2NKq&#10;ouK8uxgFmwGH5Sxe99vzaXU97JPPn21MSj0/jcs5CE+j/w/DL35AhzwwHe2FtRONgvCI/7vBe4+T&#10;BMRRwSwCmWfynj2/AQAA//8DAFBLAQItABQABgAIAAAAIQC2gziS/gAAAOEBAAATAAAAAAAAAAAA&#10;AAAAAAAAAABbQ29udGVudF9UeXBlc10ueG1sUEsBAi0AFAAGAAgAAAAhADj9If/WAAAAlAEAAAsA&#10;AAAAAAAAAAAAAAAALwEAAF9yZWxzLy5yZWxzUEsBAi0AFAAGAAgAAAAhAFsW6tW0AgAADQcAAA4A&#10;AAAAAAAAAAAAAAAALgIAAGRycy9lMm9Eb2MueG1sUEsBAi0AFAAGAAgAAAAhAGSfTx/bAAAAAwEA&#10;AA8AAAAAAAAAAAAAAAAADgUAAGRycy9kb3ducmV2LnhtbFBLBQYAAAAABAAEAPMAAAAWBgAAAAA=&#10;">
                <v:shape id="Graphic 4" o:spid="_x0000_s1027" style="position:absolute;width:58134;height:190;visibility:visible;mso-wrap-style:square;v-text-anchor:top" coordsize="58134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KDwwAAANoAAAAPAAAAZHJzL2Rvd25yZXYueG1sRI9Pa8JA&#10;FMTvhX6H5RW81Y3WWolugi1EpBfxD/T6yD43wezbkN2a+O1dodDjMDO/YVb5YBtxpc7XjhVMxgkI&#10;4tLpmo2C07F4XYDwAVlj45gU3MhDnj0/rTDVruc9XQ/BiAhhn6KCKoQ2ldKXFVn0Y9cSR+/sOosh&#10;ys5I3WEf4baR0ySZS4s1x4UKW/qqqLwcfq0Cd/yUzWZPP2+FTN4/Ft9mc9oZpUYvw3oJItAQ/sN/&#10;7a1WMIPHlXgDZHYHAAD//wMAUEsBAi0AFAAGAAgAAAAhANvh9svuAAAAhQEAABMAAAAAAAAAAAAA&#10;AAAAAAAAAFtDb250ZW50X1R5cGVzXS54bWxQSwECLQAUAAYACAAAACEAWvQsW78AAAAVAQAACwAA&#10;AAAAAAAAAAAAAAAfAQAAX3JlbHMvLnJlbHNQSwECLQAUAAYACAAAACEAB3HSg8MAAADaAAAADwAA&#10;AAAAAAAAAAAAAAAHAgAAZHJzL2Rvd25yZXYueG1sUEsFBgAAAAADAAMAtwAAAPcCAAAAAA==&#10;" path="m5812853,12700r-63500,l5749353,,2773108,r,12700l2649283,12700r-3175,l,12700r,6350l5812853,19050r,-6350xe" fillcolor="black" stroked="f">
                  <v:path arrowok="t"/>
                </v:shape>
                <w10:anchorlock/>
              </v:group>
            </w:pict>
          </mc:Fallback>
        </mc:AlternateContent>
      </w:r>
    </w:p>
    <w:p w14:paraId="008FC4C1" w14:textId="77777777" w:rsidR="00064584" w:rsidRDefault="00064584">
      <w:pPr>
        <w:spacing w:line="30" w:lineRule="exact"/>
        <w:rPr>
          <w:sz w:val="3"/>
        </w:rPr>
        <w:sectPr w:rsidR="00064584">
          <w:headerReference w:type="default" r:id="rId8"/>
          <w:footerReference w:type="even" r:id="rId9"/>
          <w:footerReference w:type="default" r:id="rId10"/>
          <w:footerReference w:type="first" r:id="rId11"/>
          <w:type w:val="continuous"/>
          <w:pgSz w:w="11910" w:h="16840"/>
          <w:pgMar w:top="1240" w:right="1220" w:bottom="620" w:left="1280" w:header="303" w:footer="439" w:gutter="0"/>
          <w:pgNumType w:start="1"/>
          <w:cols w:space="720"/>
        </w:sectPr>
      </w:pPr>
    </w:p>
    <w:tbl>
      <w:tblPr>
        <w:tblW w:w="0" w:type="auto"/>
        <w:tblInd w:w="153" w:type="dxa"/>
        <w:tblLayout w:type="fixed"/>
        <w:tblCellMar>
          <w:left w:w="0" w:type="dxa"/>
          <w:right w:w="0" w:type="dxa"/>
        </w:tblCellMar>
        <w:tblLook w:val="01E0" w:firstRow="1" w:lastRow="1" w:firstColumn="1" w:lastColumn="1" w:noHBand="0" w:noVBand="0"/>
      </w:tblPr>
      <w:tblGrid>
        <w:gridCol w:w="1613"/>
        <w:gridCol w:w="2554"/>
        <w:gridCol w:w="4988"/>
      </w:tblGrid>
      <w:tr w:rsidR="00064584" w14:paraId="61C86A97" w14:textId="77777777">
        <w:trPr>
          <w:trHeight w:val="950"/>
        </w:trPr>
        <w:tc>
          <w:tcPr>
            <w:tcW w:w="1613" w:type="dxa"/>
            <w:tcBorders>
              <w:top w:val="single" w:sz="4" w:space="0" w:color="000000"/>
              <w:bottom w:val="single" w:sz="4" w:space="0" w:color="000000"/>
            </w:tcBorders>
          </w:tcPr>
          <w:p w14:paraId="267BCA73" w14:textId="77777777" w:rsidR="00064584" w:rsidRDefault="00B92FEB">
            <w:pPr>
              <w:pStyle w:val="TableParagraph"/>
              <w:spacing w:line="243" w:lineRule="exact"/>
              <w:ind w:left="125"/>
              <w:rPr>
                <w:b/>
                <w:i/>
              </w:rPr>
            </w:pPr>
            <w:r>
              <w:rPr>
                <w:b/>
                <w:i/>
              </w:rPr>
              <w:lastRenderedPageBreak/>
              <w:t>Column</w:t>
            </w:r>
            <w:r>
              <w:rPr>
                <w:b/>
                <w:i/>
                <w:spacing w:val="-2"/>
              </w:rPr>
              <w:t xml:space="preserve"> </w:t>
            </w:r>
            <w:r>
              <w:rPr>
                <w:b/>
                <w:i/>
                <w:spacing w:val="-10"/>
              </w:rPr>
              <w:t>1</w:t>
            </w:r>
          </w:p>
          <w:p w14:paraId="7612694E" w14:textId="77777777" w:rsidR="00064584" w:rsidRDefault="00B92FEB">
            <w:pPr>
              <w:pStyle w:val="TableParagraph"/>
              <w:spacing w:before="227"/>
              <w:ind w:left="125"/>
              <w:rPr>
                <w:b/>
                <w:i/>
              </w:rPr>
            </w:pPr>
            <w:r>
              <w:rPr>
                <w:b/>
                <w:i/>
                <w:spacing w:val="-4"/>
              </w:rPr>
              <w:t>Item</w:t>
            </w:r>
          </w:p>
        </w:tc>
        <w:tc>
          <w:tcPr>
            <w:tcW w:w="2554" w:type="dxa"/>
            <w:tcBorders>
              <w:top w:val="single" w:sz="4" w:space="0" w:color="000000"/>
              <w:bottom w:val="single" w:sz="4" w:space="0" w:color="000000"/>
            </w:tcBorders>
          </w:tcPr>
          <w:p w14:paraId="3B5EBE46" w14:textId="77777777" w:rsidR="00064584" w:rsidRDefault="00B92FEB">
            <w:pPr>
              <w:pStyle w:val="TableParagraph"/>
              <w:spacing w:line="243" w:lineRule="exact"/>
              <w:ind w:left="588"/>
              <w:rPr>
                <w:b/>
                <w:i/>
              </w:rPr>
            </w:pPr>
            <w:r>
              <w:rPr>
                <w:b/>
                <w:i/>
              </w:rPr>
              <w:t>Column</w:t>
            </w:r>
            <w:r>
              <w:rPr>
                <w:b/>
                <w:i/>
                <w:spacing w:val="-3"/>
              </w:rPr>
              <w:t xml:space="preserve"> </w:t>
            </w:r>
            <w:r>
              <w:rPr>
                <w:b/>
                <w:i/>
                <w:spacing w:val="-10"/>
              </w:rPr>
              <w:t>2</w:t>
            </w:r>
          </w:p>
          <w:p w14:paraId="3CB65913" w14:textId="77777777" w:rsidR="00064584" w:rsidRDefault="00B92FEB">
            <w:pPr>
              <w:pStyle w:val="TableParagraph"/>
              <w:spacing w:before="227"/>
              <w:ind w:left="588"/>
              <w:rPr>
                <w:b/>
                <w:i/>
              </w:rPr>
            </w:pPr>
            <w:r>
              <w:rPr>
                <w:b/>
                <w:i/>
              </w:rPr>
              <w:t>Criteria</w:t>
            </w:r>
            <w:r>
              <w:rPr>
                <w:b/>
                <w:i/>
                <w:spacing w:val="-3"/>
              </w:rPr>
              <w:t xml:space="preserve"> </w:t>
            </w:r>
            <w:r>
              <w:rPr>
                <w:b/>
                <w:i/>
              </w:rPr>
              <w:t>not</w:t>
            </w:r>
            <w:r>
              <w:rPr>
                <w:b/>
                <w:i/>
                <w:spacing w:val="-2"/>
              </w:rPr>
              <w:t xml:space="preserve"> satisfied</w:t>
            </w:r>
          </w:p>
        </w:tc>
        <w:tc>
          <w:tcPr>
            <w:tcW w:w="4988" w:type="dxa"/>
            <w:tcBorders>
              <w:top w:val="single" w:sz="4" w:space="0" w:color="000000"/>
              <w:bottom w:val="single" w:sz="12" w:space="0" w:color="000000"/>
            </w:tcBorders>
          </w:tcPr>
          <w:p w14:paraId="3A83F8FB" w14:textId="77777777" w:rsidR="00064584" w:rsidRDefault="00B92FEB">
            <w:pPr>
              <w:pStyle w:val="TableParagraph"/>
              <w:spacing w:line="243" w:lineRule="exact"/>
              <w:ind w:left="110"/>
              <w:rPr>
                <w:b/>
                <w:i/>
              </w:rPr>
            </w:pPr>
            <w:r>
              <w:rPr>
                <w:b/>
                <w:i/>
              </w:rPr>
              <w:t>Column</w:t>
            </w:r>
            <w:r>
              <w:rPr>
                <w:b/>
                <w:i/>
                <w:spacing w:val="-2"/>
              </w:rPr>
              <w:t xml:space="preserve"> </w:t>
            </w:r>
            <w:r>
              <w:rPr>
                <w:b/>
                <w:i/>
                <w:spacing w:val="-10"/>
              </w:rPr>
              <w:t>3</w:t>
            </w:r>
          </w:p>
          <w:p w14:paraId="73F38F2B" w14:textId="77777777" w:rsidR="00064584" w:rsidRDefault="00B92FEB">
            <w:pPr>
              <w:pStyle w:val="TableParagraph"/>
              <w:spacing w:before="227"/>
              <w:ind w:left="110"/>
              <w:rPr>
                <w:b/>
                <w:i/>
              </w:rPr>
            </w:pPr>
            <w:r>
              <w:rPr>
                <w:b/>
                <w:i/>
              </w:rPr>
              <w:t>Reasons criteria not</w:t>
            </w:r>
            <w:r>
              <w:rPr>
                <w:b/>
                <w:i/>
                <w:spacing w:val="-2"/>
              </w:rPr>
              <w:t xml:space="preserve"> satisfied</w:t>
            </w:r>
          </w:p>
        </w:tc>
      </w:tr>
      <w:tr w:rsidR="00064584" w14:paraId="2905126E" w14:textId="77777777">
        <w:trPr>
          <w:trHeight w:val="4211"/>
        </w:trPr>
        <w:tc>
          <w:tcPr>
            <w:tcW w:w="1613" w:type="dxa"/>
            <w:tcBorders>
              <w:top w:val="single" w:sz="4" w:space="0" w:color="000000"/>
              <w:bottom w:val="single" w:sz="4" w:space="0" w:color="000000"/>
            </w:tcBorders>
          </w:tcPr>
          <w:p w14:paraId="60AE1A5D" w14:textId="77777777" w:rsidR="00064584" w:rsidRDefault="00064584">
            <w:pPr>
              <w:pStyle w:val="TableParagraph"/>
            </w:pPr>
          </w:p>
        </w:tc>
        <w:tc>
          <w:tcPr>
            <w:tcW w:w="2554" w:type="dxa"/>
            <w:tcBorders>
              <w:top w:val="single" w:sz="4" w:space="0" w:color="000000"/>
              <w:bottom w:val="single" w:sz="4" w:space="0" w:color="000000"/>
            </w:tcBorders>
          </w:tcPr>
          <w:p w14:paraId="12365720" w14:textId="77777777" w:rsidR="00064584" w:rsidRDefault="00064584">
            <w:pPr>
              <w:pStyle w:val="TableParagraph"/>
            </w:pPr>
          </w:p>
          <w:p w14:paraId="49B92B55" w14:textId="77777777" w:rsidR="00064584" w:rsidRDefault="00064584">
            <w:pPr>
              <w:pStyle w:val="TableParagraph"/>
            </w:pPr>
          </w:p>
          <w:p w14:paraId="5FC04B5F" w14:textId="77777777" w:rsidR="00064584" w:rsidRDefault="00064584">
            <w:pPr>
              <w:pStyle w:val="TableParagraph"/>
            </w:pPr>
          </w:p>
          <w:p w14:paraId="6F186023" w14:textId="77777777" w:rsidR="00064584" w:rsidRDefault="00064584">
            <w:pPr>
              <w:pStyle w:val="TableParagraph"/>
            </w:pPr>
          </w:p>
          <w:p w14:paraId="152D1CBF" w14:textId="77777777" w:rsidR="00064584" w:rsidRDefault="00064584">
            <w:pPr>
              <w:pStyle w:val="TableParagraph"/>
            </w:pPr>
          </w:p>
          <w:p w14:paraId="7EB492F1" w14:textId="77777777" w:rsidR="00064584" w:rsidRDefault="00064584">
            <w:pPr>
              <w:pStyle w:val="TableParagraph"/>
            </w:pPr>
          </w:p>
          <w:p w14:paraId="7076134C" w14:textId="77777777" w:rsidR="00064584" w:rsidRDefault="00064584">
            <w:pPr>
              <w:pStyle w:val="TableParagraph"/>
            </w:pPr>
          </w:p>
          <w:p w14:paraId="7CCF2C3D" w14:textId="77777777" w:rsidR="00064584" w:rsidRDefault="00064584">
            <w:pPr>
              <w:pStyle w:val="TableParagraph"/>
            </w:pPr>
          </w:p>
          <w:p w14:paraId="32E11413" w14:textId="77777777" w:rsidR="00064584" w:rsidRDefault="00064584">
            <w:pPr>
              <w:pStyle w:val="TableParagraph"/>
            </w:pPr>
          </w:p>
          <w:p w14:paraId="7FCBF6BD" w14:textId="77777777" w:rsidR="00064584" w:rsidRDefault="00064584">
            <w:pPr>
              <w:pStyle w:val="TableParagraph"/>
            </w:pPr>
          </w:p>
          <w:p w14:paraId="4EC5A8B2" w14:textId="77777777" w:rsidR="00064584" w:rsidRDefault="00064584">
            <w:pPr>
              <w:pStyle w:val="TableParagraph"/>
            </w:pPr>
          </w:p>
          <w:p w14:paraId="0FE58E35" w14:textId="77777777" w:rsidR="00064584" w:rsidRDefault="00064584">
            <w:pPr>
              <w:pStyle w:val="TableParagraph"/>
            </w:pPr>
          </w:p>
          <w:p w14:paraId="748D3D0D" w14:textId="77777777" w:rsidR="00064584" w:rsidRDefault="00064584">
            <w:pPr>
              <w:pStyle w:val="TableParagraph"/>
              <w:spacing w:before="56"/>
            </w:pPr>
          </w:p>
          <w:p w14:paraId="696C0598" w14:textId="77777777" w:rsidR="00064584" w:rsidRDefault="00B92FEB">
            <w:pPr>
              <w:pStyle w:val="TableParagraph"/>
              <w:spacing w:before="1"/>
              <w:ind w:left="588"/>
            </w:pPr>
            <w:r>
              <w:t>Criterion</w:t>
            </w:r>
            <w:r>
              <w:rPr>
                <w:spacing w:val="-4"/>
              </w:rPr>
              <w:t xml:space="preserve"> </w:t>
            </w:r>
            <w:r>
              <w:rPr>
                <w:spacing w:val="-5"/>
              </w:rPr>
              <w:t>1.3</w:t>
            </w:r>
          </w:p>
        </w:tc>
        <w:tc>
          <w:tcPr>
            <w:tcW w:w="4988" w:type="dxa"/>
            <w:tcBorders>
              <w:top w:val="single" w:sz="12" w:space="0" w:color="000000"/>
              <w:bottom w:val="single" w:sz="12" w:space="0" w:color="000000"/>
            </w:tcBorders>
          </w:tcPr>
          <w:p w14:paraId="701F8B62" w14:textId="77777777" w:rsidR="00064584" w:rsidRDefault="00B92FEB">
            <w:pPr>
              <w:pStyle w:val="TableParagraph"/>
              <w:spacing w:line="266" w:lineRule="auto"/>
              <w:ind w:left="785" w:right="207" w:hanging="360"/>
              <w:jc w:val="both"/>
            </w:pPr>
            <w:r>
              <w:t>c.</w:t>
            </w:r>
            <w:r>
              <w:rPr>
                <w:spacing w:val="80"/>
              </w:rPr>
              <w:t xml:space="preserve"> </w:t>
            </w:r>
            <w:proofErr w:type="spellStart"/>
            <w:r>
              <w:t>VicForests</w:t>
            </w:r>
            <w:proofErr w:type="spellEnd"/>
            <w:r>
              <w:rPr>
                <w:spacing w:val="-3"/>
              </w:rPr>
              <w:t xml:space="preserve"> </w:t>
            </w:r>
            <w:r>
              <w:t>ceased</w:t>
            </w:r>
            <w:r>
              <w:rPr>
                <w:spacing w:val="-3"/>
              </w:rPr>
              <w:t xml:space="preserve"> </w:t>
            </w:r>
            <w:r>
              <w:t>operating</w:t>
            </w:r>
            <w:r>
              <w:rPr>
                <w:spacing w:val="-3"/>
              </w:rPr>
              <w:t xml:space="preserve"> </w:t>
            </w:r>
            <w:r>
              <w:t>on</w:t>
            </w:r>
            <w:r>
              <w:rPr>
                <w:spacing w:val="-3"/>
              </w:rPr>
              <w:t xml:space="preserve"> </w:t>
            </w:r>
            <w:r>
              <w:t>30</w:t>
            </w:r>
            <w:r>
              <w:rPr>
                <w:spacing w:val="-3"/>
              </w:rPr>
              <w:t xml:space="preserve"> </w:t>
            </w:r>
            <w:r>
              <w:t>June</w:t>
            </w:r>
            <w:r>
              <w:rPr>
                <w:spacing w:val="-2"/>
              </w:rPr>
              <w:t xml:space="preserve"> </w:t>
            </w:r>
            <w:r>
              <w:t>2024 and</w:t>
            </w:r>
            <w:r>
              <w:rPr>
                <w:spacing w:val="-1"/>
              </w:rPr>
              <w:t xml:space="preserve"> </w:t>
            </w:r>
            <w:r>
              <w:t>was</w:t>
            </w:r>
            <w:r>
              <w:rPr>
                <w:spacing w:val="-6"/>
              </w:rPr>
              <w:t xml:space="preserve"> </w:t>
            </w:r>
            <w:r>
              <w:t>abolished</w:t>
            </w:r>
            <w:r>
              <w:rPr>
                <w:spacing w:val="-1"/>
              </w:rPr>
              <w:t xml:space="preserve"> </w:t>
            </w:r>
            <w:r>
              <w:t>by</w:t>
            </w:r>
            <w:r>
              <w:rPr>
                <w:spacing w:val="-6"/>
              </w:rPr>
              <w:t xml:space="preserve"> </w:t>
            </w:r>
            <w:r>
              <w:t>the</w:t>
            </w:r>
            <w:r>
              <w:rPr>
                <w:spacing w:val="-3"/>
              </w:rPr>
              <w:t xml:space="preserve"> </w:t>
            </w:r>
            <w:r>
              <w:t>Sustainable</w:t>
            </w:r>
            <w:r>
              <w:rPr>
                <w:spacing w:val="-3"/>
              </w:rPr>
              <w:t xml:space="preserve"> </w:t>
            </w:r>
            <w:r>
              <w:t>Forests (Timber) Repeal Act 2024 on 1 July 2024.</w:t>
            </w:r>
          </w:p>
          <w:p w14:paraId="05330F6A" w14:textId="77777777" w:rsidR="00064584" w:rsidRDefault="00B92FEB">
            <w:pPr>
              <w:pStyle w:val="TableParagraph"/>
              <w:spacing w:line="268" w:lineRule="auto"/>
              <w:ind w:left="325" w:right="203"/>
              <w:jc w:val="both"/>
              <w:rPr>
                <w:rFonts w:ascii="Calibri"/>
              </w:rPr>
            </w:pPr>
            <w:r>
              <w:t xml:space="preserve">Because of these reasons the potentially threatening process described is very unlikely to occur in Victoria in the future, and therefore cannot </w:t>
            </w:r>
            <w:proofErr w:type="gramStart"/>
            <w:r>
              <w:t>by definition pose</w:t>
            </w:r>
            <w:proofErr w:type="gramEnd"/>
            <w:r>
              <w:t>, or have the potential to pose, a significant threat to the survival of two or more taxa</w:t>
            </w:r>
            <w:r>
              <w:rPr>
                <w:rFonts w:ascii="Calibri"/>
              </w:rPr>
              <w:t>.</w:t>
            </w:r>
          </w:p>
          <w:p w14:paraId="12E2FCB3" w14:textId="77777777" w:rsidR="00064584" w:rsidRDefault="00B92FEB">
            <w:pPr>
              <w:pStyle w:val="TableParagraph"/>
              <w:spacing w:before="110" w:line="266" w:lineRule="auto"/>
              <w:ind w:left="325" w:right="202"/>
              <w:jc w:val="both"/>
            </w:pPr>
            <w:r>
              <w:t>As salvage logging of burnt native forests is very unlikely to occur in Victoria in the future, it follows that the risk of subsequent disturbances due to the impacts of salvage logging are also</w:t>
            </w:r>
            <w:r>
              <w:rPr>
                <w:spacing w:val="40"/>
              </w:rPr>
              <w:t xml:space="preserve"> </w:t>
            </w:r>
            <w:r>
              <w:t>very unlikely.</w:t>
            </w:r>
          </w:p>
        </w:tc>
      </w:tr>
    </w:tbl>
    <w:p w14:paraId="42A0D0AA" w14:textId="2981B9C3" w:rsidR="00064584" w:rsidRDefault="00064584">
      <w:pPr>
        <w:pStyle w:val="BodyText"/>
        <w:rPr>
          <w:sz w:val="20"/>
        </w:rPr>
      </w:pPr>
    </w:p>
    <w:p w14:paraId="2E71E745" w14:textId="77777777" w:rsidR="00064584" w:rsidRDefault="00064584">
      <w:pPr>
        <w:pStyle w:val="BodyText"/>
        <w:rPr>
          <w:sz w:val="20"/>
        </w:rPr>
      </w:pPr>
    </w:p>
    <w:p w14:paraId="62C20FEA" w14:textId="77777777" w:rsidR="00064584" w:rsidRDefault="00064584">
      <w:pPr>
        <w:pStyle w:val="BodyText"/>
        <w:spacing w:before="169"/>
        <w:rPr>
          <w:sz w:val="20"/>
        </w:rPr>
      </w:pPr>
    </w:p>
    <w:tbl>
      <w:tblPr>
        <w:tblW w:w="0" w:type="auto"/>
        <w:tblInd w:w="118" w:type="dxa"/>
        <w:tblLayout w:type="fixed"/>
        <w:tblCellMar>
          <w:left w:w="0" w:type="dxa"/>
          <w:right w:w="0" w:type="dxa"/>
        </w:tblCellMar>
        <w:tblLook w:val="01E0" w:firstRow="1" w:lastRow="1" w:firstColumn="1" w:lastColumn="1" w:noHBand="0" w:noVBand="0"/>
      </w:tblPr>
      <w:tblGrid>
        <w:gridCol w:w="3584"/>
        <w:gridCol w:w="3433"/>
      </w:tblGrid>
      <w:tr w:rsidR="00064584" w14:paraId="055481A5" w14:textId="77777777">
        <w:trPr>
          <w:trHeight w:val="2059"/>
        </w:trPr>
        <w:tc>
          <w:tcPr>
            <w:tcW w:w="3584" w:type="dxa"/>
          </w:tcPr>
          <w:p w14:paraId="49E979A5" w14:textId="2088B956" w:rsidR="00064584" w:rsidRDefault="00B92FEB">
            <w:pPr>
              <w:pStyle w:val="TableParagraph"/>
              <w:spacing w:line="250" w:lineRule="exact"/>
              <w:ind w:left="50"/>
              <w:rPr>
                <w:rFonts w:ascii="Arial"/>
                <w:sz w:val="24"/>
              </w:rPr>
            </w:pPr>
            <w:r>
              <w:t>Dated:</w:t>
            </w:r>
            <w:r>
              <w:rPr>
                <w:spacing w:val="29"/>
              </w:rPr>
              <w:t xml:space="preserve"> </w:t>
            </w:r>
            <w:r w:rsidR="002F30F0" w:rsidRPr="002F30F0">
              <w:rPr>
                <w:spacing w:val="-2"/>
              </w:rPr>
              <w:t>24/09/2024</w:t>
            </w:r>
            <w:r>
              <w:rPr>
                <w:spacing w:val="29"/>
              </w:rPr>
              <w:t xml:space="preserve"> </w:t>
            </w:r>
          </w:p>
          <w:p w14:paraId="1CEC8F87" w14:textId="77777777" w:rsidR="00064584" w:rsidRDefault="00064584">
            <w:pPr>
              <w:pStyle w:val="TableParagraph"/>
              <w:rPr>
                <w:sz w:val="24"/>
              </w:rPr>
            </w:pPr>
          </w:p>
          <w:p w14:paraId="3A4AE6B0" w14:textId="77777777" w:rsidR="00064584" w:rsidRDefault="00064584">
            <w:pPr>
              <w:pStyle w:val="TableParagraph"/>
              <w:rPr>
                <w:sz w:val="24"/>
              </w:rPr>
            </w:pPr>
          </w:p>
          <w:p w14:paraId="6680D410" w14:textId="77777777" w:rsidR="00064584" w:rsidRDefault="00064584">
            <w:pPr>
              <w:pStyle w:val="TableParagraph"/>
              <w:spacing w:before="240"/>
              <w:rPr>
                <w:sz w:val="24"/>
              </w:rPr>
            </w:pPr>
          </w:p>
          <w:p w14:paraId="775459C1" w14:textId="77777777" w:rsidR="00064584" w:rsidRDefault="00B92FEB">
            <w:pPr>
              <w:pStyle w:val="TableParagraph"/>
              <w:spacing w:line="360" w:lineRule="atLeast"/>
              <w:ind w:left="50" w:right="669"/>
              <w:rPr>
                <w:b/>
              </w:rPr>
            </w:pPr>
            <w:r>
              <w:rPr>
                <w:b/>
              </w:rPr>
              <w:t>Steve Dimopoulos MP Minister</w:t>
            </w:r>
            <w:r>
              <w:rPr>
                <w:b/>
                <w:spacing w:val="-14"/>
              </w:rPr>
              <w:t xml:space="preserve"> </w:t>
            </w:r>
            <w:r>
              <w:rPr>
                <w:b/>
              </w:rPr>
              <w:t>for</w:t>
            </w:r>
            <w:r>
              <w:rPr>
                <w:b/>
                <w:spacing w:val="-14"/>
              </w:rPr>
              <w:t xml:space="preserve"> </w:t>
            </w:r>
            <w:r>
              <w:rPr>
                <w:b/>
              </w:rPr>
              <w:t>Environment</w:t>
            </w:r>
          </w:p>
        </w:tc>
        <w:tc>
          <w:tcPr>
            <w:tcW w:w="3433" w:type="dxa"/>
          </w:tcPr>
          <w:p w14:paraId="7A04292F" w14:textId="5437E565" w:rsidR="00064584" w:rsidRDefault="00B92FEB">
            <w:pPr>
              <w:pStyle w:val="TableParagraph"/>
              <w:spacing w:line="244" w:lineRule="exact"/>
              <w:ind w:left="1088"/>
            </w:pPr>
            <w:r>
              <w:rPr>
                <w:spacing w:val="-2"/>
              </w:rPr>
              <w:t>Dated:</w:t>
            </w:r>
            <w:r w:rsidR="002F30F0">
              <w:rPr>
                <w:spacing w:val="-2"/>
              </w:rPr>
              <w:t xml:space="preserve"> 10/09/2024</w:t>
            </w:r>
          </w:p>
          <w:p w14:paraId="0CACFBD2" w14:textId="77777777" w:rsidR="00064584" w:rsidRDefault="00064584">
            <w:pPr>
              <w:pStyle w:val="TableParagraph"/>
            </w:pPr>
          </w:p>
          <w:p w14:paraId="6345519F" w14:textId="77777777" w:rsidR="00064584" w:rsidRDefault="00064584">
            <w:pPr>
              <w:pStyle w:val="TableParagraph"/>
            </w:pPr>
          </w:p>
          <w:p w14:paraId="755932A6" w14:textId="77777777" w:rsidR="00064584" w:rsidRDefault="00064584">
            <w:pPr>
              <w:pStyle w:val="TableParagraph"/>
            </w:pPr>
          </w:p>
          <w:p w14:paraId="79F90E1A" w14:textId="77777777" w:rsidR="00064584" w:rsidRDefault="00064584">
            <w:pPr>
              <w:pStyle w:val="TableParagraph"/>
              <w:spacing w:before="63"/>
            </w:pPr>
          </w:p>
          <w:p w14:paraId="629EE8C4" w14:textId="77777777" w:rsidR="00064584" w:rsidRDefault="00B92FEB">
            <w:pPr>
              <w:pStyle w:val="TableParagraph"/>
              <w:spacing w:line="360" w:lineRule="atLeast"/>
              <w:ind w:left="1088"/>
              <w:rPr>
                <w:b/>
              </w:rPr>
            </w:pPr>
            <w:r>
              <w:rPr>
                <w:b/>
              </w:rPr>
              <w:t>Hon. Ros Spence MP Minister</w:t>
            </w:r>
            <w:r>
              <w:rPr>
                <w:b/>
                <w:spacing w:val="-14"/>
              </w:rPr>
              <w:t xml:space="preserve"> </w:t>
            </w:r>
            <w:r>
              <w:rPr>
                <w:b/>
              </w:rPr>
              <w:t>for</w:t>
            </w:r>
            <w:r>
              <w:rPr>
                <w:b/>
                <w:spacing w:val="-14"/>
              </w:rPr>
              <w:t xml:space="preserve"> </w:t>
            </w:r>
            <w:r>
              <w:rPr>
                <w:b/>
              </w:rPr>
              <w:t>Agriculture</w:t>
            </w:r>
          </w:p>
        </w:tc>
      </w:tr>
    </w:tbl>
    <w:p w14:paraId="15FE53A3" w14:textId="77777777" w:rsidR="00B92FEB" w:rsidRDefault="00B92FEB"/>
    <w:sectPr w:rsidR="00B92FEB">
      <w:pgSz w:w="11910" w:h="16840"/>
      <w:pgMar w:top="1240" w:right="1220" w:bottom="620" w:left="1280" w:header="303"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BFACC" w14:textId="77777777" w:rsidR="00E4070C" w:rsidRDefault="00E4070C">
      <w:r>
        <w:separator/>
      </w:r>
    </w:p>
  </w:endnote>
  <w:endnote w:type="continuationSeparator" w:id="0">
    <w:p w14:paraId="2A42AFAB" w14:textId="77777777" w:rsidR="00E4070C" w:rsidRDefault="00E4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8E9A6" w14:textId="7A2468BF" w:rsidR="00B92FEB" w:rsidRDefault="00B92FEB">
    <w:pPr>
      <w:pStyle w:val="Footer"/>
    </w:pPr>
    <w:r>
      <w:rPr>
        <w:noProof/>
      </w:rPr>
      <mc:AlternateContent>
        <mc:Choice Requires="wps">
          <w:drawing>
            <wp:anchor distT="0" distB="0" distL="0" distR="0" simplePos="0" relativeHeight="487514624" behindDoc="0" locked="0" layoutInCell="1" allowOverlap="1" wp14:anchorId="61D36F28" wp14:editId="0FF84AC0">
              <wp:simplePos x="635" y="635"/>
              <wp:positionH relativeFrom="page">
                <wp:align>center</wp:align>
              </wp:positionH>
              <wp:positionV relativeFrom="page">
                <wp:align>bottom</wp:align>
              </wp:positionV>
              <wp:extent cx="551815" cy="376555"/>
              <wp:effectExtent l="0" t="0" r="635" b="0"/>
              <wp:wrapNone/>
              <wp:docPr id="229427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CCDE08" w14:textId="106E9A52" w:rsidR="00B92FEB" w:rsidRPr="00B92FEB" w:rsidRDefault="00B92FEB" w:rsidP="00B92FEB">
                          <w:pPr>
                            <w:rPr>
                              <w:rFonts w:ascii="Calibri" w:eastAsia="Calibri" w:hAnsi="Calibri" w:cs="Calibri"/>
                              <w:noProof/>
                              <w:color w:val="000000"/>
                              <w:sz w:val="24"/>
                              <w:szCs w:val="24"/>
                            </w:rPr>
                          </w:pPr>
                          <w:r w:rsidRPr="00B92FE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D36F28" id="_x0000_t202" coordsize="21600,21600" o:spt="202" path="m,l,21600r21600,l21600,xe">
              <v:stroke joinstyle="miter"/>
              <v:path gradientshapeok="t" o:connecttype="rect"/>
            </v:shapetype>
            <v:shape id="Text Box 2" o:spid="_x0000_s1027" type="#_x0000_t202" alt="OFFICIAL" style="position:absolute;margin-left:0;margin-top:0;width:43.45pt;height:29.65pt;z-index:48751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ACCDE08" w14:textId="106E9A52" w:rsidR="00B92FEB" w:rsidRPr="00B92FEB" w:rsidRDefault="00B92FEB" w:rsidP="00B92FEB">
                    <w:pPr>
                      <w:rPr>
                        <w:rFonts w:ascii="Calibri" w:eastAsia="Calibri" w:hAnsi="Calibri" w:cs="Calibri"/>
                        <w:noProof/>
                        <w:color w:val="000000"/>
                        <w:sz w:val="24"/>
                        <w:szCs w:val="24"/>
                      </w:rPr>
                    </w:pPr>
                    <w:r w:rsidRPr="00B92FEB">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1FF9F" w14:textId="6184BECE" w:rsidR="00064584" w:rsidRDefault="00B92FEB">
    <w:pPr>
      <w:pStyle w:val="BodyText"/>
      <w:spacing w:line="14" w:lineRule="auto"/>
      <w:rPr>
        <w:sz w:val="20"/>
      </w:rPr>
    </w:pPr>
    <w:r>
      <w:rPr>
        <w:noProof/>
      </w:rPr>
      <mc:AlternateContent>
        <mc:Choice Requires="wps">
          <w:drawing>
            <wp:anchor distT="0" distB="0" distL="0" distR="0" simplePos="0" relativeHeight="251659776" behindDoc="0" locked="0" layoutInCell="1" allowOverlap="1" wp14:anchorId="03F0611D" wp14:editId="3C98C019">
              <wp:simplePos x="809625" y="10410825"/>
              <wp:positionH relativeFrom="page">
                <wp:align>center</wp:align>
              </wp:positionH>
              <wp:positionV relativeFrom="page">
                <wp:align>bottom</wp:align>
              </wp:positionV>
              <wp:extent cx="551815" cy="376555"/>
              <wp:effectExtent l="0" t="0" r="635" b="0"/>
              <wp:wrapNone/>
              <wp:docPr id="176987016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610529E" w14:textId="3B3E306B" w:rsidR="00B92FEB" w:rsidRPr="00B92FEB" w:rsidRDefault="00B92FEB" w:rsidP="00B92FEB">
                          <w:pPr>
                            <w:rPr>
                              <w:rFonts w:ascii="Calibri" w:eastAsia="Calibri" w:hAnsi="Calibri" w:cs="Calibri"/>
                              <w:noProof/>
                              <w:color w:val="000000"/>
                              <w:sz w:val="24"/>
                              <w:szCs w:val="24"/>
                            </w:rPr>
                          </w:pPr>
                          <w:r w:rsidRPr="00B92FE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0611D" id="_x0000_t202" coordsize="21600,21600" o:spt="202" path="m,l,21600r21600,l21600,xe">
              <v:stroke joinstyle="miter"/>
              <v:path gradientshapeok="t" o:connecttype="rect"/>
            </v:shapetype>
            <v:shape id="Text Box 3" o:spid="_x0000_s1028" type="#_x0000_t202" alt="OFFICIAL" style="position:absolute;margin-left:0;margin-top:0;width:43.45pt;height:29.6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610529E" w14:textId="3B3E306B" w:rsidR="00B92FEB" w:rsidRPr="00B92FEB" w:rsidRDefault="00B92FEB" w:rsidP="00B92FEB">
                    <w:pPr>
                      <w:rPr>
                        <w:rFonts w:ascii="Calibri" w:eastAsia="Calibri" w:hAnsi="Calibri" w:cs="Calibri"/>
                        <w:noProof/>
                        <w:color w:val="000000"/>
                        <w:sz w:val="24"/>
                        <w:szCs w:val="24"/>
                      </w:rPr>
                    </w:pPr>
                    <w:r w:rsidRPr="00B92FEB">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0406" w14:textId="14915C70" w:rsidR="00B92FEB" w:rsidRDefault="00B92FEB">
    <w:pPr>
      <w:pStyle w:val="Footer"/>
    </w:pPr>
    <w:r>
      <w:rPr>
        <w:noProof/>
      </w:rPr>
      <mc:AlternateContent>
        <mc:Choice Requires="wps">
          <w:drawing>
            <wp:anchor distT="0" distB="0" distL="0" distR="0" simplePos="0" relativeHeight="487513600" behindDoc="0" locked="0" layoutInCell="1" allowOverlap="1" wp14:anchorId="2793FBDF" wp14:editId="20BEE31D">
              <wp:simplePos x="635" y="635"/>
              <wp:positionH relativeFrom="page">
                <wp:align>center</wp:align>
              </wp:positionH>
              <wp:positionV relativeFrom="page">
                <wp:align>bottom</wp:align>
              </wp:positionV>
              <wp:extent cx="551815" cy="376555"/>
              <wp:effectExtent l="0" t="0" r="635" b="0"/>
              <wp:wrapNone/>
              <wp:docPr id="115761146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75F9BF" w14:textId="4BFB011B" w:rsidR="00B92FEB" w:rsidRPr="00B92FEB" w:rsidRDefault="00B92FEB" w:rsidP="00B92FEB">
                          <w:pPr>
                            <w:rPr>
                              <w:rFonts w:ascii="Calibri" w:eastAsia="Calibri" w:hAnsi="Calibri" w:cs="Calibri"/>
                              <w:noProof/>
                              <w:color w:val="000000"/>
                              <w:sz w:val="24"/>
                              <w:szCs w:val="24"/>
                            </w:rPr>
                          </w:pPr>
                          <w:r w:rsidRPr="00B92FE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93FBDF"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48751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F75F9BF" w14:textId="4BFB011B" w:rsidR="00B92FEB" w:rsidRPr="00B92FEB" w:rsidRDefault="00B92FEB" w:rsidP="00B92FEB">
                    <w:pPr>
                      <w:rPr>
                        <w:rFonts w:ascii="Calibri" w:eastAsia="Calibri" w:hAnsi="Calibri" w:cs="Calibri"/>
                        <w:noProof/>
                        <w:color w:val="000000"/>
                        <w:sz w:val="24"/>
                        <w:szCs w:val="24"/>
                      </w:rPr>
                    </w:pPr>
                    <w:r w:rsidRPr="00B92FEB">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537F5" w14:textId="77777777" w:rsidR="00E4070C" w:rsidRDefault="00E4070C">
      <w:r>
        <w:separator/>
      </w:r>
    </w:p>
  </w:footnote>
  <w:footnote w:type="continuationSeparator" w:id="0">
    <w:p w14:paraId="59CED56B" w14:textId="77777777" w:rsidR="00E4070C" w:rsidRDefault="00E4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D61B" w14:textId="77777777" w:rsidR="00064584" w:rsidRDefault="00B92FEB">
    <w:pPr>
      <w:pStyle w:val="BodyText"/>
      <w:spacing w:line="14" w:lineRule="auto"/>
      <w:rPr>
        <w:sz w:val="20"/>
      </w:rPr>
    </w:pPr>
    <w:r>
      <w:rPr>
        <w:noProof/>
      </w:rPr>
      <mc:AlternateContent>
        <mc:Choice Requires="wps">
          <w:drawing>
            <wp:anchor distT="0" distB="0" distL="0" distR="0" simplePos="0" relativeHeight="487512064" behindDoc="1" locked="0" layoutInCell="1" allowOverlap="1" wp14:anchorId="0DA9E9DE" wp14:editId="4A7DAC42">
              <wp:simplePos x="0" y="0"/>
              <wp:positionH relativeFrom="page">
                <wp:posOffset>3417951</wp:posOffset>
              </wp:positionH>
              <wp:positionV relativeFrom="page">
                <wp:posOffset>179536</wp:posOffset>
              </wp:positionV>
              <wp:extent cx="7073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96215"/>
                      </a:xfrm>
                      <a:prstGeom prst="rect">
                        <a:avLst/>
                      </a:prstGeom>
                    </wps:spPr>
                    <wps:txbx>
                      <w:txbxContent>
                        <w:p w14:paraId="08F99630" w14:textId="77777777" w:rsidR="00064584" w:rsidRDefault="00B92FEB">
                          <w:pPr>
                            <w:spacing w:before="12"/>
                            <w:ind w:left="20"/>
                            <w:rPr>
                              <w:rFonts w:ascii="Arial"/>
                              <w:sz w:val="24"/>
                            </w:rPr>
                          </w:pPr>
                          <w:r>
                            <w:rPr>
                              <w:rFonts w:ascii="Arial"/>
                              <w:spacing w:val="-2"/>
                              <w:sz w:val="24"/>
                            </w:rPr>
                            <w:t>OFFICIAL</w:t>
                          </w:r>
                        </w:p>
                      </w:txbxContent>
                    </wps:txbx>
                    <wps:bodyPr wrap="square" lIns="0" tIns="0" rIns="0" bIns="0" rtlCol="0">
                      <a:noAutofit/>
                    </wps:bodyPr>
                  </wps:wsp>
                </a:graphicData>
              </a:graphic>
            </wp:anchor>
          </w:drawing>
        </mc:Choice>
        <mc:Fallback>
          <w:pict>
            <v:shapetype w14:anchorId="0DA9E9DE" id="_x0000_t202" coordsize="21600,21600" o:spt="202" path="m,l,21600r21600,l21600,xe">
              <v:stroke joinstyle="miter"/>
              <v:path gradientshapeok="t" o:connecttype="rect"/>
            </v:shapetype>
            <v:shape id="Textbox 1" o:spid="_x0000_s1026" type="#_x0000_t202" style="position:absolute;margin-left:269.15pt;margin-top:14.15pt;width:55.7pt;height:15.4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rBkwEAABoDAAAOAAAAZHJzL2Uyb0RvYy54bWysUsGO0zAQvSPxD5bv1GkRu2zUdAWsQEgr&#10;WGnhA1zHbiJij5lxm/TvGbtpi+CGuNhjz/jNe2+8vp/8IA4WqYfQyOWiksIGA20fdo38/u3jq7dS&#10;UNKh1QME28ijJXm/efliPcbarqCDobUoGCRQPcZGdinFWikynfWaFhBt4KQD9DrxEXeqRT0yuh/U&#10;qqpu1AjYRgRjifj24ZSUm4LvnDXpq3NkkxgaydxSWbGs27yqzVrXO9Sx681MQ/8DC6/7wE0vUA86&#10;abHH/i8o3xsEApcWBrwC53pjiwZWs6z+UPPc6WiLFjaH4sUm+n+w5svhOT6hSNN7mHiARQTFRzA/&#10;iL1RY6R6rsmeUk1cnYVODn3eWYLgh+zt8eKnnZIwfHlb3b6+44zh1PLuZrV8k/1W18cRKX2y4EUO&#10;Gok8rkJAHx4pnUrPJTOXU/tMJE3biUtyuIX2yBpGHmMj6edeo5Vi+BzYpzzzc4DnYHsOMA0foPyM&#10;LCXAu30C15fOV9y5Mw+gcJ8/S57w7+dSdf3Sm18AAAD//wMAUEsDBBQABgAIAAAAIQBnsB+03wAA&#10;AAkBAAAPAAAAZHJzL2Rvd25yZXYueG1sTI/BToNAEIbvJr7DZky82UWqWJClaYyeTEwpHjwuMIVN&#10;2Vlkty2+vdOTniaT/8s/3+Tr2Q7ihJM3jhTcLyIQSI1rDXUKPqu3uxUIHzS1enCECn7Qw7q4vsp1&#10;1rozlXjahU5wCflMK+hDGDMpfdOj1X7hRiTO9m6yOvA6dbKd9JnL7SDjKEqk1Yb4Qq9HfOmxOeyO&#10;VsHmi8pX8/1Rb8t9aaoqjeg9OSh1ezNvnkEEnMMfDBd9VoeCnWp3pNaLQcHjcrVkVEF8mQwkD+kT&#10;iJqTNAZZ5PL/B8UvAAAA//8DAFBLAQItABQABgAIAAAAIQC2gziS/gAAAOEBAAATAAAAAAAAAAAA&#10;AAAAAAAAAABbQ29udGVudF9UeXBlc10ueG1sUEsBAi0AFAAGAAgAAAAhADj9If/WAAAAlAEAAAsA&#10;AAAAAAAAAAAAAAAALwEAAF9yZWxzLy5yZWxzUEsBAi0AFAAGAAgAAAAhAD1qKsGTAQAAGgMAAA4A&#10;AAAAAAAAAAAAAAAALgIAAGRycy9lMm9Eb2MueG1sUEsBAi0AFAAGAAgAAAAhAGewH7TfAAAACQEA&#10;AA8AAAAAAAAAAAAAAAAA7QMAAGRycy9kb3ducmV2LnhtbFBLBQYAAAAABAAEAPMAAAD5BAAAAAA=&#10;" filled="f" stroked="f">
              <v:textbox inset="0,0,0,0">
                <w:txbxContent>
                  <w:p w14:paraId="08F99630" w14:textId="77777777" w:rsidR="00064584" w:rsidRDefault="00B92FEB">
                    <w:pPr>
                      <w:spacing w:before="12"/>
                      <w:ind w:left="20"/>
                      <w:rPr>
                        <w:rFonts w:ascii="Arial"/>
                        <w:sz w:val="24"/>
                      </w:rPr>
                    </w:pPr>
                    <w:r>
                      <w:rPr>
                        <w:rFonts w:ascii="Arial"/>
                        <w:spacing w:val="-2"/>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2CAD"/>
    <w:multiLevelType w:val="hybridMultilevel"/>
    <w:tmpl w:val="50568CBE"/>
    <w:lvl w:ilvl="0" w:tplc="C572431E">
      <w:start w:val="1"/>
      <w:numFmt w:val="lowerLetter"/>
      <w:lvlText w:val="%1."/>
      <w:lvlJc w:val="left"/>
      <w:pPr>
        <w:ind w:left="5097"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5843162">
      <w:numFmt w:val="bullet"/>
      <w:lvlText w:val="•"/>
      <w:lvlJc w:val="left"/>
      <w:pPr>
        <w:ind w:left="5530" w:hanging="360"/>
      </w:pPr>
      <w:rPr>
        <w:rFonts w:hint="default"/>
        <w:lang w:val="en-US" w:eastAsia="en-US" w:bidi="ar-SA"/>
      </w:rPr>
    </w:lvl>
    <w:lvl w:ilvl="2" w:tplc="F112ED6A">
      <w:numFmt w:val="bullet"/>
      <w:lvlText w:val="•"/>
      <w:lvlJc w:val="left"/>
      <w:pPr>
        <w:ind w:left="5961" w:hanging="360"/>
      </w:pPr>
      <w:rPr>
        <w:rFonts w:hint="default"/>
        <w:lang w:val="en-US" w:eastAsia="en-US" w:bidi="ar-SA"/>
      </w:rPr>
    </w:lvl>
    <w:lvl w:ilvl="3" w:tplc="BB86A550">
      <w:numFmt w:val="bullet"/>
      <w:lvlText w:val="•"/>
      <w:lvlJc w:val="left"/>
      <w:pPr>
        <w:ind w:left="6391" w:hanging="360"/>
      </w:pPr>
      <w:rPr>
        <w:rFonts w:hint="default"/>
        <w:lang w:val="en-US" w:eastAsia="en-US" w:bidi="ar-SA"/>
      </w:rPr>
    </w:lvl>
    <w:lvl w:ilvl="4" w:tplc="8020F08A">
      <w:numFmt w:val="bullet"/>
      <w:lvlText w:val="•"/>
      <w:lvlJc w:val="left"/>
      <w:pPr>
        <w:ind w:left="6822" w:hanging="360"/>
      </w:pPr>
      <w:rPr>
        <w:rFonts w:hint="default"/>
        <w:lang w:val="en-US" w:eastAsia="en-US" w:bidi="ar-SA"/>
      </w:rPr>
    </w:lvl>
    <w:lvl w:ilvl="5" w:tplc="8B7696D8">
      <w:numFmt w:val="bullet"/>
      <w:lvlText w:val="•"/>
      <w:lvlJc w:val="left"/>
      <w:pPr>
        <w:ind w:left="7252" w:hanging="360"/>
      </w:pPr>
      <w:rPr>
        <w:rFonts w:hint="default"/>
        <w:lang w:val="en-US" w:eastAsia="en-US" w:bidi="ar-SA"/>
      </w:rPr>
    </w:lvl>
    <w:lvl w:ilvl="6" w:tplc="59D2694E">
      <w:numFmt w:val="bullet"/>
      <w:lvlText w:val="•"/>
      <w:lvlJc w:val="left"/>
      <w:pPr>
        <w:ind w:left="7683" w:hanging="360"/>
      </w:pPr>
      <w:rPr>
        <w:rFonts w:hint="default"/>
        <w:lang w:val="en-US" w:eastAsia="en-US" w:bidi="ar-SA"/>
      </w:rPr>
    </w:lvl>
    <w:lvl w:ilvl="7" w:tplc="4E0485EC">
      <w:numFmt w:val="bullet"/>
      <w:lvlText w:val="•"/>
      <w:lvlJc w:val="left"/>
      <w:pPr>
        <w:ind w:left="8113" w:hanging="360"/>
      </w:pPr>
      <w:rPr>
        <w:rFonts w:hint="default"/>
        <w:lang w:val="en-US" w:eastAsia="en-US" w:bidi="ar-SA"/>
      </w:rPr>
    </w:lvl>
    <w:lvl w:ilvl="8" w:tplc="28F46F98">
      <w:numFmt w:val="bullet"/>
      <w:lvlText w:val="•"/>
      <w:lvlJc w:val="left"/>
      <w:pPr>
        <w:ind w:left="8544" w:hanging="360"/>
      </w:pPr>
      <w:rPr>
        <w:rFonts w:hint="default"/>
        <w:lang w:val="en-US" w:eastAsia="en-US" w:bidi="ar-SA"/>
      </w:rPr>
    </w:lvl>
  </w:abstractNum>
  <w:abstractNum w:abstractNumId="1" w15:restartNumberingAfterBreak="0">
    <w:nsid w:val="4F400726"/>
    <w:multiLevelType w:val="hybridMultilevel"/>
    <w:tmpl w:val="D520EAA4"/>
    <w:lvl w:ilvl="0" w:tplc="230AB9FE">
      <w:start w:val="1"/>
      <w:numFmt w:val="lowerRoman"/>
      <w:lvlText w:val="(%1)"/>
      <w:lvlJc w:val="left"/>
      <w:pPr>
        <w:ind w:left="726" w:hanging="56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C2027BE2">
      <w:numFmt w:val="bullet"/>
      <w:lvlText w:val="•"/>
      <w:lvlJc w:val="left"/>
      <w:pPr>
        <w:ind w:left="1588" w:hanging="566"/>
      </w:pPr>
      <w:rPr>
        <w:rFonts w:hint="default"/>
        <w:lang w:val="en-US" w:eastAsia="en-US" w:bidi="ar-SA"/>
      </w:rPr>
    </w:lvl>
    <w:lvl w:ilvl="2" w:tplc="F586B4CC">
      <w:numFmt w:val="bullet"/>
      <w:lvlText w:val="•"/>
      <w:lvlJc w:val="left"/>
      <w:pPr>
        <w:ind w:left="2457" w:hanging="566"/>
      </w:pPr>
      <w:rPr>
        <w:rFonts w:hint="default"/>
        <w:lang w:val="en-US" w:eastAsia="en-US" w:bidi="ar-SA"/>
      </w:rPr>
    </w:lvl>
    <w:lvl w:ilvl="3" w:tplc="9E7C67E0">
      <w:numFmt w:val="bullet"/>
      <w:lvlText w:val="•"/>
      <w:lvlJc w:val="left"/>
      <w:pPr>
        <w:ind w:left="3325" w:hanging="566"/>
      </w:pPr>
      <w:rPr>
        <w:rFonts w:hint="default"/>
        <w:lang w:val="en-US" w:eastAsia="en-US" w:bidi="ar-SA"/>
      </w:rPr>
    </w:lvl>
    <w:lvl w:ilvl="4" w:tplc="923A6338">
      <w:numFmt w:val="bullet"/>
      <w:lvlText w:val="•"/>
      <w:lvlJc w:val="left"/>
      <w:pPr>
        <w:ind w:left="4194" w:hanging="566"/>
      </w:pPr>
      <w:rPr>
        <w:rFonts w:hint="default"/>
        <w:lang w:val="en-US" w:eastAsia="en-US" w:bidi="ar-SA"/>
      </w:rPr>
    </w:lvl>
    <w:lvl w:ilvl="5" w:tplc="DE0E5014">
      <w:numFmt w:val="bullet"/>
      <w:lvlText w:val="•"/>
      <w:lvlJc w:val="left"/>
      <w:pPr>
        <w:ind w:left="5062" w:hanging="566"/>
      </w:pPr>
      <w:rPr>
        <w:rFonts w:hint="default"/>
        <w:lang w:val="en-US" w:eastAsia="en-US" w:bidi="ar-SA"/>
      </w:rPr>
    </w:lvl>
    <w:lvl w:ilvl="6" w:tplc="8EDE5260">
      <w:numFmt w:val="bullet"/>
      <w:lvlText w:val="•"/>
      <w:lvlJc w:val="left"/>
      <w:pPr>
        <w:ind w:left="5931" w:hanging="566"/>
      </w:pPr>
      <w:rPr>
        <w:rFonts w:hint="default"/>
        <w:lang w:val="en-US" w:eastAsia="en-US" w:bidi="ar-SA"/>
      </w:rPr>
    </w:lvl>
    <w:lvl w:ilvl="7" w:tplc="AD96E58E">
      <w:numFmt w:val="bullet"/>
      <w:lvlText w:val="•"/>
      <w:lvlJc w:val="left"/>
      <w:pPr>
        <w:ind w:left="6799" w:hanging="566"/>
      </w:pPr>
      <w:rPr>
        <w:rFonts w:hint="default"/>
        <w:lang w:val="en-US" w:eastAsia="en-US" w:bidi="ar-SA"/>
      </w:rPr>
    </w:lvl>
    <w:lvl w:ilvl="8" w:tplc="FE605262">
      <w:numFmt w:val="bullet"/>
      <w:lvlText w:val="•"/>
      <w:lvlJc w:val="left"/>
      <w:pPr>
        <w:ind w:left="7668" w:hanging="566"/>
      </w:pPr>
      <w:rPr>
        <w:rFonts w:hint="default"/>
        <w:lang w:val="en-US" w:eastAsia="en-US" w:bidi="ar-SA"/>
      </w:rPr>
    </w:lvl>
  </w:abstractNum>
  <w:num w:numId="1" w16cid:durableId="67073654">
    <w:abstractNumId w:val="0"/>
  </w:num>
  <w:num w:numId="2" w16cid:durableId="1162700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4584"/>
    <w:rsid w:val="00064584"/>
    <w:rsid w:val="002F30F0"/>
    <w:rsid w:val="00447B6A"/>
    <w:rsid w:val="004C4BD2"/>
    <w:rsid w:val="00B541E1"/>
    <w:rsid w:val="00B92FEB"/>
    <w:rsid w:val="00DB29D1"/>
    <w:rsid w:val="00E40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AEB26"/>
  <w15:docId w15:val="{B05D1907-DDC6-46E9-9B59-E929E758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
      <w:ind w:left="20"/>
    </w:pPr>
    <w:rPr>
      <w:rFonts w:ascii="Arial" w:eastAsia="Arial" w:hAnsi="Arial" w:cs="Arial"/>
      <w:sz w:val="24"/>
      <w:szCs w:val="24"/>
    </w:rPr>
  </w:style>
  <w:style w:type="paragraph" w:styleId="ListParagraph">
    <w:name w:val="List Paragraph"/>
    <w:basedOn w:val="Normal"/>
    <w:uiPriority w:val="1"/>
    <w:qFormat/>
    <w:pPr>
      <w:ind w:left="726" w:right="208" w:hanging="566"/>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B92FEB"/>
    <w:pPr>
      <w:tabs>
        <w:tab w:val="center" w:pos="4513"/>
        <w:tab w:val="right" w:pos="9026"/>
      </w:tabs>
    </w:pPr>
  </w:style>
  <w:style w:type="character" w:customStyle="1" w:styleId="FooterChar">
    <w:name w:val="Footer Char"/>
    <w:basedOn w:val="DefaultParagraphFont"/>
    <w:link w:val="Footer"/>
    <w:uiPriority w:val="99"/>
    <w:rsid w:val="00B92FEB"/>
    <w:rPr>
      <w:rFonts w:ascii="Times New Roman" w:eastAsia="Times New Roman" w:hAnsi="Times New Roman" w:cs="Times New Roman"/>
    </w:rPr>
  </w:style>
  <w:style w:type="paragraph" w:styleId="Header">
    <w:name w:val="header"/>
    <w:basedOn w:val="Normal"/>
    <w:link w:val="HeaderChar"/>
    <w:uiPriority w:val="99"/>
    <w:unhideWhenUsed/>
    <w:rsid w:val="002F30F0"/>
    <w:pPr>
      <w:tabs>
        <w:tab w:val="center" w:pos="4513"/>
        <w:tab w:val="right" w:pos="9026"/>
      </w:tabs>
    </w:pPr>
  </w:style>
  <w:style w:type="character" w:customStyle="1" w:styleId="HeaderChar">
    <w:name w:val="Header Char"/>
    <w:basedOn w:val="DefaultParagraphFont"/>
    <w:link w:val="Header"/>
    <w:uiPriority w:val="99"/>
    <w:rsid w:val="002F30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vironment.vic.gov.au/conserving-threatened-species/threatened-li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Lissie Ratcliff (VICMIN)</dc:creator>
  <cp:lastModifiedBy>Clare Brownridge (DEECA)</cp:lastModifiedBy>
  <cp:revision>3</cp:revision>
  <dcterms:created xsi:type="dcterms:W3CDTF">2024-09-25T05:03:00Z</dcterms:created>
  <dcterms:modified xsi:type="dcterms:W3CDTF">2024-09-30T02:44:00Z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Adobe Acrobat Pro DC (32-bit) 21.7.20099</vt:lpwstr>
  </property>
  <property fmtid="{D5CDD505-2E9C-101B-9397-08002B2CF9AE}" pid="4" name="LastSaved">
    <vt:filetime>2024-09-25T00:00:00Z</vt:filetime>
  </property>
  <property fmtid="{D5CDD505-2E9C-101B-9397-08002B2CF9AE}" pid="5" name="Producer">
    <vt:lpwstr>iOS Version 17.6.1 (Build 21G93) Quartz PDFContext, AppendMode 1.1</vt:lpwstr>
  </property>
  <property fmtid="{D5CDD505-2E9C-101B-9397-08002B2CF9AE}" pid="6" name="ClassificationContentMarkingFooterShapeIds">
    <vt:lpwstr>44ffbfc4,230200,697e1351</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2024-09-25T04:38:14Z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c23e26e4-ad5c-40dc-9485-653db866bc79</vt:lpwstr>
  </property>
  <property fmtid="{D5CDD505-2E9C-101B-9397-08002B2CF9AE}" pid="15" name="MSIP_Label_4257e2ab-f512-40e2-9c9a-c64247360765_ContentBits">
    <vt:lpwstr>2</vt:lpwstr>
  </property>
</Properties>
</file>