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21.xml" ContentType="application/vnd.openxmlformats-officedocument.wordprocessingml.header+xml"/>
  <Override PartName="/word/footer19.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8.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29.xml" ContentType="application/vnd.openxmlformats-officedocument.wordprocessingml.header+xml"/>
  <Override PartName="/word/header30.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44.xml" ContentType="application/vnd.openxmlformats-officedocument.wordprocessingml.footer+xml"/>
  <Override PartName="/word/footer45.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8.xml" ContentType="application/vnd.openxmlformats-officedocument.wordprocessingml.footer+xml"/>
  <Override PartName="/word/header51.xml" ContentType="application/vnd.openxmlformats-officedocument.wordprocessingml.header+xml"/>
  <Override PartName="/word/footer49.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0.xml" ContentType="application/vnd.openxmlformats-officedocument.wordprocessingml.footer+xml"/>
  <Override PartName="/word/footer51.xml" ContentType="application/vnd.openxmlformats-officedocument.wordprocessingml.footer+xml"/>
  <Override PartName="/word/header54.xml" ContentType="application/vnd.openxmlformats-officedocument.wordprocessingml.header+xml"/>
  <Override PartName="/word/header55.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6.xml" ContentType="application/vnd.openxmlformats-officedocument.wordprocessingml.header+xml"/>
  <Override PartName="/word/header57.xml" ContentType="application/vnd.openxmlformats-officedocument.wordprocessingml.header+xml"/>
  <Override PartName="/word/footer54.xml" ContentType="application/vnd.openxmlformats-officedocument.wordprocessingml.footer+xml"/>
  <Override PartName="/word/footer55.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6.xml" ContentType="application/vnd.openxmlformats-officedocument.wordprocessingml.footer+xml"/>
  <Override PartName="/word/footer57.xml" ContentType="application/vnd.openxmlformats-officedocument.wordprocessingml.footer+xml"/>
  <Override PartName="/word/header60.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0.xml" ContentType="application/vnd.openxmlformats-officedocument.wordprocessingml.footer+xml"/>
  <Override PartName="/word/footer61.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footer62.xml" ContentType="application/vnd.openxmlformats-officedocument.wordprocessingml.footer+xml"/>
  <Override PartName="/word/footer63.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header65.xml" ContentType="application/vnd.openxmlformats-officedocument.wordprocessingml.header+xml"/>
  <Override PartName="/word/header66.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6.xml" ContentType="application/vnd.openxmlformats-officedocument.wordprocessingml.footer+xml"/>
  <Override PartName="/word/footer67.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footer68.xml" ContentType="application/vnd.openxmlformats-officedocument.wordprocessingml.footer+xml"/>
  <Override PartName="/word/footer69.xml" ContentType="application/vnd.openxmlformats-officedocument.wordprocessingml.footer+xml"/>
  <Override PartName="/word/header71.xml" ContentType="application/vnd.openxmlformats-officedocument.wordprocessingml.header+xml"/>
  <Override PartName="/word/header72.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2.xml" ContentType="application/vnd.openxmlformats-officedocument.wordprocessingml.footer+xml"/>
  <Override PartName="/word/footer73.xml" ContentType="application/vnd.openxmlformats-officedocument.wordprocessingml.footer+xml"/>
  <Override PartName="/word/header75.xml" ContentType="application/vnd.openxmlformats-officedocument.wordprocessingml.header+xml"/>
  <Override PartName="/word/footer74.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75.xml" ContentType="application/vnd.openxmlformats-officedocument.wordprocessingml.footer+xml"/>
  <Override PartName="/word/footer76.xml" ContentType="application/vnd.openxmlformats-officedocument.wordprocessingml.footer+xml"/>
  <Override PartName="/word/header78.xml" ContentType="application/vnd.openxmlformats-officedocument.wordprocessingml.header+xml"/>
  <Override PartName="/word/header79.xml" ContentType="application/vnd.openxmlformats-officedocument.wordprocessingml.head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header80.xml" ContentType="application/vnd.openxmlformats-officedocument.wordprocessingml.header+xml"/>
  <Override PartName="/word/header81.xml" ContentType="application/vnd.openxmlformats-officedocument.wordprocessingml.header+xml"/>
  <Override PartName="/word/footer80.xml" ContentType="application/vnd.openxmlformats-officedocument.wordprocessingml.footer+xml"/>
  <Override PartName="/word/footer81.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header84.xml" ContentType="application/vnd.openxmlformats-officedocument.wordprocessingml.header+xml"/>
  <Override PartName="/word/header85.xml" ContentType="application/vnd.openxmlformats-officedocument.wordprocessingml.header+xml"/>
  <Override PartName="/word/footer84.xml" ContentType="application/vnd.openxmlformats-officedocument.wordprocessingml.footer+xml"/>
  <Override PartName="/word/footer85.xml" ContentType="application/vnd.openxmlformats-officedocument.wordprocessingml.footer+xml"/>
  <Override PartName="/word/header86.xml" ContentType="application/vnd.openxmlformats-officedocument.wordprocessingml.header+xml"/>
  <Override PartName="/word/header87.xml" ContentType="application/vnd.openxmlformats-officedocument.wordprocessingml.header+xml"/>
  <Override PartName="/word/footer86.xml" ContentType="application/vnd.openxmlformats-officedocument.wordprocessingml.footer+xml"/>
  <Override PartName="/word/footer87.xml" ContentType="application/vnd.openxmlformats-officedocument.wordprocessingml.footer+xml"/>
  <Override PartName="/word/header88.xml" ContentType="application/vnd.openxmlformats-officedocument.wordprocessingml.header+xml"/>
  <Override PartName="/word/footer88.xml" ContentType="application/vnd.openxmlformats-officedocument.wordprocessingml.footer+xml"/>
  <Override PartName="/word/header89.xml" ContentType="application/vnd.openxmlformats-officedocument.wordprocessingml.header+xml"/>
  <Override PartName="/word/header90.xml" ContentType="application/vnd.openxmlformats-officedocument.wordprocessingml.header+xml"/>
  <Override PartName="/word/footer89.xml" ContentType="application/vnd.openxmlformats-officedocument.wordprocessingml.footer+xml"/>
  <Override PartName="/word/footer90.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header93.xml" ContentType="application/vnd.openxmlformats-officedocument.wordprocessingml.header+xml"/>
  <Override PartName="/word/header94.xml" ContentType="application/vnd.openxmlformats-officedocument.wordprocessingml.header+xml"/>
  <Override PartName="/word/footer95.xml" ContentType="application/vnd.openxmlformats-officedocument.wordprocessingml.footer+xml"/>
  <Override PartName="/word/footer96.xml" ContentType="application/vnd.openxmlformats-officedocument.wordprocessingml.footer+xml"/>
  <Override PartName="/word/header95.xml" ContentType="application/vnd.openxmlformats-officedocument.wordprocessingml.header+xml"/>
  <Override PartName="/word/header96.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footer99.xml" ContentType="application/vnd.openxmlformats-officedocument.wordprocessingml.footer+xml"/>
  <Override PartName="/word/footer100.xml" ContentType="application/vnd.openxmlformats-officedocument.wordprocessingml.footer+xml"/>
  <Override PartName="/word/header99.xml" ContentType="application/vnd.openxmlformats-officedocument.wordprocessingml.header+xml"/>
  <Override PartName="/word/header100.xml" ContentType="application/vnd.openxmlformats-officedocument.wordprocessingml.header+xml"/>
  <Override PartName="/word/footer101.xml" ContentType="application/vnd.openxmlformats-officedocument.wordprocessingml.footer+xml"/>
  <Override PartName="/word/footer102.xml" ContentType="application/vnd.openxmlformats-officedocument.wordprocessingml.footer+xml"/>
  <Override PartName="/word/header101.xml" ContentType="application/vnd.openxmlformats-officedocument.wordprocessingml.header+xml"/>
  <Override PartName="/word/header102.xml" ContentType="application/vnd.openxmlformats-officedocument.wordprocessingml.header+xml"/>
  <Override PartName="/word/footer103.xml" ContentType="application/vnd.openxmlformats-officedocument.wordprocessingml.footer+xml"/>
  <Override PartName="/word/header103.xml" ContentType="application/vnd.openxmlformats-officedocument.wordprocessingml.head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header104.xml" ContentType="application/vnd.openxmlformats-officedocument.wordprocessingml.header+xml"/>
  <Override PartName="/word/header105.xml" ContentType="application/vnd.openxmlformats-officedocument.wordprocessingml.header+xml"/>
  <Override PartName="/word/footer107.xml" ContentType="application/vnd.openxmlformats-officedocument.wordprocessingml.footer+xml"/>
  <Override PartName="/word/footer108.xml" ContentType="application/vnd.openxmlformats-officedocument.wordprocessingml.footer+xml"/>
  <Override PartName="/word/header106.xml" ContentType="application/vnd.openxmlformats-officedocument.wordprocessingml.header+xml"/>
  <Override PartName="/word/header107.xml" ContentType="application/vnd.openxmlformats-officedocument.wordprocessingml.header+xml"/>
  <Override PartName="/word/footer109.xml" ContentType="application/vnd.openxmlformats-officedocument.wordprocessingml.footer+xml"/>
  <Override PartName="/word/footer110.xml" ContentType="application/vnd.openxmlformats-officedocument.wordprocessingml.footer+xml"/>
  <Override PartName="/word/header108.xml" ContentType="application/vnd.openxmlformats-officedocument.wordprocessingml.header+xml"/>
  <Override PartName="/word/header109.xml" ContentType="application/vnd.openxmlformats-officedocument.wordprocessingml.header+xml"/>
  <Override PartName="/word/footer111.xml" ContentType="application/vnd.openxmlformats-officedocument.wordprocessingml.footer+xml"/>
  <Override PartName="/word/footer112.xml" ContentType="application/vnd.openxmlformats-officedocument.wordprocessingml.footer+xml"/>
  <Override PartName="/word/header110.xml" ContentType="application/vnd.openxmlformats-officedocument.wordprocessingml.header+xml"/>
  <Override PartName="/word/footer113.xml" ContentType="application/vnd.openxmlformats-officedocument.wordprocessingml.footer+xml"/>
  <Override PartName="/word/header111.xml" ContentType="application/vnd.openxmlformats-officedocument.wordprocessingml.header+xml"/>
  <Override PartName="/word/header112.xml" ContentType="application/vnd.openxmlformats-officedocument.wordprocessingml.header+xml"/>
  <Override PartName="/word/footer114.xml" ContentType="application/vnd.openxmlformats-officedocument.wordprocessingml.footer+xml"/>
  <Override PartName="/word/footer115.xml" ContentType="application/vnd.openxmlformats-officedocument.wordprocessingml.footer+xml"/>
  <Override PartName="/word/header113.xml" ContentType="application/vnd.openxmlformats-officedocument.wordprocessingml.header+xml"/>
  <Override PartName="/word/header114.xml" ContentType="application/vnd.openxmlformats-officedocument.wordprocessingml.header+xml"/>
  <Override PartName="/word/footer116.xml" ContentType="application/vnd.openxmlformats-officedocument.wordprocessingml.footer+xml"/>
  <Override PartName="/word/footer117.xml" ContentType="application/vnd.openxmlformats-officedocument.wordprocessingml.footer+xml"/>
  <Override PartName="/word/header115.xml" ContentType="application/vnd.openxmlformats-officedocument.wordprocessingml.header+xml"/>
  <Override PartName="/word/header116.xml" ContentType="application/vnd.openxmlformats-officedocument.wordprocessingml.header+xml"/>
  <Override PartName="/word/footer118.xml" ContentType="application/vnd.openxmlformats-officedocument.wordprocessingml.footer+xml"/>
  <Override PartName="/word/footer119.xml" ContentType="application/vnd.openxmlformats-officedocument.wordprocessingml.footer+xml"/>
  <Override PartName="/word/header117.xml" ContentType="application/vnd.openxmlformats-officedocument.wordprocessingml.header+xml"/>
  <Override PartName="/word/header118.xml" ContentType="application/vnd.openxmlformats-officedocument.wordprocessingml.header+xml"/>
  <Override PartName="/word/footer120.xml" ContentType="application/vnd.openxmlformats-officedocument.wordprocessingml.footer+xml"/>
  <Override PartName="/word/footer121.xml" ContentType="application/vnd.openxmlformats-officedocument.wordprocessingml.footer+xml"/>
  <Override PartName="/word/header119.xml" ContentType="application/vnd.openxmlformats-officedocument.wordprocessingml.header+xml"/>
  <Override PartName="/word/header120.xml" ContentType="application/vnd.openxmlformats-officedocument.wordprocessingml.header+xml"/>
  <Override PartName="/word/footer122.xml" ContentType="application/vnd.openxmlformats-officedocument.wordprocessingml.footer+xml"/>
  <Override PartName="/word/footer123.xml" ContentType="application/vnd.openxmlformats-officedocument.wordprocessingml.footer+xml"/>
  <Override PartName="/word/header121.xml" ContentType="application/vnd.openxmlformats-officedocument.wordprocessingml.header+xml"/>
  <Override PartName="/word/header122.xml" ContentType="application/vnd.openxmlformats-officedocument.wordprocessingml.header+xml"/>
  <Override PartName="/word/footer124.xml" ContentType="application/vnd.openxmlformats-officedocument.wordprocessingml.footer+xml"/>
  <Override PartName="/word/footer125.xml" ContentType="application/vnd.openxmlformats-officedocument.wordprocessingml.footer+xml"/>
  <Override PartName="/word/header123.xml" ContentType="application/vnd.openxmlformats-officedocument.wordprocessingml.header+xml"/>
  <Override PartName="/word/header124.xml" ContentType="application/vnd.openxmlformats-officedocument.wordprocessingml.header+xml"/>
  <Override PartName="/word/footer126.xml" ContentType="application/vnd.openxmlformats-officedocument.wordprocessingml.footer+xml"/>
  <Override PartName="/word/footer127.xml" ContentType="application/vnd.openxmlformats-officedocument.wordprocessingml.footer+xml"/>
  <Override PartName="/word/header125.xml" ContentType="application/vnd.openxmlformats-officedocument.wordprocessingml.header+xml"/>
  <Override PartName="/word/header126.xml" ContentType="application/vnd.openxmlformats-officedocument.wordprocessingml.header+xml"/>
  <Override PartName="/word/footer128.xml" ContentType="application/vnd.openxmlformats-officedocument.wordprocessingml.footer+xml"/>
  <Override PartName="/word/footer129.xml" ContentType="application/vnd.openxmlformats-officedocument.wordprocessingml.footer+xml"/>
  <Override PartName="/word/header127.xml" ContentType="application/vnd.openxmlformats-officedocument.wordprocessingml.header+xml"/>
  <Override PartName="/word/footer130.xml" ContentType="application/vnd.openxmlformats-officedocument.wordprocessingml.footer+xml"/>
  <Override PartName="/word/footer131.xml" ContentType="application/vnd.openxmlformats-officedocument.wordprocessingml.footer+xml"/>
  <Override PartName="/word/header128.xml" ContentType="application/vnd.openxmlformats-officedocument.wordprocessingml.header+xml"/>
  <Override PartName="/word/header129.xml" ContentType="application/vnd.openxmlformats-officedocument.wordprocessingml.header+xml"/>
  <Override PartName="/word/footer132.xml" ContentType="application/vnd.openxmlformats-officedocument.wordprocessingml.footer+xml"/>
  <Override PartName="/word/footer133.xml" ContentType="application/vnd.openxmlformats-officedocument.wordprocessingml.footer+xml"/>
  <Override PartName="/word/header130.xml" ContentType="application/vnd.openxmlformats-officedocument.wordprocessingml.header+xml"/>
  <Override PartName="/word/header131.xml" ContentType="application/vnd.openxmlformats-officedocument.wordprocessingml.header+xml"/>
  <Override PartName="/word/footer134.xml" ContentType="application/vnd.openxmlformats-officedocument.wordprocessingml.footer+xml"/>
  <Override PartName="/word/footer135.xml" ContentType="application/vnd.openxmlformats-officedocument.wordprocessingml.footer+xml"/>
  <Override PartName="/word/header132.xml" ContentType="application/vnd.openxmlformats-officedocument.wordprocessingml.header+xml"/>
  <Override PartName="/word/header133.xml" ContentType="application/vnd.openxmlformats-officedocument.wordprocessingml.header+xml"/>
  <Override PartName="/word/footer136.xml" ContentType="application/vnd.openxmlformats-officedocument.wordprocessingml.footer+xml"/>
  <Override PartName="/word/footer137.xml" ContentType="application/vnd.openxmlformats-officedocument.wordprocessingml.footer+xml"/>
  <Override PartName="/word/header134.xml" ContentType="application/vnd.openxmlformats-officedocument.wordprocessingml.header+xml"/>
  <Override PartName="/word/header135.xml" ContentType="application/vnd.openxmlformats-officedocument.wordprocessingml.header+xml"/>
  <Override PartName="/word/footer138.xml" ContentType="application/vnd.openxmlformats-officedocument.wordprocessingml.footer+xml"/>
  <Override PartName="/word/footer139.xml" ContentType="application/vnd.openxmlformats-officedocument.wordprocessingml.footer+xml"/>
  <Override PartName="/word/header136.xml" ContentType="application/vnd.openxmlformats-officedocument.wordprocessingml.header+xml"/>
  <Override PartName="/word/header137.xml" ContentType="application/vnd.openxmlformats-officedocument.wordprocessingml.header+xml"/>
  <Override PartName="/word/footer140.xml" ContentType="application/vnd.openxmlformats-officedocument.wordprocessingml.footer+xml"/>
  <Override PartName="/word/footer141.xml" ContentType="application/vnd.openxmlformats-officedocument.wordprocessingml.footer+xml"/>
  <Override PartName="/word/header138.xml" ContentType="application/vnd.openxmlformats-officedocument.wordprocessingml.head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footer145.xml" ContentType="application/vnd.openxmlformats-officedocument.wordprocessingml.footer+xml"/>
  <Override PartName="/word/header139.xml" ContentType="application/vnd.openxmlformats-officedocument.wordprocessingml.header+xml"/>
  <Override PartName="/word/header140.xml" ContentType="application/vnd.openxmlformats-officedocument.wordprocessingml.header+xml"/>
  <Override PartName="/word/footer146.xml" ContentType="application/vnd.openxmlformats-officedocument.wordprocessingml.footer+xml"/>
  <Override PartName="/word/header14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35714F8" w14:textId="7ABC5B40" w:rsidR="00254F12" w:rsidRPr="00862057" w:rsidRDefault="00F51D1A" w:rsidP="00862057">
      <w:pPr>
        <w:pStyle w:val="Title"/>
      </w:pPr>
      <w:bookmarkStart w:id="0" w:name="_Toc106305998"/>
      <w:r w:rsidRPr="00D97791">
        <w:rPr>
          <w:noProof/>
        </w:rPr>
        <w:drawing>
          <wp:anchor distT="0" distB="0" distL="114300" distR="114300" simplePos="0" relativeHeight="251658257" behindDoc="0" locked="1" layoutInCell="1" allowOverlap="1" wp14:anchorId="07F6BBDC" wp14:editId="46FDDE5E">
            <wp:simplePos x="0" y="0"/>
            <wp:positionH relativeFrom="page">
              <wp:posOffset>6515735</wp:posOffset>
            </wp:positionH>
            <wp:positionV relativeFrom="page">
              <wp:posOffset>7127875</wp:posOffset>
            </wp:positionV>
            <wp:extent cx="1051200" cy="2228400"/>
            <wp:effectExtent l="0" t="0" r="0" b="635"/>
            <wp:wrapNone/>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ver_Triangle_Corporate">
                      <a:extLst>
                        <a:ext uri="{C183D7F6-B498-43B3-948B-1728B52AA6E4}">
                          <adec:decorative xmlns:adec="http://schemas.microsoft.com/office/drawing/2017/decorative" val="1"/>
                        </a:ext>
                      </a:extLst>
                    </pic:cNvPr>
                    <pic:cNvPicPr/>
                  </pic:nvPicPr>
                  <pic:blipFill>
                    <a:blip r:embed="rId14" cstate="email">
                      <a:extLst>
                        <a:ext uri="{28A0092B-C50C-407E-A947-70E740481C1C}">
                          <a14:useLocalDpi xmlns:a14="http://schemas.microsoft.com/office/drawing/2010/main"/>
                        </a:ext>
                      </a:extLst>
                    </a:blip>
                    <a:stretch>
                      <a:fillRect/>
                    </a:stretch>
                  </pic:blipFill>
                  <pic:spPr>
                    <a:xfrm>
                      <a:off x="0" y="0"/>
                      <a:ext cx="1051200" cy="2228400"/>
                    </a:xfrm>
                    <a:prstGeom prst="rect">
                      <a:avLst/>
                    </a:prstGeom>
                  </pic:spPr>
                </pic:pic>
              </a:graphicData>
            </a:graphic>
            <wp14:sizeRelH relativeFrom="margin">
              <wp14:pctWidth>0</wp14:pctWidth>
            </wp14:sizeRelH>
            <wp14:sizeRelV relativeFrom="margin">
              <wp14:pctHeight>0</wp14:pctHeight>
            </wp14:sizeRelV>
          </wp:anchor>
        </w:drawing>
      </w:r>
      <w:sdt>
        <w:sdtPr>
          <w:alias w:val="Document Title"/>
          <w:tag w:val=""/>
          <w:id w:val="-432211567"/>
          <w:placeholder>
            <w:docPart w:val="5ED35F014EA44E37924A12622AB5A083"/>
          </w:placeholder>
          <w:dataBinding w:prefixMappings="xmlns:ns0='http://purl.org/dc/elements/1.1/' xmlns:ns1='http://schemas.openxmlformats.org/package/2006/metadata/core-properties' " w:xpath="/ns1:coreProperties[1]/ns0:title[1]" w:storeItemID="{6C3C8BC8-F283-45AE-878A-BAB7291924A1}"/>
          <w:text/>
        </w:sdtPr>
        <w:sdtContent>
          <w:r w:rsidR="00274DEE">
            <w:t>Great Ocean Road Coast and Parks Environmental-Economic Account</w:t>
          </w:r>
        </w:sdtContent>
      </w:sdt>
    </w:p>
    <w:sdt>
      <w:sdtPr>
        <w:alias w:val="Subtitle"/>
        <w:tag w:val=""/>
        <w:id w:val="328029620"/>
        <w:placeholder>
          <w:docPart w:val="E6C0371039AB41CBA3D9B15FE2F5C48D"/>
        </w:placeholder>
        <w:dataBinding w:prefixMappings="xmlns:ns0='http://purl.org/dc/elements/1.1/' xmlns:ns1='http://schemas.openxmlformats.org/package/2006/metadata/core-properties' " w:xpath="/ns1:coreProperties[1]/ns0:subject[1]" w:storeItemID="{6C3C8BC8-F283-45AE-878A-BAB7291924A1}"/>
        <w:text/>
      </w:sdtPr>
      <w:sdtContent>
        <w:p w14:paraId="6ECC5651" w14:textId="66455566" w:rsidR="004C1F02" w:rsidRDefault="00F51D1A" w:rsidP="00862057">
          <w:pPr>
            <w:pStyle w:val="Subtitle"/>
          </w:pPr>
          <w:r>
            <w:t>Technical Report</w:t>
          </w:r>
        </w:p>
      </w:sdtContent>
    </w:sdt>
    <w:p w14:paraId="301854BE" w14:textId="77777777" w:rsidR="00254F12" w:rsidRPr="004C1F02" w:rsidRDefault="00254F12" w:rsidP="004E51DB">
      <w:pPr>
        <w:pStyle w:val="xVicLogo"/>
        <w:framePr w:wrap="around"/>
      </w:pPr>
      <w:r w:rsidRPr="004C1F02">
        <w:rPr>
          <w:noProof/>
        </w:rPr>
        <w:drawing>
          <wp:inline distT="0" distB="0" distL="0" distR="0" wp14:anchorId="420D0AF5" wp14:editId="42F5D929">
            <wp:extent cx="1738080" cy="444948"/>
            <wp:effectExtent l="0" t="0" r="0" b="0"/>
            <wp:docPr id="36" name="Graphic 36" descr="The State of Victoria Department of Energy, Environment and Climate Ac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over_Logo_StateGovt" descr="The State of Victoria Department of Energy, Environment and Climate Action">
                      <a:extLst>
                        <a:ext uri="{C183D7F6-B498-43B3-948B-1728B52AA6E4}">
                          <adec:decorative xmlns:adec="http://schemas.microsoft.com/office/drawing/2017/decorative" val="0"/>
                        </a:ext>
                      </a:extLst>
                    </pic:cNvPr>
                    <pic:cNvPicPr/>
                  </pic:nvPicPr>
                  <pic:blipFill>
                    <a:blip r:embed="rId15" cstate="print">
                      <a:extLst>
                        <a:ext uri="{28A0092B-C50C-407E-A947-70E740481C1C}">
                          <a14:useLocalDpi xmlns:a14="http://schemas.microsoft.com/office/drawing/2010/main"/>
                        </a:ext>
                        <a:ext uri="{96DAC541-7B7A-43D3-8B79-37D633B846F1}">
                          <asvg:svgBlip xmlns:asvg="http://schemas.microsoft.com/office/drawing/2016/SVG/main" r:embed="rId16"/>
                        </a:ext>
                      </a:extLst>
                    </a:blip>
                    <a:stretch>
                      <a:fillRect/>
                    </a:stretch>
                  </pic:blipFill>
                  <pic:spPr>
                    <a:xfrm>
                      <a:off x="0" y="0"/>
                      <a:ext cx="1738080" cy="444948"/>
                    </a:xfrm>
                    <a:prstGeom prst="rect">
                      <a:avLst/>
                    </a:prstGeom>
                  </pic:spPr>
                </pic:pic>
              </a:graphicData>
            </a:graphic>
          </wp:inline>
        </w:drawing>
      </w:r>
    </w:p>
    <w:p w14:paraId="3077C57B" w14:textId="77777777" w:rsidR="00254F12" w:rsidRPr="004C1F02" w:rsidRDefault="00985DB8" w:rsidP="004C1F02">
      <w:r w:rsidRPr="004C1F02">
        <w:rPr>
          <w:noProof/>
        </w:rPr>
        <w:drawing>
          <wp:anchor distT="0" distB="0" distL="114300" distR="114300" simplePos="0" relativeHeight="251658250" behindDoc="1" locked="1" layoutInCell="1" allowOverlap="1" wp14:anchorId="4BD3E721" wp14:editId="353F488B">
            <wp:simplePos x="0" y="0"/>
            <wp:positionH relativeFrom="page">
              <wp:posOffset>2509520</wp:posOffset>
            </wp:positionH>
            <wp:positionV relativeFrom="page">
              <wp:posOffset>8457565</wp:posOffset>
            </wp:positionV>
            <wp:extent cx="2322000" cy="2232000"/>
            <wp:effectExtent l="0" t="0" r="2540" b="0"/>
            <wp:wrapNone/>
            <wp:docPr id="8" name="Graphic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ver_RibbonElement3">
                      <a:extLst>
                        <a:ext uri="{C183D7F6-B498-43B3-948B-1728B52AA6E4}">
                          <adec:decorative xmlns:adec="http://schemas.microsoft.com/office/drawing/2017/decorative" val="1"/>
                        </a:ext>
                      </a:extLst>
                    </pic:cNvPr>
                    <pic:cNvPicPr/>
                  </pic:nvPicPr>
                  <pic:blipFill>
                    <a:blip r:embed="rId17">
                      <a:extLst>
                        <a:ext uri="{96DAC541-7B7A-43D3-8B79-37D633B846F1}">
                          <asvg:svgBlip xmlns:asvg="http://schemas.microsoft.com/office/drawing/2016/SVG/main" r:embed="rId18"/>
                        </a:ext>
                      </a:extLst>
                    </a:blip>
                    <a:stretch>
                      <a:fillRect/>
                    </a:stretch>
                  </pic:blipFill>
                  <pic:spPr>
                    <a:xfrm>
                      <a:off x="0" y="0"/>
                      <a:ext cx="2322000" cy="2232000"/>
                    </a:xfrm>
                    <a:prstGeom prst="rect">
                      <a:avLst/>
                    </a:prstGeom>
                  </pic:spPr>
                </pic:pic>
              </a:graphicData>
            </a:graphic>
            <wp14:sizeRelH relativeFrom="margin">
              <wp14:pctWidth>0</wp14:pctWidth>
            </wp14:sizeRelH>
            <wp14:sizeRelV relativeFrom="margin">
              <wp14:pctHeight>0</wp14:pctHeight>
            </wp14:sizeRelV>
          </wp:anchor>
        </w:drawing>
      </w:r>
      <w:r w:rsidR="00872D01" w:rsidRPr="004C1F02">
        <w:rPr>
          <w:noProof/>
        </w:rPr>
        <mc:AlternateContent>
          <mc:Choice Requires="wps">
            <w:drawing>
              <wp:anchor distT="0" distB="0" distL="114300" distR="114300" simplePos="0" relativeHeight="251658243" behindDoc="1" locked="1" layoutInCell="1" allowOverlap="1" wp14:anchorId="69D307A0" wp14:editId="17DB2575">
                <wp:simplePos x="0" y="0"/>
                <wp:positionH relativeFrom="page">
                  <wp:posOffset>0</wp:posOffset>
                </wp:positionH>
                <wp:positionV relativeFrom="page">
                  <wp:posOffset>2228850</wp:posOffset>
                </wp:positionV>
                <wp:extent cx="7563600" cy="7120800"/>
                <wp:effectExtent l="0" t="0" r="0" b="0"/>
                <wp:wrapNone/>
                <wp:docPr id="16" name="Freeform: Shape 16"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3600" cy="7120800"/>
                        </a:xfrm>
                        <a:custGeom>
                          <a:avLst/>
                          <a:gdLst>
                            <a:gd name="connsiteX0" fmla="*/ 0 w 7563408"/>
                            <a:gd name="connsiteY0" fmla="*/ 0 h 7131432"/>
                            <a:gd name="connsiteX1" fmla="*/ 0 w 7563408"/>
                            <a:gd name="connsiteY1" fmla="*/ 7131433 h 7131432"/>
                            <a:gd name="connsiteX2" fmla="*/ 4832160 w 7563408"/>
                            <a:gd name="connsiteY2" fmla="*/ 7131433 h 7131432"/>
                            <a:gd name="connsiteX3" fmla="*/ 7563408 w 7563408"/>
                            <a:gd name="connsiteY3" fmla="*/ 1337144 h 7131432"/>
                            <a:gd name="connsiteX4" fmla="*/ 7563408 w 7563408"/>
                            <a:gd name="connsiteY4" fmla="*/ 0 h 7131432"/>
                            <a:gd name="connsiteX5" fmla="*/ 0 w 7563408"/>
                            <a:gd name="connsiteY5" fmla="*/ 0 h 71314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08" h="7131432">
                              <a:moveTo>
                                <a:pt x="0" y="0"/>
                              </a:moveTo>
                              <a:lnTo>
                                <a:pt x="0" y="7131433"/>
                              </a:lnTo>
                              <a:lnTo>
                                <a:pt x="4832160" y="7131433"/>
                              </a:lnTo>
                              <a:lnTo>
                                <a:pt x="7563408" y="1337144"/>
                              </a:lnTo>
                              <a:lnTo>
                                <a:pt x="7563408" y="0"/>
                              </a:lnTo>
                              <a:lnTo>
                                <a:pt x="0" y="0"/>
                              </a:lnTo>
                              <a:close/>
                            </a:path>
                          </a:pathLst>
                        </a:custGeom>
                        <a:solidFill>
                          <a:schemeClr val="dk2"/>
                        </a:solidFill>
                        <a:ln w="1269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4E546A" id="Freeform: Shape 16" o:spid="_x0000_s1026" alt="&quot;&quot;" style="position:absolute;margin-left:0;margin-top:175.5pt;width:595.55pt;height:560.7pt;z-index:-251658237;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7563408,7131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" path="m,l,7131433r4832160,l7563408,1337144,7563408,,,xe" fillcolor="#201547 [3202]" stroked="f" strokeweight=".35264mm">
                <v:stroke joinstyle="miter"/>
                <v:path arrowok="t" o:connecttype="custom" o:connectlocs="0,0;0,7120801;4832283,7120801;7563600,1335150;7563600,0;0,0" o:connectangles="0,0,0,0,0,0"/>
                <w10:wrap anchorx="page" anchory="page"/>
                <w10:anchorlock/>
              </v:shape>
            </w:pict>
          </mc:Fallback>
        </mc:AlternateContent>
      </w:r>
      <w:r w:rsidR="008B1109">
        <w:rPr>
          <w:noProof/>
        </w:rPr>
        <mc:AlternateContent>
          <mc:Choice Requires="wps">
            <w:drawing>
              <wp:anchor distT="0" distB="0" distL="114300" distR="114300" simplePos="0" relativeHeight="251658254" behindDoc="1" locked="1" layoutInCell="1" allowOverlap="1" wp14:anchorId="0B8C1239" wp14:editId="5380BAE4">
                <wp:simplePos x="0" y="0"/>
                <wp:positionH relativeFrom="page">
                  <wp:posOffset>0</wp:posOffset>
                </wp:positionH>
                <wp:positionV relativeFrom="page">
                  <wp:posOffset>2228850</wp:posOffset>
                </wp:positionV>
                <wp:extent cx="9435465" cy="442595"/>
                <wp:effectExtent l="0" t="0" r="0" b="0"/>
                <wp:wrapNone/>
                <wp:docPr id="18" name="Freeform: Shape 18"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435465" cy="442595"/>
                        </a:xfrm>
                        <a:custGeom>
                          <a:avLst/>
                          <a:gdLst>
                            <a:gd name="connsiteX0" fmla="*/ 0 w 9435280"/>
                            <a:gd name="connsiteY0" fmla="*/ 0 h 443520"/>
                            <a:gd name="connsiteX1" fmla="*/ 9435280 w 9435280"/>
                            <a:gd name="connsiteY1" fmla="*/ 0 h 443520"/>
                            <a:gd name="connsiteX2" fmla="*/ 9226217 w 9435280"/>
                            <a:gd name="connsiteY2" fmla="*/ 443520 h 443520"/>
                            <a:gd name="connsiteX3" fmla="*/ 0 w 9435280"/>
                            <a:gd name="connsiteY3" fmla="*/ 443520 h 443520"/>
                          </a:gdLst>
                          <a:ahLst/>
                          <a:cxnLst>
                            <a:cxn ang="0">
                              <a:pos x="connsiteX0" y="connsiteY0"/>
                            </a:cxn>
                            <a:cxn ang="0">
                              <a:pos x="connsiteX1" y="connsiteY1"/>
                            </a:cxn>
                            <a:cxn ang="0">
                              <a:pos x="connsiteX2" y="connsiteY2"/>
                            </a:cxn>
                            <a:cxn ang="0">
                              <a:pos x="connsiteX3" y="connsiteY3"/>
                            </a:cxn>
                          </a:cxnLst>
                          <a:rect l="l" t="t" r="r" b="b"/>
                          <a:pathLst>
                            <a:path w="9435280" h="443520">
                              <a:moveTo>
                                <a:pt x="0" y="0"/>
                              </a:moveTo>
                              <a:lnTo>
                                <a:pt x="9435280" y="0"/>
                              </a:lnTo>
                              <a:lnTo>
                                <a:pt x="9226217" y="443520"/>
                              </a:lnTo>
                              <a:lnTo>
                                <a:pt x="0" y="443520"/>
                              </a:lnTo>
                              <a:close/>
                            </a:path>
                          </a:pathLst>
                        </a:custGeom>
                        <a:solidFill>
                          <a:schemeClr val="tx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A45A41" id="Freeform: Shape 18" o:spid="_x0000_s1026" alt="&quot;&quot;" style="position:absolute;margin-left:0;margin-top:175.5pt;width:742.95pt;height:34.85pt;z-index:-25165822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9435280,443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" path="m,l9435280,,9226217,443520,,443520,,xe" fillcolor="#201547 [3215]" stroked="f">
                <v:stroke joinstyle="miter"/>
                <v:path arrowok="t" o:connecttype="custom" o:connectlocs="0,0;9435465,0;9226398,442595;0,442595" o:connectangles="0,0,0,0"/>
                <w10:wrap anchorx="page" anchory="page"/>
                <w10:anchorlock/>
              </v:shape>
            </w:pict>
          </mc:Fallback>
        </mc:AlternateContent>
      </w:r>
      <w:r w:rsidR="00B8541F" w:rsidRPr="004C1F02">
        <w:rPr>
          <w:noProof/>
        </w:rPr>
        <mc:AlternateContent>
          <mc:Choice Requires="wps">
            <w:drawing>
              <wp:anchor distT="0" distB="0" distL="114300" distR="114300" simplePos="0" relativeHeight="251658253" behindDoc="1" locked="1" layoutInCell="1" allowOverlap="1" wp14:anchorId="03574CD3" wp14:editId="3ED02DFB">
                <wp:simplePos x="0" y="0"/>
                <wp:positionH relativeFrom="page">
                  <wp:posOffset>0</wp:posOffset>
                </wp:positionH>
                <wp:positionV relativeFrom="page">
                  <wp:posOffset>2228850</wp:posOffset>
                </wp:positionV>
                <wp:extent cx="4413600" cy="3567600"/>
                <wp:effectExtent l="0" t="0" r="0" b="0"/>
                <wp:wrapNone/>
                <wp:docPr id="13" name="Freeform: Shape 13"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13600" cy="3567600"/>
                        </a:xfrm>
                        <a:custGeom>
                          <a:avLst/>
                          <a:gdLst>
                            <a:gd name="connsiteX0" fmla="*/ 0 w 4413050"/>
                            <a:gd name="connsiteY0" fmla="*/ 0 h 3566624"/>
                            <a:gd name="connsiteX1" fmla="*/ 0 w 4413050"/>
                            <a:gd name="connsiteY1" fmla="*/ 3566625 h 3566624"/>
                            <a:gd name="connsiteX2" fmla="*/ 2731785 w 4413050"/>
                            <a:gd name="connsiteY2" fmla="*/ 3566625 h 3566624"/>
                            <a:gd name="connsiteX3" fmla="*/ 4413050 w 4413050"/>
                            <a:gd name="connsiteY3" fmla="*/ 0 h 3566624"/>
                            <a:gd name="connsiteX4" fmla="*/ 0 w 4413050"/>
                            <a:gd name="connsiteY4" fmla="*/ 0 h 356662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413050" h="3566624">
                              <a:moveTo>
                                <a:pt x="0" y="0"/>
                              </a:moveTo>
                              <a:lnTo>
                                <a:pt x="0" y="3566625"/>
                              </a:lnTo>
                              <a:lnTo>
                                <a:pt x="2731785" y="3566625"/>
                              </a:lnTo>
                              <a:lnTo>
                                <a:pt x="4413050" y="0"/>
                              </a:lnTo>
                              <a:lnTo>
                                <a:pt x="0" y="0"/>
                              </a:lnTo>
                              <a:close/>
                            </a:path>
                          </a:pathLst>
                        </a:custGeom>
                        <a:blipFill dpi="0" rotWithShape="1">
                          <a:blip r:embed="rId19" cstate="email">
                            <a:extLst>
                              <a:ext uri="{28A0092B-C50C-407E-A947-70E740481C1C}">
                                <a14:useLocalDpi xmlns:a14="http://schemas.microsoft.com/office/drawing/2010/main"/>
                              </a:ext>
                            </a:extLst>
                          </a:blip>
                          <a:srcRect/>
                          <a:stretch>
                            <a:fillRect t="-84" b="-84"/>
                          </a:stretch>
                        </a:blipFill>
                        <a:ln w="12682"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7FE476" id="Freeform: Shape 13" o:spid="_x0000_s1026" alt="&quot;&quot;" style="position:absolute;margin-left:0;margin-top:175.5pt;width:347.55pt;height:280.9pt;z-index:-251658227;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4413050,3566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" path="m,l,3566625r2731785,l4413050,,,xe" stroked="f" strokeweight=".35228mm">
                <v:fill r:id="rId20" o:title="" recolor="t" rotate="t" type="frame"/>
                <v:stroke joinstyle="miter"/>
                <v:path arrowok="t" o:connecttype="custom" o:connectlocs="0,0;0,3567601;2732125,3567601;4413600,0;0,0" o:connectangles="0,0,0,0,0"/>
                <w10:wrap anchorx="page" anchory="page"/>
                <w10:anchorlock/>
              </v:shape>
            </w:pict>
          </mc:Fallback>
        </mc:AlternateContent>
      </w:r>
      <w:r w:rsidR="00254F12" w:rsidRPr="004C1F02">
        <w:rPr>
          <w:noProof/>
        </w:rPr>
        <mc:AlternateContent>
          <mc:Choice Requires="wps">
            <w:drawing>
              <wp:anchor distT="0" distB="0" distL="114300" distR="114300" simplePos="0" relativeHeight="251658244" behindDoc="1" locked="1" layoutInCell="1" allowOverlap="1" wp14:anchorId="55A7D207" wp14:editId="4D38C22F">
                <wp:simplePos x="0" y="0"/>
                <wp:positionH relativeFrom="page">
                  <wp:posOffset>0</wp:posOffset>
                </wp:positionH>
                <wp:positionV relativeFrom="page">
                  <wp:posOffset>5800725</wp:posOffset>
                </wp:positionV>
                <wp:extent cx="6501600" cy="3542400"/>
                <wp:effectExtent l="0" t="0" r="0" b="0"/>
                <wp:wrapNone/>
                <wp:docPr id="14" name="Freeform: Shape 14"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01600" cy="3542400"/>
                        </a:xfrm>
                        <a:custGeom>
                          <a:avLst/>
                          <a:gdLst>
                            <a:gd name="connsiteX0" fmla="*/ 0 w 6501736"/>
                            <a:gd name="connsiteY0" fmla="*/ 0 h 3559192"/>
                            <a:gd name="connsiteX1" fmla="*/ 6501736 w 6501736"/>
                            <a:gd name="connsiteY1" fmla="*/ 0 h 3559192"/>
                            <a:gd name="connsiteX2" fmla="*/ 4824067 w 6501736"/>
                            <a:gd name="connsiteY2" fmla="*/ 3559192 h 3559192"/>
                            <a:gd name="connsiteX3" fmla="*/ 0 w 6501736"/>
                            <a:gd name="connsiteY3" fmla="*/ 3559192 h 3559192"/>
                          </a:gdLst>
                          <a:ahLst/>
                          <a:cxnLst>
                            <a:cxn ang="0">
                              <a:pos x="connsiteX0" y="connsiteY0"/>
                            </a:cxn>
                            <a:cxn ang="0">
                              <a:pos x="connsiteX1" y="connsiteY1"/>
                            </a:cxn>
                            <a:cxn ang="0">
                              <a:pos x="connsiteX2" y="connsiteY2"/>
                            </a:cxn>
                            <a:cxn ang="0">
                              <a:pos x="connsiteX3" y="connsiteY3"/>
                            </a:cxn>
                          </a:cxnLst>
                          <a:rect l="l" t="t" r="r" b="b"/>
                          <a:pathLst>
                            <a:path w="6501736" h="3559192">
                              <a:moveTo>
                                <a:pt x="0" y="0"/>
                              </a:moveTo>
                              <a:lnTo>
                                <a:pt x="6501736" y="0"/>
                              </a:lnTo>
                              <a:lnTo>
                                <a:pt x="4824067" y="3559192"/>
                              </a:lnTo>
                              <a:lnTo>
                                <a:pt x="0" y="3559192"/>
                              </a:lnTo>
                              <a:close/>
                            </a:path>
                          </a:pathLst>
                        </a:custGeom>
                        <a:blipFill dpi="0" rotWithShape="1">
                          <a:blip r:embed="rId21" cstate="email">
                            <a:extLst>
                              <a:ext uri="{28A0092B-C50C-407E-A947-70E740481C1C}">
                                <a14:useLocalDpi xmlns:a14="http://schemas.microsoft.com/office/drawing/2010/main"/>
                              </a:ext>
                            </a:extLst>
                          </a:blip>
                          <a:srcRect/>
                          <a:stretch>
                            <a:fillRect l="-10" r="-10"/>
                          </a:stretch>
                        </a:blipFill>
                        <a:ln w="12673"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4B163F" id="Freeform: Shape 14" o:spid="_x0000_s1026" alt="&quot;&quot;" style="position:absolute;margin-left:0;margin-top:456.75pt;width:511.95pt;height:278.95pt;z-index:-25165823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6501736,3559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" path="m,l6501736,,4824067,3559192,,3559192,,xe" stroked="f" strokeweight=".35203mm">
                <v:fill r:id="rId22" o:title="" recolor="t" rotate="t" type="frame"/>
                <v:stroke joinstyle="miter"/>
                <v:path arrowok="t" o:connecttype="custom" o:connectlocs="0,0;6501600,0;4823966,3542400;0,3542400" o:connectangles="0,0,0,0"/>
                <w10:wrap anchorx="page" anchory="page"/>
                <w10:anchorlock/>
              </v:shape>
            </w:pict>
          </mc:Fallback>
        </mc:AlternateContent>
      </w:r>
      <w:r w:rsidR="00254F12" w:rsidRPr="004C1F02">
        <w:rPr>
          <w:noProof/>
        </w:rPr>
        <mc:AlternateContent>
          <mc:Choice Requires="wps">
            <w:drawing>
              <wp:anchor distT="0" distB="0" distL="114300" distR="114300" simplePos="0" relativeHeight="251658245" behindDoc="1" locked="1" layoutInCell="1" allowOverlap="1" wp14:anchorId="57D72635" wp14:editId="157E6642">
                <wp:simplePos x="0" y="0"/>
                <wp:positionH relativeFrom="page">
                  <wp:posOffset>0</wp:posOffset>
                </wp:positionH>
                <wp:positionV relativeFrom="page">
                  <wp:posOffset>2228850</wp:posOffset>
                </wp:positionV>
                <wp:extent cx="7563600" cy="3571200"/>
                <wp:effectExtent l="0" t="0" r="0" b="0"/>
                <wp:wrapNone/>
                <wp:docPr id="15" name="Freeform: Shape 15"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3600" cy="3571200"/>
                        </a:xfrm>
                        <a:custGeom>
                          <a:avLst/>
                          <a:gdLst>
                            <a:gd name="connsiteX0" fmla="*/ 0 w 7563430"/>
                            <a:gd name="connsiteY0" fmla="*/ 0 h 3566624"/>
                            <a:gd name="connsiteX1" fmla="*/ 0 w 7563430"/>
                            <a:gd name="connsiteY1" fmla="*/ 3566625 h 3566624"/>
                            <a:gd name="connsiteX2" fmla="*/ 6513035 w 7563430"/>
                            <a:gd name="connsiteY2" fmla="*/ 3566625 h 3566624"/>
                            <a:gd name="connsiteX3" fmla="*/ 7563431 w 7563430"/>
                            <a:gd name="connsiteY3" fmla="*/ 1337484 h 3566624"/>
                            <a:gd name="connsiteX4" fmla="*/ 7563431 w 7563430"/>
                            <a:gd name="connsiteY4" fmla="*/ 0 h 3566624"/>
                            <a:gd name="connsiteX5" fmla="*/ 0 w 7563430"/>
                            <a:gd name="connsiteY5" fmla="*/ 0 h 35666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30" h="3566624">
                              <a:moveTo>
                                <a:pt x="0" y="0"/>
                              </a:moveTo>
                              <a:lnTo>
                                <a:pt x="0" y="3566625"/>
                              </a:lnTo>
                              <a:lnTo>
                                <a:pt x="6513035" y="3566625"/>
                              </a:lnTo>
                              <a:lnTo>
                                <a:pt x="7563431" y="1337484"/>
                              </a:lnTo>
                              <a:lnTo>
                                <a:pt x="7563431" y="0"/>
                              </a:lnTo>
                              <a:lnTo>
                                <a:pt x="0" y="0"/>
                              </a:lnTo>
                              <a:close/>
                            </a:path>
                          </a:pathLst>
                        </a:custGeom>
                        <a:blipFill dpi="0" rotWithShape="1">
                          <a:blip r:embed="rId23" cstate="email">
                            <a:extLst>
                              <a:ext uri="{28A0092B-C50C-407E-A947-70E740481C1C}">
                                <a14:useLocalDpi xmlns:a14="http://schemas.microsoft.com/office/drawing/2010/main"/>
                              </a:ext>
                            </a:extLst>
                          </a:blip>
                          <a:srcRect/>
                          <a:stretch>
                            <a:fillRect t="-19" b="-19"/>
                          </a:stretch>
                        </a:blipFill>
                        <a:ln w="1269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CC390F" id="Freeform: Shape 15" o:spid="_x0000_s1026" alt="&quot;&quot;" style="position:absolute;margin-left:0;margin-top:175.5pt;width:595.55pt;height:281.2pt;z-index:-251658235;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7563430,3566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" path="m,l,3566625r6513035,l7563431,1337484,7563431,,,xe" stroked="f" strokeweight=".35264mm">
                <v:fill r:id="rId24" o:title="" recolor="t" rotate="t" type="frame"/>
                <v:stroke joinstyle="miter"/>
                <v:path arrowok="t" o:connecttype="custom" o:connectlocs="0,0;0,3571201;6513181,3571201;7563601,1339200;7563601,0;0,0" o:connectangles="0,0,0,0,0,0"/>
                <w10:wrap anchorx="page" anchory="page"/>
                <w10:anchorlock/>
              </v:shape>
            </w:pict>
          </mc:Fallback>
        </mc:AlternateContent>
      </w:r>
      <w:r w:rsidR="00254F12" w:rsidRPr="004C1F02">
        <w:rPr>
          <w:noProof/>
        </w:rPr>
        <mc:AlternateContent>
          <mc:Choice Requires="wps">
            <w:drawing>
              <wp:anchor distT="0" distB="0" distL="114300" distR="114300" simplePos="0" relativeHeight="251658248" behindDoc="1" locked="1" layoutInCell="1" allowOverlap="1" wp14:anchorId="31FA1109" wp14:editId="71E09A0A">
                <wp:simplePos x="0" y="0"/>
                <wp:positionH relativeFrom="page">
                  <wp:posOffset>0</wp:posOffset>
                </wp:positionH>
                <wp:positionV relativeFrom="page">
                  <wp:align>bottom</wp:align>
                </wp:positionV>
                <wp:extent cx="5256000" cy="1346400"/>
                <wp:effectExtent l="0" t="0" r="1905" b="6350"/>
                <wp:wrapNone/>
                <wp:docPr id="39" name="Rectangle 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56000" cy="1346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A4852B" id="Rectangle 39" o:spid="_x0000_s1026" alt="&quot;&quot;" style="position:absolute;margin-left:0;margin-top:0;width:413.85pt;height:106pt;z-index:-251658232;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" fillcolor="white [3212]" stroked="f" strokeweight="2pt">
                <w10:wrap anchorx="page" anchory="page"/>
                <w10:anchorlock/>
              </v:rect>
            </w:pict>
          </mc:Fallback>
        </mc:AlternateContent>
      </w:r>
      <w:r w:rsidR="00254F12" w:rsidRPr="004C1F02">
        <w:rPr>
          <w:noProof/>
        </w:rPr>
        <mc:AlternateContent>
          <mc:Choice Requires="wpc">
            <w:drawing>
              <wp:anchor distT="0" distB="0" distL="114300" distR="114300" simplePos="0" relativeHeight="251658252" behindDoc="0" locked="1" layoutInCell="1" allowOverlap="1" wp14:anchorId="16119F73" wp14:editId="35DEC8F5">
                <wp:simplePos x="0" y="0"/>
                <wp:positionH relativeFrom="page">
                  <wp:align>left</wp:align>
                </wp:positionH>
                <wp:positionV relativeFrom="page">
                  <wp:align>bottom</wp:align>
                </wp:positionV>
                <wp:extent cx="2275205" cy="899795"/>
                <wp:effectExtent l="0" t="0" r="10795" b="0"/>
                <wp:wrapNone/>
                <wp:docPr id="22" name="Canvas 22"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7" name="Cover_TextBoxWeb"/>
                        <wps:cNvSpPr txBox="1"/>
                        <wps:spPr>
                          <a:xfrm>
                            <a:off x="540385" y="125730"/>
                            <a:ext cx="1735200" cy="360000"/>
                          </a:xfrm>
                          <a:prstGeom prst="rect">
                            <a:avLst/>
                          </a:prstGeom>
                          <a:noFill/>
                          <a:ln w="6350">
                            <a:noFill/>
                          </a:ln>
                        </wps:spPr>
                        <wps:txbx>
                          <w:txbxContent>
                            <w:p w14:paraId="77E9EAA6" w14:textId="77777777" w:rsidR="00254F12" w:rsidRPr="00FA0BCA" w:rsidRDefault="00254F12" w:rsidP="00254F12">
                              <w:pPr>
                                <w:pStyle w:val="xWebCoverPage"/>
                              </w:pPr>
                              <w:hyperlink r:id="rId25" w:history="1">
                                <w:r w:rsidRPr="00FA0BCA">
                                  <w:t>deeca.vic.gov.au</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16119F73" id="Canvas 22" o:spid="_x0000_s1026" editas="canvas" alt="&quot;&quot;" style="position:absolute;margin-left:0;margin-top:0;width:179.15pt;height:70.85pt;z-index:251658252;visibility:hidden;mso-position-horizontal:left;mso-position-horizontal-relative:page;mso-position-vertical:bottom;mso-position-vertical-relative:page;mso-width-relative:margin;mso-height-relative:margin" coordsize="22752,8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quot;&quot;" style="position:absolute;width:22752;height:8997;visibility:hidden;mso-wrap-style:square">
                  <v:fill o:detectmouseclick="t"/>
                  <v:path o:connecttype="none"/>
                </v:shape>
                <v:shapetype id="_x0000_t202" coordsize="21600,21600" o:spt="202" path="m,l,21600r21600,l21600,xe">
                  <v:stroke joinstyle="miter"/>
                  <v:path gradientshapeok="t" o:connecttype="rect"/>
                </v:shapetype>
                <v:shape id="Cover_TextBoxWeb" o:spid="_x0000_s1028" type="#_x0000_t202" style="position:absolute;left:5403;top:1257;width:17352;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" filled="f" stroked="f" strokeweight=".5pt">
                  <v:textbox inset="0,0,0,0">
                    <w:txbxContent>
                      <w:p w14:paraId="77E9EAA6" w14:textId="77777777" w:rsidR="00254F12" w:rsidRPr="00FA0BCA" w:rsidRDefault="00254F12" w:rsidP="00254F12">
                        <w:pPr>
                          <w:pStyle w:val="xWebCoverPage"/>
                        </w:pPr>
                        <w:hyperlink r:id="rId26" w:history="1">
                          <w:r w:rsidRPr="00FA0BCA">
                            <w:t>deeca.vic.gov.au</w:t>
                          </w:r>
                        </w:hyperlink>
                      </w:p>
                    </w:txbxContent>
                  </v:textbox>
                </v:shape>
                <w10:wrap anchorx="page" anchory="page"/>
                <w10:anchorlock/>
              </v:group>
            </w:pict>
          </mc:Fallback>
        </mc:AlternateContent>
      </w:r>
      <w:r w:rsidR="00254F12" w:rsidRPr="004C1F02">
        <w:rPr>
          <w:noProof/>
        </w:rPr>
        <w:drawing>
          <wp:anchor distT="0" distB="0" distL="114300" distR="114300" simplePos="0" relativeHeight="251658255" behindDoc="0" locked="1" layoutInCell="1" allowOverlap="1" wp14:anchorId="5F97A30A" wp14:editId="0C8EAC53">
            <wp:simplePos x="0" y="0"/>
            <wp:positionH relativeFrom="page">
              <wp:posOffset>6515735</wp:posOffset>
            </wp:positionH>
            <wp:positionV relativeFrom="page">
              <wp:posOffset>7127875</wp:posOffset>
            </wp:positionV>
            <wp:extent cx="1058400" cy="2228400"/>
            <wp:effectExtent l="0" t="0" r="8890" b="635"/>
            <wp:wrapNone/>
            <wp:docPr id="9" name="Graphic 9"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ver_Triangle_None" hidden="1">
                      <a:extLst>
                        <a:ext uri="{C183D7F6-B498-43B3-948B-1728B52AA6E4}">
                          <adec:decorative xmlns:adec="http://schemas.microsoft.com/office/drawing/2017/decorative" val="1"/>
                        </a:ext>
                      </a:extLst>
                    </pic:cNvPr>
                    <pic:cNvPicPr/>
                  </pic:nvPicPr>
                  <pic:blipFill>
                    <a:blip r:embed="rId27">
                      <a:extLst>
                        <a:ext uri="{96DAC541-7B7A-43D3-8B79-37D633B846F1}">
                          <asvg:svgBlip xmlns:asvg="http://schemas.microsoft.com/office/drawing/2016/SVG/main" r:embed="rId28"/>
                        </a:ext>
                      </a:extLst>
                    </a:blip>
                    <a:stretch>
                      <a:fillRect/>
                    </a:stretch>
                  </pic:blipFill>
                  <pic:spPr>
                    <a:xfrm>
                      <a:off x="0" y="0"/>
                      <a:ext cx="1058400" cy="2228400"/>
                    </a:xfrm>
                    <a:prstGeom prst="rect">
                      <a:avLst/>
                    </a:prstGeom>
                  </pic:spPr>
                </pic:pic>
              </a:graphicData>
            </a:graphic>
            <wp14:sizeRelH relativeFrom="margin">
              <wp14:pctWidth>0</wp14:pctWidth>
            </wp14:sizeRelH>
            <wp14:sizeRelV relativeFrom="margin">
              <wp14:pctHeight>0</wp14:pctHeight>
            </wp14:sizeRelV>
          </wp:anchor>
        </w:drawing>
      </w:r>
      <w:r w:rsidR="00254F12" w:rsidRPr="004C1F02">
        <w:rPr>
          <w:noProof/>
        </w:rPr>
        <w:drawing>
          <wp:anchor distT="0" distB="0" distL="114300" distR="114300" simplePos="0" relativeHeight="251658249" behindDoc="1" locked="1" layoutInCell="1" allowOverlap="1" wp14:anchorId="31E261BF" wp14:editId="508263E6">
            <wp:simplePos x="0" y="0"/>
            <wp:positionH relativeFrom="page">
              <wp:posOffset>4406900</wp:posOffset>
            </wp:positionH>
            <wp:positionV relativeFrom="page">
              <wp:posOffset>8457565</wp:posOffset>
            </wp:positionV>
            <wp:extent cx="838800" cy="889200"/>
            <wp:effectExtent l="0" t="0" r="0" b="6350"/>
            <wp:wrapNone/>
            <wp:docPr id="7"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ver_RibbonElement2">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838800" cy="889200"/>
                    </a:xfrm>
                    <a:prstGeom prst="rect">
                      <a:avLst/>
                    </a:prstGeom>
                  </pic:spPr>
                </pic:pic>
              </a:graphicData>
            </a:graphic>
            <wp14:sizeRelH relativeFrom="margin">
              <wp14:pctWidth>0</wp14:pctWidth>
            </wp14:sizeRelH>
            <wp14:sizeRelV relativeFrom="margin">
              <wp14:pctHeight>0</wp14:pctHeight>
            </wp14:sizeRelV>
          </wp:anchor>
        </w:drawing>
      </w:r>
      <w:r w:rsidR="00254F12" w:rsidRPr="004C1F02">
        <w:rPr>
          <w:noProof/>
        </w:rPr>
        <w:drawing>
          <wp:anchor distT="0" distB="0" distL="114300" distR="114300" simplePos="0" relativeHeight="251658247" behindDoc="1" locked="1" layoutInCell="1" allowOverlap="1" wp14:anchorId="4B91AB16" wp14:editId="1BAA5DE3">
            <wp:simplePos x="0" y="0"/>
            <wp:positionH relativeFrom="page">
              <wp:posOffset>3989070</wp:posOffset>
            </wp:positionH>
            <wp:positionV relativeFrom="page">
              <wp:posOffset>7567930</wp:posOffset>
            </wp:positionV>
            <wp:extent cx="2098800" cy="1778400"/>
            <wp:effectExtent l="0" t="0" r="0" b="0"/>
            <wp:wrapNone/>
            <wp:docPr id="6" name="Graphic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ver_RibbonElement4">
                      <a:extLst>
                        <a:ext uri="{C183D7F6-B498-43B3-948B-1728B52AA6E4}">
                          <adec:decorative xmlns:adec="http://schemas.microsoft.com/office/drawing/2017/decorative" val="1"/>
                        </a:ext>
                      </a:extLst>
                    </pic:cNvPr>
                    <pic:cNvPicPr/>
                  </pic:nvPicPr>
                  <pic:blipFill>
                    <a:blip r:embed="rId31">
                      <a:extLst>
                        <a:ext uri="{96DAC541-7B7A-43D3-8B79-37D633B846F1}">
                          <asvg:svgBlip xmlns:asvg="http://schemas.microsoft.com/office/drawing/2016/SVG/main" r:embed="rId32"/>
                        </a:ext>
                      </a:extLst>
                    </a:blip>
                    <a:stretch>
                      <a:fillRect/>
                    </a:stretch>
                  </pic:blipFill>
                  <pic:spPr>
                    <a:xfrm>
                      <a:off x="0" y="0"/>
                      <a:ext cx="2098800" cy="1778400"/>
                    </a:xfrm>
                    <a:prstGeom prst="rect">
                      <a:avLst/>
                    </a:prstGeom>
                  </pic:spPr>
                </pic:pic>
              </a:graphicData>
            </a:graphic>
            <wp14:sizeRelH relativeFrom="margin">
              <wp14:pctWidth>0</wp14:pctWidth>
            </wp14:sizeRelH>
            <wp14:sizeRelV relativeFrom="margin">
              <wp14:pctHeight>0</wp14:pctHeight>
            </wp14:sizeRelV>
          </wp:anchor>
        </w:drawing>
      </w:r>
      <w:r w:rsidR="00254F12" w:rsidRPr="004C1F02">
        <w:rPr>
          <w:noProof/>
        </w:rPr>
        <w:drawing>
          <wp:anchor distT="0" distB="0" distL="114300" distR="114300" simplePos="0" relativeHeight="251658251" behindDoc="1" locked="1" layoutInCell="1" allowOverlap="1" wp14:anchorId="4E7F0A83" wp14:editId="57CEDC1A">
            <wp:simplePos x="0" y="0"/>
            <wp:positionH relativeFrom="page">
              <wp:posOffset>5667375</wp:posOffset>
            </wp:positionH>
            <wp:positionV relativeFrom="page">
              <wp:posOffset>7567930</wp:posOffset>
            </wp:positionV>
            <wp:extent cx="838800" cy="889200"/>
            <wp:effectExtent l="0" t="0" r="0" b="6350"/>
            <wp:wrapNone/>
            <wp:docPr id="5" name="Graphic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ver_RibbonElement1">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838800" cy="889200"/>
                    </a:xfrm>
                    <a:prstGeom prst="rect">
                      <a:avLst/>
                    </a:prstGeom>
                  </pic:spPr>
                </pic:pic>
              </a:graphicData>
            </a:graphic>
            <wp14:sizeRelH relativeFrom="margin">
              <wp14:pctWidth>0</wp14:pctWidth>
            </wp14:sizeRelH>
            <wp14:sizeRelV relativeFrom="margin">
              <wp14:pctHeight>0</wp14:pctHeight>
            </wp14:sizeRelV>
          </wp:anchor>
        </w:drawing>
      </w:r>
      <w:r w:rsidR="00254F12" w:rsidRPr="004C1F02">
        <w:rPr>
          <w:noProof/>
        </w:rPr>
        <w:drawing>
          <wp:anchor distT="0" distB="0" distL="114300" distR="114300" simplePos="0" relativeHeight="251658246" behindDoc="1" locked="1" layoutInCell="1" allowOverlap="1" wp14:anchorId="2A2A5830" wp14:editId="2D25BC02">
            <wp:simplePos x="0" y="0"/>
            <wp:positionH relativeFrom="page">
              <wp:posOffset>5248275</wp:posOffset>
            </wp:positionH>
            <wp:positionV relativeFrom="page">
              <wp:posOffset>3562350</wp:posOffset>
            </wp:positionV>
            <wp:extent cx="2311200" cy="4896000"/>
            <wp:effectExtent l="0" t="0" r="0" b="0"/>
            <wp:wrapNone/>
            <wp:docPr id="2" name="Graphic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ver_RibbonElement5">
                      <a:extLst>
                        <a:ext uri="{C183D7F6-B498-43B3-948B-1728B52AA6E4}">
                          <adec:decorative xmlns:adec="http://schemas.microsoft.com/office/drawing/2017/decorative" val="1"/>
                        </a:ext>
                      </a:extLst>
                    </pic:cNvPr>
                    <pic:cNvPicPr/>
                  </pic:nvPicPr>
                  <pic:blipFill>
                    <a:blip r:embed="rId33">
                      <a:extLst>
                        <a:ext uri="{28A0092B-C50C-407E-A947-70E740481C1C}">
                          <a14:useLocalDpi xmlns:a14="http://schemas.microsoft.com/office/drawing/2010/main"/>
                        </a:ext>
                        <a:ext uri="{96DAC541-7B7A-43D3-8B79-37D633B846F1}">
                          <asvg:svgBlip xmlns:asvg="http://schemas.microsoft.com/office/drawing/2016/SVG/main" r:embed="rId34"/>
                        </a:ext>
                      </a:extLst>
                    </a:blip>
                    <a:stretch>
                      <a:fillRect/>
                    </a:stretch>
                  </pic:blipFill>
                  <pic:spPr>
                    <a:xfrm>
                      <a:off x="0" y="0"/>
                      <a:ext cx="2311200" cy="4896000"/>
                    </a:xfrm>
                    <a:prstGeom prst="rect">
                      <a:avLst/>
                    </a:prstGeom>
                  </pic:spPr>
                </pic:pic>
              </a:graphicData>
            </a:graphic>
            <wp14:sizeRelH relativeFrom="page">
              <wp14:pctWidth>0</wp14:pctWidth>
            </wp14:sizeRelH>
            <wp14:sizeRelV relativeFrom="page">
              <wp14:pctHeight>0</wp14:pctHeight>
            </wp14:sizeRelV>
          </wp:anchor>
        </w:drawing>
      </w:r>
      <w:r w:rsidR="00B8541F" w:rsidRPr="004C1F02">
        <w:rPr>
          <w:noProof/>
        </w:rPr>
        <mc:AlternateContent>
          <mc:Choice Requires="wps">
            <w:drawing>
              <wp:anchor distT="0" distB="0" distL="114300" distR="114300" simplePos="0" relativeHeight="251658242" behindDoc="1" locked="1" layoutInCell="1" allowOverlap="1" wp14:anchorId="6D16BC0E" wp14:editId="14489EE8">
                <wp:simplePos x="0" y="0"/>
                <wp:positionH relativeFrom="page">
                  <wp:posOffset>0</wp:posOffset>
                </wp:positionH>
                <wp:positionV relativeFrom="page">
                  <wp:posOffset>2225040</wp:posOffset>
                </wp:positionV>
                <wp:extent cx="7563600" cy="7120800"/>
                <wp:effectExtent l="0" t="0" r="5715" b="4445"/>
                <wp:wrapNone/>
                <wp:docPr id="17" name="Freeform: Shape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3600" cy="7120800"/>
                        </a:xfrm>
                        <a:custGeom>
                          <a:avLst/>
                          <a:gdLst>
                            <a:gd name="connsiteX0" fmla="*/ 0 w 7563408"/>
                            <a:gd name="connsiteY0" fmla="*/ 0 h 7131432"/>
                            <a:gd name="connsiteX1" fmla="*/ 0 w 7563408"/>
                            <a:gd name="connsiteY1" fmla="*/ 7131433 h 7131432"/>
                            <a:gd name="connsiteX2" fmla="*/ 4832160 w 7563408"/>
                            <a:gd name="connsiteY2" fmla="*/ 7131433 h 7131432"/>
                            <a:gd name="connsiteX3" fmla="*/ 7563408 w 7563408"/>
                            <a:gd name="connsiteY3" fmla="*/ 1337144 h 7131432"/>
                            <a:gd name="connsiteX4" fmla="*/ 7563408 w 7563408"/>
                            <a:gd name="connsiteY4" fmla="*/ 0 h 7131432"/>
                            <a:gd name="connsiteX5" fmla="*/ 0 w 7563408"/>
                            <a:gd name="connsiteY5" fmla="*/ 0 h 71314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08" h="7131432">
                              <a:moveTo>
                                <a:pt x="0" y="0"/>
                              </a:moveTo>
                              <a:lnTo>
                                <a:pt x="0" y="7131433"/>
                              </a:lnTo>
                              <a:lnTo>
                                <a:pt x="4832160" y="7131433"/>
                              </a:lnTo>
                              <a:lnTo>
                                <a:pt x="7563408" y="1337144"/>
                              </a:lnTo>
                              <a:lnTo>
                                <a:pt x="7563408" y="0"/>
                              </a:lnTo>
                              <a:lnTo>
                                <a:pt x="0" y="0"/>
                              </a:lnTo>
                              <a:close/>
                            </a:path>
                          </a:pathLst>
                        </a:custGeom>
                        <a:blipFill>
                          <a:blip r:embed="rId35" cstate="email">
                            <a:extLst>
                              <a:ext uri="{28A0092B-C50C-407E-A947-70E740481C1C}">
                                <a14:useLocalDpi xmlns:a14="http://schemas.microsoft.com/office/drawing/2010/main"/>
                              </a:ext>
                            </a:extLst>
                          </a:blip>
                          <a:srcRect/>
                          <a:stretch>
                            <a:fillRect/>
                          </a:stretch>
                        </a:blipFill>
                        <a:ln w="1269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DD278A" id="Freeform: Shape 17" o:spid="_x0000_s1026" alt="&quot;&quot;" style="position:absolute;margin-left:0;margin-top:175.2pt;width:595.55pt;height:560.7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7563408,71314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" path="m,l,7131433r4832160,l7563408,1337144,7563408,,,xe" stroked="f" strokeweight=".35264mm">
                <v:fill r:id="rId36" o:title="" recolor="t" rotate="t" type="frame"/>
                <v:stroke joinstyle="miter"/>
                <v:path arrowok="t" o:connecttype="custom" o:connectlocs="0,0;0,7120801;4832283,7120801;7563600,1335150;7563600,0;0,0" o:connectangles="0,0,0,0,0,0"/>
                <w10:wrap anchorx="page" anchory="page"/>
                <w10:anchorlock/>
              </v:shape>
            </w:pict>
          </mc:Fallback>
        </mc:AlternateContent>
      </w:r>
    </w:p>
    <w:p w14:paraId="7DDFCBF5" w14:textId="77777777" w:rsidR="00254F12" w:rsidRPr="004C1F02" w:rsidRDefault="00254F12" w:rsidP="004C1F02">
      <w:pPr>
        <w:sectPr w:rsidR="00254F12" w:rsidRPr="004C1F02" w:rsidSect="00E52A9A">
          <w:headerReference w:type="even" r:id="rId37"/>
          <w:headerReference w:type="default" r:id="rId38"/>
          <w:footerReference w:type="even" r:id="rId39"/>
          <w:footerReference w:type="default" r:id="rId40"/>
          <w:headerReference w:type="first" r:id="rId41"/>
          <w:footerReference w:type="first" r:id="rId42"/>
          <w:type w:val="continuous"/>
          <w:pgSz w:w="11907" w:h="16839" w:code="9"/>
          <w:pgMar w:top="737" w:right="850" w:bottom="850" w:left="850" w:header="283" w:footer="283" w:gutter="0"/>
          <w:cols w:space="454"/>
          <w:noEndnote/>
          <w:titlePg/>
          <w:docGrid w:linePitch="360"/>
        </w:sectPr>
      </w:pPr>
    </w:p>
    <w:bookmarkStart w:id="53" w:name="_Hlk131848832"/>
    <w:bookmarkEnd w:id="0"/>
    <w:p w14:paraId="01FA8B18" w14:textId="77777777" w:rsidR="005E5411" w:rsidRPr="00950C59" w:rsidRDefault="005E5411" w:rsidP="007B2FCE">
      <w:pPr>
        <w:pStyle w:val="SmallBodyText"/>
      </w:pPr>
      <w:r w:rsidRPr="00950C59">
        <w:rPr>
          <w:noProof/>
        </w:rPr>
        <w:lastRenderedPageBreak/>
        <mc:AlternateContent>
          <mc:Choice Requires="wps">
            <w:drawing>
              <wp:anchor distT="0" distB="0" distL="114300" distR="114300" simplePos="0" relativeHeight="251658258" behindDoc="0" locked="1" layoutInCell="1" allowOverlap="1" wp14:anchorId="12FB3345" wp14:editId="66C34F8A">
                <wp:simplePos x="0" y="0"/>
                <wp:positionH relativeFrom="page">
                  <wp:posOffset>2451735</wp:posOffset>
                </wp:positionH>
                <wp:positionV relativeFrom="page">
                  <wp:posOffset>1620520</wp:posOffset>
                </wp:positionV>
                <wp:extent cx="7880400" cy="3168000"/>
                <wp:effectExtent l="0" t="0" r="0" b="0"/>
                <wp:wrapNone/>
                <wp:docPr id="3" name="Freeform: Shape 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80400" cy="3168000"/>
                        </a:xfrm>
                        <a:custGeom>
                          <a:avLst/>
                          <a:gdLst>
                            <a:gd name="T0" fmla="*/ 0 w 12410"/>
                            <a:gd name="T1" fmla="*/ 4989 h 4989"/>
                            <a:gd name="T2" fmla="*/ 2359 w 12410"/>
                            <a:gd name="T3" fmla="*/ 0 h 4989"/>
                            <a:gd name="T4" fmla="*/ 12410 w 12410"/>
                            <a:gd name="T5" fmla="*/ 0 h 4989"/>
                            <a:gd name="T6" fmla="*/ 12410 w 12410"/>
                            <a:gd name="T7" fmla="*/ 4989 h 4989"/>
                            <a:gd name="T8" fmla="*/ 0 w 12410"/>
                            <a:gd name="T9" fmla="*/ 4989 h 4989"/>
                          </a:gdLst>
                          <a:ahLst/>
                          <a:cxnLst>
                            <a:cxn ang="0">
                              <a:pos x="T0" y="T1"/>
                            </a:cxn>
                            <a:cxn ang="0">
                              <a:pos x="T2" y="T3"/>
                            </a:cxn>
                            <a:cxn ang="0">
                              <a:pos x="T4" y="T5"/>
                            </a:cxn>
                            <a:cxn ang="0">
                              <a:pos x="T6" y="T7"/>
                            </a:cxn>
                            <a:cxn ang="0">
                              <a:pos x="T8" y="T9"/>
                            </a:cxn>
                          </a:cxnLst>
                          <a:rect l="0" t="0" r="r" b="b"/>
                          <a:pathLst>
                            <a:path w="12410" h="4989">
                              <a:moveTo>
                                <a:pt x="0" y="4989"/>
                              </a:moveTo>
                              <a:lnTo>
                                <a:pt x="2359" y="0"/>
                              </a:lnTo>
                              <a:lnTo>
                                <a:pt x="12410" y="0"/>
                              </a:lnTo>
                              <a:lnTo>
                                <a:pt x="12410" y="4989"/>
                              </a:lnTo>
                              <a:lnTo>
                                <a:pt x="0" y="4989"/>
                              </a:lnTo>
                              <a:close/>
                            </a:path>
                          </a:pathLst>
                        </a:custGeom>
                        <a:solidFill>
                          <a:schemeClr val="dk2">
                            <a:alpha val="30196"/>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7E10CB" id="Freeform: Shape 3" o:spid="_x0000_s1026" style="position:absolute;margin-left:193.05pt;margin-top:127.6pt;width:620.5pt;height:249.45pt;z-index:25165825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2410,4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" path="m,4989l2359,,12410,r,4989l,4989xe" fillcolor="#201547 [3202]" stroked="f">
                <v:fill opacity="19789f"/>
                <v:path arrowok="t" o:connecttype="custom" o:connectlocs="0,3168000;1497975,0;7880400,0;7880400,3168000;0,3168000" o:connectangles="0,0,0,0,0"/>
                <w10:wrap anchorx="page" anchory="page"/>
                <w10:anchorlock/>
              </v:shape>
            </w:pict>
          </mc:Fallback>
        </mc:AlternateContent>
      </w:r>
      <w:r w:rsidRPr="00950C59">
        <w:rPr>
          <w:noProof/>
        </w:rPr>
        <mc:AlternateContent>
          <mc:Choice Requires="wps">
            <w:drawing>
              <wp:anchor distT="0" distB="0" distL="114300" distR="114300" simplePos="0" relativeHeight="251658261" behindDoc="0" locked="1" layoutInCell="1" allowOverlap="1" wp14:anchorId="4950F6FA" wp14:editId="3D6E9BA9">
                <wp:simplePos x="0" y="0"/>
                <wp:positionH relativeFrom="page">
                  <wp:posOffset>2451735</wp:posOffset>
                </wp:positionH>
                <wp:positionV relativeFrom="page">
                  <wp:posOffset>1620520</wp:posOffset>
                </wp:positionV>
                <wp:extent cx="7880400" cy="3168000"/>
                <wp:effectExtent l="0" t="0" r="0" b="0"/>
                <wp:wrapNone/>
                <wp:docPr id="4" name="Freeform: Shape 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80400" cy="3168000"/>
                        </a:xfrm>
                        <a:custGeom>
                          <a:avLst/>
                          <a:gdLst>
                            <a:gd name="T0" fmla="*/ 0 w 12410"/>
                            <a:gd name="T1" fmla="*/ 4989 h 4989"/>
                            <a:gd name="T2" fmla="*/ 2359 w 12410"/>
                            <a:gd name="T3" fmla="*/ 0 h 4989"/>
                            <a:gd name="T4" fmla="*/ 12410 w 12410"/>
                            <a:gd name="T5" fmla="*/ 0 h 4989"/>
                            <a:gd name="T6" fmla="*/ 12410 w 12410"/>
                            <a:gd name="T7" fmla="*/ 4989 h 4989"/>
                            <a:gd name="T8" fmla="*/ 0 w 12410"/>
                            <a:gd name="T9" fmla="*/ 4989 h 4989"/>
                          </a:gdLst>
                          <a:ahLst/>
                          <a:cxnLst>
                            <a:cxn ang="0">
                              <a:pos x="T0" y="T1"/>
                            </a:cxn>
                            <a:cxn ang="0">
                              <a:pos x="T2" y="T3"/>
                            </a:cxn>
                            <a:cxn ang="0">
                              <a:pos x="T4" y="T5"/>
                            </a:cxn>
                            <a:cxn ang="0">
                              <a:pos x="T6" y="T7"/>
                            </a:cxn>
                            <a:cxn ang="0">
                              <a:pos x="T8" y="T9"/>
                            </a:cxn>
                          </a:cxnLst>
                          <a:rect l="0" t="0" r="r" b="b"/>
                          <a:pathLst>
                            <a:path w="12410" h="4989">
                              <a:moveTo>
                                <a:pt x="0" y="4989"/>
                              </a:moveTo>
                              <a:lnTo>
                                <a:pt x="2359" y="0"/>
                              </a:lnTo>
                              <a:lnTo>
                                <a:pt x="12410" y="0"/>
                              </a:lnTo>
                              <a:lnTo>
                                <a:pt x="12410" y="4989"/>
                              </a:lnTo>
                              <a:lnTo>
                                <a:pt x="0" y="4989"/>
                              </a:lnTo>
                              <a:close/>
                            </a:path>
                          </a:pathLst>
                        </a:custGeom>
                        <a:blipFill dpi="0" rotWithShape="1">
                          <a:blip r:embed="rId43" cstate="email">
                            <a:extLst>
                              <a:ext uri="{28A0092B-C50C-407E-A947-70E740481C1C}">
                                <a14:useLocalDpi xmlns:a14="http://schemas.microsoft.com/office/drawing/2010/main"/>
                              </a:ext>
                            </a:extLst>
                          </a:blip>
                          <a:srcRect/>
                          <a:stretch>
                            <a:fillRect t="-288" b="-288"/>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433491" id="Freeform: Shape 4" o:spid="_x0000_s1026" style="position:absolute;margin-left:193.05pt;margin-top:127.6pt;width:620.5pt;height:249.45pt;z-index:251658261;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2410,4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" path="m,4989l2359,,12410,r,4989l,4989xe" stroked="f">
                <v:fill r:id="rId44" o:title="" recolor="t" rotate="t" type="frame"/>
                <v:path arrowok="t" o:connecttype="custom" o:connectlocs="0,3168000;1497975,0;7880400,0;7880400,3168000;0,3168000" o:connectangles="0,0,0,0,0"/>
                <w10:wrap anchorx="page" anchory="page"/>
                <w10:anchorlock/>
              </v:shape>
            </w:pict>
          </mc:Fallback>
        </mc:AlternateContent>
      </w:r>
      <w:r w:rsidRPr="00950C59">
        <w:rPr>
          <w:noProof/>
        </w:rPr>
        <mc:AlternateContent>
          <mc:Choice Requires="wps">
            <w:drawing>
              <wp:anchor distT="0" distB="0" distL="114300" distR="114300" simplePos="0" relativeHeight="251658260" behindDoc="0" locked="1" layoutInCell="1" allowOverlap="1" wp14:anchorId="5203F784" wp14:editId="42AE8D46">
                <wp:simplePos x="0" y="0"/>
                <wp:positionH relativeFrom="page">
                  <wp:posOffset>363855</wp:posOffset>
                </wp:positionH>
                <wp:positionV relativeFrom="page">
                  <wp:posOffset>1620520</wp:posOffset>
                </wp:positionV>
                <wp:extent cx="2080800" cy="3168000"/>
                <wp:effectExtent l="0" t="0" r="0" b="0"/>
                <wp:wrapNone/>
                <wp:docPr id="10" name="Freeform: Shape 1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80800" cy="3168000"/>
                        </a:xfrm>
                        <a:custGeom>
                          <a:avLst/>
                          <a:gdLst>
                            <a:gd name="T0" fmla="*/ 924 w 3278"/>
                            <a:gd name="T1" fmla="*/ 0 h 4989"/>
                            <a:gd name="T2" fmla="*/ 0 w 3278"/>
                            <a:gd name="T3" fmla="*/ 0 h 4989"/>
                            <a:gd name="T4" fmla="*/ 0 w 3278"/>
                            <a:gd name="T5" fmla="*/ 4989 h 4989"/>
                            <a:gd name="T6" fmla="*/ 3278 w 3278"/>
                            <a:gd name="T7" fmla="*/ 4989 h 4989"/>
                            <a:gd name="T8" fmla="*/ 924 w 3278"/>
                            <a:gd name="T9" fmla="*/ 0 h 4989"/>
                          </a:gdLst>
                          <a:ahLst/>
                          <a:cxnLst>
                            <a:cxn ang="0">
                              <a:pos x="T0" y="T1"/>
                            </a:cxn>
                            <a:cxn ang="0">
                              <a:pos x="T2" y="T3"/>
                            </a:cxn>
                            <a:cxn ang="0">
                              <a:pos x="T4" y="T5"/>
                            </a:cxn>
                            <a:cxn ang="0">
                              <a:pos x="T6" y="T7"/>
                            </a:cxn>
                            <a:cxn ang="0">
                              <a:pos x="T8" y="T9"/>
                            </a:cxn>
                          </a:cxnLst>
                          <a:rect l="0" t="0" r="r" b="b"/>
                          <a:pathLst>
                            <a:path w="3278" h="4989">
                              <a:moveTo>
                                <a:pt x="924" y="0"/>
                              </a:moveTo>
                              <a:lnTo>
                                <a:pt x="0" y="0"/>
                              </a:lnTo>
                              <a:lnTo>
                                <a:pt x="0" y="4989"/>
                              </a:lnTo>
                              <a:lnTo>
                                <a:pt x="3278" y="4989"/>
                              </a:lnTo>
                              <a:lnTo>
                                <a:pt x="924" y="0"/>
                              </a:lnTo>
                              <a:close/>
                            </a:path>
                          </a:pathLst>
                        </a:custGeom>
                        <a:solidFill>
                          <a:srgbClr val="201547">
                            <a:alpha val="30196"/>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030E72" id="Freeform: Shape 10" o:spid="_x0000_s1026" style="position:absolute;margin-left:28.65pt;margin-top:127.6pt;width:163.85pt;height:249.45pt;z-index:25165826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278,4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" path="m924,l,,,4989r3278,l924,xe" fillcolor="#201547" stroked="f">
                <v:fill opacity="19789f"/>
                <v:path arrowok="t" o:connecttype="custom" o:connectlocs="586534,0;0,0;0,3168000;2080800,3168000;586534,0" o:connectangles="0,0,0,0,0"/>
                <w10:wrap anchorx="page" anchory="page"/>
                <w10:anchorlock/>
              </v:shape>
            </w:pict>
          </mc:Fallback>
        </mc:AlternateContent>
      </w:r>
      <w:r w:rsidRPr="00950C59">
        <w:rPr>
          <w:noProof/>
        </w:rPr>
        <mc:AlternateContent>
          <mc:Choice Requires="wps">
            <w:drawing>
              <wp:anchor distT="0" distB="0" distL="114300" distR="114300" simplePos="0" relativeHeight="251658266" behindDoc="0" locked="1" layoutInCell="1" allowOverlap="1" wp14:anchorId="6CF5C04A" wp14:editId="7F47EAA9">
                <wp:simplePos x="0" y="0"/>
                <wp:positionH relativeFrom="page">
                  <wp:posOffset>3542030</wp:posOffset>
                </wp:positionH>
                <wp:positionV relativeFrom="page">
                  <wp:posOffset>2353945</wp:posOffset>
                </wp:positionV>
                <wp:extent cx="3657600" cy="4755600"/>
                <wp:effectExtent l="0" t="0" r="0" b="0"/>
                <wp:wrapNone/>
                <wp:docPr id="11" name="Freeform: Shape 1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57600" cy="4755600"/>
                        </a:xfrm>
                        <a:custGeom>
                          <a:avLst/>
                          <a:gdLst>
                            <a:gd name="T0" fmla="*/ 3536 w 5762"/>
                            <a:gd name="T1" fmla="*/ 0 h 7483"/>
                            <a:gd name="T2" fmla="*/ 0 w 5762"/>
                            <a:gd name="T3" fmla="*/ 7483 h 7483"/>
                            <a:gd name="T4" fmla="*/ 5762 w 5762"/>
                            <a:gd name="T5" fmla="*/ 7483 h 7483"/>
                            <a:gd name="T6" fmla="*/ 5762 w 5762"/>
                            <a:gd name="T7" fmla="*/ 0 h 7483"/>
                            <a:gd name="T8" fmla="*/ 3536 w 5762"/>
                            <a:gd name="T9" fmla="*/ 0 h 7483"/>
                          </a:gdLst>
                          <a:ahLst/>
                          <a:cxnLst>
                            <a:cxn ang="0">
                              <a:pos x="T0" y="T1"/>
                            </a:cxn>
                            <a:cxn ang="0">
                              <a:pos x="T2" y="T3"/>
                            </a:cxn>
                            <a:cxn ang="0">
                              <a:pos x="T4" y="T5"/>
                            </a:cxn>
                            <a:cxn ang="0">
                              <a:pos x="T6" y="T7"/>
                            </a:cxn>
                            <a:cxn ang="0">
                              <a:pos x="T8" y="T9"/>
                            </a:cxn>
                          </a:cxnLst>
                          <a:rect l="0" t="0" r="r" b="b"/>
                          <a:pathLst>
                            <a:path w="5762" h="7483">
                              <a:moveTo>
                                <a:pt x="3536" y="0"/>
                              </a:moveTo>
                              <a:lnTo>
                                <a:pt x="0" y="7483"/>
                              </a:lnTo>
                              <a:lnTo>
                                <a:pt x="5762" y="7483"/>
                              </a:lnTo>
                              <a:lnTo>
                                <a:pt x="5762" y="0"/>
                              </a:lnTo>
                              <a:lnTo>
                                <a:pt x="3536" y="0"/>
                              </a:lnTo>
                              <a:close/>
                            </a:path>
                          </a:pathLst>
                        </a:custGeom>
                        <a:blipFill dpi="0" rotWithShape="1">
                          <a:blip r:embed="rId43" cstate="email">
                            <a:extLst>
                              <a:ext uri="{28A0092B-C50C-407E-A947-70E740481C1C}">
                                <a14:useLocalDpi xmlns:a14="http://schemas.microsoft.com/office/drawing/2010/main"/>
                              </a:ext>
                            </a:extLst>
                          </a:blip>
                          <a:srcRect/>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9BFBDA" id="Freeform: Shape 11" o:spid="_x0000_s1026" style="position:absolute;margin-left:278.9pt;margin-top:185.35pt;width:4in;height:374.45pt;z-index:25165826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762,7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" path="m3536,l,7483r5762,l5762,,3536,xe" stroked="f">
                <v:fill r:id="rId44" o:title="" recolor="t" rotate="t" type="frame"/>
                <v:path arrowok="t" o:connecttype="custom" o:connectlocs="2244581,0;0,4755600;3657600,4755600;3657600,0;2244581,0" o:connectangles="0,0,0,0,0"/>
                <w10:wrap anchorx="page" anchory="page"/>
                <w10:anchorlock/>
              </v:shape>
            </w:pict>
          </mc:Fallback>
        </mc:AlternateContent>
      </w:r>
      <w:r w:rsidRPr="00950C59">
        <w:rPr>
          <w:noProof/>
        </w:rPr>
        <mc:AlternateContent>
          <mc:Choice Requires="wps">
            <w:drawing>
              <wp:anchor distT="0" distB="0" distL="114300" distR="114300" simplePos="0" relativeHeight="251658265" behindDoc="0" locked="1" layoutInCell="1" allowOverlap="1" wp14:anchorId="40F1441F" wp14:editId="5643BA1E">
                <wp:simplePos x="0" y="0"/>
                <wp:positionH relativeFrom="page">
                  <wp:posOffset>363220</wp:posOffset>
                </wp:positionH>
                <wp:positionV relativeFrom="page">
                  <wp:posOffset>2353945</wp:posOffset>
                </wp:positionV>
                <wp:extent cx="3182400" cy="4755600"/>
                <wp:effectExtent l="0" t="0" r="0" b="0"/>
                <wp:wrapNone/>
                <wp:docPr id="24" name="Freeform: Shape 2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82400" cy="4755600"/>
                        </a:xfrm>
                        <a:custGeom>
                          <a:avLst/>
                          <a:gdLst>
                            <a:gd name="T0" fmla="*/ 1747 w 5941"/>
                            <a:gd name="T1" fmla="*/ 0 h 8858"/>
                            <a:gd name="T2" fmla="*/ 0 w 5941"/>
                            <a:gd name="T3" fmla="*/ 0 h 8858"/>
                            <a:gd name="T4" fmla="*/ 0 w 5941"/>
                            <a:gd name="T5" fmla="*/ 8858 h 8858"/>
                            <a:gd name="T6" fmla="*/ 5941 w 5941"/>
                            <a:gd name="T7" fmla="*/ 8858 h 8858"/>
                            <a:gd name="T8" fmla="*/ 1747 w 5941"/>
                            <a:gd name="T9" fmla="*/ 0 h 8858"/>
                          </a:gdLst>
                          <a:ahLst/>
                          <a:cxnLst>
                            <a:cxn ang="0">
                              <a:pos x="T0" y="T1"/>
                            </a:cxn>
                            <a:cxn ang="0">
                              <a:pos x="T2" y="T3"/>
                            </a:cxn>
                            <a:cxn ang="0">
                              <a:pos x="T4" y="T5"/>
                            </a:cxn>
                            <a:cxn ang="0">
                              <a:pos x="T6" y="T7"/>
                            </a:cxn>
                            <a:cxn ang="0">
                              <a:pos x="T8" y="T9"/>
                            </a:cxn>
                          </a:cxnLst>
                          <a:rect l="0" t="0" r="r" b="b"/>
                          <a:pathLst>
                            <a:path w="5941" h="8858">
                              <a:moveTo>
                                <a:pt x="1747" y="0"/>
                              </a:moveTo>
                              <a:lnTo>
                                <a:pt x="0" y="0"/>
                              </a:lnTo>
                              <a:lnTo>
                                <a:pt x="0" y="8858"/>
                              </a:lnTo>
                              <a:lnTo>
                                <a:pt x="5941" y="8858"/>
                              </a:lnTo>
                              <a:lnTo>
                                <a:pt x="1747" y="0"/>
                              </a:lnTo>
                              <a:close/>
                            </a:path>
                          </a:pathLst>
                        </a:custGeom>
                        <a:blipFill dpi="0" rotWithShape="1">
                          <a:blip r:embed="rId45" cstate="email">
                            <a:extLst>
                              <a:ext uri="{28A0092B-C50C-407E-A947-70E740481C1C}">
                                <a14:useLocalDpi xmlns:a14="http://schemas.microsoft.com/office/drawing/2010/main"/>
                              </a:ext>
                            </a:extLst>
                          </a:blip>
                          <a:srcRect/>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E3DD05" id="Freeform: Shape 24" o:spid="_x0000_s1026" style="position:absolute;margin-left:28.6pt;margin-top:185.35pt;width:250.6pt;height:374.45pt;z-index:251658265;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941,8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" path="m1747,l,,,8858r5941,l1747,xe" stroked="f">
                <v:fill r:id="rId46" o:title="" recolor="t" rotate="t" type="frame"/>
                <v:path arrowok="t" o:connecttype="custom" o:connectlocs="935811,0;0,0;0,4755600;3182400,4755600;935811,0" o:connectangles="0,0,0,0,0"/>
                <w10:wrap anchorx="page" anchory="page"/>
                <w10:anchorlock/>
              </v:shape>
            </w:pict>
          </mc:Fallback>
        </mc:AlternateContent>
      </w:r>
      <w:r w:rsidRPr="00950C59">
        <w:rPr>
          <w:noProof/>
        </w:rPr>
        <mc:AlternateContent>
          <mc:Choice Requires="wps">
            <w:drawing>
              <wp:anchor distT="0" distB="0" distL="114300" distR="114300" simplePos="1" relativeHeight="251658264" behindDoc="0" locked="1" layoutInCell="1" allowOverlap="1" wp14:anchorId="5FBD7713" wp14:editId="6701151A">
                <wp:simplePos x="3542030" y="7106285"/>
                <wp:positionH relativeFrom="page">
                  <wp:posOffset>3542030</wp:posOffset>
                </wp:positionH>
                <wp:positionV relativeFrom="page">
                  <wp:posOffset>7106285</wp:posOffset>
                </wp:positionV>
                <wp:extent cx="1890000" cy="1994400"/>
                <wp:effectExtent l="0" t="0" r="0" b="0"/>
                <wp:wrapNone/>
                <wp:docPr id="25" name="Freeform: Shape 2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a:blip r:embed="rId47" cstate="email">
                            <a:extLst>
                              <a:ext uri="{28A0092B-C50C-407E-A947-70E740481C1C}">
                                <a14:useLocalDpi xmlns:a14="http://schemas.microsoft.com/office/drawing/2010/main"/>
                              </a:ext>
                            </a:extLst>
                          </a:blip>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EAD663" id="Freeform: Shape 25" o:spid="_x0000_s1026" style="position:absolute;margin-left:278.9pt;margin-top:559.55pt;width:148.8pt;height:157.05pt;z-index:251658264;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" path="m1745,3697l,,3496,,1745,3697xe" stroked="f">
                <v:fill r:id="rId48" o:title="" recolor="t" rotate="t" type="frame"/>
                <v:path arrowok="t" o:connecttype="custom" o:connectlocs="943378,1994400;0,0;1890000,0;943378,1994400" o:connectangles="0,0,0,0"/>
                <w10:wrap anchorx="page" anchory="page"/>
                <w10:anchorlock/>
              </v:shape>
            </w:pict>
          </mc:Fallback>
        </mc:AlternateContent>
      </w:r>
      <w:r w:rsidRPr="00950C59">
        <w:rPr>
          <w:noProof/>
        </w:rPr>
        <mc:AlternateContent>
          <mc:Choice Requires="wps">
            <w:drawing>
              <wp:anchor distT="0" distB="0" distL="114300" distR="114300" simplePos="1" relativeHeight="251658263" behindDoc="0" locked="1" layoutInCell="1" allowOverlap="1" wp14:anchorId="1E0B2AFB" wp14:editId="2870A36F">
                <wp:simplePos x="3542030" y="7106285"/>
                <wp:positionH relativeFrom="page">
                  <wp:posOffset>3542030</wp:posOffset>
                </wp:positionH>
                <wp:positionV relativeFrom="page">
                  <wp:posOffset>7106285</wp:posOffset>
                </wp:positionV>
                <wp:extent cx="1890000" cy="1994400"/>
                <wp:effectExtent l="0" t="0" r="0" b="0"/>
                <wp:wrapNone/>
                <wp:docPr id="26" name="Freeform: Shape 2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a:blip r:embed="rId49"/>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B80971" id="Freeform: Shape 26" o:spid="_x0000_s1026" style="position:absolute;margin-left:278.9pt;margin-top:559.55pt;width:148.8pt;height:157.05pt;z-index:251658263;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" path="m1745,3697l,,3496,,1745,3697xe" stroked="f">
                <v:fill r:id="rId50" o:title="" recolor="t" rotate="t" type="frame"/>
                <v:path arrowok="t" o:connecttype="custom" o:connectlocs="943378,1994400;0,0;1890000,0;943378,1994400" o:connectangles="0,0,0,0"/>
                <w10:wrap anchorx="page" anchory="page"/>
                <w10:anchorlock/>
              </v:shape>
            </w:pict>
          </mc:Fallback>
        </mc:AlternateContent>
      </w:r>
      <w:r w:rsidRPr="00950C59">
        <w:rPr>
          <w:noProof/>
        </w:rPr>
        <mc:AlternateContent>
          <mc:Choice Requires="wps">
            <w:drawing>
              <wp:anchor distT="0" distB="0" distL="114300" distR="114300" simplePos="0" relativeHeight="251658259" behindDoc="0" locked="1" layoutInCell="1" allowOverlap="1" wp14:anchorId="1FB9FE92" wp14:editId="6DCF3EF1">
                <wp:simplePos x="0" y="0"/>
                <wp:positionH relativeFrom="page">
                  <wp:posOffset>0</wp:posOffset>
                </wp:positionH>
                <wp:positionV relativeFrom="page">
                  <wp:align>bottom</wp:align>
                </wp:positionV>
                <wp:extent cx="3848400" cy="720000"/>
                <wp:effectExtent l="0" t="0" r="0" b="0"/>
                <wp:wrapNone/>
                <wp:docPr id="28" name="Text Box 28" hidden="1"/>
                <wp:cNvGraphicFramePr/>
                <a:graphic xmlns:a="http://schemas.openxmlformats.org/drawingml/2006/main">
                  <a:graphicData uri="http://schemas.microsoft.com/office/word/2010/wordprocessingShape">
                    <wps:wsp>
                      <wps:cNvSpPr txBox="1"/>
                      <wps:spPr>
                        <a:xfrm>
                          <a:off x="0" y="0"/>
                          <a:ext cx="3848400" cy="72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7886B9" w14:textId="77777777" w:rsidR="005E5411" w:rsidRPr="009F69FA" w:rsidRDefault="005E5411" w:rsidP="005E5411">
                            <w:pPr>
                              <w:pStyle w:val="xWebCoverPage"/>
                            </w:pPr>
                            <w:r w:rsidRPr="009F69FA">
                              <w:t>de</w:t>
                            </w:r>
                            <w:r>
                              <w:t>lw</w:t>
                            </w:r>
                            <w:r w:rsidRPr="009F69FA">
                              <w:t>p.vic.gov.au</w:t>
                            </w:r>
                          </w:p>
                        </w:txbxContent>
                      </wps:txbx>
                      <wps:bodyPr rot="0" spcFirstLastPara="0" vertOverflow="overflow" horzOverflow="overflow" vert="horz" wrap="square" lIns="72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FE92" id="Text Box 28" o:spid="_x0000_s1029" type="#_x0000_t202" style="position:absolute;margin-left:0;margin-top:0;width:303pt;height:56.7pt;z-index:251658259;visibility:hidden;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" filled="f" stroked="f" strokeweight=".5pt">
                <v:textbox inset="20mm">
                  <w:txbxContent>
                    <w:p w14:paraId="1E7886B9" w14:textId="77777777" w:rsidR="005E5411" w:rsidRPr="009F69FA" w:rsidRDefault="005E5411" w:rsidP="005E5411">
                      <w:pPr>
                        <w:pStyle w:val="xWebCoverPage"/>
                      </w:pPr>
                      <w:r w:rsidRPr="009F69FA">
                        <w:t>de</w:t>
                      </w:r>
                      <w:r>
                        <w:t>lw</w:t>
                      </w:r>
                      <w:r w:rsidRPr="009F69FA">
                        <w:t>p.vic.gov.au</w:t>
                      </w:r>
                    </w:p>
                  </w:txbxContent>
                </v:textbox>
                <w10:wrap anchorx="page" anchory="page"/>
                <w10:anchorlock/>
              </v:shape>
            </w:pict>
          </mc:Fallback>
        </mc:AlternateContent>
      </w:r>
      <w:r w:rsidRPr="00950C59">
        <w:rPr>
          <w:noProof/>
        </w:rPr>
        <mc:AlternateContent>
          <mc:Choice Requires="wps">
            <w:drawing>
              <wp:anchor distT="0" distB="0" distL="114300" distR="114300" simplePos="0" relativeHeight="251658262" behindDoc="1" locked="1" layoutInCell="1" allowOverlap="1" wp14:anchorId="57364918" wp14:editId="57566514">
                <wp:simplePos x="0" y="0"/>
                <wp:positionH relativeFrom="page">
                  <wp:posOffset>360045</wp:posOffset>
                </wp:positionH>
                <wp:positionV relativeFrom="page">
                  <wp:posOffset>1620520</wp:posOffset>
                </wp:positionV>
                <wp:extent cx="9972000" cy="3168000"/>
                <wp:effectExtent l="0" t="0" r="0" b="0"/>
                <wp:wrapNone/>
                <wp:docPr id="34" name="Rectangle 34" descr="Cover Image" hidden="1" title="Cover Image"/>
                <wp:cNvGraphicFramePr/>
                <a:graphic xmlns:a="http://schemas.openxmlformats.org/drawingml/2006/main">
                  <a:graphicData uri="http://schemas.microsoft.com/office/word/2010/wordprocessingShape">
                    <wps:wsp>
                      <wps:cNvSpPr/>
                      <wps:spPr>
                        <a:xfrm>
                          <a:off x="0" y="0"/>
                          <a:ext cx="9972000" cy="3168000"/>
                        </a:xfrm>
                        <a:prstGeom prst="rect">
                          <a:avLst/>
                        </a:prstGeom>
                        <a:blipFill dpi="0" rotWithShape="1">
                          <a:blip r:embed="rId51" cstate="email">
                            <a:extLst>
                              <a:ext uri="{28A0092B-C50C-407E-A947-70E740481C1C}">
                                <a14:useLocalDpi xmlns:a14="http://schemas.microsoft.com/office/drawing/2010/main"/>
                              </a:ext>
                            </a:extLst>
                          </a:blip>
                          <a:srcRect/>
                          <a:stretch>
                            <a:fillRect t="-221" b="-221"/>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10A696" id="Rectangle 34" o:spid="_x0000_s1026" alt="Title: Cover Image - Description: Cover Image" style="position:absolute;margin-left:28.35pt;margin-top:127.6pt;width:785.2pt;height:249.45pt;z-index:-25165821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" stroked="f" strokeweight="2pt">
                <v:fill r:id="rId52" o:title="Cover Image" recolor="t" rotate="t" type="frame"/>
                <w10:wrap anchorx="page" anchory="page"/>
                <w10:anchorlock/>
              </v:rect>
            </w:pict>
          </mc:Fallback>
        </mc:AlternateContent>
      </w:r>
      <w:r w:rsidRPr="00950C59">
        <w:t xml:space="preserve">This project was undertaken by the economics team in </w:t>
      </w:r>
      <w:r>
        <w:t>DEECA</w:t>
      </w:r>
      <w:r w:rsidRPr="00950C59">
        <w:t xml:space="preserve">’s Strategy and Performance Division to support the strategic planning and decision making of the Great Ocean Road Coast and Parks Authority (GORCAPA).  </w:t>
      </w:r>
    </w:p>
    <w:p w14:paraId="704A63CA" w14:textId="77777777" w:rsidR="005E5411" w:rsidRPr="00950C59" w:rsidRDefault="005E5411" w:rsidP="007B2FCE">
      <w:pPr>
        <w:pStyle w:val="SmallBodyText"/>
      </w:pPr>
      <w:r>
        <w:rPr>
          <w:b/>
        </w:rPr>
        <w:t xml:space="preserve">DEECA </w:t>
      </w:r>
      <w:r w:rsidRPr="00950C59">
        <w:rPr>
          <w:b/>
        </w:rPr>
        <w:t xml:space="preserve">Study team: </w:t>
      </w:r>
      <w:r w:rsidRPr="00950C59">
        <w:t>Phil Cryle</w:t>
      </w:r>
      <w:r>
        <w:t>*</w:t>
      </w:r>
      <w:r w:rsidRPr="00950C59">
        <w:t>,</w:t>
      </w:r>
      <w:r w:rsidRPr="00950C59">
        <w:rPr>
          <w:bCs/>
        </w:rPr>
        <w:t xml:space="preserve"> </w:t>
      </w:r>
      <w:r w:rsidRPr="00950C59">
        <w:t>Ziggy Gelman, Louise Prossor</w:t>
      </w:r>
      <w:r>
        <w:t>*</w:t>
      </w:r>
      <w:r w:rsidRPr="00950C59">
        <w:t>, Charlie Showers</w:t>
      </w:r>
      <w:r>
        <w:t>,</w:t>
      </w:r>
      <w:r w:rsidRPr="00501D6C">
        <w:rPr>
          <w:bCs/>
        </w:rPr>
        <w:t xml:space="preserve"> </w:t>
      </w:r>
      <w:r w:rsidRPr="00950C59">
        <w:rPr>
          <w:bCs/>
        </w:rPr>
        <w:t>Helen Betts O’Shea</w:t>
      </w:r>
      <w:r w:rsidRPr="00950C59">
        <w:t xml:space="preserve"> (</w:t>
      </w:r>
      <w:r>
        <w:t>*formerly</w:t>
      </w:r>
      <w:r w:rsidRPr="00950C59">
        <w:t xml:space="preserve"> DELWP)</w:t>
      </w:r>
    </w:p>
    <w:p w14:paraId="30C3E055" w14:textId="77777777" w:rsidR="005E5411" w:rsidRPr="00950C59" w:rsidRDefault="005E5411" w:rsidP="007B2FCE">
      <w:pPr>
        <w:pStyle w:val="SmallBodyText"/>
        <w:rPr>
          <w:bCs/>
        </w:rPr>
      </w:pPr>
      <w:r w:rsidRPr="00950C59">
        <w:rPr>
          <w:b/>
        </w:rPr>
        <w:t xml:space="preserve">Project sponsors: </w:t>
      </w:r>
      <w:r w:rsidRPr="00950C59">
        <w:rPr>
          <w:bCs/>
        </w:rPr>
        <w:t xml:space="preserve">Regional Director of Barwon South-West and the </w:t>
      </w:r>
      <w:r w:rsidRPr="00950C59">
        <w:rPr>
          <w:rStyle w:val="normaltextrun"/>
          <w:rFonts w:ascii="Arial" w:hAnsi="Arial"/>
          <w:color w:val="111111" w:themeColor="text1" w:themeShade="80"/>
          <w:bdr w:val="none" w:sz="0" w:space="0" w:color="auto" w:frame="1"/>
        </w:rPr>
        <w:t xml:space="preserve">Executive Director of Strategy and Performance Division </w:t>
      </w:r>
      <w:r w:rsidRPr="00950C59">
        <w:rPr>
          <w:bCs/>
        </w:rPr>
        <w:t xml:space="preserve">(both </w:t>
      </w:r>
      <w:r>
        <w:rPr>
          <w:bCs/>
        </w:rPr>
        <w:t>DEECA</w:t>
      </w:r>
      <w:r w:rsidRPr="00950C59">
        <w:rPr>
          <w:bCs/>
        </w:rPr>
        <w:t>)</w:t>
      </w:r>
    </w:p>
    <w:p w14:paraId="4D42BD29" w14:textId="77777777" w:rsidR="005E5411" w:rsidRPr="00950C59" w:rsidRDefault="005E5411" w:rsidP="007B2FCE">
      <w:pPr>
        <w:pStyle w:val="SmallBodyText"/>
        <w:rPr>
          <w:bCs/>
        </w:rPr>
      </w:pPr>
      <w:r w:rsidRPr="00950C59">
        <w:rPr>
          <w:b/>
        </w:rPr>
        <w:t>Project Steering Group:</w:t>
      </w:r>
      <w:r w:rsidRPr="00950C59">
        <w:rPr>
          <w:bCs/>
        </w:rPr>
        <w:t xml:space="preserve"> Joanna Gilligan, Libby Sampson, Sue Andrews, Angeline Charlies (all </w:t>
      </w:r>
      <w:r>
        <w:rPr>
          <w:bCs/>
        </w:rPr>
        <w:t>DEECA</w:t>
      </w:r>
      <w:r w:rsidRPr="00950C59">
        <w:rPr>
          <w:bCs/>
        </w:rPr>
        <w:t xml:space="preserve">), Daniel Aitken and Katie Hart (GORCAPA), Jason Borg (Parks Victoria) and Scott Rawlings (observer from The Office of the Commissioner for Environmental Sustainability) </w:t>
      </w:r>
    </w:p>
    <w:p w14:paraId="64AE6F92" w14:textId="77777777" w:rsidR="005E5411" w:rsidRDefault="005E5411" w:rsidP="007B2FCE">
      <w:pPr>
        <w:pStyle w:val="SmallBodyText"/>
      </w:pPr>
      <w:r w:rsidRPr="0068516C">
        <w:rPr>
          <w:b/>
          <w:noProof/>
        </w:rPr>
        <mc:AlternateContent>
          <mc:Choice Requires="wps">
            <w:drawing>
              <wp:anchor distT="0" distB="0" distL="114300" distR="114300" simplePos="0" relativeHeight="251658267" behindDoc="0" locked="0" layoutInCell="1" allowOverlap="1" wp14:anchorId="674F4651" wp14:editId="05024677">
                <wp:simplePos x="0" y="0"/>
                <wp:positionH relativeFrom="page">
                  <wp:align>left</wp:align>
                </wp:positionH>
                <wp:positionV relativeFrom="page">
                  <wp:align>top</wp:align>
                </wp:positionV>
                <wp:extent cx="7562850" cy="1609725"/>
                <wp:effectExtent l="0" t="0" r="0" b="0"/>
                <wp:wrapTopAndBottom/>
                <wp:docPr id="841" name="Text Box 841" hidden="1" title="Co-Branding Logos"/>
                <wp:cNvGraphicFramePr/>
                <a:graphic xmlns:a="http://schemas.openxmlformats.org/drawingml/2006/main">
                  <a:graphicData uri="http://schemas.microsoft.com/office/word/2010/wordprocessingShape">
                    <wps:wsp>
                      <wps:cNvSpPr txBox="1"/>
                      <wps:spPr>
                        <a:xfrm>
                          <a:off x="0" y="0"/>
                          <a:ext cx="7562850" cy="1609725"/>
                        </a:xfrm>
                        <a:prstGeom prst="rect">
                          <a:avLst/>
                        </a:prstGeom>
                        <a:noFill/>
                        <a:ln w="6350">
                          <a:noFill/>
                        </a:ln>
                        <a:effectLst/>
                      </wps:spPr>
                      <wps:txbx>
                        <w:txbxContent>
                          <w:tbl>
                            <w:tblPr>
                              <w:tblStyle w:val="LogoPlaceholder2"/>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5E5411" w:rsidRPr="00AB780B" w14:paraId="10F88A07" w14:textId="77777777" w:rsidTr="00666947">
                              <w:trPr>
                                <w:trHeight w:hRule="exact" w:val="1247"/>
                                <w:tblCellSpacing w:w="71" w:type="dxa"/>
                              </w:trPr>
                              <w:tc>
                                <w:tcPr>
                                  <w:tcW w:w="1601" w:type="dxa"/>
                                  <w:vAlign w:val="center"/>
                                </w:tcPr>
                                <w:p w14:paraId="5AC9791B" w14:textId="77777777" w:rsidR="005E5411" w:rsidRPr="00D55628" w:rsidRDefault="005E5411" w:rsidP="00666947">
                                  <w:r w:rsidRPr="00D55628">
                                    <w:rPr>
                                      <w:noProof/>
                                    </w:rPr>
                                    <w:drawing>
                                      <wp:inline distT="0" distB="0" distL="0" distR="0" wp14:anchorId="5607EE03" wp14:editId="0942D358">
                                        <wp:extent cx="1016635" cy="520065"/>
                                        <wp:effectExtent l="0" t="0" r="0" b="0"/>
                                        <wp:docPr id="298896187" name="Picture 298896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49">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7E37EFC6" w14:textId="77777777" w:rsidR="005E5411" w:rsidRPr="00D55628" w:rsidRDefault="005E5411" w:rsidP="00666947">
                                  <w:r w:rsidRPr="00D55628">
                                    <w:rPr>
                                      <w:noProof/>
                                    </w:rPr>
                                    <w:drawing>
                                      <wp:inline distT="0" distB="0" distL="0" distR="0" wp14:anchorId="63B279CF" wp14:editId="50F7E5CC">
                                        <wp:extent cx="1016635" cy="520065"/>
                                        <wp:effectExtent l="0" t="0" r="0" b="0"/>
                                        <wp:docPr id="394163597" name="Picture 394163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49">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42F67F82" w14:textId="77777777" w:rsidR="005E5411" w:rsidRPr="00D55628" w:rsidRDefault="005E5411" w:rsidP="00666947">
                                  <w:r w:rsidRPr="00D55628">
                                    <w:rPr>
                                      <w:noProof/>
                                    </w:rPr>
                                    <w:drawing>
                                      <wp:inline distT="0" distB="0" distL="0" distR="0" wp14:anchorId="513796A7" wp14:editId="5C9B72D0">
                                        <wp:extent cx="1016635" cy="520065"/>
                                        <wp:effectExtent l="0" t="0" r="0" b="0"/>
                                        <wp:docPr id="905101667" name="Picture 90510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49">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05866C61" w14:textId="77777777" w:rsidR="005E5411" w:rsidRPr="00D55628" w:rsidRDefault="005E5411" w:rsidP="00666947">
                                  <w:r w:rsidRPr="00D55628">
                                    <w:rPr>
                                      <w:noProof/>
                                    </w:rPr>
                                    <w:drawing>
                                      <wp:inline distT="0" distB="0" distL="0" distR="0" wp14:anchorId="52906FDA" wp14:editId="0A1FD351">
                                        <wp:extent cx="1016635" cy="520065"/>
                                        <wp:effectExtent l="0" t="0" r="0" b="0"/>
                                        <wp:docPr id="629958591" name="Picture 629958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49">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14:paraId="29D3D848" w14:textId="77777777" w:rsidR="005E5411" w:rsidRPr="00D55628" w:rsidRDefault="005E5411" w:rsidP="005E5411">
                            <w:pPr>
                              <w:pStyle w:val="xDisclaimerText"/>
                            </w:pPr>
                          </w:p>
                        </w:txbxContent>
                      </wps:txbx>
                      <wps:bodyPr rot="0" spcFirstLastPara="0" vertOverflow="overflow" horzOverflow="overflow" vert="horz" wrap="square" lIns="720000" tIns="612000" rIns="9144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674F4651" id="_x0000_t202" coordsize="21600,21600" o:spt="202" path="m,l,21600r21600,l21600,xe">
                <v:stroke joinstyle="miter"/>
                <v:path gradientshapeok="t" o:connecttype="rect"/>
              </v:shapetype>
              <v:shape id="Text Box 841" o:spid="_x0000_s1030" type="#_x0000_t202" alt="Title: Co-Branding Logos" style="position:absolute;margin-left:0;margin-top:0;width:595.5pt;height:126.75pt;z-index:251658267;visibility:hidden;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" filled="f" stroked="f" strokeweight=".5pt">
                <v:textbox style="mso-fit-shape-to-text:t" inset="20mm,17mm,,0">
                  <w:txbxContent>
                    <w:tbl>
                      <w:tblPr>
                        <w:tblStyle w:val="LogoPlaceholder2"/>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5E5411" w:rsidRPr="00AB780B" w14:paraId="10F88A07" w14:textId="77777777" w:rsidTr="00666947">
                        <w:trPr>
                          <w:trHeight w:hRule="exact" w:val="1247"/>
                          <w:tblCellSpacing w:w="71" w:type="dxa"/>
                        </w:trPr>
                        <w:tc>
                          <w:tcPr>
                            <w:tcW w:w="1601" w:type="dxa"/>
                            <w:vAlign w:val="center"/>
                          </w:tcPr>
                          <w:p w14:paraId="5AC9791B" w14:textId="77777777" w:rsidR="005E5411" w:rsidRPr="00D55628" w:rsidRDefault="005E5411" w:rsidP="00666947">
                            <w:r w:rsidRPr="00D55628">
                              <w:rPr>
                                <w:noProof/>
                              </w:rPr>
                              <w:drawing>
                                <wp:inline distT="0" distB="0" distL="0" distR="0" wp14:anchorId="5607EE03" wp14:editId="0942D358">
                                  <wp:extent cx="1016635" cy="520065"/>
                                  <wp:effectExtent l="0" t="0" r="0" b="0"/>
                                  <wp:docPr id="298896187" name="Picture 298896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49">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7E37EFC6" w14:textId="77777777" w:rsidR="005E5411" w:rsidRPr="00D55628" w:rsidRDefault="005E5411" w:rsidP="00666947">
                            <w:r w:rsidRPr="00D55628">
                              <w:rPr>
                                <w:noProof/>
                              </w:rPr>
                              <w:drawing>
                                <wp:inline distT="0" distB="0" distL="0" distR="0" wp14:anchorId="63B279CF" wp14:editId="50F7E5CC">
                                  <wp:extent cx="1016635" cy="520065"/>
                                  <wp:effectExtent l="0" t="0" r="0" b="0"/>
                                  <wp:docPr id="394163597" name="Picture 394163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49">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42F67F82" w14:textId="77777777" w:rsidR="005E5411" w:rsidRPr="00D55628" w:rsidRDefault="005E5411" w:rsidP="00666947">
                            <w:r w:rsidRPr="00D55628">
                              <w:rPr>
                                <w:noProof/>
                              </w:rPr>
                              <w:drawing>
                                <wp:inline distT="0" distB="0" distL="0" distR="0" wp14:anchorId="513796A7" wp14:editId="5C9B72D0">
                                  <wp:extent cx="1016635" cy="520065"/>
                                  <wp:effectExtent l="0" t="0" r="0" b="0"/>
                                  <wp:docPr id="905101667" name="Picture 90510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49">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05866C61" w14:textId="77777777" w:rsidR="005E5411" w:rsidRPr="00D55628" w:rsidRDefault="005E5411" w:rsidP="00666947">
                            <w:r w:rsidRPr="00D55628">
                              <w:rPr>
                                <w:noProof/>
                              </w:rPr>
                              <w:drawing>
                                <wp:inline distT="0" distB="0" distL="0" distR="0" wp14:anchorId="52906FDA" wp14:editId="0A1FD351">
                                  <wp:extent cx="1016635" cy="520065"/>
                                  <wp:effectExtent l="0" t="0" r="0" b="0"/>
                                  <wp:docPr id="629958591" name="Picture 629958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49">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14:paraId="29D3D848" w14:textId="77777777" w:rsidR="005E5411" w:rsidRPr="00D55628" w:rsidRDefault="005E5411" w:rsidP="005E5411">
                      <w:pPr>
                        <w:pStyle w:val="xDisclaimerText"/>
                      </w:pPr>
                    </w:p>
                  </w:txbxContent>
                </v:textbox>
                <w10:wrap type="topAndBottom" anchorx="page" anchory="page"/>
              </v:shape>
            </w:pict>
          </mc:Fallback>
        </mc:AlternateContent>
      </w:r>
      <w:r w:rsidRPr="0068516C">
        <w:rPr>
          <w:b/>
        </w:rPr>
        <w:t xml:space="preserve">Acknowledgements: </w:t>
      </w:r>
      <w:r w:rsidRPr="0068516C">
        <w:t xml:space="preserve">Daniel </w:t>
      </w:r>
      <w:proofErr w:type="spellStart"/>
      <w:r w:rsidRPr="0068516C">
        <w:t>Ierodiaconou</w:t>
      </w:r>
      <w:proofErr w:type="spellEnd"/>
      <w:r w:rsidRPr="0068516C">
        <w:t xml:space="preserve">, Mary Young, Eric Treml, Paul Carnell (all Deakin University); Steph Sweeny, Lawrance Ferns, Rebecca Price, Adam Hood, Jacqueline Pocklington, David Reid, Paul Reich, Joel Rawlinson, Angela Vary, Andrew Standish, Rhiannon Holden, Kimberley McDonald (all DEECA); Mohita Roman, Ian Lanyon, Alex Scott, </w:t>
      </w:r>
      <w:proofErr w:type="spellStart"/>
      <w:r w:rsidRPr="0068516C">
        <w:t>Varlea</w:t>
      </w:r>
      <w:proofErr w:type="spellEnd"/>
      <w:r w:rsidRPr="0068516C">
        <w:t xml:space="preserve"> Connors, Simon Milligan (all DET); Tim </w:t>
      </w:r>
      <w:proofErr w:type="spellStart"/>
      <w:r w:rsidRPr="0068516C">
        <w:t>Liersch</w:t>
      </w:r>
      <w:proofErr w:type="spellEnd"/>
      <w:r w:rsidRPr="0068516C">
        <w:t xml:space="preserve">, Elizabeth Mansfield, Max Collett, </w:t>
      </w:r>
      <w:proofErr w:type="spellStart"/>
      <w:r w:rsidRPr="0068516C">
        <w:t>Zulfiquar</w:t>
      </w:r>
      <w:proofErr w:type="spellEnd"/>
      <w:r w:rsidRPr="0068516C">
        <w:t xml:space="preserve"> Khwaja (all DISER), Fiona McKenzie, </w:t>
      </w:r>
      <w:proofErr w:type="spellStart"/>
      <w:r w:rsidRPr="0068516C">
        <w:t>Kangmin</w:t>
      </w:r>
      <w:proofErr w:type="spellEnd"/>
      <w:r w:rsidRPr="0068516C">
        <w:t xml:space="preserve"> Moon (both OCES) Tony Varcoe, Michelle Rose, Kelly de Bie, Leesa Riley, George Smith, Elizabeth Dalgleish-Wright (all Parks Victoria), David Jones, Sarah Price, Greg Robinson, Corrina Eccles (</w:t>
      </w:r>
      <w:proofErr w:type="spellStart"/>
      <w:r w:rsidRPr="0068516C">
        <w:t>Wadawurrung</w:t>
      </w:r>
      <w:proofErr w:type="spellEnd"/>
      <w:r w:rsidRPr="0068516C">
        <w:t xml:space="preserve"> Traditional Owners Aboriginal Corporation), Emma Dart, Justin Charles (Eastern Maar Aboriginal Corporation).</w:t>
      </w:r>
    </w:p>
    <w:p w14:paraId="63FA2653" w14:textId="689D5AFA" w:rsidR="00503D95" w:rsidRPr="00950C59" w:rsidRDefault="00503D95" w:rsidP="00503D95">
      <w:pPr>
        <w:pStyle w:val="SmallBodyText"/>
        <w:spacing w:before="2880"/>
      </w:pPr>
      <w:r>
        <w:t>The new Department of Energy, Environment and Climate Action (DEECA) was established on 1 January 2023. This department includes the previous functions of the Department of Environment, Land, Water and Planning, excluding the Planning portfolio and those areas supporting it which are now part of the New Department of Transport and Planning.</w:t>
      </w:r>
    </w:p>
    <w:p w14:paraId="7562BB22" w14:textId="77777777" w:rsidR="00073EF4" w:rsidRDefault="00073EF4" w:rsidP="003214C0">
      <w:pPr>
        <w:pStyle w:val="DisclaimerText"/>
        <w:framePr w:wrap="around"/>
      </w:pPr>
      <w:r>
        <w:rPr>
          <w:noProof/>
        </w:rPr>
        <mc:AlternateContent>
          <mc:Choice Requires="wps">
            <w:drawing>
              <wp:inline distT="0" distB="0" distL="0" distR="0" wp14:anchorId="7311C557" wp14:editId="0BCC9C3C">
                <wp:extent cx="4512215" cy="1476000"/>
                <wp:effectExtent l="0" t="0" r="3175" b="0"/>
                <wp:docPr id="44" name="Freeform: Shape 44" descr="We acknowledge and respect Victorian Traditional Owners as the original custodians of Victoria’s land and waters, their unique ability to care for Country and deep spiritual connection to it.&#10;We honour Elders past and present whose knowledge and wisdom has ensured the continuation of culture and traditional practices.&#10;The Department of Energy, Environment and Climate Action is committed to genuinely partnering with Victorian Traditional Owners and Victoria’s Aboriginal community to progress their aspiration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512215" cy="1476000"/>
                        </a:xfrm>
                        <a:custGeom>
                          <a:avLst/>
                          <a:gdLst>
                            <a:gd name="connsiteX0" fmla="*/ 0 w 3389661"/>
                            <a:gd name="connsiteY0" fmla="*/ 1106043 h 1106043"/>
                            <a:gd name="connsiteX1" fmla="*/ 0 w 3389661"/>
                            <a:gd name="connsiteY1" fmla="*/ 0 h 1106043"/>
                            <a:gd name="connsiteX2" fmla="*/ 3389662 w 3389661"/>
                            <a:gd name="connsiteY2" fmla="*/ 0 h 1106043"/>
                            <a:gd name="connsiteX3" fmla="*/ 2866835 w 3389661"/>
                            <a:gd name="connsiteY3" fmla="*/ 1106043 h 1106043"/>
                            <a:gd name="connsiteX4" fmla="*/ 0 w 3389661"/>
                            <a:gd name="connsiteY4" fmla="*/ 1106043 h 110604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389661" h="1106043">
                              <a:moveTo>
                                <a:pt x="0" y="1106043"/>
                              </a:moveTo>
                              <a:lnTo>
                                <a:pt x="0" y="0"/>
                              </a:lnTo>
                              <a:lnTo>
                                <a:pt x="3389662" y="0"/>
                              </a:lnTo>
                              <a:lnTo>
                                <a:pt x="2866835" y="1106043"/>
                              </a:lnTo>
                              <a:lnTo>
                                <a:pt x="0" y="1106043"/>
                              </a:lnTo>
                              <a:close/>
                            </a:path>
                          </a:pathLst>
                        </a:custGeom>
                        <a:solidFill>
                          <a:schemeClr val="tx2"/>
                        </a:solidFill>
                        <a:ln w="9525" cap="flat">
                          <a:noFill/>
                          <a:prstDash val="solid"/>
                          <a:miter/>
                        </a:ln>
                      </wps:spPr>
                      <wps:txbx>
                        <w:txbxContent>
                          <w:p w14:paraId="019C744C" w14:textId="77777777" w:rsidR="001167C6" w:rsidRDefault="001167C6" w:rsidP="001167C6">
                            <w:pPr>
                              <w:pStyle w:val="SmallBodyText"/>
                            </w:pPr>
                            <w:r>
                              <w:t>We acknowledge and respect Victorian Traditional Owners as the original custodians of Victoria’s land and waters, their unique ability to care for Country and deep spiritual connection to it.</w:t>
                            </w:r>
                          </w:p>
                          <w:p w14:paraId="6A262F52" w14:textId="77777777" w:rsidR="001167C6" w:rsidRDefault="001167C6" w:rsidP="001167C6">
                            <w:pPr>
                              <w:pStyle w:val="SmallBodyText"/>
                            </w:pPr>
                            <w:r>
                              <w:t xml:space="preserve">We honour Elders past and present whose knowledge and wisdom </w:t>
                            </w:r>
                            <w:r w:rsidR="00E84093">
                              <w:br/>
                            </w:r>
                            <w:r>
                              <w:t>has ensured the continuation of culture and traditional practices.</w:t>
                            </w:r>
                          </w:p>
                          <w:p w14:paraId="55F240F8" w14:textId="77777777" w:rsidR="00073EF4" w:rsidRDefault="00EE4D70" w:rsidP="001167C6">
                            <w:pPr>
                              <w:pStyle w:val="SmallBodyText"/>
                            </w:pPr>
                            <w:r>
                              <w:t>DEECA</w:t>
                            </w:r>
                            <w:r w:rsidR="001167C6">
                              <w:t xml:space="preserve"> is committed to genuinely partnering with Victorian Traditional</w:t>
                            </w:r>
                            <w:r w:rsidR="00201CDB">
                              <w:t> </w:t>
                            </w:r>
                            <w:r w:rsidR="001167C6">
                              <w:t>Owners and Victoria’s Aboriginal community to</w:t>
                            </w:r>
                            <w:r w:rsidR="00201CDB">
                              <w:t> </w:t>
                            </w:r>
                            <w:r w:rsidR="001167C6">
                              <w:t>progress</w:t>
                            </w:r>
                            <w:r w:rsidR="00201CDB">
                              <w:t> </w:t>
                            </w:r>
                            <w:r w:rsidR="001167C6">
                              <w:t>their</w:t>
                            </w:r>
                            <w:r w:rsidR="00201CDB">
                              <w:t> </w:t>
                            </w:r>
                            <w:r w:rsidR="001167C6">
                              <w:t>aspirations.</w:t>
                            </w:r>
                          </w:p>
                        </w:txbxContent>
                      </wps:txbx>
                      <wps:bodyPr rot="0" spcFirstLastPara="0" vertOverflow="overflow" horzOverflow="overflow" vert="horz" wrap="square" lIns="180000" tIns="90000" rIns="504000" bIns="108000" numCol="1" spcCol="0" rtlCol="0" fromWordArt="0" anchor="t" anchorCtr="0" forceAA="0" compatLnSpc="1">
                        <a:prstTxWarp prst="textNoShape">
                          <a:avLst/>
                        </a:prstTxWarp>
                        <a:noAutofit/>
                      </wps:bodyPr>
                    </wps:wsp>
                  </a:graphicData>
                </a:graphic>
              </wp:inline>
            </w:drawing>
          </mc:Choice>
          <mc:Fallback>
            <w:pict>
              <v:shape w14:anchorId="7311C557" id="Freeform: Shape 44" o:spid="_x0000_s1031" alt="We acknowledge and respect Victorian Traditional Owners as the original custodians of Victoria’s land and waters, their unique ability to care for Country and deep spiritual connection to it.&#10;We honour Elders past and present whose knowledge and wisdom has ensured the continuation of culture and traditional practices.&#10;The Department of Energy, Environment and Climate Action is committed to genuinely partnering with Victorian Traditional Owners and Victoria’s Aboriginal community to progress their aspirations." style="width:355.3pt;height:116.2pt;visibility:visible;mso-wrap-style:square;mso-left-percent:-10001;mso-top-percent:-10001;mso-position-horizontal:absolute;mso-position-horizontal-relative:char;mso-position-vertical:absolute;mso-position-vertical-relative:line;mso-left-percent:-10001;mso-top-percent:-10001;v-text-anchor:top" coordsize="3389661,110604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" adj="-11796480,,5400" path="m,1106043l,,3389662,,2866835,1106043,,1106043xe" fillcolor="#201547 [3215]" stroked="f">
                <v:stroke joinstyle="miter"/>
                <v:formulas/>
                <v:path arrowok="t" o:connecttype="custom" o:connectlocs="0,1476000;0,0;4512216,0;3816245,1476000;0,1476000" o:connectangles="0,0,0,0,0" textboxrect="0,0,3389661,1106043"/>
                <o:lock v:ext="edit" aspectratio="t"/>
                <v:textbox inset="5mm,2.5mm,14mm,3mm">
                  <w:txbxContent>
                    <w:p w14:paraId="019C744C" w14:textId="77777777" w:rsidR="001167C6" w:rsidRDefault="001167C6" w:rsidP="001167C6">
                      <w:pPr>
                        <w:pStyle w:val="SmallBodyText"/>
                      </w:pPr>
                      <w:r>
                        <w:t>We acknowledge and respect Victorian Traditional Owners as the original custodians of Victoria’s land and waters, their unique ability to care for Country and deep spiritual connection to it.</w:t>
                      </w:r>
                    </w:p>
                    <w:p w14:paraId="6A262F52" w14:textId="77777777" w:rsidR="001167C6" w:rsidRDefault="001167C6" w:rsidP="001167C6">
                      <w:pPr>
                        <w:pStyle w:val="SmallBodyText"/>
                      </w:pPr>
                      <w:r>
                        <w:t xml:space="preserve">We honour Elders past and present whose knowledge and wisdom </w:t>
                      </w:r>
                      <w:r w:rsidR="00E84093">
                        <w:br/>
                      </w:r>
                      <w:r>
                        <w:t>has ensured the continuation of culture and traditional practices.</w:t>
                      </w:r>
                    </w:p>
                    <w:p w14:paraId="55F240F8" w14:textId="77777777" w:rsidR="00073EF4" w:rsidRDefault="00EE4D70" w:rsidP="001167C6">
                      <w:pPr>
                        <w:pStyle w:val="SmallBodyText"/>
                      </w:pPr>
                      <w:r>
                        <w:t>DEECA</w:t>
                      </w:r>
                      <w:r w:rsidR="001167C6">
                        <w:t xml:space="preserve"> is committed to genuinely partnering with Victorian Traditional</w:t>
                      </w:r>
                      <w:r w:rsidR="00201CDB">
                        <w:t> </w:t>
                      </w:r>
                      <w:r w:rsidR="001167C6">
                        <w:t>Owners and Victoria’s Aboriginal community to</w:t>
                      </w:r>
                      <w:r w:rsidR="00201CDB">
                        <w:t> </w:t>
                      </w:r>
                      <w:r w:rsidR="001167C6">
                        <w:t>progress</w:t>
                      </w:r>
                      <w:r w:rsidR="00201CDB">
                        <w:t> </w:t>
                      </w:r>
                      <w:r w:rsidR="001167C6">
                        <w:t>their</w:t>
                      </w:r>
                      <w:r w:rsidR="00201CDB">
                        <w:t> </w:t>
                      </w:r>
                      <w:r w:rsidR="001167C6">
                        <w:t>aspirations.</w:t>
                      </w:r>
                    </w:p>
                  </w:txbxContent>
                </v:textbox>
                <w10:anchorlock/>
              </v:shape>
            </w:pict>
          </mc:Fallback>
        </mc:AlternateContent>
      </w:r>
      <w:r w:rsidR="00A1582B" w:rsidRPr="00A1582B">
        <w:rPr>
          <w:noProof/>
        </w:rPr>
        <w:t xml:space="preserve"> </w:t>
      </w:r>
      <w:r w:rsidR="00A1582B">
        <w:rPr>
          <w:noProof/>
        </w:rPr>
        <w:drawing>
          <wp:anchor distT="0" distB="0" distL="114300" distR="114300" simplePos="0" relativeHeight="251658256" behindDoc="1" locked="1" layoutInCell="1" allowOverlap="1" wp14:anchorId="43926690" wp14:editId="5C05D674">
            <wp:simplePos x="0" y="0"/>
            <wp:positionH relativeFrom="margin">
              <wp:align>right</wp:align>
            </wp:positionH>
            <wp:positionV relativeFrom="paragraph">
              <wp:posOffset>0</wp:posOffset>
            </wp:positionV>
            <wp:extent cx="2296800" cy="1476000"/>
            <wp:effectExtent l="0" t="0" r="8255" b="0"/>
            <wp:wrapNone/>
            <wp:docPr id="45" name="Picture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cknowledgement Artwork">
                      <a:extLst>
                        <a:ext uri="{C183D7F6-B498-43B3-948B-1728B52AA6E4}">
                          <adec:decorative xmlns:adec="http://schemas.microsoft.com/office/drawing/2017/decorative" val="1"/>
                        </a:ext>
                      </a:extLst>
                    </pic:cNvPr>
                    <pic:cNvPicPr/>
                  </pic:nvPicPr>
                  <pic:blipFill>
                    <a:blip r:embed="rId53" cstate="email">
                      <a:extLst>
                        <a:ext uri="{28A0092B-C50C-407E-A947-70E740481C1C}">
                          <a14:useLocalDpi xmlns:a14="http://schemas.microsoft.com/office/drawing/2010/main"/>
                        </a:ext>
                      </a:extLst>
                    </a:blip>
                    <a:stretch>
                      <a:fillRect/>
                    </a:stretch>
                  </pic:blipFill>
                  <pic:spPr>
                    <a:xfrm>
                      <a:off x="0" y="0"/>
                      <a:ext cx="2296800" cy="1476000"/>
                    </a:xfrm>
                    <a:prstGeom prst="rect">
                      <a:avLst/>
                    </a:prstGeom>
                  </pic:spPr>
                </pic:pic>
              </a:graphicData>
            </a:graphic>
            <wp14:sizeRelH relativeFrom="page">
              <wp14:pctWidth>0</wp14:pctWidth>
            </wp14:sizeRelH>
            <wp14:sizeRelV relativeFrom="page">
              <wp14:pctHeight>0</wp14:pctHeight>
            </wp14:sizeRelV>
          </wp:anchor>
        </w:drawing>
      </w:r>
    </w:p>
    <w:p w14:paraId="67B20754" w14:textId="3FB22F9A" w:rsidR="006614E4" w:rsidRPr="006614E4" w:rsidRDefault="006614E4" w:rsidP="00A52913">
      <w:pPr>
        <w:pStyle w:val="DisclaimerTextLeft"/>
        <w:framePr w:wrap="around"/>
      </w:pPr>
      <w:r w:rsidRPr="00576720">
        <w:t>©</w:t>
      </w:r>
      <w:bookmarkStart w:id="54" w:name="_Copyright"/>
      <w:bookmarkEnd w:id="54"/>
      <w:r w:rsidRPr="00576720">
        <w:t xml:space="preserve"> The State </w:t>
      </w:r>
      <w:r w:rsidRPr="006614E4">
        <w:t xml:space="preserve">of Victoria Department of </w:t>
      </w:r>
      <w:r w:rsidR="002A4F2A">
        <w:t xml:space="preserve">Energy, </w:t>
      </w:r>
      <w:r w:rsidRPr="006614E4">
        <w:t>Environment</w:t>
      </w:r>
      <w:r w:rsidR="002A4F2A">
        <w:t xml:space="preserve"> a</w:t>
      </w:r>
      <w:r w:rsidRPr="006614E4">
        <w:t xml:space="preserve">nd </w:t>
      </w:r>
      <w:r w:rsidR="002A4F2A">
        <w:t>Climate Actio</w:t>
      </w:r>
      <w:r w:rsidR="00503D95">
        <w:t xml:space="preserve">n </w:t>
      </w:r>
      <w:r w:rsidR="000775DF">
        <w:t xml:space="preserve">May </w:t>
      </w:r>
      <w:r w:rsidR="00503D95">
        <w:t>2024.</w:t>
      </w:r>
    </w:p>
    <w:p w14:paraId="33D004A6" w14:textId="77777777" w:rsidR="00740ECE" w:rsidRPr="00C87F39" w:rsidRDefault="00740ECE" w:rsidP="00740ECE">
      <w:pPr>
        <w:pStyle w:val="DisclaimerTextLeftBold"/>
        <w:framePr w:wrap="around"/>
      </w:pPr>
      <w:bookmarkStart w:id="55" w:name="_CreativeCommonsMarker"/>
      <w:bookmarkStart w:id="56" w:name="_CreativeCommonsContent"/>
      <w:bookmarkEnd w:id="53"/>
      <w:bookmarkEnd w:id="55"/>
      <w:r w:rsidRPr="00C87F39">
        <w:t>Creative Commons</w:t>
      </w:r>
    </w:p>
    <w:p w14:paraId="4E4F13B2" w14:textId="04C42D8D" w:rsidR="00740ECE" w:rsidRPr="00973D7E" w:rsidRDefault="00740ECE" w:rsidP="00740ECE">
      <w:pPr>
        <w:pStyle w:val="DisclaimerTextLeft"/>
        <w:framePr w:wrap="around"/>
        <w:rPr>
          <w:rFonts w:ascii="Arial Bold" w:hAnsi="Arial Bold"/>
        </w:rPr>
      </w:pPr>
      <w:r w:rsidRPr="00973D7E">
        <w:t xml:space="preserve">This work is licensed under a Creative Commons Attribution 4.0 International licence, visit the </w:t>
      </w:r>
      <w:hyperlink r:id="rId54" w:tooltip="Creative Commons website" w:history="1">
        <w:r w:rsidRPr="00973D7E">
          <w:rPr>
            <w:rStyle w:val="Hyperlink"/>
            <w:color w:val="232222" w:themeColor="text1"/>
          </w:rPr>
          <w:t>Creative Commons website</w:t>
        </w:r>
      </w:hyperlink>
      <w:r w:rsidRPr="00973D7E">
        <w:t xml:space="preserve"> (</w:t>
      </w:r>
      <w:hyperlink r:id="rId55" w:history="1">
        <w:r w:rsidRPr="00973D7E">
          <w:rPr>
            <w:rStyle w:val="Hyperlink"/>
            <w:color w:val="232222" w:themeColor="text1"/>
            <w:u w:val="none"/>
          </w:rPr>
          <w:t>http://creativecommons.org/licenses/by/4.0/</w:t>
        </w:r>
      </w:hyperlink>
      <w:r w:rsidRPr="00973D7E">
        <w:t>).</w:t>
      </w:r>
    </w:p>
    <w:p w14:paraId="7CBC5EDC" w14:textId="77777777" w:rsidR="00503D95" w:rsidRDefault="00740ECE" w:rsidP="00503D95">
      <w:pPr>
        <w:pStyle w:val="DisclaimerTextLeft"/>
        <w:framePr w:wrap="around"/>
      </w:pPr>
      <w:r w:rsidRPr="00973D7E">
        <w:t>You are free to re-use the work under that licence, on the condition that you credit the State of Victoria as author. The licence does not apply to any images, photographs or branding, including the Victorian Coat of Arms, and the Victorian Government and Department logos</w:t>
      </w:r>
      <w:r w:rsidR="00503D95">
        <w:t>.</w:t>
      </w:r>
    </w:p>
    <w:p w14:paraId="28A3E968" w14:textId="2E012385" w:rsidR="00503D95" w:rsidRPr="00503D95" w:rsidRDefault="00503D95" w:rsidP="00503D95">
      <w:pPr>
        <w:pStyle w:val="DisclaimerTextLeft"/>
        <w:framePr w:wrap="around"/>
        <w:rPr>
          <w:strike/>
        </w:rPr>
      </w:pPr>
      <w:r w:rsidRPr="001F0708">
        <w:rPr>
          <w:rFonts w:ascii="Arial" w:hAnsi="Arial"/>
          <w:b/>
          <w:bCs/>
          <w:color w:val="000000"/>
        </w:rPr>
        <w:t xml:space="preserve">ISBN </w:t>
      </w:r>
      <w:r w:rsidRPr="001F0708">
        <w:rPr>
          <w:rFonts w:ascii="Arial" w:hAnsi="Arial"/>
          <w:color w:val="000000"/>
        </w:rPr>
        <w:t xml:space="preserve">978-1-76136-613-0 </w:t>
      </w:r>
      <w:r w:rsidRPr="001F0708">
        <w:rPr>
          <w:rFonts w:ascii="Arial" w:hAnsi="Arial"/>
          <w:b/>
          <w:bCs/>
          <w:color w:val="000000"/>
        </w:rPr>
        <w:t>(Print)</w:t>
      </w:r>
      <w:r w:rsidRPr="001F0708">
        <w:rPr>
          <w:rFonts w:ascii="Arial" w:hAnsi="Arial"/>
          <w:color w:val="000000"/>
        </w:rPr>
        <w:t xml:space="preserve"> (to be displayed exactly as shown)</w:t>
      </w:r>
    </w:p>
    <w:p w14:paraId="5E941585" w14:textId="333DFAD9" w:rsidR="00740ECE" w:rsidRPr="006614E4" w:rsidRDefault="00503D95" w:rsidP="00503D95">
      <w:pPr>
        <w:pStyle w:val="DisclaimerTextLeft"/>
        <w:framePr w:wrap="around"/>
      </w:pPr>
      <w:r w:rsidRPr="001F0708">
        <w:rPr>
          <w:rFonts w:ascii="Arial" w:hAnsi="Arial"/>
          <w:b/>
          <w:bCs/>
          <w:color w:val="000000"/>
        </w:rPr>
        <w:t xml:space="preserve">ISBN </w:t>
      </w:r>
      <w:r w:rsidRPr="001F0708">
        <w:rPr>
          <w:rFonts w:ascii="Arial" w:hAnsi="Arial"/>
          <w:color w:val="000000"/>
        </w:rPr>
        <w:t xml:space="preserve">978-1-76136-614-7 </w:t>
      </w:r>
      <w:r w:rsidRPr="001F0708">
        <w:rPr>
          <w:rFonts w:ascii="Arial" w:hAnsi="Arial"/>
          <w:b/>
          <w:bCs/>
          <w:color w:val="000000"/>
        </w:rPr>
        <w:t>(pdf/online/MS word)</w:t>
      </w:r>
    </w:p>
    <w:p w14:paraId="720A72BE" w14:textId="77777777" w:rsidR="00740ECE" w:rsidRPr="00C87F39" w:rsidRDefault="00740ECE" w:rsidP="00740ECE">
      <w:pPr>
        <w:pStyle w:val="DisclaimerTextRightBold"/>
        <w:framePr w:wrap="around"/>
      </w:pPr>
      <w:r w:rsidRPr="00C87F39">
        <w:t>Disclaimer</w:t>
      </w:r>
    </w:p>
    <w:p w14:paraId="15E0E4A7" w14:textId="77777777" w:rsidR="00740ECE" w:rsidRPr="006614E4" w:rsidRDefault="00740ECE" w:rsidP="000957C3">
      <w:pPr>
        <w:pStyle w:val="DisclaimerTextRight"/>
        <w:framePr w:wrap="around"/>
      </w:pPr>
      <w:r w:rsidRPr="006614E4">
        <w:t xml:space="preserve">This </w:t>
      </w:r>
      <w:r w:rsidRPr="00CB1C0B">
        <w:t>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r w:rsidRPr="006614E4">
        <w:t>.</w:t>
      </w:r>
    </w:p>
    <w:p w14:paraId="6FB0976F" w14:textId="77777777" w:rsidR="00740ECE" w:rsidRPr="00F15EE0" w:rsidRDefault="00740ECE" w:rsidP="00E4201F">
      <w:pPr>
        <w:pStyle w:val="DisclaimerTextRightBold12pt"/>
        <w:framePr w:wrap="around"/>
      </w:pPr>
      <w:r w:rsidRPr="00F15EE0">
        <w:t>Accessibility</w:t>
      </w:r>
    </w:p>
    <w:p w14:paraId="64AE6313" w14:textId="60B6EEEA" w:rsidR="00740ECE" w:rsidRPr="000B497E" w:rsidRDefault="00740ECE" w:rsidP="00740ECE">
      <w:pPr>
        <w:pStyle w:val="DisclaimerTextRight12pt"/>
        <w:framePr w:wrap="around"/>
      </w:pPr>
      <w:r w:rsidRPr="00CB1C0B">
        <w:t xml:space="preserve">To receive this document in an alternative format, phone the Customer Service Centre on 136 186, email </w:t>
      </w:r>
      <w:hyperlink r:id="rId56" w:history="1">
        <w:r w:rsidRPr="00CB1C0B">
          <w:rPr>
            <w:rStyle w:val="Hyperlink"/>
            <w:color w:val="232222" w:themeColor="text1"/>
            <w:szCs w:val="24"/>
          </w:rPr>
          <w:t>customer.service@delwp.vic.gov.au</w:t>
        </w:r>
      </w:hyperlink>
      <w:r w:rsidRPr="00CB1C0B">
        <w:t xml:space="preserve">, or contact National Relay Service on 133 677. Available at </w:t>
      </w:r>
      <w:hyperlink r:id="rId57" w:tooltip="Department of Energy, Environment and Climate Action website" w:history="1">
        <w:r w:rsidRPr="00CB1C0B">
          <w:rPr>
            <w:rStyle w:val="Hyperlink"/>
            <w:color w:val="232222" w:themeColor="text1"/>
            <w:szCs w:val="24"/>
          </w:rPr>
          <w:t>DEECA website</w:t>
        </w:r>
      </w:hyperlink>
      <w:r w:rsidRPr="00CB1C0B">
        <w:t xml:space="preserve"> (www.deeca.vic.gov.au)</w:t>
      </w:r>
      <w:r w:rsidRPr="000B497E">
        <w:t>.</w:t>
      </w:r>
      <w:r>
        <w:t xml:space="preserve"> </w:t>
      </w:r>
      <w:bookmarkEnd w:id="56"/>
    </w:p>
    <w:p w14:paraId="111BC385" w14:textId="77777777" w:rsidR="00233D6B" w:rsidRDefault="00233D6B">
      <w:pPr>
        <w:sectPr w:rsidR="00233D6B" w:rsidSect="00E52A9A">
          <w:pgSz w:w="11907" w:h="16839" w:code="9"/>
          <w:pgMar w:top="737" w:right="850" w:bottom="850" w:left="850" w:header="283" w:footer="283" w:gutter="0"/>
          <w:cols w:space="454"/>
          <w:noEndnote/>
          <w:titlePg/>
          <w:docGrid w:linePitch="360"/>
        </w:sectPr>
      </w:pPr>
    </w:p>
    <w:p w14:paraId="71288334" w14:textId="77777777" w:rsidR="00233D6B" w:rsidRPr="00F7242A" w:rsidRDefault="00233D6B" w:rsidP="00474212">
      <w:pPr>
        <w:pStyle w:val="TOCHeading"/>
      </w:pPr>
      <w:r w:rsidRPr="00474212">
        <w:lastRenderedPageBreak/>
        <w:t>Contents</w:t>
      </w:r>
      <w:bookmarkStart w:id="57" w:name="_TOCMarker"/>
      <w:bookmarkEnd w:id="57"/>
    </w:p>
    <w:p w14:paraId="4CE86E8D" w14:textId="7F302F49" w:rsidR="009E38E5" w:rsidRDefault="007D3F7E">
      <w:pPr>
        <w:pStyle w:val="TOC1"/>
        <w:rPr>
          <w:rFonts w:eastAsiaTheme="minorEastAsia" w:cstheme="minorBidi"/>
          <w:b w:val="0"/>
          <w:color w:val="auto"/>
          <w:kern w:val="2"/>
          <w:lang w:eastAsia="en-GB"/>
          <w14:ligatures w14:val="standardContextual"/>
        </w:rPr>
      </w:pPr>
      <w:r>
        <w:rPr>
          <w:rFonts w:eastAsiaTheme="majorEastAsia"/>
          <w:b w:val="0"/>
        </w:rPr>
        <w:fldChar w:fldCharType="begin"/>
      </w:r>
      <w:r>
        <w:rPr>
          <w:rFonts w:eastAsiaTheme="majorEastAsia"/>
          <w:b w:val="0"/>
        </w:rPr>
        <w:instrText xml:space="preserve"> TOC \o "1-4" \h \z \u </w:instrText>
      </w:r>
      <w:r>
        <w:rPr>
          <w:rFonts w:eastAsiaTheme="majorEastAsia"/>
          <w:b w:val="0"/>
        </w:rPr>
        <w:fldChar w:fldCharType="separate"/>
      </w:r>
      <w:hyperlink w:anchor="_Toc163547016" w:history="1">
        <w:r w:rsidR="009E38E5" w:rsidRPr="00AE23CC">
          <w:rPr>
            <w:rStyle w:val="Hyperlink"/>
          </w:rPr>
          <w:t>List of abbreviations and acronyms</w:t>
        </w:r>
        <w:r w:rsidR="009E38E5">
          <w:rPr>
            <w:webHidden/>
          </w:rPr>
          <w:tab/>
        </w:r>
        <w:r w:rsidR="009E38E5">
          <w:rPr>
            <w:webHidden/>
          </w:rPr>
          <w:fldChar w:fldCharType="begin"/>
        </w:r>
        <w:r w:rsidR="009E38E5">
          <w:rPr>
            <w:webHidden/>
          </w:rPr>
          <w:instrText xml:space="preserve"> PAGEREF _Toc163547016 \h </w:instrText>
        </w:r>
        <w:r w:rsidR="009E38E5">
          <w:rPr>
            <w:webHidden/>
          </w:rPr>
        </w:r>
        <w:r w:rsidR="009E38E5">
          <w:rPr>
            <w:webHidden/>
          </w:rPr>
          <w:fldChar w:fldCharType="separate"/>
        </w:r>
        <w:r w:rsidR="007C6651">
          <w:rPr>
            <w:webHidden/>
          </w:rPr>
          <w:t>4</w:t>
        </w:r>
        <w:r w:rsidR="009E38E5">
          <w:rPr>
            <w:webHidden/>
          </w:rPr>
          <w:fldChar w:fldCharType="end"/>
        </w:r>
      </w:hyperlink>
    </w:p>
    <w:p w14:paraId="0BE5F15E" w14:textId="1602B6A7" w:rsidR="009E38E5" w:rsidRDefault="009E38E5">
      <w:pPr>
        <w:pStyle w:val="TOC1"/>
        <w:rPr>
          <w:rFonts w:eastAsiaTheme="minorEastAsia" w:cstheme="minorBidi"/>
          <w:b w:val="0"/>
          <w:color w:val="auto"/>
          <w:kern w:val="2"/>
          <w:lang w:eastAsia="en-GB"/>
          <w14:ligatures w14:val="standardContextual"/>
        </w:rPr>
      </w:pPr>
      <w:hyperlink w:anchor="_Toc163547017" w:history="1">
        <w:r w:rsidRPr="00AE23CC">
          <w:rPr>
            <w:rStyle w:val="Hyperlink"/>
          </w:rPr>
          <w:t>Headline results: Great Ocean Road Coast and Parks EEA</w:t>
        </w:r>
        <w:r>
          <w:rPr>
            <w:webHidden/>
          </w:rPr>
          <w:tab/>
        </w:r>
        <w:r>
          <w:rPr>
            <w:webHidden/>
          </w:rPr>
          <w:fldChar w:fldCharType="begin"/>
        </w:r>
        <w:r>
          <w:rPr>
            <w:webHidden/>
          </w:rPr>
          <w:instrText xml:space="preserve"> PAGEREF _Toc163547017 \h </w:instrText>
        </w:r>
        <w:r>
          <w:rPr>
            <w:webHidden/>
          </w:rPr>
        </w:r>
        <w:r>
          <w:rPr>
            <w:webHidden/>
          </w:rPr>
          <w:fldChar w:fldCharType="separate"/>
        </w:r>
        <w:r w:rsidR="007C6651">
          <w:rPr>
            <w:webHidden/>
          </w:rPr>
          <w:t>5</w:t>
        </w:r>
        <w:r>
          <w:rPr>
            <w:webHidden/>
          </w:rPr>
          <w:fldChar w:fldCharType="end"/>
        </w:r>
      </w:hyperlink>
    </w:p>
    <w:p w14:paraId="0F695AF9" w14:textId="7091A5CE" w:rsidR="009E38E5" w:rsidRDefault="009E38E5">
      <w:pPr>
        <w:pStyle w:val="TOC1"/>
        <w:rPr>
          <w:rFonts w:eastAsiaTheme="minorEastAsia" w:cstheme="minorBidi"/>
          <w:b w:val="0"/>
          <w:color w:val="auto"/>
          <w:kern w:val="2"/>
          <w:lang w:eastAsia="en-GB"/>
          <w14:ligatures w14:val="standardContextual"/>
        </w:rPr>
      </w:pPr>
      <w:hyperlink w:anchor="_Toc163547018" w:history="1">
        <w:r w:rsidRPr="00AE23CC">
          <w:rPr>
            <w:rStyle w:val="Hyperlink"/>
          </w:rPr>
          <w:t>Executive Summary</w:t>
        </w:r>
        <w:r>
          <w:rPr>
            <w:webHidden/>
          </w:rPr>
          <w:tab/>
        </w:r>
        <w:r>
          <w:rPr>
            <w:webHidden/>
          </w:rPr>
          <w:fldChar w:fldCharType="begin"/>
        </w:r>
        <w:r>
          <w:rPr>
            <w:webHidden/>
          </w:rPr>
          <w:instrText xml:space="preserve"> PAGEREF _Toc163547018 \h </w:instrText>
        </w:r>
        <w:r>
          <w:rPr>
            <w:webHidden/>
          </w:rPr>
        </w:r>
        <w:r>
          <w:rPr>
            <w:webHidden/>
          </w:rPr>
          <w:fldChar w:fldCharType="separate"/>
        </w:r>
        <w:r w:rsidR="007C6651">
          <w:rPr>
            <w:webHidden/>
          </w:rPr>
          <w:t>8</w:t>
        </w:r>
        <w:r>
          <w:rPr>
            <w:webHidden/>
          </w:rPr>
          <w:fldChar w:fldCharType="end"/>
        </w:r>
      </w:hyperlink>
    </w:p>
    <w:p w14:paraId="57D3C24B" w14:textId="7EFDE3F6" w:rsidR="009E38E5" w:rsidRDefault="009E38E5">
      <w:pPr>
        <w:pStyle w:val="TOC1"/>
        <w:rPr>
          <w:rFonts w:eastAsiaTheme="minorEastAsia" w:cstheme="minorBidi"/>
          <w:b w:val="0"/>
          <w:color w:val="auto"/>
          <w:kern w:val="2"/>
          <w:lang w:eastAsia="en-GB"/>
          <w14:ligatures w14:val="standardContextual"/>
        </w:rPr>
      </w:pPr>
      <w:hyperlink w:anchor="_Toc163547019" w:history="1">
        <w:r w:rsidRPr="00AE23CC">
          <w:rPr>
            <w:rStyle w:val="Hyperlink"/>
          </w:rPr>
          <w:t>1. Introduction</w:t>
        </w:r>
        <w:r>
          <w:rPr>
            <w:webHidden/>
          </w:rPr>
          <w:tab/>
        </w:r>
        <w:r>
          <w:rPr>
            <w:webHidden/>
          </w:rPr>
          <w:fldChar w:fldCharType="begin"/>
        </w:r>
        <w:r>
          <w:rPr>
            <w:webHidden/>
          </w:rPr>
          <w:instrText xml:space="preserve"> PAGEREF _Toc163547019 \h </w:instrText>
        </w:r>
        <w:r>
          <w:rPr>
            <w:webHidden/>
          </w:rPr>
        </w:r>
        <w:r>
          <w:rPr>
            <w:webHidden/>
          </w:rPr>
          <w:fldChar w:fldCharType="separate"/>
        </w:r>
        <w:r w:rsidR="007C6651">
          <w:rPr>
            <w:webHidden/>
          </w:rPr>
          <w:t>18</w:t>
        </w:r>
        <w:r>
          <w:rPr>
            <w:webHidden/>
          </w:rPr>
          <w:fldChar w:fldCharType="end"/>
        </w:r>
      </w:hyperlink>
    </w:p>
    <w:p w14:paraId="71D1AE28" w14:textId="1C42EAEB" w:rsidR="009E38E5" w:rsidRDefault="009E38E5">
      <w:pPr>
        <w:pStyle w:val="TOC2"/>
        <w:rPr>
          <w:rFonts w:eastAsiaTheme="minorEastAsia" w:cstheme="minorBidi"/>
          <w:color w:val="auto"/>
          <w:kern w:val="2"/>
          <w:sz w:val="24"/>
          <w:szCs w:val="24"/>
          <w:lang w:eastAsia="en-GB"/>
          <w14:ligatures w14:val="standardContextual"/>
        </w:rPr>
      </w:pPr>
      <w:hyperlink w:anchor="_Toc163547020" w:history="1">
        <w:r w:rsidRPr="00AE23CC">
          <w:rPr>
            <w:rStyle w:val="Hyperlink"/>
          </w:rPr>
          <w:t>1.1 Background</w:t>
        </w:r>
        <w:r>
          <w:rPr>
            <w:webHidden/>
          </w:rPr>
          <w:tab/>
        </w:r>
        <w:r>
          <w:rPr>
            <w:webHidden/>
          </w:rPr>
          <w:fldChar w:fldCharType="begin"/>
        </w:r>
        <w:r>
          <w:rPr>
            <w:webHidden/>
          </w:rPr>
          <w:instrText xml:space="preserve"> PAGEREF _Toc163547020 \h </w:instrText>
        </w:r>
        <w:r>
          <w:rPr>
            <w:webHidden/>
          </w:rPr>
        </w:r>
        <w:r>
          <w:rPr>
            <w:webHidden/>
          </w:rPr>
          <w:fldChar w:fldCharType="separate"/>
        </w:r>
        <w:r w:rsidR="007C6651">
          <w:rPr>
            <w:webHidden/>
          </w:rPr>
          <w:t>18</w:t>
        </w:r>
        <w:r>
          <w:rPr>
            <w:webHidden/>
          </w:rPr>
          <w:fldChar w:fldCharType="end"/>
        </w:r>
      </w:hyperlink>
    </w:p>
    <w:p w14:paraId="1413187D" w14:textId="6E200DF9" w:rsidR="009E38E5" w:rsidRDefault="009E38E5">
      <w:pPr>
        <w:pStyle w:val="TOC2"/>
        <w:rPr>
          <w:rFonts w:eastAsiaTheme="minorEastAsia" w:cstheme="minorBidi"/>
          <w:color w:val="auto"/>
          <w:kern w:val="2"/>
          <w:sz w:val="24"/>
          <w:szCs w:val="24"/>
          <w:lang w:eastAsia="en-GB"/>
          <w14:ligatures w14:val="standardContextual"/>
        </w:rPr>
      </w:pPr>
      <w:hyperlink w:anchor="_Toc163547021" w:history="1">
        <w:r w:rsidRPr="00AE23CC">
          <w:rPr>
            <w:rStyle w:val="Hyperlink"/>
          </w:rPr>
          <w:t>1.2 Study objectives</w:t>
        </w:r>
        <w:r>
          <w:rPr>
            <w:webHidden/>
          </w:rPr>
          <w:tab/>
        </w:r>
        <w:r>
          <w:rPr>
            <w:webHidden/>
          </w:rPr>
          <w:fldChar w:fldCharType="begin"/>
        </w:r>
        <w:r>
          <w:rPr>
            <w:webHidden/>
          </w:rPr>
          <w:instrText xml:space="preserve"> PAGEREF _Toc163547021 \h </w:instrText>
        </w:r>
        <w:r>
          <w:rPr>
            <w:webHidden/>
          </w:rPr>
        </w:r>
        <w:r>
          <w:rPr>
            <w:webHidden/>
          </w:rPr>
          <w:fldChar w:fldCharType="separate"/>
        </w:r>
        <w:r w:rsidR="007C6651">
          <w:rPr>
            <w:webHidden/>
          </w:rPr>
          <w:t>18</w:t>
        </w:r>
        <w:r>
          <w:rPr>
            <w:webHidden/>
          </w:rPr>
          <w:fldChar w:fldCharType="end"/>
        </w:r>
      </w:hyperlink>
    </w:p>
    <w:p w14:paraId="3B9F32BA" w14:textId="38B2C241" w:rsidR="009E38E5" w:rsidRDefault="009E38E5">
      <w:pPr>
        <w:pStyle w:val="TOC1"/>
        <w:rPr>
          <w:rFonts w:eastAsiaTheme="minorEastAsia" w:cstheme="minorBidi"/>
          <w:b w:val="0"/>
          <w:color w:val="auto"/>
          <w:kern w:val="2"/>
          <w:lang w:eastAsia="en-GB"/>
          <w14:ligatures w14:val="standardContextual"/>
        </w:rPr>
      </w:pPr>
      <w:hyperlink w:anchor="_Toc163547022" w:history="1">
        <w:r w:rsidRPr="00AE23CC">
          <w:rPr>
            <w:rStyle w:val="Hyperlink"/>
          </w:rPr>
          <w:t>2. Scope</w:t>
        </w:r>
        <w:r>
          <w:rPr>
            <w:webHidden/>
          </w:rPr>
          <w:tab/>
        </w:r>
        <w:r>
          <w:rPr>
            <w:webHidden/>
          </w:rPr>
          <w:fldChar w:fldCharType="begin"/>
        </w:r>
        <w:r>
          <w:rPr>
            <w:webHidden/>
          </w:rPr>
          <w:instrText xml:space="preserve"> PAGEREF _Toc163547022 \h </w:instrText>
        </w:r>
        <w:r>
          <w:rPr>
            <w:webHidden/>
          </w:rPr>
        </w:r>
        <w:r>
          <w:rPr>
            <w:webHidden/>
          </w:rPr>
          <w:fldChar w:fldCharType="separate"/>
        </w:r>
        <w:r w:rsidR="007C6651">
          <w:rPr>
            <w:webHidden/>
          </w:rPr>
          <w:t>19</w:t>
        </w:r>
        <w:r>
          <w:rPr>
            <w:webHidden/>
          </w:rPr>
          <w:fldChar w:fldCharType="end"/>
        </w:r>
      </w:hyperlink>
    </w:p>
    <w:p w14:paraId="6569CFB4" w14:textId="4202BBBB" w:rsidR="009E38E5" w:rsidRDefault="009E38E5">
      <w:pPr>
        <w:pStyle w:val="TOC2"/>
        <w:rPr>
          <w:rFonts w:eastAsiaTheme="minorEastAsia" w:cstheme="minorBidi"/>
          <w:color w:val="auto"/>
          <w:kern w:val="2"/>
          <w:sz w:val="24"/>
          <w:szCs w:val="24"/>
          <w:lang w:eastAsia="en-GB"/>
          <w14:ligatures w14:val="standardContextual"/>
        </w:rPr>
      </w:pPr>
      <w:hyperlink w:anchor="_Toc163547023" w:history="1">
        <w:r w:rsidRPr="00AE23CC">
          <w:rPr>
            <w:rStyle w:val="Hyperlink"/>
          </w:rPr>
          <w:t>2.1 Overview of environmental-economic accounting</w:t>
        </w:r>
        <w:r>
          <w:rPr>
            <w:webHidden/>
          </w:rPr>
          <w:tab/>
        </w:r>
        <w:r>
          <w:rPr>
            <w:webHidden/>
          </w:rPr>
          <w:fldChar w:fldCharType="begin"/>
        </w:r>
        <w:r>
          <w:rPr>
            <w:webHidden/>
          </w:rPr>
          <w:instrText xml:space="preserve"> PAGEREF _Toc163547023 \h </w:instrText>
        </w:r>
        <w:r>
          <w:rPr>
            <w:webHidden/>
          </w:rPr>
        </w:r>
        <w:r>
          <w:rPr>
            <w:webHidden/>
          </w:rPr>
          <w:fldChar w:fldCharType="separate"/>
        </w:r>
        <w:r w:rsidR="007C6651">
          <w:rPr>
            <w:webHidden/>
          </w:rPr>
          <w:t>19</w:t>
        </w:r>
        <w:r>
          <w:rPr>
            <w:webHidden/>
          </w:rPr>
          <w:fldChar w:fldCharType="end"/>
        </w:r>
      </w:hyperlink>
    </w:p>
    <w:p w14:paraId="275206D5" w14:textId="30D4E9A2" w:rsidR="009E38E5" w:rsidRDefault="009E38E5">
      <w:pPr>
        <w:pStyle w:val="TOC2"/>
        <w:rPr>
          <w:rFonts w:eastAsiaTheme="minorEastAsia" w:cstheme="minorBidi"/>
          <w:color w:val="auto"/>
          <w:kern w:val="2"/>
          <w:sz w:val="24"/>
          <w:szCs w:val="24"/>
          <w:lang w:eastAsia="en-GB"/>
          <w14:ligatures w14:val="standardContextual"/>
        </w:rPr>
      </w:pPr>
      <w:hyperlink w:anchor="_Toc163547024" w:history="1">
        <w:r w:rsidRPr="00AE23CC">
          <w:rPr>
            <w:rStyle w:val="Hyperlink"/>
          </w:rPr>
          <w:t>2.2 Alignment of GORCAP EEA with SEEA-EA</w:t>
        </w:r>
        <w:r>
          <w:rPr>
            <w:webHidden/>
          </w:rPr>
          <w:tab/>
        </w:r>
        <w:r>
          <w:rPr>
            <w:webHidden/>
          </w:rPr>
          <w:fldChar w:fldCharType="begin"/>
        </w:r>
        <w:r>
          <w:rPr>
            <w:webHidden/>
          </w:rPr>
          <w:instrText xml:space="preserve"> PAGEREF _Toc163547024 \h </w:instrText>
        </w:r>
        <w:r>
          <w:rPr>
            <w:webHidden/>
          </w:rPr>
        </w:r>
        <w:r>
          <w:rPr>
            <w:webHidden/>
          </w:rPr>
          <w:fldChar w:fldCharType="separate"/>
        </w:r>
        <w:r w:rsidR="007C6651">
          <w:rPr>
            <w:webHidden/>
          </w:rPr>
          <w:t>20</w:t>
        </w:r>
        <w:r>
          <w:rPr>
            <w:webHidden/>
          </w:rPr>
          <w:fldChar w:fldCharType="end"/>
        </w:r>
      </w:hyperlink>
    </w:p>
    <w:p w14:paraId="10DCD613" w14:textId="633A2988" w:rsidR="009E38E5" w:rsidRDefault="009E38E5">
      <w:pPr>
        <w:pStyle w:val="TOC2"/>
        <w:rPr>
          <w:rFonts w:eastAsiaTheme="minorEastAsia" w:cstheme="minorBidi"/>
          <w:color w:val="auto"/>
          <w:kern w:val="2"/>
          <w:sz w:val="24"/>
          <w:szCs w:val="24"/>
          <w:lang w:eastAsia="en-GB"/>
          <w14:ligatures w14:val="standardContextual"/>
        </w:rPr>
      </w:pPr>
      <w:hyperlink w:anchor="_Toc163547025" w:history="1">
        <w:r w:rsidRPr="00AE23CC">
          <w:rPr>
            <w:rStyle w:val="Hyperlink"/>
          </w:rPr>
          <w:t>2.3 Defining the environmental-economic accounting area</w:t>
        </w:r>
        <w:r>
          <w:rPr>
            <w:webHidden/>
          </w:rPr>
          <w:tab/>
        </w:r>
        <w:r>
          <w:rPr>
            <w:webHidden/>
          </w:rPr>
          <w:fldChar w:fldCharType="begin"/>
        </w:r>
        <w:r>
          <w:rPr>
            <w:webHidden/>
          </w:rPr>
          <w:instrText xml:space="preserve"> PAGEREF _Toc163547025 \h </w:instrText>
        </w:r>
        <w:r>
          <w:rPr>
            <w:webHidden/>
          </w:rPr>
        </w:r>
        <w:r>
          <w:rPr>
            <w:webHidden/>
          </w:rPr>
          <w:fldChar w:fldCharType="separate"/>
        </w:r>
        <w:r w:rsidR="007C6651">
          <w:rPr>
            <w:webHidden/>
          </w:rPr>
          <w:t>21</w:t>
        </w:r>
        <w:r>
          <w:rPr>
            <w:webHidden/>
          </w:rPr>
          <w:fldChar w:fldCharType="end"/>
        </w:r>
      </w:hyperlink>
    </w:p>
    <w:p w14:paraId="030D4F54" w14:textId="39CDF60C" w:rsidR="009E38E5" w:rsidRDefault="009E38E5">
      <w:pPr>
        <w:pStyle w:val="TOC2"/>
        <w:rPr>
          <w:rFonts w:eastAsiaTheme="minorEastAsia" w:cstheme="minorBidi"/>
          <w:color w:val="auto"/>
          <w:kern w:val="2"/>
          <w:sz w:val="24"/>
          <w:szCs w:val="24"/>
          <w:lang w:eastAsia="en-GB"/>
          <w14:ligatures w14:val="standardContextual"/>
        </w:rPr>
      </w:pPr>
      <w:hyperlink w:anchor="_Toc163547026" w:history="1">
        <w:r w:rsidRPr="00AE23CC">
          <w:rPr>
            <w:rStyle w:val="Hyperlink"/>
          </w:rPr>
          <w:t>2.4 Socio-economic benefits within scope</w:t>
        </w:r>
        <w:r>
          <w:rPr>
            <w:webHidden/>
          </w:rPr>
          <w:tab/>
        </w:r>
        <w:r>
          <w:rPr>
            <w:webHidden/>
          </w:rPr>
          <w:fldChar w:fldCharType="begin"/>
        </w:r>
        <w:r>
          <w:rPr>
            <w:webHidden/>
          </w:rPr>
          <w:instrText xml:space="preserve"> PAGEREF _Toc163547026 \h </w:instrText>
        </w:r>
        <w:r>
          <w:rPr>
            <w:webHidden/>
          </w:rPr>
        </w:r>
        <w:r>
          <w:rPr>
            <w:webHidden/>
          </w:rPr>
          <w:fldChar w:fldCharType="separate"/>
        </w:r>
        <w:r w:rsidR="007C6651">
          <w:rPr>
            <w:webHidden/>
          </w:rPr>
          <w:t>23</w:t>
        </w:r>
        <w:r>
          <w:rPr>
            <w:webHidden/>
          </w:rPr>
          <w:fldChar w:fldCharType="end"/>
        </w:r>
      </w:hyperlink>
    </w:p>
    <w:p w14:paraId="30A8F460" w14:textId="08FC511E" w:rsidR="009E38E5" w:rsidRDefault="009E38E5">
      <w:pPr>
        <w:pStyle w:val="TOC1"/>
        <w:rPr>
          <w:rFonts w:eastAsiaTheme="minorEastAsia" w:cstheme="minorBidi"/>
          <w:b w:val="0"/>
          <w:color w:val="auto"/>
          <w:kern w:val="2"/>
          <w:lang w:eastAsia="en-GB"/>
          <w14:ligatures w14:val="standardContextual"/>
        </w:rPr>
      </w:pPr>
      <w:hyperlink w:anchor="_Toc163547027" w:history="1">
        <w:r w:rsidRPr="00AE23CC">
          <w:rPr>
            <w:rStyle w:val="Hyperlink"/>
          </w:rPr>
          <w:t>3. Methodology</w:t>
        </w:r>
        <w:r>
          <w:rPr>
            <w:webHidden/>
          </w:rPr>
          <w:tab/>
        </w:r>
        <w:r>
          <w:rPr>
            <w:webHidden/>
          </w:rPr>
          <w:fldChar w:fldCharType="begin"/>
        </w:r>
        <w:r>
          <w:rPr>
            <w:webHidden/>
          </w:rPr>
          <w:instrText xml:space="preserve"> PAGEREF _Toc163547027 \h </w:instrText>
        </w:r>
        <w:r>
          <w:rPr>
            <w:webHidden/>
          </w:rPr>
        </w:r>
        <w:r>
          <w:rPr>
            <w:webHidden/>
          </w:rPr>
          <w:fldChar w:fldCharType="separate"/>
        </w:r>
        <w:r w:rsidR="007C6651">
          <w:rPr>
            <w:webHidden/>
          </w:rPr>
          <w:t>26</w:t>
        </w:r>
        <w:r>
          <w:rPr>
            <w:webHidden/>
          </w:rPr>
          <w:fldChar w:fldCharType="end"/>
        </w:r>
      </w:hyperlink>
    </w:p>
    <w:p w14:paraId="5CB3DCD2" w14:textId="5497A15C" w:rsidR="009E38E5" w:rsidRDefault="009E38E5">
      <w:pPr>
        <w:pStyle w:val="TOC2"/>
        <w:rPr>
          <w:rFonts w:eastAsiaTheme="minorEastAsia" w:cstheme="minorBidi"/>
          <w:color w:val="auto"/>
          <w:kern w:val="2"/>
          <w:sz w:val="24"/>
          <w:szCs w:val="24"/>
          <w:lang w:eastAsia="en-GB"/>
          <w14:ligatures w14:val="standardContextual"/>
        </w:rPr>
      </w:pPr>
      <w:hyperlink w:anchor="_Toc163547028" w:history="1">
        <w:r w:rsidRPr="00AE23CC">
          <w:rPr>
            <w:rStyle w:val="Hyperlink"/>
          </w:rPr>
          <w:t>3.1 Stock assessment</w:t>
        </w:r>
        <w:r>
          <w:rPr>
            <w:webHidden/>
          </w:rPr>
          <w:tab/>
        </w:r>
        <w:r>
          <w:rPr>
            <w:webHidden/>
          </w:rPr>
          <w:fldChar w:fldCharType="begin"/>
        </w:r>
        <w:r>
          <w:rPr>
            <w:webHidden/>
          </w:rPr>
          <w:instrText xml:space="preserve"> PAGEREF _Toc163547028 \h </w:instrText>
        </w:r>
        <w:r>
          <w:rPr>
            <w:webHidden/>
          </w:rPr>
        </w:r>
        <w:r>
          <w:rPr>
            <w:webHidden/>
          </w:rPr>
          <w:fldChar w:fldCharType="separate"/>
        </w:r>
        <w:r w:rsidR="007C6651">
          <w:rPr>
            <w:webHidden/>
          </w:rPr>
          <w:t>26</w:t>
        </w:r>
        <w:r>
          <w:rPr>
            <w:webHidden/>
          </w:rPr>
          <w:fldChar w:fldCharType="end"/>
        </w:r>
      </w:hyperlink>
    </w:p>
    <w:p w14:paraId="7B2B3BE0" w14:textId="37F0DF0C" w:rsidR="009E38E5" w:rsidRDefault="009E38E5">
      <w:pPr>
        <w:pStyle w:val="TOC3"/>
        <w:rPr>
          <w:b w:val="0"/>
          <w:color w:val="auto"/>
          <w:kern w:val="2"/>
          <w:sz w:val="24"/>
          <w:szCs w:val="24"/>
          <w:lang w:eastAsia="en-GB"/>
          <w14:ligatures w14:val="standardContextual"/>
        </w:rPr>
      </w:pPr>
      <w:hyperlink w:anchor="_Toc163547029" w:history="1">
        <w:r w:rsidRPr="00AE23CC">
          <w:rPr>
            <w:rStyle w:val="Hyperlink"/>
          </w:rPr>
          <w:t>3.1.1 Ecosystem asset extent</w:t>
        </w:r>
        <w:r>
          <w:rPr>
            <w:webHidden/>
          </w:rPr>
          <w:tab/>
        </w:r>
        <w:r>
          <w:rPr>
            <w:webHidden/>
          </w:rPr>
          <w:fldChar w:fldCharType="begin"/>
        </w:r>
        <w:r>
          <w:rPr>
            <w:webHidden/>
          </w:rPr>
          <w:instrText xml:space="preserve"> PAGEREF _Toc163547029 \h </w:instrText>
        </w:r>
        <w:r>
          <w:rPr>
            <w:webHidden/>
          </w:rPr>
        </w:r>
        <w:r>
          <w:rPr>
            <w:webHidden/>
          </w:rPr>
          <w:fldChar w:fldCharType="separate"/>
        </w:r>
        <w:r w:rsidR="007C6651">
          <w:rPr>
            <w:webHidden/>
          </w:rPr>
          <w:t>26</w:t>
        </w:r>
        <w:r>
          <w:rPr>
            <w:webHidden/>
          </w:rPr>
          <w:fldChar w:fldCharType="end"/>
        </w:r>
      </w:hyperlink>
    </w:p>
    <w:p w14:paraId="44A50D8A" w14:textId="6D45460E" w:rsidR="009E38E5" w:rsidRDefault="009E38E5">
      <w:pPr>
        <w:pStyle w:val="TOC4"/>
        <w:rPr>
          <w:rFonts w:eastAsiaTheme="minorEastAsia" w:cstheme="minorBidi"/>
          <w:color w:val="auto"/>
          <w:kern w:val="2"/>
          <w:sz w:val="24"/>
          <w:szCs w:val="24"/>
          <w:lang w:eastAsia="en-GB"/>
          <w14:ligatures w14:val="standardContextual"/>
        </w:rPr>
      </w:pPr>
      <w:hyperlink w:anchor="_Toc163547030" w:history="1">
        <w:r w:rsidRPr="00AE23CC">
          <w:rPr>
            <w:rStyle w:val="Hyperlink"/>
          </w:rPr>
          <w:t>3.1.1.1 Broad assets</w:t>
        </w:r>
        <w:r>
          <w:rPr>
            <w:webHidden/>
          </w:rPr>
          <w:tab/>
        </w:r>
        <w:r>
          <w:rPr>
            <w:webHidden/>
          </w:rPr>
          <w:fldChar w:fldCharType="begin"/>
        </w:r>
        <w:r>
          <w:rPr>
            <w:webHidden/>
          </w:rPr>
          <w:instrText xml:space="preserve"> PAGEREF _Toc163547030 \h </w:instrText>
        </w:r>
        <w:r>
          <w:rPr>
            <w:webHidden/>
          </w:rPr>
        </w:r>
        <w:r>
          <w:rPr>
            <w:webHidden/>
          </w:rPr>
          <w:fldChar w:fldCharType="separate"/>
        </w:r>
        <w:r w:rsidR="007C6651">
          <w:rPr>
            <w:webHidden/>
          </w:rPr>
          <w:t>26</w:t>
        </w:r>
        <w:r>
          <w:rPr>
            <w:webHidden/>
          </w:rPr>
          <w:fldChar w:fldCharType="end"/>
        </w:r>
      </w:hyperlink>
    </w:p>
    <w:p w14:paraId="0B054911" w14:textId="35C9B232" w:rsidR="009E38E5" w:rsidRDefault="009E38E5">
      <w:pPr>
        <w:pStyle w:val="TOC4"/>
        <w:rPr>
          <w:rFonts w:eastAsiaTheme="minorEastAsia" w:cstheme="minorBidi"/>
          <w:color w:val="auto"/>
          <w:kern w:val="2"/>
          <w:sz w:val="24"/>
          <w:szCs w:val="24"/>
          <w:lang w:eastAsia="en-GB"/>
          <w14:ligatures w14:val="standardContextual"/>
        </w:rPr>
      </w:pPr>
      <w:hyperlink w:anchor="_Toc163547031" w:history="1">
        <w:r w:rsidRPr="00AE23CC">
          <w:rPr>
            <w:rStyle w:val="Hyperlink"/>
          </w:rPr>
          <w:t>3.1.1.2 Narrow assets</w:t>
        </w:r>
        <w:r>
          <w:rPr>
            <w:webHidden/>
          </w:rPr>
          <w:tab/>
        </w:r>
        <w:r>
          <w:rPr>
            <w:webHidden/>
          </w:rPr>
          <w:fldChar w:fldCharType="begin"/>
        </w:r>
        <w:r>
          <w:rPr>
            <w:webHidden/>
          </w:rPr>
          <w:instrText xml:space="preserve"> PAGEREF _Toc163547031 \h </w:instrText>
        </w:r>
        <w:r>
          <w:rPr>
            <w:webHidden/>
          </w:rPr>
        </w:r>
        <w:r>
          <w:rPr>
            <w:webHidden/>
          </w:rPr>
          <w:fldChar w:fldCharType="separate"/>
        </w:r>
        <w:r w:rsidR="007C6651">
          <w:rPr>
            <w:webHidden/>
          </w:rPr>
          <w:t>27</w:t>
        </w:r>
        <w:r>
          <w:rPr>
            <w:webHidden/>
          </w:rPr>
          <w:fldChar w:fldCharType="end"/>
        </w:r>
      </w:hyperlink>
    </w:p>
    <w:p w14:paraId="64D0D429" w14:textId="3EB077B4" w:rsidR="009E38E5" w:rsidRDefault="009E38E5">
      <w:pPr>
        <w:pStyle w:val="TOC3"/>
        <w:rPr>
          <w:b w:val="0"/>
          <w:color w:val="auto"/>
          <w:kern w:val="2"/>
          <w:sz w:val="24"/>
          <w:szCs w:val="24"/>
          <w:lang w:eastAsia="en-GB"/>
          <w14:ligatures w14:val="standardContextual"/>
        </w:rPr>
      </w:pPr>
      <w:hyperlink w:anchor="_Toc163547032" w:history="1">
        <w:r w:rsidRPr="00AE23CC">
          <w:rPr>
            <w:rStyle w:val="Hyperlink"/>
          </w:rPr>
          <w:t>3.1.2 Ecosystem asset condition</w:t>
        </w:r>
        <w:r>
          <w:rPr>
            <w:webHidden/>
          </w:rPr>
          <w:tab/>
        </w:r>
        <w:r>
          <w:rPr>
            <w:webHidden/>
          </w:rPr>
          <w:fldChar w:fldCharType="begin"/>
        </w:r>
        <w:r>
          <w:rPr>
            <w:webHidden/>
          </w:rPr>
          <w:instrText xml:space="preserve"> PAGEREF _Toc163547032 \h </w:instrText>
        </w:r>
        <w:r>
          <w:rPr>
            <w:webHidden/>
          </w:rPr>
        </w:r>
        <w:r>
          <w:rPr>
            <w:webHidden/>
          </w:rPr>
          <w:fldChar w:fldCharType="separate"/>
        </w:r>
        <w:r w:rsidR="007C6651">
          <w:rPr>
            <w:webHidden/>
          </w:rPr>
          <w:t>29</w:t>
        </w:r>
        <w:r>
          <w:rPr>
            <w:webHidden/>
          </w:rPr>
          <w:fldChar w:fldCharType="end"/>
        </w:r>
      </w:hyperlink>
    </w:p>
    <w:p w14:paraId="3A681192" w14:textId="12D955DF" w:rsidR="009E38E5" w:rsidRDefault="009E38E5">
      <w:pPr>
        <w:pStyle w:val="TOC2"/>
        <w:rPr>
          <w:rFonts w:eastAsiaTheme="minorEastAsia" w:cstheme="minorBidi"/>
          <w:color w:val="auto"/>
          <w:kern w:val="2"/>
          <w:sz w:val="24"/>
          <w:szCs w:val="24"/>
          <w:lang w:eastAsia="en-GB"/>
          <w14:ligatures w14:val="standardContextual"/>
        </w:rPr>
      </w:pPr>
      <w:hyperlink w:anchor="_Toc163547033" w:history="1">
        <w:r w:rsidRPr="00AE23CC">
          <w:rPr>
            <w:rStyle w:val="Hyperlink"/>
          </w:rPr>
          <w:t>3.2 Flow assessment</w:t>
        </w:r>
        <w:r>
          <w:rPr>
            <w:webHidden/>
          </w:rPr>
          <w:tab/>
        </w:r>
        <w:r>
          <w:rPr>
            <w:webHidden/>
          </w:rPr>
          <w:fldChar w:fldCharType="begin"/>
        </w:r>
        <w:r>
          <w:rPr>
            <w:webHidden/>
          </w:rPr>
          <w:instrText xml:space="preserve"> PAGEREF _Toc163547033 \h </w:instrText>
        </w:r>
        <w:r>
          <w:rPr>
            <w:webHidden/>
          </w:rPr>
        </w:r>
        <w:r>
          <w:rPr>
            <w:webHidden/>
          </w:rPr>
          <w:fldChar w:fldCharType="separate"/>
        </w:r>
        <w:r w:rsidR="007C6651">
          <w:rPr>
            <w:webHidden/>
          </w:rPr>
          <w:t>33</w:t>
        </w:r>
        <w:r>
          <w:rPr>
            <w:webHidden/>
          </w:rPr>
          <w:fldChar w:fldCharType="end"/>
        </w:r>
      </w:hyperlink>
    </w:p>
    <w:p w14:paraId="4576DE5D" w14:textId="6BF7FA50" w:rsidR="009E38E5" w:rsidRDefault="009E38E5">
      <w:pPr>
        <w:pStyle w:val="TOC3"/>
        <w:rPr>
          <w:b w:val="0"/>
          <w:color w:val="auto"/>
          <w:kern w:val="2"/>
          <w:sz w:val="24"/>
          <w:szCs w:val="24"/>
          <w:lang w:eastAsia="en-GB"/>
          <w14:ligatures w14:val="standardContextual"/>
        </w:rPr>
      </w:pPr>
      <w:hyperlink w:anchor="_Toc163547034" w:history="1">
        <w:r w:rsidRPr="00AE23CC">
          <w:rPr>
            <w:rStyle w:val="Hyperlink"/>
          </w:rPr>
          <w:t>3.2.1 Coastal protection</w:t>
        </w:r>
        <w:r>
          <w:rPr>
            <w:webHidden/>
          </w:rPr>
          <w:tab/>
        </w:r>
        <w:r>
          <w:rPr>
            <w:webHidden/>
          </w:rPr>
          <w:fldChar w:fldCharType="begin"/>
        </w:r>
        <w:r>
          <w:rPr>
            <w:webHidden/>
          </w:rPr>
          <w:instrText xml:space="preserve"> PAGEREF _Toc163547034 \h </w:instrText>
        </w:r>
        <w:r>
          <w:rPr>
            <w:webHidden/>
          </w:rPr>
        </w:r>
        <w:r>
          <w:rPr>
            <w:webHidden/>
          </w:rPr>
          <w:fldChar w:fldCharType="separate"/>
        </w:r>
        <w:r w:rsidR="007C6651">
          <w:rPr>
            <w:webHidden/>
          </w:rPr>
          <w:t>36</w:t>
        </w:r>
        <w:r>
          <w:rPr>
            <w:webHidden/>
          </w:rPr>
          <w:fldChar w:fldCharType="end"/>
        </w:r>
      </w:hyperlink>
    </w:p>
    <w:p w14:paraId="7C3D64D5" w14:textId="76979DB7" w:rsidR="009E38E5" w:rsidRDefault="009E38E5">
      <w:pPr>
        <w:pStyle w:val="TOC3"/>
        <w:rPr>
          <w:b w:val="0"/>
          <w:color w:val="auto"/>
          <w:kern w:val="2"/>
          <w:sz w:val="24"/>
          <w:szCs w:val="24"/>
          <w:lang w:eastAsia="en-GB"/>
          <w14:ligatures w14:val="standardContextual"/>
        </w:rPr>
      </w:pPr>
      <w:hyperlink w:anchor="_Toc163547035" w:history="1">
        <w:r w:rsidRPr="00AE23CC">
          <w:rPr>
            <w:rStyle w:val="Hyperlink"/>
          </w:rPr>
          <w:t>3.2.2 Education</w:t>
        </w:r>
        <w:r>
          <w:rPr>
            <w:webHidden/>
          </w:rPr>
          <w:tab/>
        </w:r>
        <w:r>
          <w:rPr>
            <w:webHidden/>
          </w:rPr>
          <w:fldChar w:fldCharType="begin"/>
        </w:r>
        <w:r>
          <w:rPr>
            <w:webHidden/>
          </w:rPr>
          <w:instrText xml:space="preserve"> PAGEREF _Toc163547035 \h </w:instrText>
        </w:r>
        <w:r>
          <w:rPr>
            <w:webHidden/>
          </w:rPr>
        </w:r>
        <w:r>
          <w:rPr>
            <w:webHidden/>
          </w:rPr>
          <w:fldChar w:fldCharType="separate"/>
        </w:r>
        <w:r w:rsidR="007C6651">
          <w:rPr>
            <w:webHidden/>
          </w:rPr>
          <w:t>40</w:t>
        </w:r>
        <w:r>
          <w:rPr>
            <w:webHidden/>
          </w:rPr>
          <w:fldChar w:fldCharType="end"/>
        </w:r>
      </w:hyperlink>
    </w:p>
    <w:p w14:paraId="5A52316B" w14:textId="15F90E9A" w:rsidR="009E38E5" w:rsidRDefault="009E38E5">
      <w:pPr>
        <w:pStyle w:val="TOC3"/>
        <w:rPr>
          <w:b w:val="0"/>
          <w:color w:val="auto"/>
          <w:kern w:val="2"/>
          <w:sz w:val="24"/>
          <w:szCs w:val="24"/>
          <w:lang w:eastAsia="en-GB"/>
          <w14:ligatures w14:val="standardContextual"/>
        </w:rPr>
      </w:pPr>
      <w:hyperlink w:anchor="_Toc163547036" w:history="1">
        <w:r w:rsidRPr="00AE23CC">
          <w:rPr>
            <w:rStyle w:val="Hyperlink"/>
          </w:rPr>
          <w:t>3.2.3 Biomass - food</w:t>
        </w:r>
        <w:r>
          <w:rPr>
            <w:webHidden/>
          </w:rPr>
          <w:tab/>
        </w:r>
        <w:r>
          <w:rPr>
            <w:webHidden/>
          </w:rPr>
          <w:fldChar w:fldCharType="begin"/>
        </w:r>
        <w:r>
          <w:rPr>
            <w:webHidden/>
          </w:rPr>
          <w:instrText xml:space="preserve"> PAGEREF _Toc163547036 \h </w:instrText>
        </w:r>
        <w:r>
          <w:rPr>
            <w:webHidden/>
          </w:rPr>
        </w:r>
        <w:r>
          <w:rPr>
            <w:webHidden/>
          </w:rPr>
          <w:fldChar w:fldCharType="separate"/>
        </w:r>
        <w:r w:rsidR="007C6651">
          <w:rPr>
            <w:webHidden/>
          </w:rPr>
          <w:t>42</w:t>
        </w:r>
        <w:r>
          <w:rPr>
            <w:webHidden/>
          </w:rPr>
          <w:fldChar w:fldCharType="end"/>
        </w:r>
      </w:hyperlink>
    </w:p>
    <w:p w14:paraId="1E3EC13F" w14:textId="75AF1B4C" w:rsidR="009E38E5" w:rsidRDefault="009E38E5">
      <w:pPr>
        <w:pStyle w:val="TOC3"/>
        <w:rPr>
          <w:b w:val="0"/>
          <w:color w:val="auto"/>
          <w:kern w:val="2"/>
          <w:sz w:val="24"/>
          <w:szCs w:val="24"/>
          <w:lang w:eastAsia="en-GB"/>
          <w14:ligatures w14:val="standardContextual"/>
        </w:rPr>
      </w:pPr>
      <w:hyperlink w:anchor="_Toc163547037" w:history="1">
        <w:r w:rsidRPr="00AE23CC">
          <w:rPr>
            <w:rStyle w:val="Hyperlink"/>
          </w:rPr>
          <w:t>3.2.4 Global climate regulation</w:t>
        </w:r>
        <w:r>
          <w:rPr>
            <w:webHidden/>
          </w:rPr>
          <w:tab/>
        </w:r>
        <w:r>
          <w:rPr>
            <w:webHidden/>
          </w:rPr>
          <w:fldChar w:fldCharType="begin"/>
        </w:r>
        <w:r>
          <w:rPr>
            <w:webHidden/>
          </w:rPr>
          <w:instrText xml:space="preserve"> PAGEREF _Toc163547037 \h </w:instrText>
        </w:r>
        <w:r>
          <w:rPr>
            <w:webHidden/>
          </w:rPr>
        </w:r>
        <w:r>
          <w:rPr>
            <w:webHidden/>
          </w:rPr>
          <w:fldChar w:fldCharType="separate"/>
        </w:r>
        <w:r w:rsidR="007C6651">
          <w:rPr>
            <w:webHidden/>
          </w:rPr>
          <w:t>46</w:t>
        </w:r>
        <w:r>
          <w:rPr>
            <w:webHidden/>
          </w:rPr>
          <w:fldChar w:fldCharType="end"/>
        </w:r>
      </w:hyperlink>
    </w:p>
    <w:p w14:paraId="68884C86" w14:textId="4B7DE96C" w:rsidR="009E38E5" w:rsidRDefault="009E38E5">
      <w:pPr>
        <w:pStyle w:val="TOC3"/>
        <w:rPr>
          <w:b w:val="0"/>
          <w:color w:val="auto"/>
          <w:kern w:val="2"/>
          <w:sz w:val="24"/>
          <w:szCs w:val="24"/>
          <w:lang w:eastAsia="en-GB"/>
          <w14:ligatures w14:val="standardContextual"/>
        </w:rPr>
      </w:pPr>
      <w:hyperlink w:anchor="_Toc163547038" w:history="1">
        <w:r w:rsidRPr="00AE23CC">
          <w:rPr>
            <w:rStyle w:val="Hyperlink"/>
          </w:rPr>
          <w:t>3.2.5 Recreation and tourism</w:t>
        </w:r>
        <w:r>
          <w:rPr>
            <w:webHidden/>
          </w:rPr>
          <w:tab/>
        </w:r>
        <w:r>
          <w:rPr>
            <w:webHidden/>
          </w:rPr>
          <w:fldChar w:fldCharType="begin"/>
        </w:r>
        <w:r>
          <w:rPr>
            <w:webHidden/>
          </w:rPr>
          <w:instrText xml:space="preserve"> PAGEREF _Toc163547038 \h </w:instrText>
        </w:r>
        <w:r>
          <w:rPr>
            <w:webHidden/>
          </w:rPr>
        </w:r>
        <w:r>
          <w:rPr>
            <w:webHidden/>
          </w:rPr>
          <w:fldChar w:fldCharType="separate"/>
        </w:r>
        <w:r w:rsidR="007C6651">
          <w:rPr>
            <w:webHidden/>
          </w:rPr>
          <w:t>50</w:t>
        </w:r>
        <w:r>
          <w:rPr>
            <w:webHidden/>
          </w:rPr>
          <w:fldChar w:fldCharType="end"/>
        </w:r>
      </w:hyperlink>
    </w:p>
    <w:p w14:paraId="4FECAB30" w14:textId="165A1E22" w:rsidR="009E38E5" w:rsidRDefault="009E38E5">
      <w:pPr>
        <w:pStyle w:val="TOC3"/>
        <w:rPr>
          <w:b w:val="0"/>
          <w:color w:val="auto"/>
          <w:kern w:val="2"/>
          <w:sz w:val="24"/>
          <w:szCs w:val="24"/>
          <w:lang w:eastAsia="en-GB"/>
          <w14:ligatures w14:val="standardContextual"/>
        </w:rPr>
      </w:pPr>
      <w:hyperlink w:anchor="_Toc163547039" w:history="1">
        <w:r w:rsidRPr="00AE23CC">
          <w:rPr>
            <w:rStyle w:val="Hyperlink"/>
          </w:rPr>
          <w:t>3.2.6 Biomass - timber</w:t>
        </w:r>
        <w:r>
          <w:rPr>
            <w:webHidden/>
          </w:rPr>
          <w:tab/>
        </w:r>
        <w:r>
          <w:rPr>
            <w:webHidden/>
          </w:rPr>
          <w:fldChar w:fldCharType="begin"/>
        </w:r>
        <w:r>
          <w:rPr>
            <w:webHidden/>
          </w:rPr>
          <w:instrText xml:space="preserve"> PAGEREF _Toc163547039 \h </w:instrText>
        </w:r>
        <w:r>
          <w:rPr>
            <w:webHidden/>
          </w:rPr>
        </w:r>
        <w:r>
          <w:rPr>
            <w:webHidden/>
          </w:rPr>
          <w:fldChar w:fldCharType="separate"/>
        </w:r>
        <w:r w:rsidR="007C6651">
          <w:rPr>
            <w:webHidden/>
          </w:rPr>
          <w:t>57</w:t>
        </w:r>
        <w:r>
          <w:rPr>
            <w:webHidden/>
          </w:rPr>
          <w:fldChar w:fldCharType="end"/>
        </w:r>
      </w:hyperlink>
    </w:p>
    <w:p w14:paraId="4570299A" w14:textId="3D72C963" w:rsidR="009E38E5" w:rsidRDefault="009E38E5">
      <w:pPr>
        <w:pStyle w:val="TOC3"/>
        <w:rPr>
          <w:b w:val="0"/>
          <w:color w:val="auto"/>
          <w:kern w:val="2"/>
          <w:sz w:val="24"/>
          <w:szCs w:val="24"/>
          <w:lang w:eastAsia="en-GB"/>
          <w14:ligatures w14:val="standardContextual"/>
        </w:rPr>
      </w:pPr>
      <w:hyperlink w:anchor="_Toc163547040" w:history="1">
        <w:r w:rsidRPr="00AE23CC">
          <w:rPr>
            <w:rStyle w:val="Hyperlink"/>
          </w:rPr>
          <w:t>3.2.7 Aesthetics</w:t>
        </w:r>
        <w:r>
          <w:rPr>
            <w:webHidden/>
          </w:rPr>
          <w:tab/>
        </w:r>
        <w:r>
          <w:rPr>
            <w:webHidden/>
          </w:rPr>
          <w:fldChar w:fldCharType="begin"/>
        </w:r>
        <w:r>
          <w:rPr>
            <w:webHidden/>
          </w:rPr>
          <w:instrText xml:space="preserve"> PAGEREF _Toc163547040 \h </w:instrText>
        </w:r>
        <w:r>
          <w:rPr>
            <w:webHidden/>
          </w:rPr>
        </w:r>
        <w:r>
          <w:rPr>
            <w:webHidden/>
          </w:rPr>
          <w:fldChar w:fldCharType="separate"/>
        </w:r>
        <w:r w:rsidR="007C6651">
          <w:rPr>
            <w:webHidden/>
          </w:rPr>
          <w:t>61</w:t>
        </w:r>
        <w:r>
          <w:rPr>
            <w:webHidden/>
          </w:rPr>
          <w:fldChar w:fldCharType="end"/>
        </w:r>
      </w:hyperlink>
    </w:p>
    <w:p w14:paraId="7AF8D8A0" w14:textId="08E11BD9" w:rsidR="009E38E5" w:rsidRDefault="009E38E5">
      <w:pPr>
        <w:pStyle w:val="TOC3"/>
        <w:rPr>
          <w:b w:val="0"/>
          <w:color w:val="auto"/>
          <w:kern w:val="2"/>
          <w:sz w:val="24"/>
          <w:szCs w:val="24"/>
          <w:lang w:eastAsia="en-GB"/>
          <w14:ligatures w14:val="standardContextual"/>
        </w:rPr>
      </w:pPr>
      <w:hyperlink w:anchor="_Toc163547041" w:history="1">
        <w:r w:rsidRPr="00AE23CC">
          <w:rPr>
            <w:rStyle w:val="Hyperlink"/>
          </w:rPr>
          <w:t>3.2.8 Cultural heritage values</w:t>
        </w:r>
        <w:r>
          <w:rPr>
            <w:webHidden/>
          </w:rPr>
          <w:tab/>
        </w:r>
        <w:r>
          <w:rPr>
            <w:webHidden/>
          </w:rPr>
          <w:fldChar w:fldCharType="begin"/>
        </w:r>
        <w:r>
          <w:rPr>
            <w:webHidden/>
          </w:rPr>
          <w:instrText xml:space="preserve"> PAGEREF _Toc163547041 \h </w:instrText>
        </w:r>
        <w:r>
          <w:rPr>
            <w:webHidden/>
          </w:rPr>
        </w:r>
        <w:r>
          <w:rPr>
            <w:webHidden/>
          </w:rPr>
          <w:fldChar w:fldCharType="separate"/>
        </w:r>
        <w:r w:rsidR="007C6651">
          <w:rPr>
            <w:webHidden/>
          </w:rPr>
          <w:t>61</w:t>
        </w:r>
        <w:r>
          <w:rPr>
            <w:webHidden/>
          </w:rPr>
          <w:fldChar w:fldCharType="end"/>
        </w:r>
      </w:hyperlink>
    </w:p>
    <w:p w14:paraId="379B709B" w14:textId="70F0BF1C" w:rsidR="009E38E5" w:rsidRDefault="009E38E5">
      <w:pPr>
        <w:pStyle w:val="TOC4"/>
        <w:rPr>
          <w:rFonts w:eastAsiaTheme="minorEastAsia" w:cstheme="minorBidi"/>
          <w:color w:val="auto"/>
          <w:kern w:val="2"/>
          <w:sz w:val="24"/>
          <w:szCs w:val="24"/>
          <w:lang w:eastAsia="en-GB"/>
          <w14:ligatures w14:val="standardContextual"/>
        </w:rPr>
      </w:pPr>
      <w:hyperlink w:anchor="_Toc163547042" w:history="1">
        <w:r w:rsidRPr="00AE23CC">
          <w:rPr>
            <w:rStyle w:val="Hyperlink"/>
          </w:rPr>
          <w:t>3.2.8.1 Traditional Owners living cultural heritage</w:t>
        </w:r>
        <w:r>
          <w:rPr>
            <w:webHidden/>
          </w:rPr>
          <w:tab/>
        </w:r>
        <w:r>
          <w:rPr>
            <w:webHidden/>
          </w:rPr>
          <w:fldChar w:fldCharType="begin"/>
        </w:r>
        <w:r>
          <w:rPr>
            <w:webHidden/>
          </w:rPr>
          <w:instrText xml:space="preserve"> PAGEREF _Toc163547042 \h </w:instrText>
        </w:r>
        <w:r>
          <w:rPr>
            <w:webHidden/>
          </w:rPr>
        </w:r>
        <w:r>
          <w:rPr>
            <w:webHidden/>
          </w:rPr>
          <w:fldChar w:fldCharType="separate"/>
        </w:r>
        <w:r w:rsidR="007C6651">
          <w:rPr>
            <w:webHidden/>
          </w:rPr>
          <w:t>61</w:t>
        </w:r>
        <w:r>
          <w:rPr>
            <w:webHidden/>
          </w:rPr>
          <w:fldChar w:fldCharType="end"/>
        </w:r>
      </w:hyperlink>
    </w:p>
    <w:p w14:paraId="613BB529" w14:textId="1A22CA6D" w:rsidR="009E38E5" w:rsidRDefault="009E38E5">
      <w:pPr>
        <w:pStyle w:val="TOC4"/>
        <w:rPr>
          <w:rFonts w:eastAsiaTheme="minorEastAsia" w:cstheme="minorBidi"/>
          <w:color w:val="auto"/>
          <w:kern w:val="2"/>
          <w:sz w:val="24"/>
          <w:szCs w:val="24"/>
          <w:lang w:eastAsia="en-GB"/>
          <w14:ligatures w14:val="standardContextual"/>
        </w:rPr>
      </w:pPr>
      <w:hyperlink w:anchor="_Toc163547043" w:history="1">
        <w:r w:rsidRPr="00AE23CC">
          <w:rPr>
            <w:rStyle w:val="Hyperlink"/>
          </w:rPr>
          <w:t>3.2.8.2 Historic and contemporary non-Indigenous cultural heritage</w:t>
        </w:r>
        <w:r>
          <w:rPr>
            <w:webHidden/>
          </w:rPr>
          <w:tab/>
        </w:r>
        <w:r>
          <w:rPr>
            <w:webHidden/>
          </w:rPr>
          <w:fldChar w:fldCharType="begin"/>
        </w:r>
        <w:r>
          <w:rPr>
            <w:webHidden/>
          </w:rPr>
          <w:instrText xml:space="preserve"> PAGEREF _Toc163547043 \h </w:instrText>
        </w:r>
        <w:r>
          <w:rPr>
            <w:webHidden/>
          </w:rPr>
        </w:r>
        <w:r>
          <w:rPr>
            <w:webHidden/>
          </w:rPr>
          <w:fldChar w:fldCharType="separate"/>
        </w:r>
        <w:r w:rsidR="007C6651">
          <w:rPr>
            <w:webHidden/>
          </w:rPr>
          <w:t>62</w:t>
        </w:r>
        <w:r>
          <w:rPr>
            <w:webHidden/>
          </w:rPr>
          <w:fldChar w:fldCharType="end"/>
        </w:r>
      </w:hyperlink>
    </w:p>
    <w:p w14:paraId="4AA1D157" w14:textId="6E0181A9" w:rsidR="009E38E5" w:rsidRDefault="009E38E5">
      <w:pPr>
        <w:pStyle w:val="TOC3"/>
        <w:rPr>
          <w:b w:val="0"/>
          <w:color w:val="auto"/>
          <w:kern w:val="2"/>
          <w:sz w:val="24"/>
          <w:szCs w:val="24"/>
          <w:lang w:eastAsia="en-GB"/>
          <w14:ligatures w14:val="standardContextual"/>
        </w:rPr>
      </w:pPr>
      <w:hyperlink w:anchor="_Toc163547044" w:history="1">
        <w:r w:rsidRPr="00AE23CC">
          <w:rPr>
            <w:rStyle w:val="Hyperlink"/>
          </w:rPr>
          <w:t>3.2.9 Existence / Option value</w:t>
        </w:r>
        <w:r>
          <w:rPr>
            <w:webHidden/>
          </w:rPr>
          <w:tab/>
        </w:r>
        <w:r>
          <w:rPr>
            <w:webHidden/>
          </w:rPr>
          <w:fldChar w:fldCharType="begin"/>
        </w:r>
        <w:r>
          <w:rPr>
            <w:webHidden/>
          </w:rPr>
          <w:instrText xml:space="preserve"> PAGEREF _Toc163547044 \h </w:instrText>
        </w:r>
        <w:r>
          <w:rPr>
            <w:webHidden/>
          </w:rPr>
        </w:r>
        <w:r>
          <w:rPr>
            <w:webHidden/>
          </w:rPr>
          <w:fldChar w:fldCharType="separate"/>
        </w:r>
        <w:r w:rsidR="007C6651">
          <w:rPr>
            <w:webHidden/>
          </w:rPr>
          <w:t>62</w:t>
        </w:r>
        <w:r>
          <w:rPr>
            <w:webHidden/>
          </w:rPr>
          <w:fldChar w:fldCharType="end"/>
        </w:r>
      </w:hyperlink>
    </w:p>
    <w:p w14:paraId="3CE8E294" w14:textId="4EF51D6D" w:rsidR="009E38E5" w:rsidRDefault="009E38E5">
      <w:pPr>
        <w:pStyle w:val="TOC3"/>
        <w:rPr>
          <w:b w:val="0"/>
          <w:color w:val="auto"/>
          <w:kern w:val="2"/>
          <w:sz w:val="24"/>
          <w:szCs w:val="24"/>
          <w:lang w:eastAsia="en-GB"/>
          <w14:ligatures w14:val="standardContextual"/>
        </w:rPr>
      </w:pPr>
      <w:hyperlink w:anchor="_Toc163547045" w:history="1">
        <w:r w:rsidRPr="00AE23CC">
          <w:rPr>
            <w:rStyle w:val="Hyperlink"/>
          </w:rPr>
          <w:t>3.2.10 Social / community cohesion</w:t>
        </w:r>
        <w:r>
          <w:rPr>
            <w:webHidden/>
          </w:rPr>
          <w:tab/>
        </w:r>
        <w:r>
          <w:rPr>
            <w:webHidden/>
          </w:rPr>
          <w:fldChar w:fldCharType="begin"/>
        </w:r>
        <w:r>
          <w:rPr>
            <w:webHidden/>
          </w:rPr>
          <w:instrText xml:space="preserve"> PAGEREF _Toc163547045 \h </w:instrText>
        </w:r>
        <w:r>
          <w:rPr>
            <w:webHidden/>
          </w:rPr>
        </w:r>
        <w:r>
          <w:rPr>
            <w:webHidden/>
          </w:rPr>
          <w:fldChar w:fldCharType="separate"/>
        </w:r>
        <w:r w:rsidR="007C6651">
          <w:rPr>
            <w:webHidden/>
          </w:rPr>
          <w:t>62</w:t>
        </w:r>
        <w:r>
          <w:rPr>
            <w:webHidden/>
          </w:rPr>
          <w:fldChar w:fldCharType="end"/>
        </w:r>
      </w:hyperlink>
    </w:p>
    <w:p w14:paraId="4D4917CA" w14:textId="3B2E3E00" w:rsidR="009E38E5" w:rsidRDefault="009E38E5">
      <w:pPr>
        <w:pStyle w:val="TOC2"/>
        <w:rPr>
          <w:rFonts w:eastAsiaTheme="minorEastAsia" w:cstheme="minorBidi"/>
          <w:color w:val="auto"/>
          <w:kern w:val="2"/>
          <w:sz w:val="24"/>
          <w:szCs w:val="24"/>
          <w:lang w:eastAsia="en-GB"/>
          <w14:ligatures w14:val="standardContextual"/>
        </w:rPr>
      </w:pPr>
      <w:hyperlink w:anchor="_Toc163547046" w:history="1">
        <w:r w:rsidRPr="00AE23CC">
          <w:rPr>
            <w:rStyle w:val="Hyperlink"/>
          </w:rPr>
          <w:t>3.3 Supply and use of ecosystem services</w:t>
        </w:r>
        <w:r>
          <w:rPr>
            <w:webHidden/>
          </w:rPr>
          <w:tab/>
        </w:r>
        <w:r>
          <w:rPr>
            <w:webHidden/>
          </w:rPr>
          <w:fldChar w:fldCharType="begin"/>
        </w:r>
        <w:r>
          <w:rPr>
            <w:webHidden/>
          </w:rPr>
          <w:instrText xml:space="preserve"> PAGEREF _Toc163547046 \h </w:instrText>
        </w:r>
        <w:r>
          <w:rPr>
            <w:webHidden/>
          </w:rPr>
        </w:r>
        <w:r>
          <w:rPr>
            <w:webHidden/>
          </w:rPr>
          <w:fldChar w:fldCharType="separate"/>
        </w:r>
        <w:r w:rsidR="007C6651">
          <w:rPr>
            <w:webHidden/>
          </w:rPr>
          <w:t>63</w:t>
        </w:r>
        <w:r>
          <w:rPr>
            <w:webHidden/>
          </w:rPr>
          <w:fldChar w:fldCharType="end"/>
        </w:r>
      </w:hyperlink>
    </w:p>
    <w:p w14:paraId="082279ED" w14:textId="0FE39839" w:rsidR="009E38E5" w:rsidRDefault="009E38E5">
      <w:pPr>
        <w:pStyle w:val="TOC2"/>
        <w:rPr>
          <w:rFonts w:eastAsiaTheme="minorEastAsia" w:cstheme="minorBidi"/>
          <w:color w:val="auto"/>
          <w:kern w:val="2"/>
          <w:sz w:val="24"/>
          <w:szCs w:val="24"/>
          <w:lang w:eastAsia="en-GB"/>
          <w14:ligatures w14:val="standardContextual"/>
        </w:rPr>
      </w:pPr>
      <w:hyperlink w:anchor="_Toc163547047" w:history="1">
        <w:r w:rsidRPr="00AE23CC">
          <w:rPr>
            <w:rStyle w:val="Hyperlink"/>
          </w:rPr>
          <w:t>3.4 Practical and technical considerations</w:t>
        </w:r>
        <w:r>
          <w:rPr>
            <w:webHidden/>
          </w:rPr>
          <w:tab/>
        </w:r>
        <w:r>
          <w:rPr>
            <w:webHidden/>
          </w:rPr>
          <w:fldChar w:fldCharType="begin"/>
        </w:r>
        <w:r>
          <w:rPr>
            <w:webHidden/>
          </w:rPr>
          <w:instrText xml:space="preserve"> PAGEREF _Toc163547047 \h </w:instrText>
        </w:r>
        <w:r>
          <w:rPr>
            <w:webHidden/>
          </w:rPr>
        </w:r>
        <w:r>
          <w:rPr>
            <w:webHidden/>
          </w:rPr>
          <w:fldChar w:fldCharType="separate"/>
        </w:r>
        <w:r w:rsidR="007C6651">
          <w:rPr>
            <w:webHidden/>
          </w:rPr>
          <w:t>63</w:t>
        </w:r>
        <w:r>
          <w:rPr>
            <w:webHidden/>
          </w:rPr>
          <w:fldChar w:fldCharType="end"/>
        </w:r>
      </w:hyperlink>
    </w:p>
    <w:p w14:paraId="2DAC2EE6" w14:textId="749FD2B3" w:rsidR="009E38E5" w:rsidRDefault="009E38E5">
      <w:pPr>
        <w:pStyle w:val="TOC1"/>
        <w:rPr>
          <w:rFonts w:eastAsiaTheme="minorEastAsia" w:cstheme="minorBidi"/>
          <w:b w:val="0"/>
          <w:color w:val="auto"/>
          <w:kern w:val="2"/>
          <w:lang w:eastAsia="en-GB"/>
          <w14:ligatures w14:val="standardContextual"/>
        </w:rPr>
      </w:pPr>
      <w:hyperlink w:anchor="_Toc163547048" w:history="1">
        <w:r w:rsidRPr="00AE23CC">
          <w:rPr>
            <w:rStyle w:val="Hyperlink"/>
          </w:rPr>
          <w:t>4. Results</w:t>
        </w:r>
        <w:r>
          <w:rPr>
            <w:webHidden/>
          </w:rPr>
          <w:tab/>
        </w:r>
        <w:r>
          <w:rPr>
            <w:webHidden/>
          </w:rPr>
          <w:fldChar w:fldCharType="begin"/>
        </w:r>
        <w:r>
          <w:rPr>
            <w:webHidden/>
          </w:rPr>
          <w:instrText xml:space="preserve"> PAGEREF _Toc163547048 \h </w:instrText>
        </w:r>
        <w:r>
          <w:rPr>
            <w:webHidden/>
          </w:rPr>
        </w:r>
        <w:r>
          <w:rPr>
            <w:webHidden/>
          </w:rPr>
          <w:fldChar w:fldCharType="separate"/>
        </w:r>
        <w:r w:rsidR="007C6651">
          <w:rPr>
            <w:webHidden/>
          </w:rPr>
          <w:t>65</w:t>
        </w:r>
        <w:r>
          <w:rPr>
            <w:webHidden/>
          </w:rPr>
          <w:fldChar w:fldCharType="end"/>
        </w:r>
      </w:hyperlink>
    </w:p>
    <w:p w14:paraId="418FF111" w14:textId="14237311" w:rsidR="009E38E5" w:rsidRDefault="009E38E5">
      <w:pPr>
        <w:pStyle w:val="TOC2"/>
        <w:rPr>
          <w:rFonts w:eastAsiaTheme="minorEastAsia" w:cstheme="minorBidi"/>
          <w:color w:val="auto"/>
          <w:kern w:val="2"/>
          <w:sz w:val="24"/>
          <w:szCs w:val="24"/>
          <w:lang w:eastAsia="en-GB"/>
          <w14:ligatures w14:val="standardContextual"/>
        </w:rPr>
      </w:pPr>
      <w:hyperlink w:anchor="_Toc163547049" w:history="1">
        <w:r w:rsidRPr="00AE23CC">
          <w:rPr>
            <w:rStyle w:val="Hyperlink"/>
          </w:rPr>
          <w:t>4.1 Stock assessment</w:t>
        </w:r>
        <w:r>
          <w:rPr>
            <w:webHidden/>
          </w:rPr>
          <w:tab/>
        </w:r>
        <w:r>
          <w:rPr>
            <w:webHidden/>
          </w:rPr>
          <w:fldChar w:fldCharType="begin"/>
        </w:r>
        <w:r>
          <w:rPr>
            <w:webHidden/>
          </w:rPr>
          <w:instrText xml:space="preserve"> PAGEREF _Toc163547049 \h </w:instrText>
        </w:r>
        <w:r>
          <w:rPr>
            <w:webHidden/>
          </w:rPr>
        </w:r>
        <w:r>
          <w:rPr>
            <w:webHidden/>
          </w:rPr>
          <w:fldChar w:fldCharType="separate"/>
        </w:r>
        <w:r w:rsidR="007C6651">
          <w:rPr>
            <w:webHidden/>
          </w:rPr>
          <w:t>65</w:t>
        </w:r>
        <w:r>
          <w:rPr>
            <w:webHidden/>
          </w:rPr>
          <w:fldChar w:fldCharType="end"/>
        </w:r>
      </w:hyperlink>
    </w:p>
    <w:p w14:paraId="4A1FE5E7" w14:textId="60A10817" w:rsidR="009E38E5" w:rsidRDefault="009E38E5">
      <w:pPr>
        <w:pStyle w:val="TOC3"/>
        <w:rPr>
          <w:b w:val="0"/>
          <w:color w:val="auto"/>
          <w:kern w:val="2"/>
          <w:sz w:val="24"/>
          <w:szCs w:val="24"/>
          <w:lang w:eastAsia="en-GB"/>
          <w14:ligatures w14:val="standardContextual"/>
        </w:rPr>
      </w:pPr>
      <w:hyperlink w:anchor="_Toc163547050" w:history="1">
        <w:r w:rsidRPr="00AE23CC">
          <w:rPr>
            <w:rStyle w:val="Hyperlink"/>
          </w:rPr>
          <w:t>4.1.1 Ecosystem asset extent</w:t>
        </w:r>
        <w:r>
          <w:rPr>
            <w:webHidden/>
          </w:rPr>
          <w:tab/>
        </w:r>
        <w:r>
          <w:rPr>
            <w:webHidden/>
          </w:rPr>
          <w:fldChar w:fldCharType="begin"/>
        </w:r>
        <w:r>
          <w:rPr>
            <w:webHidden/>
          </w:rPr>
          <w:instrText xml:space="preserve"> PAGEREF _Toc163547050 \h </w:instrText>
        </w:r>
        <w:r>
          <w:rPr>
            <w:webHidden/>
          </w:rPr>
        </w:r>
        <w:r>
          <w:rPr>
            <w:webHidden/>
          </w:rPr>
          <w:fldChar w:fldCharType="separate"/>
        </w:r>
        <w:r w:rsidR="007C6651">
          <w:rPr>
            <w:webHidden/>
          </w:rPr>
          <w:t>65</w:t>
        </w:r>
        <w:r>
          <w:rPr>
            <w:webHidden/>
          </w:rPr>
          <w:fldChar w:fldCharType="end"/>
        </w:r>
      </w:hyperlink>
    </w:p>
    <w:p w14:paraId="44C3A8C2" w14:textId="31CE1CBE" w:rsidR="009E38E5" w:rsidRDefault="009E38E5">
      <w:pPr>
        <w:pStyle w:val="TOC3"/>
        <w:rPr>
          <w:b w:val="0"/>
          <w:color w:val="auto"/>
          <w:kern w:val="2"/>
          <w:sz w:val="24"/>
          <w:szCs w:val="24"/>
          <w:lang w:eastAsia="en-GB"/>
          <w14:ligatures w14:val="standardContextual"/>
        </w:rPr>
      </w:pPr>
      <w:hyperlink w:anchor="_Toc163547051" w:history="1">
        <w:r w:rsidRPr="00AE23CC">
          <w:rPr>
            <w:rStyle w:val="Hyperlink"/>
          </w:rPr>
          <w:t>4.1.2 Ecosystem condition</w:t>
        </w:r>
        <w:r>
          <w:rPr>
            <w:webHidden/>
          </w:rPr>
          <w:tab/>
        </w:r>
        <w:r>
          <w:rPr>
            <w:webHidden/>
          </w:rPr>
          <w:fldChar w:fldCharType="begin"/>
        </w:r>
        <w:r>
          <w:rPr>
            <w:webHidden/>
          </w:rPr>
          <w:instrText xml:space="preserve"> PAGEREF _Toc163547051 \h </w:instrText>
        </w:r>
        <w:r>
          <w:rPr>
            <w:webHidden/>
          </w:rPr>
        </w:r>
        <w:r>
          <w:rPr>
            <w:webHidden/>
          </w:rPr>
          <w:fldChar w:fldCharType="separate"/>
        </w:r>
        <w:r w:rsidR="007C6651">
          <w:rPr>
            <w:webHidden/>
          </w:rPr>
          <w:t>69</w:t>
        </w:r>
        <w:r>
          <w:rPr>
            <w:webHidden/>
          </w:rPr>
          <w:fldChar w:fldCharType="end"/>
        </w:r>
      </w:hyperlink>
    </w:p>
    <w:p w14:paraId="212DEC27" w14:textId="387C6AE5" w:rsidR="009E38E5" w:rsidRDefault="009E38E5">
      <w:pPr>
        <w:pStyle w:val="TOC2"/>
        <w:rPr>
          <w:rFonts w:eastAsiaTheme="minorEastAsia" w:cstheme="minorBidi"/>
          <w:color w:val="auto"/>
          <w:kern w:val="2"/>
          <w:sz w:val="24"/>
          <w:szCs w:val="24"/>
          <w:lang w:eastAsia="en-GB"/>
          <w14:ligatures w14:val="standardContextual"/>
        </w:rPr>
      </w:pPr>
      <w:hyperlink w:anchor="_Toc163547052" w:history="1">
        <w:r w:rsidRPr="00AE23CC">
          <w:rPr>
            <w:rStyle w:val="Hyperlink"/>
          </w:rPr>
          <w:t>4.2 Flow assessment</w:t>
        </w:r>
        <w:r>
          <w:rPr>
            <w:webHidden/>
          </w:rPr>
          <w:tab/>
        </w:r>
        <w:r>
          <w:rPr>
            <w:webHidden/>
          </w:rPr>
          <w:fldChar w:fldCharType="begin"/>
        </w:r>
        <w:r>
          <w:rPr>
            <w:webHidden/>
          </w:rPr>
          <w:instrText xml:space="preserve"> PAGEREF _Toc163547052 \h </w:instrText>
        </w:r>
        <w:r>
          <w:rPr>
            <w:webHidden/>
          </w:rPr>
        </w:r>
        <w:r>
          <w:rPr>
            <w:webHidden/>
          </w:rPr>
          <w:fldChar w:fldCharType="separate"/>
        </w:r>
        <w:r w:rsidR="007C6651">
          <w:rPr>
            <w:webHidden/>
          </w:rPr>
          <w:t>89</w:t>
        </w:r>
        <w:r>
          <w:rPr>
            <w:webHidden/>
          </w:rPr>
          <w:fldChar w:fldCharType="end"/>
        </w:r>
      </w:hyperlink>
    </w:p>
    <w:p w14:paraId="79C94731" w14:textId="6291039D" w:rsidR="009E38E5" w:rsidRDefault="009E38E5">
      <w:pPr>
        <w:pStyle w:val="TOC3"/>
        <w:rPr>
          <w:b w:val="0"/>
          <w:color w:val="auto"/>
          <w:kern w:val="2"/>
          <w:sz w:val="24"/>
          <w:szCs w:val="24"/>
          <w:lang w:eastAsia="en-GB"/>
          <w14:ligatures w14:val="standardContextual"/>
        </w:rPr>
      </w:pPr>
      <w:hyperlink w:anchor="_Toc163547053" w:history="1">
        <w:r w:rsidRPr="00AE23CC">
          <w:rPr>
            <w:rStyle w:val="Hyperlink"/>
          </w:rPr>
          <w:t>4.2.1 Coastal protection</w:t>
        </w:r>
        <w:r>
          <w:rPr>
            <w:webHidden/>
          </w:rPr>
          <w:tab/>
        </w:r>
        <w:r>
          <w:rPr>
            <w:webHidden/>
          </w:rPr>
          <w:fldChar w:fldCharType="begin"/>
        </w:r>
        <w:r>
          <w:rPr>
            <w:webHidden/>
          </w:rPr>
          <w:instrText xml:space="preserve"> PAGEREF _Toc163547053 \h </w:instrText>
        </w:r>
        <w:r>
          <w:rPr>
            <w:webHidden/>
          </w:rPr>
        </w:r>
        <w:r>
          <w:rPr>
            <w:webHidden/>
          </w:rPr>
          <w:fldChar w:fldCharType="separate"/>
        </w:r>
        <w:r w:rsidR="007C6651">
          <w:rPr>
            <w:webHidden/>
          </w:rPr>
          <w:t>89</w:t>
        </w:r>
        <w:r>
          <w:rPr>
            <w:webHidden/>
          </w:rPr>
          <w:fldChar w:fldCharType="end"/>
        </w:r>
      </w:hyperlink>
    </w:p>
    <w:p w14:paraId="39BD1764" w14:textId="6D32D456" w:rsidR="009E38E5" w:rsidRDefault="009E38E5">
      <w:pPr>
        <w:pStyle w:val="TOC3"/>
        <w:rPr>
          <w:b w:val="0"/>
          <w:color w:val="auto"/>
          <w:kern w:val="2"/>
          <w:sz w:val="24"/>
          <w:szCs w:val="24"/>
          <w:lang w:eastAsia="en-GB"/>
          <w14:ligatures w14:val="standardContextual"/>
        </w:rPr>
      </w:pPr>
      <w:hyperlink w:anchor="_Toc163547054" w:history="1">
        <w:r w:rsidRPr="00AE23CC">
          <w:rPr>
            <w:rStyle w:val="Hyperlink"/>
          </w:rPr>
          <w:t>4.2.2 Education</w:t>
        </w:r>
        <w:r>
          <w:rPr>
            <w:webHidden/>
          </w:rPr>
          <w:tab/>
        </w:r>
        <w:r>
          <w:rPr>
            <w:webHidden/>
          </w:rPr>
          <w:fldChar w:fldCharType="begin"/>
        </w:r>
        <w:r>
          <w:rPr>
            <w:webHidden/>
          </w:rPr>
          <w:instrText xml:space="preserve"> PAGEREF _Toc163547054 \h </w:instrText>
        </w:r>
        <w:r>
          <w:rPr>
            <w:webHidden/>
          </w:rPr>
        </w:r>
        <w:r>
          <w:rPr>
            <w:webHidden/>
          </w:rPr>
          <w:fldChar w:fldCharType="separate"/>
        </w:r>
        <w:r w:rsidR="007C6651">
          <w:rPr>
            <w:webHidden/>
          </w:rPr>
          <w:t>97</w:t>
        </w:r>
        <w:r>
          <w:rPr>
            <w:webHidden/>
          </w:rPr>
          <w:fldChar w:fldCharType="end"/>
        </w:r>
      </w:hyperlink>
    </w:p>
    <w:p w14:paraId="26372315" w14:textId="581C79DE" w:rsidR="009E38E5" w:rsidRDefault="009E38E5">
      <w:pPr>
        <w:pStyle w:val="TOC3"/>
        <w:rPr>
          <w:b w:val="0"/>
          <w:color w:val="auto"/>
          <w:kern w:val="2"/>
          <w:sz w:val="24"/>
          <w:szCs w:val="24"/>
          <w:lang w:eastAsia="en-GB"/>
          <w14:ligatures w14:val="standardContextual"/>
        </w:rPr>
      </w:pPr>
      <w:hyperlink w:anchor="_Toc163547055" w:history="1">
        <w:r w:rsidRPr="00AE23CC">
          <w:rPr>
            <w:rStyle w:val="Hyperlink"/>
          </w:rPr>
          <w:t>4.2.3 Biomass - food</w:t>
        </w:r>
        <w:r>
          <w:rPr>
            <w:webHidden/>
          </w:rPr>
          <w:tab/>
        </w:r>
        <w:r>
          <w:rPr>
            <w:webHidden/>
          </w:rPr>
          <w:fldChar w:fldCharType="begin"/>
        </w:r>
        <w:r>
          <w:rPr>
            <w:webHidden/>
          </w:rPr>
          <w:instrText xml:space="preserve"> PAGEREF _Toc163547055 \h </w:instrText>
        </w:r>
        <w:r>
          <w:rPr>
            <w:webHidden/>
          </w:rPr>
        </w:r>
        <w:r>
          <w:rPr>
            <w:webHidden/>
          </w:rPr>
          <w:fldChar w:fldCharType="separate"/>
        </w:r>
        <w:r w:rsidR="007C6651">
          <w:rPr>
            <w:webHidden/>
          </w:rPr>
          <w:t>102</w:t>
        </w:r>
        <w:r>
          <w:rPr>
            <w:webHidden/>
          </w:rPr>
          <w:fldChar w:fldCharType="end"/>
        </w:r>
      </w:hyperlink>
    </w:p>
    <w:p w14:paraId="2C49A89C" w14:textId="4D8CFA92" w:rsidR="009E38E5" w:rsidRDefault="009E38E5">
      <w:pPr>
        <w:pStyle w:val="TOC4"/>
        <w:rPr>
          <w:rFonts w:eastAsiaTheme="minorEastAsia" w:cstheme="minorBidi"/>
          <w:color w:val="auto"/>
          <w:kern w:val="2"/>
          <w:sz w:val="24"/>
          <w:szCs w:val="24"/>
          <w:lang w:eastAsia="en-GB"/>
          <w14:ligatures w14:val="standardContextual"/>
        </w:rPr>
      </w:pPr>
      <w:hyperlink w:anchor="_Toc163547056" w:history="1">
        <w:r w:rsidRPr="00AE23CC">
          <w:rPr>
            <w:rStyle w:val="Hyperlink"/>
          </w:rPr>
          <w:t>Agriculture</w:t>
        </w:r>
        <w:r>
          <w:rPr>
            <w:webHidden/>
          </w:rPr>
          <w:tab/>
        </w:r>
        <w:r>
          <w:rPr>
            <w:webHidden/>
          </w:rPr>
          <w:fldChar w:fldCharType="begin"/>
        </w:r>
        <w:r>
          <w:rPr>
            <w:webHidden/>
          </w:rPr>
          <w:instrText xml:space="preserve"> PAGEREF _Toc163547056 \h </w:instrText>
        </w:r>
        <w:r>
          <w:rPr>
            <w:webHidden/>
          </w:rPr>
        </w:r>
        <w:r>
          <w:rPr>
            <w:webHidden/>
          </w:rPr>
          <w:fldChar w:fldCharType="separate"/>
        </w:r>
        <w:r w:rsidR="007C6651">
          <w:rPr>
            <w:webHidden/>
          </w:rPr>
          <w:t>102</w:t>
        </w:r>
        <w:r>
          <w:rPr>
            <w:webHidden/>
          </w:rPr>
          <w:fldChar w:fldCharType="end"/>
        </w:r>
      </w:hyperlink>
    </w:p>
    <w:p w14:paraId="20D62331" w14:textId="7CCBAD5B" w:rsidR="009E38E5" w:rsidRDefault="009E38E5">
      <w:pPr>
        <w:pStyle w:val="TOC4"/>
        <w:rPr>
          <w:rFonts w:eastAsiaTheme="minorEastAsia" w:cstheme="minorBidi"/>
          <w:color w:val="auto"/>
          <w:kern w:val="2"/>
          <w:sz w:val="24"/>
          <w:szCs w:val="24"/>
          <w:lang w:eastAsia="en-GB"/>
          <w14:ligatures w14:val="standardContextual"/>
        </w:rPr>
      </w:pPr>
      <w:hyperlink w:anchor="_Toc163547057" w:history="1">
        <w:r w:rsidRPr="00AE23CC">
          <w:rPr>
            <w:rStyle w:val="Hyperlink"/>
          </w:rPr>
          <w:t>Fisheries - wild fish harvest</w:t>
        </w:r>
        <w:r>
          <w:rPr>
            <w:webHidden/>
          </w:rPr>
          <w:tab/>
        </w:r>
        <w:r>
          <w:rPr>
            <w:webHidden/>
          </w:rPr>
          <w:fldChar w:fldCharType="begin"/>
        </w:r>
        <w:r>
          <w:rPr>
            <w:webHidden/>
          </w:rPr>
          <w:instrText xml:space="preserve"> PAGEREF _Toc163547057 \h </w:instrText>
        </w:r>
        <w:r>
          <w:rPr>
            <w:webHidden/>
          </w:rPr>
        </w:r>
        <w:r>
          <w:rPr>
            <w:webHidden/>
          </w:rPr>
          <w:fldChar w:fldCharType="separate"/>
        </w:r>
        <w:r w:rsidR="007C6651">
          <w:rPr>
            <w:webHidden/>
          </w:rPr>
          <w:t>105</w:t>
        </w:r>
        <w:r>
          <w:rPr>
            <w:webHidden/>
          </w:rPr>
          <w:fldChar w:fldCharType="end"/>
        </w:r>
      </w:hyperlink>
    </w:p>
    <w:p w14:paraId="5210E352" w14:textId="26526112" w:rsidR="009E38E5" w:rsidRDefault="009E38E5">
      <w:pPr>
        <w:pStyle w:val="TOC4"/>
        <w:rPr>
          <w:rFonts w:eastAsiaTheme="minorEastAsia" w:cstheme="minorBidi"/>
          <w:color w:val="auto"/>
          <w:kern w:val="2"/>
          <w:sz w:val="24"/>
          <w:szCs w:val="24"/>
          <w:lang w:eastAsia="en-GB"/>
          <w14:ligatures w14:val="standardContextual"/>
        </w:rPr>
      </w:pPr>
      <w:hyperlink w:anchor="_Toc163547058" w:history="1">
        <w:r w:rsidRPr="00AE23CC">
          <w:rPr>
            <w:rStyle w:val="Hyperlink"/>
          </w:rPr>
          <w:t>Fisheries - wild invertebrates (abalone):</w:t>
        </w:r>
        <w:r>
          <w:rPr>
            <w:webHidden/>
          </w:rPr>
          <w:tab/>
        </w:r>
        <w:r>
          <w:rPr>
            <w:webHidden/>
          </w:rPr>
          <w:fldChar w:fldCharType="begin"/>
        </w:r>
        <w:r>
          <w:rPr>
            <w:webHidden/>
          </w:rPr>
          <w:instrText xml:space="preserve"> PAGEREF _Toc163547058 \h </w:instrText>
        </w:r>
        <w:r>
          <w:rPr>
            <w:webHidden/>
          </w:rPr>
        </w:r>
        <w:r>
          <w:rPr>
            <w:webHidden/>
          </w:rPr>
          <w:fldChar w:fldCharType="separate"/>
        </w:r>
        <w:r w:rsidR="007C6651">
          <w:rPr>
            <w:webHidden/>
          </w:rPr>
          <w:t>105</w:t>
        </w:r>
        <w:r>
          <w:rPr>
            <w:webHidden/>
          </w:rPr>
          <w:fldChar w:fldCharType="end"/>
        </w:r>
      </w:hyperlink>
    </w:p>
    <w:p w14:paraId="6CED966E" w14:textId="0B355FC1" w:rsidR="009E38E5" w:rsidRDefault="009E38E5">
      <w:pPr>
        <w:pStyle w:val="TOC4"/>
        <w:rPr>
          <w:rFonts w:eastAsiaTheme="minorEastAsia" w:cstheme="minorBidi"/>
          <w:color w:val="auto"/>
          <w:kern w:val="2"/>
          <w:sz w:val="24"/>
          <w:szCs w:val="24"/>
          <w:lang w:eastAsia="en-GB"/>
          <w14:ligatures w14:val="standardContextual"/>
        </w:rPr>
      </w:pPr>
      <w:hyperlink w:anchor="_Toc163547059" w:history="1">
        <w:r w:rsidRPr="00AE23CC">
          <w:rPr>
            <w:rStyle w:val="Hyperlink"/>
          </w:rPr>
          <w:t>Fisheries - wild fish harvest</w:t>
        </w:r>
        <w:r>
          <w:rPr>
            <w:webHidden/>
          </w:rPr>
          <w:tab/>
        </w:r>
        <w:r>
          <w:rPr>
            <w:webHidden/>
          </w:rPr>
          <w:fldChar w:fldCharType="begin"/>
        </w:r>
        <w:r>
          <w:rPr>
            <w:webHidden/>
          </w:rPr>
          <w:instrText xml:space="preserve"> PAGEREF _Toc163547059 \h </w:instrText>
        </w:r>
        <w:r>
          <w:rPr>
            <w:webHidden/>
          </w:rPr>
        </w:r>
        <w:r>
          <w:rPr>
            <w:webHidden/>
          </w:rPr>
          <w:fldChar w:fldCharType="separate"/>
        </w:r>
        <w:r w:rsidR="007C6651">
          <w:rPr>
            <w:webHidden/>
          </w:rPr>
          <w:t>108</w:t>
        </w:r>
        <w:r>
          <w:rPr>
            <w:webHidden/>
          </w:rPr>
          <w:fldChar w:fldCharType="end"/>
        </w:r>
      </w:hyperlink>
    </w:p>
    <w:p w14:paraId="71B0EB66" w14:textId="1E6622F3" w:rsidR="009E38E5" w:rsidRDefault="009E38E5">
      <w:pPr>
        <w:pStyle w:val="TOC4"/>
        <w:rPr>
          <w:rFonts w:eastAsiaTheme="minorEastAsia" w:cstheme="minorBidi"/>
          <w:color w:val="auto"/>
          <w:kern w:val="2"/>
          <w:sz w:val="24"/>
          <w:szCs w:val="24"/>
          <w:lang w:eastAsia="en-GB"/>
          <w14:ligatures w14:val="standardContextual"/>
        </w:rPr>
      </w:pPr>
      <w:hyperlink w:anchor="_Toc163547060" w:history="1">
        <w:r w:rsidRPr="00AE23CC">
          <w:rPr>
            <w:rStyle w:val="Hyperlink"/>
          </w:rPr>
          <w:t>Fisheries - wild invertebrates (abalone)</w:t>
        </w:r>
        <w:r>
          <w:rPr>
            <w:webHidden/>
          </w:rPr>
          <w:tab/>
        </w:r>
        <w:r>
          <w:rPr>
            <w:webHidden/>
          </w:rPr>
          <w:fldChar w:fldCharType="begin"/>
        </w:r>
        <w:r>
          <w:rPr>
            <w:webHidden/>
          </w:rPr>
          <w:instrText xml:space="preserve"> PAGEREF _Toc163547060 \h </w:instrText>
        </w:r>
        <w:r>
          <w:rPr>
            <w:webHidden/>
          </w:rPr>
        </w:r>
        <w:r>
          <w:rPr>
            <w:webHidden/>
          </w:rPr>
          <w:fldChar w:fldCharType="separate"/>
        </w:r>
        <w:r w:rsidR="007C6651">
          <w:rPr>
            <w:webHidden/>
          </w:rPr>
          <w:t>109</w:t>
        </w:r>
        <w:r>
          <w:rPr>
            <w:webHidden/>
          </w:rPr>
          <w:fldChar w:fldCharType="end"/>
        </w:r>
      </w:hyperlink>
    </w:p>
    <w:p w14:paraId="2B43A869" w14:textId="33E1FE05" w:rsidR="009E38E5" w:rsidRDefault="009E38E5">
      <w:pPr>
        <w:pStyle w:val="TOC3"/>
        <w:rPr>
          <w:b w:val="0"/>
          <w:color w:val="auto"/>
          <w:kern w:val="2"/>
          <w:sz w:val="24"/>
          <w:szCs w:val="24"/>
          <w:lang w:eastAsia="en-GB"/>
          <w14:ligatures w14:val="standardContextual"/>
        </w:rPr>
      </w:pPr>
      <w:hyperlink w:anchor="_Toc163547061" w:history="1">
        <w:r w:rsidRPr="00AE23CC">
          <w:rPr>
            <w:rStyle w:val="Hyperlink"/>
          </w:rPr>
          <w:t>4.2.4 Global climate regulation</w:t>
        </w:r>
        <w:r>
          <w:rPr>
            <w:webHidden/>
          </w:rPr>
          <w:tab/>
        </w:r>
        <w:r>
          <w:rPr>
            <w:webHidden/>
          </w:rPr>
          <w:fldChar w:fldCharType="begin"/>
        </w:r>
        <w:r>
          <w:rPr>
            <w:webHidden/>
          </w:rPr>
          <w:instrText xml:space="preserve"> PAGEREF _Toc163547061 \h </w:instrText>
        </w:r>
        <w:r>
          <w:rPr>
            <w:webHidden/>
          </w:rPr>
        </w:r>
        <w:r>
          <w:rPr>
            <w:webHidden/>
          </w:rPr>
          <w:fldChar w:fldCharType="separate"/>
        </w:r>
        <w:r w:rsidR="007C6651">
          <w:rPr>
            <w:webHidden/>
          </w:rPr>
          <w:t>111</w:t>
        </w:r>
        <w:r>
          <w:rPr>
            <w:webHidden/>
          </w:rPr>
          <w:fldChar w:fldCharType="end"/>
        </w:r>
      </w:hyperlink>
    </w:p>
    <w:p w14:paraId="5DA07D77" w14:textId="6AABB7DA" w:rsidR="009E38E5" w:rsidRDefault="009E38E5">
      <w:pPr>
        <w:pStyle w:val="TOC3"/>
        <w:rPr>
          <w:b w:val="0"/>
          <w:color w:val="auto"/>
          <w:kern w:val="2"/>
          <w:sz w:val="24"/>
          <w:szCs w:val="24"/>
          <w:lang w:eastAsia="en-GB"/>
          <w14:ligatures w14:val="standardContextual"/>
        </w:rPr>
      </w:pPr>
      <w:hyperlink w:anchor="_Toc163547062" w:history="1">
        <w:r w:rsidRPr="00AE23CC">
          <w:rPr>
            <w:rStyle w:val="Hyperlink"/>
          </w:rPr>
          <w:t>4.2.5 Recreation and tourism</w:t>
        </w:r>
        <w:r>
          <w:rPr>
            <w:webHidden/>
          </w:rPr>
          <w:tab/>
        </w:r>
        <w:r>
          <w:rPr>
            <w:webHidden/>
          </w:rPr>
          <w:fldChar w:fldCharType="begin"/>
        </w:r>
        <w:r>
          <w:rPr>
            <w:webHidden/>
          </w:rPr>
          <w:instrText xml:space="preserve"> PAGEREF _Toc163547062 \h </w:instrText>
        </w:r>
        <w:r>
          <w:rPr>
            <w:webHidden/>
          </w:rPr>
        </w:r>
        <w:r>
          <w:rPr>
            <w:webHidden/>
          </w:rPr>
          <w:fldChar w:fldCharType="separate"/>
        </w:r>
        <w:r w:rsidR="007C6651">
          <w:rPr>
            <w:webHidden/>
          </w:rPr>
          <w:t>119</w:t>
        </w:r>
        <w:r>
          <w:rPr>
            <w:webHidden/>
          </w:rPr>
          <w:fldChar w:fldCharType="end"/>
        </w:r>
      </w:hyperlink>
    </w:p>
    <w:p w14:paraId="70FA1658" w14:textId="2F4C9CF5" w:rsidR="009E38E5" w:rsidRDefault="009E38E5">
      <w:pPr>
        <w:pStyle w:val="TOC3"/>
        <w:rPr>
          <w:b w:val="0"/>
          <w:color w:val="auto"/>
          <w:kern w:val="2"/>
          <w:sz w:val="24"/>
          <w:szCs w:val="24"/>
          <w:lang w:eastAsia="en-GB"/>
          <w14:ligatures w14:val="standardContextual"/>
        </w:rPr>
      </w:pPr>
      <w:hyperlink w:anchor="_Toc163547063" w:history="1">
        <w:r w:rsidRPr="00AE23CC">
          <w:rPr>
            <w:rStyle w:val="Hyperlink"/>
          </w:rPr>
          <w:t>4.2.6 Biomass - timber</w:t>
        </w:r>
        <w:r>
          <w:rPr>
            <w:webHidden/>
          </w:rPr>
          <w:tab/>
        </w:r>
        <w:r>
          <w:rPr>
            <w:webHidden/>
          </w:rPr>
          <w:fldChar w:fldCharType="begin"/>
        </w:r>
        <w:r>
          <w:rPr>
            <w:webHidden/>
          </w:rPr>
          <w:instrText xml:space="preserve"> PAGEREF _Toc163547063 \h </w:instrText>
        </w:r>
        <w:r>
          <w:rPr>
            <w:webHidden/>
          </w:rPr>
        </w:r>
        <w:r>
          <w:rPr>
            <w:webHidden/>
          </w:rPr>
          <w:fldChar w:fldCharType="separate"/>
        </w:r>
        <w:r w:rsidR="007C6651">
          <w:rPr>
            <w:webHidden/>
          </w:rPr>
          <w:t>127</w:t>
        </w:r>
        <w:r>
          <w:rPr>
            <w:webHidden/>
          </w:rPr>
          <w:fldChar w:fldCharType="end"/>
        </w:r>
      </w:hyperlink>
    </w:p>
    <w:p w14:paraId="45381F2F" w14:textId="5CE47188" w:rsidR="009E38E5" w:rsidRDefault="009E38E5">
      <w:pPr>
        <w:pStyle w:val="TOC3"/>
        <w:rPr>
          <w:b w:val="0"/>
          <w:color w:val="auto"/>
          <w:kern w:val="2"/>
          <w:sz w:val="24"/>
          <w:szCs w:val="24"/>
          <w:lang w:eastAsia="en-GB"/>
          <w14:ligatures w14:val="standardContextual"/>
        </w:rPr>
      </w:pPr>
      <w:hyperlink w:anchor="_Toc163547064" w:history="1">
        <w:r w:rsidRPr="00AE23CC">
          <w:rPr>
            <w:rStyle w:val="Hyperlink"/>
          </w:rPr>
          <w:t>4.2.7 Aesthetics</w:t>
        </w:r>
        <w:r>
          <w:rPr>
            <w:webHidden/>
          </w:rPr>
          <w:tab/>
        </w:r>
        <w:r>
          <w:rPr>
            <w:webHidden/>
          </w:rPr>
          <w:fldChar w:fldCharType="begin"/>
        </w:r>
        <w:r>
          <w:rPr>
            <w:webHidden/>
          </w:rPr>
          <w:instrText xml:space="preserve"> PAGEREF _Toc163547064 \h </w:instrText>
        </w:r>
        <w:r>
          <w:rPr>
            <w:webHidden/>
          </w:rPr>
        </w:r>
        <w:r>
          <w:rPr>
            <w:webHidden/>
          </w:rPr>
          <w:fldChar w:fldCharType="separate"/>
        </w:r>
        <w:r w:rsidR="007C6651">
          <w:rPr>
            <w:webHidden/>
          </w:rPr>
          <w:t>131</w:t>
        </w:r>
        <w:r>
          <w:rPr>
            <w:webHidden/>
          </w:rPr>
          <w:fldChar w:fldCharType="end"/>
        </w:r>
      </w:hyperlink>
    </w:p>
    <w:p w14:paraId="15113999" w14:textId="6F792AB1" w:rsidR="009E38E5" w:rsidRDefault="009E38E5">
      <w:pPr>
        <w:pStyle w:val="TOC3"/>
        <w:rPr>
          <w:b w:val="0"/>
          <w:color w:val="auto"/>
          <w:kern w:val="2"/>
          <w:sz w:val="24"/>
          <w:szCs w:val="24"/>
          <w:lang w:eastAsia="en-GB"/>
          <w14:ligatures w14:val="standardContextual"/>
        </w:rPr>
      </w:pPr>
      <w:hyperlink w:anchor="_Toc163547065" w:history="1">
        <w:r w:rsidRPr="00AE23CC">
          <w:rPr>
            <w:rStyle w:val="Hyperlink"/>
          </w:rPr>
          <w:t>4.2.8 Cultural heritage values</w:t>
        </w:r>
        <w:r>
          <w:rPr>
            <w:webHidden/>
          </w:rPr>
          <w:tab/>
        </w:r>
        <w:r>
          <w:rPr>
            <w:webHidden/>
          </w:rPr>
          <w:fldChar w:fldCharType="begin"/>
        </w:r>
        <w:r>
          <w:rPr>
            <w:webHidden/>
          </w:rPr>
          <w:instrText xml:space="preserve"> PAGEREF _Toc163547065 \h </w:instrText>
        </w:r>
        <w:r>
          <w:rPr>
            <w:webHidden/>
          </w:rPr>
        </w:r>
        <w:r>
          <w:rPr>
            <w:webHidden/>
          </w:rPr>
          <w:fldChar w:fldCharType="separate"/>
        </w:r>
        <w:r w:rsidR="007C6651">
          <w:rPr>
            <w:webHidden/>
          </w:rPr>
          <w:t>131</w:t>
        </w:r>
        <w:r>
          <w:rPr>
            <w:webHidden/>
          </w:rPr>
          <w:fldChar w:fldCharType="end"/>
        </w:r>
      </w:hyperlink>
    </w:p>
    <w:p w14:paraId="50DB6F28" w14:textId="053F57F1" w:rsidR="009E38E5" w:rsidRDefault="009E38E5">
      <w:pPr>
        <w:pStyle w:val="TOC4"/>
        <w:rPr>
          <w:rFonts w:eastAsiaTheme="minorEastAsia" w:cstheme="minorBidi"/>
          <w:color w:val="auto"/>
          <w:kern w:val="2"/>
          <w:sz w:val="24"/>
          <w:szCs w:val="24"/>
          <w:lang w:eastAsia="en-GB"/>
          <w14:ligatures w14:val="standardContextual"/>
        </w:rPr>
      </w:pPr>
      <w:hyperlink w:anchor="_Toc163547066" w:history="1">
        <w:r w:rsidRPr="00AE23CC">
          <w:rPr>
            <w:rStyle w:val="Hyperlink"/>
          </w:rPr>
          <w:t>4.2.8.1 Historic and contemporary non-Indigenous cultural heritage</w:t>
        </w:r>
        <w:r>
          <w:rPr>
            <w:webHidden/>
          </w:rPr>
          <w:tab/>
        </w:r>
        <w:r>
          <w:rPr>
            <w:webHidden/>
          </w:rPr>
          <w:fldChar w:fldCharType="begin"/>
        </w:r>
        <w:r>
          <w:rPr>
            <w:webHidden/>
          </w:rPr>
          <w:instrText xml:space="preserve"> PAGEREF _Toc163547066 \h </w:instrText>
        </w:r>
        <w:r>
          <w:rPr>
            <w:webHidden/>
          </w:rPr>
        </w:r>
        <w:r>
          <w:rPr>
            <w:webHidden/>
          </w:rPr>
          <w:fldChar w:fldCharType="separate"/>
        </w:r>
        <w:r w:rsidR="007C6651">
          <w:rPr>
            <w:webHidden/>
          </w:rPr>
          <w:t>136</w:t>
        </w:r>
        <w:r>
          <w:rPr>
            <w:webHidden/>
          </w:rPr>
          <w:fldChar w:fldCharType="end"/>
        </w:r>
      </w:hyperlink>
    </w:p>
    <w:p w14:paraId="0D4443CD" w14:textId="748EBB70" w:rsidR="009E38E5" w:rsidRDefault="009E38E5">
      <w:pPr>
        <w:pStyle w:val="TOC3"/>
        <w:rPr>
          <w:b w:val="0"/>
          <w:color w:val="auto"/>
          <w:kern w:val="2"/>
          <w:sz w:val="24"/>
          <w:szCs w:val="24"/>
          <w:lang w:eastAsia="en-GB"/>
          <w14:ligatures w14:val="standardContextual"/>
        </w:rPr>
      </w:pPr>
      <w:hyperlink w:anchor="_Toc163547067" w:history="1">
        <w:r w:rsidRPr="00AE23CC">
          <w:rPr>
            <w:rStyle w:val="Hyperlink"/>
          </w:rPr>
          <w:t>4.2.9 Existence / Option value</w:t>
        </w:r>
        <w:r>
          <w:rPr>
            <w:webHidden/>
          </w:rPr>
          <w:tab/>
        </w:r>
        <w:r>
          <w:rPr>
            <w:webHidden/>
          </w:rPr>
          <w:fldChar w:fldCharType="begin"/>
        </w:r>
        <w:r>
          <w:rPr>
            <w:webHidden/>
          </w:rPr>
          <w:instrText xml:space="preserve"> PAGEREF _Toc163547067 \h </w:instrText>
        </w:r>
        <w:r>
          <w:rPr>
            <w:webHidden/>
          </w:rPr>
        </w:r>
        <w:r>
          <w:rPr>
            <w:webHidden/>
          </w:rPr>
          <w:fldChar w:fldCharType="separate"/>
        </w:r>
        <w:r w:rsidR="007C6651">
          <w:rPr>
            <w:webHidden/>
          </w:rPr>
          <w:t>136</w:t>
        </w:r>
        <w:r>
          <w:rPr>
            <w:webHidden/>
          </w:rPr>
          <w:fldChar w:fldCharType="end"/>
        </w:r>
      </w:hyperlink>
    </w:p>
    <w:p w14:paraId="0EE9C307" w14:textId="1F95FCE9" w:rsidR="009E38E5" w:rsidRDefault="009E38E5">
      <w:pPr>
        <w:pStyle w:val="TOC3"/>
        <w:rPr>
          <w:b w:val="0"/>
          <w:color w:val="auto"/>
          <w:kern w:val="2"/>
          <w:sz w:val="24"/>
          <w:szCs w:val="24"/>
          <w:lang w:eastAsia="en-GB"/>
          <w14:ligatures w14:val="standardContextual"/>
        </w:rPr>
      </w:pPr>
      <w:hyperlink w:anchor="_Toc163547068" w:history="1">
        <w:r w:rsidRPr="00AE23CC">
          <w:rPr>
            <w:rStyle w:val="Hyperlink"/>
          </w:rPr>
          <w:t>4.2.10 Social / community cohesion</w:t>
        </w:r>
        <w:r>
          <w:rPr>
            <w:webHidden/>
          </w:rPr>
          <w:tab/>
        </w:r>
        <w:r>
          <w:rPr>
            <w:webHidden/>
          </w:rPr>
          <w:fldChar w:fldCharType="begin"/>
        </w:r>
        <w:r>
          <w:rPr>
            <w:webHidden/>
          </w:rPr>
          <w:instrText xml:space="preserve"> PAGEREF _Toc163547068 \h </w:instrText>
        </w:r>
        <w:r>
          <w:rPr>
            <w:webHidden/>
          </w:rPr>
        </w:r>
        <w:r>
          <w:rPr>
            <w:webHidden/>
          </w:rPr>
          <w:fldChar w:fldCharType="separate"/>
        </w:r>
        <w:r w:rsidR="007C6651">
          <w:rPr>
            <w:webHidden/>
          </w:rPr>
          <w:t>137</w:t>
        </w:r>
        <w:r>
          <w:rPr>
            <w:webHidden/>
          </w:rPr>
          <w:fldChar w:fldCharType="end"/>
        </w:r>
      </w:hyperlink>
    </w:p>
    <w:p w14:paraId="38EB95D2" w14:textId="306C815C" w:rsidR="009E38E5" w:rsidRDefault="009E38E5">
      <w:pPr>
        <w:pStyle w:val="TOC1"/>
        <w:rPr>
          <w:rFonts w:eastAsiaTheme="minorEastAsia" w:cstheme="minorBidi"/>
          <w:b w:val="0"/>
          <w:color w:val="auto"/>
          <w:kern w:val="2"/>
          <w:lang w:eastAsia="en-GB"/>
          <w14:ligatures w14:val="standardContextual"/>
        </w:rPr>
      </w:pPr>
      <w:hyperlink w:anchor="_Toc163547069" w:history="1">
        <w:r w:rsidRPr="00AE23CC">
          <w:rPr>
            <w:rStyle w:val="Hyperlink"/>
          </w:rPr>
          <w:t>5. Discussion</w:t>
        </w:r>
        <w:r>
          <w:rPr>
            <w:webHidden/>
          </w:rPr>
          <w:tab/>
        </w:r>
        <w:r>
          <w:rPr>
            <w:webHidden/>
          </w:rPr>
          <w:fldChar w:fldCharType="begin"/>
        </w:r>
        <w:r>
          <w:rPr>
            <w:webHidden/>
          </w:rPr>
          <w:instrText xml:space="preserve"> PAGEREF _Toc163547069 \h </w:instrText>
        </w:r>
        <w:r>
          <w:rPr>
            <w:webHidden/>
          </w:rPr>
        </w:r>
        <w:r>
          <w:rPr>
            <w:webHidden/>
          </w:rPr>
          <w:fldChar w:fldCharType="separate"/>
        </w:r>
        <w:r w:rsidR="007C6651">
          <w:rPr>
            <w:webHidden/>
          </w:rPr>
          <w:t>138</w:t>
        </w:r>
        <w:r>
          <w:rPr>
            <w:webHidden/>
          </w:rPr>
          <w:fldChar w:fldCharType="end"/>
        </w:r>
      </w:hyperlink>
    </w:p>
    <w:p w14:paraId="40DF6E8F" w14:textId="737559B7" w:rsidR="009E38E5" w:rsidRDefault="009E38E5">
      <w:pPr>
        <w:pStyle w:val="TOC2"/>
        <w:rPr>
          <w:rFonts w:eastAsiaTheme="minorEastAsia" w:cstheme="minorBidi"/>
          <w:color w:val="auto"/>
          <w:kern w:val="2"/>
          <w:sz w:val="24"/>
          <w:szCs w:val="24"/>
          <w:lang w:eastAsia="en-GB"/>
          <w14:ligatures w14:val="standardContextual"/>
        </w:rPr>
      </w:pPr>
      <w:hyperlink w:anchor="_Toc163547070" w:history="1">
        <w:r w:rsidRPr="00AE23CC">
          <w:rPr>
            <w:rStyle w:val="Hyperlink"/>
          </w:rPr>
          <w:t>5.1 Stock assessment</w:t>
        </w:r>
        <w:r>
          <w:rPr>
            <w:webHidden/>
          </w:rPr>
          <w:tab/>
        </w:r>
        <w:r>
          <w:rPr>
            <w:webHidden/>
          </w:rPr>
          <w:fldChar w:fldCharType="begin"/>
        </w:r>
        <w:r>
          <w:rPr>
            <w:webHidden/>
          </w:rPr>
          <w:instrText xml:space="preserve"> PAGEREF _Toc163547070 \h </w:instrText>
        </w:r>
        <w:r>
          <w:rPr>
            <w:webHidden/>
          </w:rPr>
        </w:r>
        <w:r>
          <w:rPr>
            <w:webHidden/>
          </w:rPr>
          <w:fldChar w:fldCharType="separate"/>
        </w:r>
        <w:r w:rsidR="007C6651">
          <w:rPr>
            <w:webHidden/>
          </w:rPr>
          <w:t>138</w:t>
        </w:r>
        <w:r>
          <w:rPr>
            <w:webHidden/>
          </w:rPr>
          <w:fldChar w:fldCharType="end"/>
        </w:r>
      </w:hyperlink>
    </w:p>
    <w:p w14:paraId="56A1328C" w14:textId="6A9B32EE" w:rsidR="009E38E5" w:rsidRDefault="009E38E5">
      <w:pPr>
        <w:pStyle w:val="TOC3"/>
        <w:rPr>
          <w:b w:val="0"/>
          <w:color w:val="auto"/>
          <w:kern w:val="2"/>
          <w:sz w:val="24"/>
          <w:szCs w:val="24"/>
          <w:lang w:eastAsia="en-GB"/>
          <w14:ligatures w14:val="standardContextual"/>
        </w:rPr>
      </w:pPr>
      <w:hyperlink w:anchor="_Toc163547071" w:history="1">
        <w:r w:rsidRPr="00AE23CC">
          <w:rPr>
            <w:rStyle w:val="Hyperlink"/>
          </w:rPr>
          <w:t>5.1.1 Ecosystem extent</w:t>
        </w:r>
        <w:r>
          <w:rPr>
            <w:webHidden/>
          </w:rPr>
          <w:tab/>
        </w:r>
        <w:r>
          <w:rPr>
            <w:webHidden/>
          </w:rPr>
          <w:fldChar w:fldCharType="begin"/>
        </w:r>
        <w:r>
          <w:rPr>
            <w:webHidden/>
          </w:rPr>
          <w:instrText xml:space="preserve"> PAGEREF _Toc163547071 \h </w:instrText>
        </w:r>
        <w:r>
          <w:rPr>
            <w:webHidden/>
          </w:rPr>
        </w:r>
        <w:r>
          <w:rPr>
            <w:webHidden/>
          </w:rPr>
          <w:fldChar w:fldCharType="separate"/>
        </w:r>
        <w:r w:rsidR="007C6651">
          <w:rPr>
            <w:webHidden/>
          </w:rPr>
          <w:t>138</w:t>
        </w:r>
        <w:r>
          <w:rPr>
            <w:webHidden/>
          </w:rPr>
          <w:fldChar w:fldCharType="end"/>
        </w:r>
      </w:hyperlink>
    </w:p>
    <w:p w14:paraId="011D1375" w14:textId="169100AD" w:rsidR="009E38E5" w:rsidRDefault="009E38E5">
      <w:pPr>
        <w:pStyle w:val="TOC3"/>
        <w:rPr>
          <w:b w:val="0"/>
          <w:color w:val="auto"/>
          <w:kern w:val="2"/>
          <w:sz w:val="24"/>
          <w:szCs w:val="24"/>
          <w:lang w:eastAsia="en-GB"/>
          <w14:ligatures w14:val="standardContextual"/>
        </w:rPr>
      </w:pPr>
      <w:hyperlink w:anchor="_Toc163547072" w:history="1">
        <w:r w:rsidRPr="00AE23CC">
          <w:rPr>
            <w:rStyle w:val="Hyperlink"/>
          </w:rPr>
          <w:t>5.1.2 Ecosystem condition</w:t>
        </w:r>
        <w:r>
          <w:rPr>
            <w:webHidden/>
          </w:rPr>
          <w:tab/>
        </w:r>
        <w:r>
          <w:rPr>
            <w:webHidden/>
          </w:rPr>
          <w:fldChar w:fldCharType="begin"/>
        </w:r>
        <w:r>
          <w:rPr>
            <w:webHidden/>
          </w:rPr>
          <w:instrText xml:space="preserve"> PAGEREF _Toc163547072 \h </w:instrText>
        </w:r>
        <w:r>
          <w:rPr>
            <w:webHidden/>
          </w:rPr>
        </w:r>
        <w:r>
          <w:rPr>
            <w:webHidden/>
          </w:rPr>
          <w:fldChar w:fldCharType="separate"/>
        </w:r>
        <w:r w:rsidR="007C6651">
          <w:rPr>
            <w:webHidden/>
          </w:rPr>
          <w:t>138</w:t>
        </w:r>
        <w:r>
          <w:rPr>
            <w:webHidden/>
          </w:rPr>
          <w:fldChar w:fldCharType="end"/>
        </w:r>
      </w:hyperlink>
    </w:p>
    <w:p w14:paraId="538026E0" w14:textId="24E04A59" w:rsidR="009E38E5" w:rsidRDefault="009E38E5">
      <w:pPr>
        <w:pStyle w:val="TOC2"/>
        <w:rPr>
          <w:rFonts w:eastAsiaTheme="minorEastAsia" w:cstheme="minorBidi"/>
          <w:color w:val="auto"/>
          <w:kern w:val="2"/>
          <w:sz w:val="24"/>
          <w:szCs w:val="24"/>
          <w:lang w:eastAsia="en-GB"/>
          <w14:ligatures w14:val="standardContextual"/>
        </w:rPr>
      </w:pPr>
      <w:hyperlink w:anchor="_Toc163547073" w:history="1">
        <w:r w:rsidRPr="00AE23CC">
          <w:rPr>
            <w:rStyle w:val="Hyperlink"/>
          </w:rPr>
          <w:t>5.2 Flow assessment</w:t>
        </w:r>
        <w:r>
          <w:rPr>
            <w:webHidden/>
          </w:rPr>
          <w:tab/>
        </w:r>
        <w:r>
          <w:rPr>
            <w:webHidden/>
          </w:rPr>
          <w:fldChar w:fldCharType="begin"/>
        </w:r>
        <w:r>
          <w:rPr>
            <w:webHidden/>
          </w:rPr>
          <w:instrText xml:space="preserve"> PAGEREF _Toc163547073 \h </w:instrText>
        </w:r>
        <w:r>
          <w:rPr>
            <w:webHidden/>
          </w:rPr>
        </w:r>
        <w:r>
          <w:rPr>
            <w:webHidden/>
          </w:rPr>
          <w:fldChar w:fldCharType="separate"/>
        </w:r>
        <w:r w:rsidR="007C6651">
          <w:rPr>
            <w:webHidden/>
          </w:rPr>
          <w:t>140</w:t>
        </w:r>
        <w:r>
          <w:rPr>
            <w:webHidden/>
          </w:rPr>
          <w:fldChar w:fldCharType="end"/>
        </w:r>
      </w:hyperlink>
    </w:p>
    <w:p w14:paraId="76604221" w14:textId="2E984EBD" w:rsidR="009E38E5" w:rsidRDefault="009E38E5">
      <w:pPr>
        <w:pStyle w:val="TOC3"/>
        <w:rPr>
          <w:b w:val="0"/>
          <w:color w:val="auto"/>
          <w:kern w:val="2"/>
          <w:sz w:val="24"/>
          <w:szCs w:val="24"/>
          <w:lang w:eastAsia="en-GB"/>
          <w14:ligatures w14:val="standardContextual"/>
        </w:rPr>
      </w:pPr>
      <w:hyperlink w:anchor="_Toc163547074" w:history="1">
        <w:r w:rsidRPr="00AE23CC">
          <w:rPr>
            <w:rStyle w:val="Hyperlink"/>
          </w:rPr>
          <w:t>5.2.1 Coastal protection</w:t>
        </w:r>
        <w:r>
          <w:rPr>
            <w:webHidden/>
          </w:rPr>
          <w:tab/>
        </w:r>
        <w:r>
          <w:rPr>
            <w:webHidden/>
          </w:rPr>
          <w:fldChar w:fldCharType="begin"/>
        </w:r>
        <w:r>
          <w:rPr>
            <w:webHidden/>
          </w:rPr>
          <w:instrText xml:space="preserve"> PAGEREF _Toc163547074 \h </w:instrText>
        </w:r>
        <w:r>
          <w:rPr>
            <w:webHidden/>
          </w:rPr>
        </w:r>
        <w:r>
          <w:rPr>
            <w:webHidden/>
          </w:rPr>
          <w:fldChar w:fldCharType="separate"/>
        </w:r>
        <w:r w:rsidR="007C6651">
          <w:rPr>
            <w:webHidden/>
          </w:rPr>
          <w:t>140</w:t>
        </w:r>
        <w:r>
          <w:rPr>
            <w:webHidden/>
          </w:rPr>
          <w:fldChar w:fldCharType="end"/>
        </w:r>
      </w:hyperlink>
    </w:p>
    <w:p w14:paraId="65D5E0B9" w14:textId="25483704" w:rsidR="009E38E5" w:rsidRDefault="009E38E5">
      <w:pPr>
        <w:pStyle w:val="TOC3"/>
        <w:rPr>
          <w:b w:val="0"/>
          <w:color w:val="auto"/>
          <w:kern w:val="2"/>
          <w:sz w:val="24"/>
          <w:szCs w:val="24"/>
          <w:lang w:eastAsia="en-GB"/>
          <w14:ligatures w14:val="standardContextual"/>
        </w:rPr>
      </w:pPr>
      <w:hyperlink w:anchor="_Toc163547075" w:history="1">
        <w:r w:rsidRPr="00AE23CC">
          <w:rPr>
            <w:rStyle w:val="Hyperlink"/>
          </w:rPr>
          <w:t>5.2.2 Education</w:t>
        </w:r>
        <w:r>
          <w:rPr>
            <w:webHidden/>
          </w:rPr>
          <w:tab/>
        </w:r>
        <w:r>
          <w:rPr>
            <w:webHidden/>
          </w:rPr>
          <w:fldChar w:fldCharType="begin"/>
        </w:r>
        <w:r>
          <w:rPr>
            <w:webHidden/>
          </w:rPr>
          <w:instrText xml:space="preserve"> PAGEREF _Toc163547075 \h </w:instrText>
        </w:r>
        <w:r>
          <w:rPr>
            <w:webHidden/>
          </w:rPr>
        </w:r>
        <w:r>
          <w:rPr>
            <w:webHidden/>
          </w:rPr>
          <w:fldChar w:fldCharType="separate"/>
        </w:r>
        <w:r w:rsidR="007C6651">
          <w:rPr>
            <w:webHidden/>
          </w:rPr>
          <w:t>141</w:t>
        </w:r>
        <w:r>
          <w:rPr>
            <w:webHidden/>
          </w:rPr>
          <w:fldChar w:fldCharType="end"/>
        </w:r>
      </w:hyperlink>
    </w:p>
    <w:p w14:paraId="591B1942" w14:textId="57FD8D97" w:rsidR="009E38E5" w:rsidRDefault="009E38E5">
      <w:pPr>
        <w:pStyle w:val="TOC3"/>
        <w:rPr>
          <w:b w:val="0"/>
          <w:color w:val="auto"/>
          <w:kern w:val="2"/>
          <w:sz w:val="24"/>
          <w:szCs w:val="24"/>
          <w:lang w:eastAsia="en-GB"/>
          <w14:ligatures w14:val="standardContextual"/>
        </w:rPr>
      </w:pPr>
      <w:hyperlink w:anchor="_Toc163547076" w:history="1">
        <w:r w:rsidRPr="00AE23CC">
          <w:rPr>
            <w:rStyle w:val="Hyperlink"/>
          </w:rPr>
          <w:t>5.2.3 Biomass for food</w:t>
        </w:r>
        <w:r>
          <w:rPr>
            <w:webHidden/>
          </w:rPr>
          <w:tab/>
        </w:r>
        <w:r>
          <w:rPr>
            <w:webHidden/>
          </w:rPr>
          <w:fldChar w:fldCharType="begin"/>
        </w:r>
        <w:r>
          <w:rPr>
            <w:webHidden/>
          </w:rPr>
          <w:instrText xml:space="preserve"> PAGEREF _Toc163547076 \h </w:instrText>
        </w:r>
        <w:r>
          <w:rPr>
            <w:webHidden/>
          </w:rPr>
        </w:r>
        <w:r>
          <w:rPr>
            <w:webHidden/>
          </w:rPr>
          <w:fldChar w:fldCharType="separate"/>
        </w:r>
        <w:r w:rsidR="007C6651">
          <w:rPr>
            <w:webHidden/>
          </w:rPr>
          <w:t>141</w:t>
        </w:r>
        <w:r>
          <w:rPr>
            <w:webHidden/>
          </w:rPr>
          <w:fldChar w:fldCharType="end"/>
        </w:r>
      </w:hyperlink>
    </w:p>
    <w:p w14:paraId="7FA4E312" w14:textId="35B6F902" w:rsidR="009E38E5" w:rsidRDefault="009E38E5">
      <w:pPr>
        <w:pStyle w:val="TOC3"/>
        <w:rPr>
          <w:b w:val="0"/>
          <w:color w:val="auto"/>
          <w:kern w:val="2"/>
          <w:sz w:val="24"/>
          <w:szCs w:val="24"/>
          <w:lang w:eastAsia="en-GB"/>
          <w14:ligatures w14:val="standardContextual"/>
        </w:rPr>
      </w:pPr>
      <w:hyperlink w:anchor="_Toc163547077" w:history="1">
        <w:r w:rsidRPr="00AE23CC">
          <w:rPr>
            <w:rStyle w:val="Hyperlink"/>
          </w:rPr>
          <w:t>5.2.4 Global climate regulation</w:t>
        </w:r>
        <w:r>
          <w:rPr>
            <w:webHidden/>
          </w:rPr>
          <w:tab/>
        </w:r>
        <w:r>
          <w:rPr>
            <w:webHidden/>
          </w:rPr>
          <w:fldChar w:fldCharType="begin"/>
        </w:r>
        <w:r>
          <w:rPr>
            <w:webHidden/>
          </w:rPr>
          <w:instrText xml:space="preserve"> PAGEREF _Toc163547077 \h </w:instrText>
        </w:r>
        <w:r>
          <w:rPr>
            <w:webHidden/>
          </w:rPr>
        </w:r>
        <w:r>
          <w:rPr>
            <w:webHidden/>
          </w:rPr>
          <w:fldChar w:fldCharType="separate"/>
        </w:r>
        <w:r w:rsidR="007C6651">
          <w:rPr>
            <w:webHidden/>
          </w:rPr>
          <w:t>142</w:t>
        </w:r>
        <w:r>
          <w:rPr>
            <w:webHidden/>
          </w:rPr>
          <w:fldChar w:fldCharType="end"/>
        </w:r>
      </w:hyperlink>
    </w:p>
    <w:p w14:paraId="73A83188" w14:textId="579BF5EE" w:rsidR="009E38E5" w:rsidRDefault="009E38E5">
      <w:pPr>
        <w:pStyle w:val="TOC3"/>
        <w:rPr>
          <w:b w:val="0"/>
          <w:color w:val="auto"/>
          <w:kern w:val="2"/>
          <w:sz w:val="24"/>
          <w:szCs w:val="24"/>
          <w:lang w:eastAsia="en-GB"/>
          <w14:ligatures w14:val="standardContextual"/>
        </w:rPr>
      </w:pPr>
      <w:hyperlink w:anchor="_Toc163547078" w:history="1">
        <w:r w:rsidRPr="00AE23CC">
          <w:rPr>
            <w:rStyle w:val="Hyperlink"/>
          </w:rPr>
          <w:t>5.2.5 Recreation and tourism</w:t>
        </w:r>
        <w:r>
          <w:rPr>
            <w:webHidden/>
          </w:rPr>
          <w:tab/>
        </w:r>
        <w:r>
          <w:rPr>
            <w:webHidden/>
          </w:rPr>
          <w:fldChar w:fldCharType="begin"/>
        </w:r>
        <w:r>
          <w:rPr>
            <w:webHidden/>
          </w:rPr>
          <w:instrText xml:space="preserve"> PAGEREF _Toc163547078 \h </w:instrText>
        </w:r>
        <w:r>
          <w:rPr>
            <w:webHidden/>
          </w:rPr>
        </w:r>
        <w:r>
          <w:rPr>
            <w:webHidden/>
          </w:rPr>
          <w:fldChar w:fldCharType="separate"/>
        </w:r>
        <w:r w:rsidR="007C6651">
          <w:rPr>
            <w:webHidden/>
          </w:rPr>
          <w:t>142</w:t>
        </w:r>
        <w:r>
          <w:rPr>
            <w:webHidden/>
          </w:rPr>
          <w:fldChar w:fldCharType="end"/>
        </w:r>
      </w:hyperlink>
    </w:p>
    <w:p w14:paraId="16812253" w14:textId="0451B126" w:rsidR="009E38E5" w:rsidRDefault="009E38E5">
      <w:pPr>
        <w:pStyle w:val="TOC3"/>
        <w:rPr>
          <w:b w:val="0"/>
          <w:color w:val="auto"/>
          <w:kern w:val="2"/>
          <w:sz w:val="24"/>
          <w:szCs w:val="24"/>
          <w:lang w:eastAsia="en-GB"/>
          <w14:ligatures w14:val="standardContextual"/>
        </w:rPr>
      </w:pPr>
      <w:hyperlink w:anchor="_Toc163547079" w:history="1">
        <w:r w:rsidRPr="00AE23CC">
          <w:rPr>
            <w:rStyle w:val="Hyperlink"/>
          </w:rPr>
          <w:t>5.2.6 Biomass for timber</w:t>
        </w:r>
        <w:r>
          <w:rPr>
            <w:webHidden/>
          </w:rPr>
          <w:tab/>
        </w:r>
        <w:r>
          <w:rPr>
            <w:webHidden/>
          </w:rPr>
          <w:fldChar w:fldCharType="begin"/>
        </w:r>
        <w:r>
          <w:rPr>
            <w:webHidden/>
          </w:rPr>
          <w:instrText xml:space="preserve"> PAGEREF _Toc163547079 \h </w:instrText>
        </w:r>
        <w:r>
          <w:rPr>
            <w:webHidden/>
          </w:rPr>
        </w:r>
        <w:r>
          <w:rPr>
            <w:webHidden/>
          </w:rPr>
          <w:fldChar w:fldCharType="separate"/>
        </w:r>
        <w:r w:rsidR="007C6651">
          <w:rPr>
            <w:webHidden/>
          </w:rPr>
          <w:t>145</w:t>
        </w:r>
        <w:r>
          <w:rPr>
            <w:webHidden/>
          </w:rPr>
          <w:fldChar w:fldCharType="end"/>
        </w:r>
      </w:hyperlink>
    </w:p>
    <w:p w14:paraId="730E7DA0" w14:textId="4BF70192" w:rsidR="009E38E5" w:rsidRDefault="009E38E5">
      <w:pPr>
        <w:pStyle w:val="TOC3"/>
        <w:rPr>
          <w:b w:val="0"/>
          <w:color w:val="auto"/>
          <w:kern w:val="2"/>
          <w:sz w:val="24"/>
          <w:szCs w:val="24"/>
          <w:lang w:eastAsia="en-GB"/>
          <w14:ligatures w14:val="standardContextual"/>
        </w:rPr>
      </w:pPr>
      <w:hyperlink w:anchor="_Toc163547080" w:history="1">
        <w:r w:rsidRPr="00AE23CC">
          <w:rPr>
            <w:rStyle w:val="Hyperlink"/>
          </w:rPr>
          <w:t>5.2.7 Aesthetics</w:t>
        </w:r>
        <w:r>
          <w:rPr>
            <w:webHidden/>
          </w:rPr>
          <w:tab/>
        </w:r>
        <w:r>
          <w:rPr>
            <w:webHidden/>
          </w:rPr>
          <w:fldChar w:fldCharType="begin"/>
        </w:r>
        <w:r>
          <w:rPr>
            <w:webHidden/>
          </w:rPr>
          <w:instrText xml:space="preserve"> PAGEREF _Toc163547080 \h </w:instrText>
        </w:r>
        <w:r>
          <w:rPr>
            <w:webHidden/>
          </w:rPr>
        </w:r>
        <w:r>
          <w:rPr>
            <w:webHidden/>
          </w:rPr>
          <w:fldChar w:fldCharType="separate"/>
        </w:r>
        <w:r w:rsidR="007C6651">
          <w:rPr>
            <w:webHidden/>
          </w:rPr>
          <w:t>145</w:t>
        </w:r>
        <w:r>
          <w:rPr>
            <w:webHidden/>
          </w:rPr>
          <w:fldChar w:fldCharType="end"/>
        </w:r>
      </w:hyperlink>
    </w:p>
    <w:p w14:paraId="0DF65B2A" w14:textId="0271823E" w:rsidR="009E38E5" w:rsidRDefault="009E38E5">
      <w:pPr>
        <w:pStyle w:val="TOC3"/>
        <w:rPr>
          <w:b w:val="0"/>
          <w:color w:val="auto"/>
          <w:kern w:val="2"/>
          <w:sz w:val="24"/>
          <w:szCs w:val="24"/>
          <w:lang w:eastAsia="en-GB"/>
          <w14:ligatures w14:val="standardContextual"/>
        </w:rPr>
      </w:pPr>
      <w:hyperlink w:anchor="_Toc163547081" w:history="1">
        <w:r w:rsidRPr="00AE23CC">
          <w:rPr>
            <w:rStyle w:val="Hyperlink"/>
          </w:rPr>
          <w:t>5.2.8 Cultural heritage values</w:t>
        </w:r>
        <w:r>
          <w:rPr>
            <w:webHidden/>
          </w:rPr>
          <w:tab/>
        </w:r>
        <w:r>
          <w:rPr>
            <w:webHidden/>
          </w:rPr>
          <w:fldChar w:fldCharType="begin"/>
        </w:r>
        <w:r>
          <w:rPr>
            <w:webHidden/>
          </w:rPr>
          <w:instrText xml:space="preserve"> PAGEREF _Toc163547081 \h </w:instrText>
        </w:r>
        <w:r>
          <w:rPr>
            <w:webHidden/>
          </w:rPr>
        </w:r>
        <w:r>
          <w:rPr>
            <w:webHidden/>
          </w:rPr>
          <w:fldChar w:fldCharType="separate"/>
        </w:r>
        <w:r w:rsidR="007C6651">
          <w:rPr>
            <w:webHidden/>
          </w:rPr>
          <w:t>145</w:t>
        </w:r>
        <w:r>
          <w:rPr>
            <w:webHidden/>
          </w:rPr>
          <w:fldChar w:fldCharType="end"/>
        </w:r>
      </w:hyperlink>
    </w:p>
    <w:p w14:paraId="3F140D49" w14:textId="614844B0" w:rsidR="009E38E5" w:rsidRDefault="009E38E5">
      <w:pPr>
        <w:pStyle w:val="TOC4"/>
        <w:rPr>
          <w:rFonts w:eastAsiaTheme="minorEastAsia" w:cstheme="minorBidi"/>
          <w:color w:val="auto"/>
          <w:kern w:val="2"/>
          <w:sz w:val="24"/>
          <w:szCs w:val="24"/>
          <w:lang w:eastAsia="en-GB"/>
          <w14:ligatures w14:val="standardContextual"/>
        </w:rPr>
      </w:pPr>
      <w:hyperlink w:anchor="_Toc163547082" w:history="1">
        <w:r w:rsidRPr="00AE23CC">
          <w:rPr>
            <w:rStyle w:val="Hyperlink"/>
          </w:rPr>
          <w:t>5.2.8.1 Traditional Owners living cultural heritage</w:t>
        </w:r>
        <w:r>
          <w:rPr>
            <w:webHidden/>
          </w:rPr>
          <w:tab/>
        </w:r>
        <w:r>
          <w:rPr>
            <w:webHidden/>
          </w:rPr>
          <w:fldChar w:fldCharType="begin"/>
        </w:r>
        <w:r>
          <w:rPr>
            <w:webHidden/>
          </w:rPr>
          <w:instrText xml:space="preserve"> PAGEREF _Toc163547082 \h </w:instrText>
        </w:r>
        <w:r>
          <w:rPr>
            <w:webHidden/>
          </w:rPr>
        </w:r>
        <w:r>
          <w:rPr>
            <w:webHidden/>
          </w:rPr>
          <w:fldChar w:fldCharType="separate"/>
        </w:r>
        <w:r w:rsidR="007C6651">
          <w:rPr>
            <w:webHidden/>
          </w:rPr>
          <w:t>145</w:t>
        </w:r>
        <w:r>
          <w:rPr>
            <w:webHidden/>
          </w:rPr>
          <w:fldChar w:fldCharType="end"/>
        </w:r>
      </w:hyperlink>
    </w:p>
    <w:p w14:paraId="7F4E77BE" w14:textId="5217E4BF" w:rsidR="009E38E5" w:rsidRDefault="009E38E5">
      <w:pPr>
        <w:pStyle w:val="TOC3"/>
        <w:rPr>
          <w:b w:val="0"/>
          <w:color w:val="auto"/>
          <w:kern w:val="2"/>
          <w:sz w:val="24"/>
          <w:szCs w:val="24"/>
          <w:lang w:eastAsia="en-GB"/>
          <w14:ligatures w14:val="standardContextual"/>
        </w:rPr>
      </w:pPr>
      <w:hyperlink w:anchor="_Toc163547083" w:history="1">
        <w:r w:rsidRPr="00AE23CC">
          <w:rPr>
            <w:rStyle w:val="Hyperlink"/>
          </w:rPr>
          <w:t>5.2.9 Existence / Option value</w:t>
        </w:r>
        <w:r>
          <w:rPr>
            <w:webHidden/>
          </w:rPr>
          <w:tab/>
        </w:r>
        <w:r>
          <w:rPr>
            <w:webHidden/>
          </w:rPr>
          <w:fldChar w:fldCharType="begin"/>
        </w:r>
        <w:r>
          <w:rPr>
            <w:webHidden/>
          </w:rPr>
          <w:instrText xml:space="preserve"> PAGEREF _Toc163547083 \h </w:instrText>
        </w:r>
        <w:r>
          <w:rPr>
            <w:webHidden/>
          </w:rPr>
        </w:r>
        <w:r>
          <w:rPr>
            <w:webHidden/>
          </w:rPr>
          <w:fldChar w:fldCharType="separate"/>
        </w:r>
        <w:r w:rsidR="007C6651">
          <w:rPr>
            <w:webHidden/>
          </w:rPr>
          <w:t>146</w:t>
        </w:r>
        <w:r>
          <w:rPr>
            <w:webHidden/>
          </w:rPr>
          <w:fldChar w:fldCharType="end"/>
        </w:r>
      </w:hyperlink>
    </w:p>
    <w:p w14:paraId="0054A625" w14:textId="649C6C2C" w:rsidR="009E38E5" w:rsidRDefault="009E38E5">
      <w:pPr>
        <w:pStyle w:val="TOC3"/>
        <w:rPr>
          <w:b w:val="0"/>
          <w:color w:val="auto"/>
          <w:kern w:val="2"/>
          <w:sz w:val="24"/>
          <w:szCs w:val="24"/>
          <w:lang w:eastAsia="en-GB"/>
          <w14:ligatures w14:val="standardContextual"/>
        </w:rPr>
      </w:pPr>
      <w:hyperlink w:anchor="_Toc163547084" w:history="1">
        <w:r w:rsidRPr="00AE23CC">
          <w:rPr>
            <w:rStyle w:val="Hyperlink"/>
          </w:rPr>
          <w:t>5.2.10 Social / community cohesion</w:t>
        </w:r>
        <w:r>
          <w:rPr>
            <w:webHidden/>
          </w:rPr>
          <w:tab/>
        </w:r>
        <w:r>
          <w:rPr>
            <w:webHidden/>
          </w:rPr>
          <w:fldChar w:fldCharType="begin"/>
        </w:r>
        <w:r>
          <w:rPr>
            <w:webHidden/>
          </w:rPr>
          <w:instrText xml:space="preserve"> PAGEREF _Toc163547084 \h </w:instrText>
        </w:r>
        <w:r>
          <w:rPr>
            <w:webHidden/>
          </w:rPr>
        </w:r>
        <w:r>
          <w:rPr>
            <w:webHidden/>
          </w:rPr>
          <w:fldChar w:fldCharType="separate"/>
        </w:r>
        <w:r w:rsidR="007C6651">
          <w:rPr>
            <w:webHidden/>
          </w:rPr>
          <w:t>146</w:t>
        </w:r>
        <w:r>
          <w:rPr>
            <w:webHidden/>
          </w:rPr>
          <w:fldChar w:fldCharType="end"/>
        </w:r>
      </w:hyperlink>
    </w:p>
    <w:p w14:paraId="4A767F21" w14:textId="33CF3CE4" w:rsidR="009E38E5" w:rsidRDefault="009E38E5">
      <w:pPr>
        <w:pStyle w:val="TOC2"/>
        <w:rPr>
          <w:rFonts w:eastAsiaTheme="minorEastAsia" w:cstheme="minorBidi"/>
          <w:color w:val="auto"/>
          <w:kern w:val="2"/>
          <w:sz w:val="24"/>
          <w:szCs w:val="24"/>
          <w:lang w:eastAsia="en-GB"/>
          <w14:ligatures w14:val="standardContextual"/>
        </w:rPr>
      </w:pPr>
      <w:hyperlink w:anchor="_Toc163547085" w:history="1">
        <w:r w:rsidRPr="00AE23CC">
          <w:rPr>
            <w:rStyle w:val="Hyperlink"/>
          </w:rPr>
          <w:t>5.3 Links between accounts</w:t>
        </w:r>
        <w:r>
          <w:rPr>
            <w:webHidden/>
          </w:rPr>
          <w:tab/>
        </w:r>
        <w:r>
          <w:rPr>
            <w:webHidden/>
          </w:rPr>
          <w:fldChar w:fldCharType="begin"/>
        </w:r>
        <w:r>
          <w:rPr>
            <w:webHidden/>
          </w:rPr>
          <w:instrText xml:space="preserve"> PAGEREF _Toc163547085 \h </w:instrText>
        </w:r>
        <w:r>
          <w:rPr>
            <w:webHidden/>
          </w:rPr>
        </w:r>
        <w:r>
          <w:rPr>
            <w:webHidden/>
          </w:rPr>
          <w:fldChar w:fldCharType="separate"/>
        </w:r>
        <w:r w:rsidR="007C6651">
          <w:rPr>
            <w:webHidden/>
          </w:rPr>
          <w:t>146</w:t>
        </w:r>
        <w:r>
          <w:rPr>
            <w:webHidden/>
          </w:rPr>
          <w:fldChar w:fldCharType="end"/>
        </w:r>
      </w:hyperlink>
    </w:p>
    <w:p w14:paraId="3EF7FCD7" w14:textId="7380DD21" w:rsidR="009E38E5" w:rsidRDefault="009E38E5">
      <w:pPr>
        <w:pStyle w:val="TOC1"/>
        <w:rPr>
          <w:rFonts w:eastAsiaTheme="minorEastAsia" w:cstheme="minorBidi"/>
          <w:b w:val="0"/>
          <w:color w:val="auto"/>
          <w:kern w:val="2"/>
          <w:lang w:eastAsia="en-GB"/>
          <w14:ligatures w14:val="standardContextual"/>
        </w:rPr>
      </w:pPr>
      <w:hyperlink w:anchor="_Toc163547086" w:history="1">
        <w:r w:rsidRPr="00AE23CC">
          <w:rPr>
            <w:rStyle w:val="Hyperlink"/>
          </w:rPr>
          <w:t>6. Conclusions and next steps</w:t>
        </w:r>
        <w:r>
          <w:rPr>
            <w:webHidden/>
          </w:rPr>
          <w:tab/>
        </w:r>
        <w:r>
          <w:rPr>
            <w:webHidden/>
          </w:rPr>
          <w:fldChar w:fldCharType="begin"/>
        </w:r>
        <w:r>
          <w:rPr>
            <w:webHidden/>
          </w:rPr>
          <w:instrText xml:space="preserve"> PAGEREF _Toc163547086 \h </w:instrText>
        </w:r>
        <w:r>
          <w:rPr>
            <w:webHidden/>
          </w:rPr>
        </w:r>
        <w:r>
          <w:rPr>
            <w:webHidden/>
          </w:rPr>
          <w:fldChar w:fldCharType="separate"/>
        </w:r>
        <w:r w:rsidR="007C6651">
          <w:rPr>
            <w:webHidden/>
          </w:rPr>
          <w:t>149</w:t>
        </w:r>
        <w:r>
          <w:rPr>
            <w:webHidden/>
          </w:rPr>
          <w:fldChar w:fldCharType="end"/>
        </w:r>
      </w:hyperlink>
    </w:p>
    <w:p w14:paraId="4AABA2E4" w14:textId="4FAD9A50" w:rsidR="009E38E5" w:rsidRDefault="009E38E5">
      <w:pPr>
        <w:pStyle w:val="TOC2"/>
        <w:rPr>
          <w:rFonts w:eastAsiaTheme="minorEastAsia" w:cstheme="minorBidi"/>
          <w:color w:val="auto"/>
          <w:kern w:val="2"/>
          <w:sz w:val="24"/>
          <w:szCs w:val="24"/>
          <w:lang w:eastAsia="en-GB"/>
          <w14:ligatures w14:val="standardContextual"/>
        </w:rPr>
      </w:pPr>
      <w:hyperlink w:anchor="_Toc163547087" w:history="1">
        <w:r w:rsidRPr="00AE23CC">
          <w:rPr>
            <w:rStyle w:val="Hyperlink"/>
          </w:rPr>
          <w:t>6.1 Summary</w:t>
        </w:r>
        <w:r>
          <w:rPr>
            <w:webHidden/>
          </w:rPr>
          <w:tab/>
        </w:r>
        <w:r>
          <w:rPr>
            <w:webHidden/>
          </w:rPr>
          <w:fldChar w:fldCharType="begin"/>
        </w:r>
        <w:r>
          <w:rPr>
            <w:webHidden/>
          </w:rPr>
          <w:instrText xml:space="preserve"> PAGEREF _Toc163547087 \h </w:instrText>
        </w:r>
        <w:r>
          <w:rPr>
            <w:webHidden/>
          </w:rPr>
        </w:r>
        <w:r>
          <w:rPr>
            <w:webHidden/>
          </w:rPr>
          <w:fldChar w:fldCharType="separate"/>
        </w:r>
        <w:r w:rsidR="007C6651">
          <w:rPr>
            <w:webHidden/>
          </w:rPr>
          <w:t>149</w:t>
        </w:r>
        <w:r>
          <w:rPr>
            <w:webHidden/>
          </w:rPr>
          <w:fldChar w:fldCharType="end"/>
        </w:r>
      </w:hyperlink>
    </w:p>
    <w:p w14:paraId="3594D60D" w14:textId="45B61DBC" w:rsidR="009E38E5" w:rsidRDefault="009E38E5">
      <w:pPr>
        <w:pStyle w:val="TOC2"/>
        <w:rPr>
          <w:rFonts w:eastAsiaTheme="minorEastAsia" w:cstheme="minorBidi"/>
          <w:color w:val="auto"/>
          <w:kern w:val="2"/>
          <w:sz w:val="24"/>
          <w:szCs w:val="24"/>
          <w:lang w:eastAsia="en-GB"/>
          <w14:ligatures w14:val="standardContextual"/>
        </w:rPr>
      </w:pPr>
      <w:hyperlink w:anchor="_Toc163547088" w:history="1">
        <w:r w:rsidRPr="00AE23CC">
          <w:rPr>
            <w:rStyle w:val="Hyperlink"/>
          </w:rPr>
          <w:t>6.2 Use of the current GORCAP EEA</w:t>
        </w:r>
        <w:r>
          <w:rPr>
            <w:webHidden/>
          </w:rPr>
          <w:tab/>
        </w:r>
        <w:r>
          <w:rPr>
            <w:webHidden/>
          </w:rPr>
          <w:fldChar w:fldCharType="begin"/>
        </w:r>
        <w:r>
          <w:rPr>
            <w:webHidden/>
          </w:rPr>
          <w:instrText xml:space="preserve"> PAGEREF _Toc163547088 \h </w:instrText>
        </w:r>
        <w:r>
          <w:rPr>
            <w:webHidden/>
          </w:rPr>
        </w:r>
        <w:r>
          <w:rPr>
            <w:webHidden/>
          </w:rPr>
          <w:fldChar w:fldCharType="separate"/>
        </w:r>
        <w:r w:rsidR="007C6651">
          <w:rPr>
            <w:webHidden/>
          </w:rPr>
          <w:t>156</w:t>
        </w:r>
        <w:r>
          <w:rPr>
            <w:webHidden/>
          </w:rPr>
          <w:fldChar w:fldCharType="end"/>
        </w:r>
      </w:hyperlink>
    </w:p>
    <w:p w14:paraId="29E486AB" w14:textId="48B2CCEC" w:rsidR="009E38E5" w:rsidRDefault="009E38E5">
      <w:pPr>
        <w:pStyle w:val="TOC2"/>
        <w:rPr>
          <w:rFonts w:eastAsiaTheme="minorEastAsia" w:cstheme="minorBidi"/>
          <w:color w:val="auto"/>
          <w:kern w:val="2"/>
          <w:sz w:val="24"/>
          <w:szCs w:val="24"/>
          <w:lang w:eastAsia="en-GB"/>
          <w14:ligatures w14:val="standardContextual"/>
        </w:rPr>
      </w:pPr>
      <w:hyperlink w:anchor="_Toc163547089" w:history="1">
        <w:r w:rsidRPr="00AE23CC">
          <w:rPr>
            <w:rStyle w:val="Hyperlink"/>
          </w:rPr>
          <w:t>6.3 Future of GORCAP EEA</w:t>
        </w:r>
        <w:r>
          <w:rPr>
            <w:webHidden/>
          </w:rPr>
          <w:tab/>
        </w:r>
        <w:r>
          <w:rPr>
            <w:webHidden/>
          </w:rPr>
          <w:fldChar w:fldCharType="begin"/>
        </w:r>
        <w:r>
          <w:rPr>
            <w:webHidden/>
          </w:rPr>
          <w:instrText xml:space="preserve"> PAGEREF _Toc163547089 \h </w:instrText>
        </w:r>
        <w:r>
          <w:rPr>
            <w:webHidden/>
          </w:rPr>
        </w:r>
        <w:r>
          <w:rPr>
            <w:webHidden/>
          </w:rPr>
          <w:fldChar w:fldCharType="separate"/>
        </w:r>
        <w:r w:rsidR="007C6651">
          <w:rPr>
            <w:webHidden/>
          </w:rPr>
          <w:t>157</w:t>
        </w:r>
        <w:r>
          <w:rPr>
            <w:webHidden/>
          </w:rPr>
          <w:fldChar w:fldCharType="end"/>
        </w:r>
      </w:hyperlink>
    </w:p>
    <w:p w14:paraId="3F0F0EB6" w14:textId="4BDD899D" w:rsidR="009E38E5" w:rsidRDefault="009E38E5">
      <w:pPr>
        <w:pStyle w:val="TOC3"/>
        <w:rPr>
          <w:b w:val="0"/>
          <w:color w:val="auto"/>
          <w:kern w:val="2"/>
          <w:sz w:val="24"/>
          <w:szCs w:val="24"/>
          <w:lang w:eastAsia="en-GB"/>
          <w14:ligatures w14:val="standardContextual"/>
        </w:rPr>
      </w:pPr>
      <w:hyperlink w:anchor="_Toc163547090" w:history="1">
        <w:r w:rsidRPr="00AE23CC">
          <w:rPr>
            <w:rStyle w:val="Hyperlink"/>
          </w:rPr>
          <w:t>6.3.1 Refinement of GORCAP EEA</w:t>
        </w:r>
        <w:r>
          <w:rPr>
            <w:webHidden/>
          </w:rPr>
          <w:tab/>
        </w:r>
        <w:r>
          <w:rPr>
            <w:webHidden/>
          </w:rPr>
          <w:fldChar w:fldCharType="begin"/>
        </w:r>
        <w:r>
          <w:rPr>
            <w:webHidden/>
          </w:rPr>
          <w:instrText xml:space="preserve"> PAGEREF _Toc163547090 \h </w:instrText>
        </w:r>
        <w:r>
          <w:rPr>
            <w:webHidden/>
          </w:rPr>
        </w:r>
        <w:r>
          <w:rPr>
            <w:webHidden/>
          </w:rPr>
          <w:fldChar w:fldCharType="separate"/>
        </w:r>
        <w:r w:rsidR="007C6651">
          <w:rPr>
            <w:webHidden/>
          </w:rPr>
          <w:t>157</w:t>
        </w:r>
        <w:r>
          <w:rPr>
            <w:webHidden/>
          </w:rPr>
          <w:fldChar w:fldCharType="end"/>
        </w:r>
      </w:hyperlink>
    </w:p>
    <w:p w14:paraId="3FB4259F" w14:textId="4908988D" w:rsidR="009E38E5" w:rsidRDefault="009E38E5">
      <w:pPr>
        <w:pStyle w:val="TOC4"/>
        <w:rPr>
          <w:rFonts w:eastAsiaTheme="minorEastAsia" w:cstheme="minorBidi"/>
          <w:color w:val="auto"/>
          <w:kern w:val="2"/>
          <w:sz w:val="24"/>
          <w:szCs w:val="24"/>
          <w:lang w:eastAsia="en-GB"/>
          <w14:ligatures w14:val="standardContextual"/>
        </w:rPr>
      </w:pPr>
      <w:hyperlink w:anchor="_Toc163547091" w:history="1">
        <w:r w:rsidRPr="00AE23CC">
          <w:rPr>
            <w:rStyle w:val="Hyperlink"/>
          </w:rPr>
          <w:t>6.3.1.1 Extent account</w:t>
        </w:r>
        <w:r>
          <w:rPr>
            <w:webHidden/>
          </w:rPr>
          <w:tab/>
        </w:r>
        <w:r>
          <w:rPr>
            <w:webHidden/>
          </w:rPr>
          <w:fldChar w:fldCharType="begin"/>
        </w:r>
        <w:r>
          <w:rPr>
            <w:webHidden/>
          </w:rPr>
          <w:instrText xml:space="preserve"> PAGEREF _Toc163547091 \h </w:instrText>
        </w:r>
        <w:r>
          <w:rPr>
            <w:webHidden/>
          </w:rPr>
        </w:r>
        <w:r>
          <w:rPr>
            <w:webHidden/>
          </w:rPr>
          <w:fldChar w:fldCharType="separate"/>
        </w:r>
        <w:r w:rsidR="007C6651">
          <w:rPr>
            <w:webHidden/>
          </w:rPr>
          <w:t>157</w:t>
        </w:r>
        <w:r>
          <w:rPr>
            <w:webHidden/>
          </w:rPr>
          <w:fldChar w:fldCharType="end"/>
        </w:r>
      </w:hyperlink>
    </w:p>
    <w:p w14:paraId="7D1425DE" w14:textId="20C6B203" w:rsidR="009E38E5" w:rsidRDefault="009E38E5">
      <w:pPr>
        <w:pStyle w:val="TOC4"/>
        <w:rPr>
          <w:rFonts w:eastAsiaTheme="minorEastAsia" w:cstheme="minorBidi"/>
          <w:color w:val="auto"/>
          <w:kern w:val="2"/>
          <w:sz w:val="24"/>
          <w:szCs w:val="24"/>
          <w:lang w:eastAsia="en-GB"/>
          <w14:ligatures w14:val="standardContextual"/>
        </w:rPr>
      </w:pPr>
      <w:hyperlink w:anchor="_Toc163547092" w:history="1">
        <w:r w:rsidRPr="00AE23CC">
          <w:rPr>
            <w:rStyle w:val="Hyperlink"/>
          </w:rPr>
          <w:t>6.3.1.2 Condition account</w:t>
        </w:r>
        <w:r>
          <w:rPr>
            <w:webHidden/>
          </w:rPr>
          <w:tab/>
        </w:r>
        <w:r>
          <w:rPr>
            <w:webHidden/>
          </w:rPr>
          <w:fldChar w:fldCharType="begin"/>
        </w:r>
        <w:r>
          <w:rPr>
            <w:webHidden/>
          </w:rPr>
          <w:instrText xml:space="preserve"> PAGEREF _Toc163547092 \h </w:instrText>
        </w:r>
        <w:r>
          <w:rPr>
            <w:webHidden/>
          </w:rPr>
        </w:r>
        <w:r>
          <w:rPr>
            <w:webHidden/>
          </w:rPr>
          <w:fldChar w:fldCharType="separate"/>
        </w:r>
        <w:r w:rsidR="007C6651">
          <w:rPr>
            <w:webHidden/>
          </w:rPr>
          <w:t>157</w:t>
        </w:r>
        <w:r>
          <w:rPr>
            <w:webHidden/>
          </w:rPr>
          <w:fldChar w:fldCharType="end"/>
        </w:r>
      </w:hyperlink>
    </w:p>
    <w:p w14:paraId="08FD9F14" w14:textId="71FFFD87" w:rsidR="009E38E5" w:rsidRDefault="009E38E5">
      <w:pPr>
        <w:pStyle w:val="TOC4"/>
        <w:rPr>
          <w:rFonts w:eastAsiaTheme="minorEastAsia" w:cstheme="minorBidi"/>
          <w:color w:val="auto"/>
          <w:kern w:val="2"/>
          <w:sz w:val="24"/>
          <w:szCs w:val="24"/>
          <w:lang w:eastAsia="en-GB"/>
          <w14:ligatures w14:val="standardContextual"/>
        </w:rPr>
      </w:pPr>
      <w:hyperlink w:anchor="_Toc163547093" w:history="1">
        <w:r w:rsidRPr="00AE23CC">
          <w:rPr>
            <w:rStyle w:val="Hyperlink"/>
          </w:rPr>
          <w:t>6.3.1.3 Physical and monetary flow accounts</w:t>
        </w:r>
        <w:r>
          <w:rPr>
            <w:webHidden/>
          </w:rPr>
          <w:tab/>
        </w:r>
        <w:r>
          <w:rPr>
            <w:webHidden/>
          </w:rPr>
          <w:fldChar w:fldCharType="begin"/>
        </w:r>
        <w:r>
          <w:rPr>
            <w:webHidden/>
          </w:rPr>
          <w:instrText xml:space="preserve"> PAGEREF _Toc163547093 \h </w:instrText>
        </w:r>
        <w:r>
          <w:rPr>
            <w:webHidden/>
          </w:rPr>
        </w:r>
        <w:r>
          <w:rPr>
            <w:webHidden/>
          </w:rPr>
          <w:fldChar w:fldCharType="separate"/>
        </w:r>
        <w:r w:rsidR="007C6651">
          <w:rPr>
            <w:webHidden/>
          </w:rPr>
          <w:t>158</w:t>
        </w:r>
        <w:r>
          <w:rPr>
            <w:webHidden/>
          </w:rPr>
          <w:fldChar w:fldCharType="end"/>
        </w:r>
      </w:hyperlink>
    </w:p>
    <w:p w14:paraId="04CC6543" w14:textId="024F9ADC" w:rsidR="009E38E5" w:rsidRDefault="009E38E5">
      <w:pPr>
        <w:pStyle w:val="TOC3"/>
        <w:rPr>
          <w:b w:val="0"/>
          <w:color w:val="auto"/>
          <w:kern w:val="2"/>
          <w:sz w:val="24"/>
          <w:szCs w:val="24"/>
          <w:lang w:eastAsia="en-GB"/>
          <w14:ligatures w14:val="standardContextual"/>
        </w:rPr>
      </w:pPr>
      <w:hyperlink w:anchor="_Toc163547094" w:history="1">
        <w:r w:rsidRPr="00AE23CC">
          <w:rPr>
            <w:rStyle w:val="Hyperlink"/>
          </w:rPr>
          <w:t>6.3.2 Expansion of GORCAP EEA</w:t>
        </w:r>
        <w:r>
          <w:rPr>
            <w:webHidden/>
          </w:rPr>
          <w:tab/>
        </w:r>
        <w:r>
          <w:rPr>
            <w:webHidden/>
          </w:rPr>
          <w:fldChar w:fldCharType="begin"/>
        </w:r>
        <w:r>
          <w:rPr>
            <w:webHidden/>
          </w:rPr>
          <w:instrText xml:space="preserve"> PAGEREF _Toc163547094 \h </w:instrText>
        </w:r>
        <w:r>
          <w:rPr>
            <w:webHidden/>
          </w:rPr>
        </w:r>
        <w:r>
          <w:rPr>
            <w:webHidden/>
          </w:rPr>
          <w:fldChar w:fldCharType="separate"/>
        </w:r>
        <w:r w:rsidR="007C6651">
          <w:rPr>
            <w:webHidden/>
          </w:rPr>
          <w:t>163</w:t>
        </w:r>
        <w:r>
          <w:rPr>
            <w:webHidden/>
          </w:rPr>
          <w:fldChar w:fldCharType="end"/>
        </w:r>
      </w:hyperlink>
    </w:p>
    <w:p w14:paraId="30556826" w14:textId="59C558DC" w:rsidR="009E38E5" w:rsidRDefault="009E38E5">
      <w:pPr>
        <w:pStyle w:val="TOC3"/>
        <w:rPr>
          <w:b w:val="0"/>
          <w:color w:val="auto"/>
          <w:kern w:val="2"/>
          <w:sz w:val="24"/>
          <w:szCs w:val="24"/>
          <w:lang w:eastAsia="en-GB"/>
          <w14:ligatures w14:val="standardContextual"/>
        </w:rPr>
      </w:pPr>
      <w:hyperlink w:anchor="_Toc163547095" w:history="1">
        <w:r w:rsidRPr="00AE23CC">
          <w:rPr>
            <w:rStyle w:val="Hyperlink"/>
          </w:rPr>
          <w:t>6.3.3 Potential future use of the GORCAP EEA</w:t>
        </w:r>
        <w:r>
          <w:rPr>
            <w:webHidden/>
          </w:rPr>
          <w:tab/>
        </w:r>
        <w:r>
          <w:rPr>
            <w:webHidden/>
          </w:rPr>
          <w:fldChar w:fldCharType="begin"/>
        </w:r>
        <w:r>
          <w:rPr>
            <w:webHidden/>
          </w:rPr>
          <w:instrText xml:space="preserve"> PAGEREF _Toc163547095 \h </w:instrText>
        </w:r>
        <w:r>
          <w:rPr>
            <w:webHidden/>
          </w:rPr>
        </w:r>
        <w:r>
          <w:rPr>
            <w:webHidden/>
          </w:rPr>
          <w:fldChar w:fldCharType="separate"/>
        </w:r>
        <w:r w:rsidR="007C6651">
          <w:rPr>
            <w:webHidden/>
          </w:rPr>
          <w:t>164</w:t>
        </w:r>
        <w:r>
          <w:rPr>
            <w:webHidden/>
          </w:rPr>
          <w:fldChar w:fldCharType="end"/>
        </w:r>
      </w:hyperlink>
    </w:p>
    <w:p w14:paraId="5789451B" w14:textId="214F8E83" w:rsidR="009E38E5" w:rsidRDefault="009E38E5">
      <w:pPr>
        <w:pStyle w:val="TOC1"/>
        <w:rPr>
          <w:rFonts w:eastAsiaTheme="minorEastAsia" w:cstheme="minorBidi"/>
          <w:b w:val="0"/>
          <w:color w:val="auto"/>
          <w:kern w:val="2"/>
          <w:lang w:eastAsia="en-GB"/>
          <w14:ligatures w14:val="standardContextual"/>
        </w:rPr>
      </w:pPr>
      <w:hyperlink w:anchor="_Toc163547096" w:history="1">
        <w:r w:rsidRPr="00AE23CC">
          <w:rPr>
            <w:rStyle w:val="Hyperlink"/>
          </w:rPr>
          <w:t>7. References</w:t>
        </w:r>
        <w:r>
          <w:rPr>
            <w:webHidden/>
          </w:rPr>
          <w:tab/>
        </w:r>
        <w:r>
          <w:rPr>
            <w:webHidden/>
          </w:rPr>
          <w:fldChar w:fldCharType="begin"/>
        </w:r>
        <w:r>
          <w:rPr>
            <w:webHidden/>
          </w:rPr>
          <w:instrText xml:space="preserve"> PAGEREF _Toc163547096 \h </w:instrText>
        </w:r>
        <w:r>
          <w:rPr>
            <w:webHidden/>
          </w:rPr>
        </w:r>
        <w:r>
          <w:rPr>
            <w:webHidden/>
          </w:rPr>
          <w:fldChar w:fldCharType="separate"/>
        </w:r>
        <w:r w:rsidR="007C6651">
          <w:rPr>
            <w:webHidden/>
          </w:rPr>
          <w:t>168</w:t>
        </w:r>
        <w:r>
          <w:rPr>
            <w:webHidden/>
          </w:rPr>
          <w:fldChar w:fldCharType="end"/>
        </w:r>
      </w:hyperlink>
    </w:p>
    <w:p w14:paraId="482D0BB4" w14:textId="3A9A664E" w:rsidR="009E38E5" w:rsidRDefault="009E38E5">
      <w:pPr>
        <w:pStyle w:val="TOC1"/>
        <w:rPr>
          <w:rFonts w:eastAsiaTheme="minorEastAsia" w:cstheme="minorBidi"/>
          <w:b w:val="0"/>
          <w:color w:val="auto"/>
          <w:kern w:val="2"/>
          <w:lang w:eastAsia="en-GB"/>
          <w14:ligatures w14:val="standardContextual"/>
        </w:rPr>
      </w:pPr>
      <w:hyperlink w:anchor="_Toc163547097" w:history="1">
        <w:r w:rsidRPr="00AE23CC">
          <w:rPr>
            <w:rStyle w:val="Hyperlink"/>
          </w:rPr>
          <w:t>Annex 1. Defining the assessment boundary</w:t>
        </w:r>
        <w:r>
          <w:rPr>
            <w:webHidden/>
          </w:rPr>
          <w:tab/>
        </w:r>
        <w:r>
          <w:rPr>
            <w:webHidden/>
          </w:rPr>
          <w:fldChar w:fldCharType="begin"/>
        </w:r>
        <w:r>
          <w:rPr>
            <w:webHidden/>
          </w:rPr>
          <w:instrText xml:space="preserve"> PAGEREF _Toc163547097 \h </w:instrText>
        </w:r>
        <w:r>
          <w:rPr>
            <w:webHidden/>
          </w:rPr>
        </w:r>
        <w:r>
          <w:rPr>
            <w:webHidden/>
          </w:rPr>
          <w:fldChar w:fldCharType="separate"/>
        </w:r>
        <w:r w:rsidR="007C6651">
          <w:rPr>
            <w:webHidden/>
          </w:rPr>
          <w:t>175</w:t>
        </w:r>
        <w:r>
          <w:rPr>
            <w:webHidden/>
          </w:rPr>
          <w:fldChar w:fldCharType="end"/>
        </w:r>
      </w:hyperlink>
    </w:p>
    <w:p w14:paraId="0326CBA4" w14:textId="5573E56B" w:rsidR="009E38E5" w:rsidRDefault="009E38E5">
      <w:pPr>
        <w:pStyle w:val="TOC2"/>
        <w:rPr>
          <w:rFonts w:eastAsiaTheme="minorEastAsia" w:cstheme="minorBidi"/>
          <w:color w:val="auto"/>
          <w:kern w:val="2"/>
          <w:sz w:val="24"/>
          <w:szCs w:val="24"/>
          <w:lang w:eastAsia="en-GB"/>
          <w14:ligatures w14:val="standardContextual"/>
        </w:rPr>
      </w:pPr>
      <w:hyperlink w:anchor="_Toc163547098" w:history="1">
        <w:r w:rsidRPr="00AE23CC">
          <w:rPr>
            <w:rStyle w:val="Hyperlink"/>
          </w:rPr>
          <w:t>A1.1. Review of boundary definition in global assessments of coastal, marine and protected areas</w:t>
        </w:r>
        <w:r>
          <w:rPr>
            <w:webHidden/>
          </w:rPr>
          <w:tab/>
        </w:r>
        <w:r>
          <w:rPr>
            <w:webHidden/>
          </w:rPr>
          <w:fldChar w:fldCharType="begin"/>
        </w:r>
        <w:r>
          <w:rPr>
            <w:webHidden/>
          </w:rPr>
          <w:instrText xml:space="preserve"> PAGEREF _Toc163547098 \h </w:instrText>
        </w:r>
        <w:r>
          <w:rPr>
            <w:webHidden/>
          </w:rPr>
        </w:r>
        <w:r>
          <w:rPr>
            <w:webHidden/>
          </w:rPr>
          <w:fldChar w:fldCharType="separate"/>
        </w:r>
        <w:r w:rsidR="007C6651">
          <w:rPr>
            <w:webHidden/>
          </w:rPr>
          <w:t>175</w:t>
        </w:r>
        <w:r>
          <w:rPr>
            <w:webHidden/>
          </w:rPr>
          <w:fldChar w:fldCharType="end"/>
        </w:r>
      </w:hyperlink>
    </w:p>
    <w:p w14:paraId="025EFE7D" w14:textId="18C9A1A4" w:rsidR="009E38E5" w:rsidRDefault="009E38E5">
      <w:pPr>
        <w:pStyle w:val="TOC2"/>
        <w:rPr>
          <w:rFonts w:eastAsiaTheme="minorEastAsia" w:cstheme="minorBidi"/>
          <w:color w:val="auto"/>
          <w:kern w:val="2"/>
          <w:sz w:val="24"/>
          <w:szCs w:val="24"/>
          <w:lang w:eastAsia="en-GB"/>
          <w14:ligatures w14:val="standardContextual"/>
        </w:rPr>
      </w:pPr>
      <w:hyperlink w:anchor="_Toc163547099" w:history="1">
        <w:r w:rsidRPr="00AE23CC">
          <w:rPr>
            <w:rStyle w:val="Hyperlink"/>
          </w:rPr>
          <w:t>A1.2. Key considerations when defining the GOR-EEA assessment boundary</w:t>
        </w:r>
        <w:r>
          <w:rPr>
            <w:webHidden/>
          </w:rPr>
          <w:tab/>
        </w:r>
        <w:r>
          <w:rPr>
            <w:webHidden/>
          </w:rPr>
          <w:fldChar w:fldCharType="begin"/>
        </w:r>
        <w:r>
          <w:rPr>
            <w:webHidden/>
          </w:rPr>
          <w:instrText xml:space="preserve"> PAGEREF _Toc163547099 \h </w:instrText>
        </w:r>
        <w:r>
          <w:rPr>
            <w:webHidden/>
          </w:rPr>
        </w:r>
        <w:r>
          <w:rPr>
            <w:webHidden/>
          </w:rPr>
          <w:fldChar w:fldCharType="separate"/>
        </w:r>
        <w:r w:rsidR="007C6651">
          <w:rPr>
            <w:webHidden/>
          </w:rPr>
          <w:t>176</w:t>
        </w:r>
        <w:r>
          <w:rPr>
            <w:webHidden/>
          </w:rPr>
          <w:fldChar w:fldCharType="end"/>
        </w:r>
      </w:hyperlink>
    </w:p>
    <w:p w14:paraId="1155C5D3" w14:textId="75637B27" w:rsidR="009E38E5" w:rsidRDefault="009E38E5">
      <w:pPr>
        <w:pStyle w:val="TOC2"/>
        <w:rPr>
          <w:rFonts w:eastAsiaTheme="minorEastAsia" w:cstheme="minorBidi"/>
          <w:color w:val="auto"/>
          <w:kern w:val="2"/>
          <w:sz w:val="24"/>
          <w:szCs w:val="24"/>
          <w:lang w:eastAsia="en-GB"/>
          <w14:ligatures w14:val="standardContextual"/>
        </w:rPr>
      </w:pPr>
      <w:hyperlink w:anchor="_Toc163547100" w:history="1">
        <w:r w:rsidRPr="00AE23CC">
          <w:rPr>
            <w:rStyle w:val="Hyperlink"/>
          </w:rPr>
          <w:t>A1.3. GOR-EEA assessment boundary options</w:t>
        </w:r>
        <w:r>
          <w:rPr>
            <w:webHidden/>
          </w:rPr>
          <w:tab/>
        </w:r>
        <w:r>
          <w:rPr>
            <w:webHidden/>
          </w:rPr>
          <w:fldChar w:fldCharType="begin"/>
        </w:r>
        <w:r>
          <w:rPr>
            <w:webHidden/>
          </w:rPr>
          <w:instrText xml:space="preserve"> PAGEREF _Toc163547100 \h </w:instrText>
        </w:r>
        <w:r>
          <w:rPr>
            <w:webHidden/>
          </w:rPr>
        </w:r>
        <w:r>
          <w:rPr>
            <w:webHidden/>
          </w:rPr>
          <w:fldChar w:fldCharType="separate"/>
        </w:r>
        <w:r w:rsidR="007C6651">
          <w:rPr>
            <w:webHidden/>
          </w:rPr>
          <w:t>181</w:t>
        </w:r>
        <w:r>
          <w:rPr>
            <w:webHidden/>
          </w:rPr>
          <w:fldChar w:fldCharType="end"/>
        </w:r>
      </w:hyperlink>
    </w:p>
    <w:p w14:paraId="2292F3E9" w14:textId="1FA76391" w:rsidR="009E38E5" w:rsidRDefault="009E38E5">
      <w:pPr>
        <w:pStyle w:val="TOC1"/>
        <w:rPr>
          <w:rFonts w:eastAsiaTheme="minorEastAsia" w:cstheme="minorBidi"/>
          <w:b w:val="0"/>
          <w:color w:val="auto"/>
          <w:kern w:val="2"/>
          <w:lang w:eastAsia="en-GB"/>
          <w14:ligatures w14:val="standardContextual"/>
        </w:rPr>
      </w:pPr>
      <w:hyperlink w:anchor="_Toc163547101" w:history="1">
        <w:r w:rsidRPr="00AE23CC">
          <w:rPr>
            <w:rStyle w:val="Hyperlink"/>
          </w:rPr>
          <w:t>Annex 2. Scope of ecosystem services included in the reviewed literature</w:t>
        </w:r>
        <w:r>
          <w:rPr>
            <w:webHidden/>
          </w:rPr>
          <w:tab/>
        </w:r>
        <w:r>
          <w:rPr>
            <w:webHidden/>
          </w:rPr>
          <w:fldChar w:fldCharType="begin"/>
        </w:r>
        <w:r>
          <w:rPr>
            <w:webHidden/>
          </w:rPr>
          <w:instrText xml:space="preserve"> PAGEREF _Toc163547101 \h </w:instrText>
        </w:r>
        <w:r>
          <w:rPr>
            <w:webHidden/>
          </w:rPr>
        </w:r>
        <w:r>
          <w:rPr>
            <w:webHidden/>
          </w:rPr>
          <w:fldChar w:fldCharType="separate"/>
        </w:r>
        <w:r w:rsidR="007C6651">
          <w:rPr>
            <w:webHidden/>
          </w:rPr>
          <w:t>183</w:t>
        </w:r>
        <w:r>
          <w:rPr>
            <w:webHidden/>
          </w:rPr>
          <w:fldChar w:fldCharType="end"/>
        </w:r>
      </w:hyperlink>
    </w:p>
    <w:p w14:paraId="7AA3EFB3" w14:textId="0D8F46C4" w:rsidR="009E38E5" w:rsidRDefault="009E38E5">
      <w:pPr>
        <w:pStyle w:val="TOC1"/>
        <w:rPr>
          <w:rFonts w:eastAsiaTheme="minorEastAsia" w:cstheme="minorBidi"/>
          <w:b w:val="0"/>
          <w:color w:val="auto"/>
          <w:kern w:val="2"/>
          <w:lang w:eastAsia="en-GB"/>
          <w14:ligatures w14:val="standardContextual"/>
        </w:rPr>
      </w:pPr>
      <w:hyperlink w:anchor="_Toc163547102" w:history="1">
        <w:r w:rsidRPr="00AE23CC">
          <w:rPr>
            <w:rStyle w:val="Hyperlink"/>
          </w:rPr>
          <w:t>Annex 3. Review of Victoria specific evidence on coastal and marine ecosystem services</w:t>
        </w:r>
        <w:r>
          <w:rPr>
            <w:webHidden/>
          </w:rPr>
          <w:tab/>
        </w:r>
        <w:r>
          <w:rPr>
            <w:webHidden/>
          </w:rPr>
          <w:fldChar w:fldCharType="begin"/>
        </w:r>
        <w:r>
          <w:rPr>
            <w:webHidden/>
          </w:rPr>
          <w:instrText xml:space="preserve"> PAGEREF _Toc163547102 \h </w:instrText>
        </w:r>
        <w:r>
          <w:rPr>
            <w:webHidden/>
          </w:rPr>
        </w:r>
        <w:r>
          <w:rPr>
            <w:webHidden/>
          </w:rPr>
          <w:fldChar w:fldCharType="separate"/>
        </w:r>
        <w:r w:rsidR="007C6651">
          <w:rPr>
            <w:webHidden/>
          </w:rPr>
          <w:t>187</w:t>
        </w:r>
        <w:r>
          <w:rPr>
            <w:webHidden/>
          </w:rPr>
          <w:fldChar w:fldCharType="end"/>
        </w:r>
      </w:hyperlink>
    </w:p>
    <w:p w14:paraId="7E2FADAE" w14:textId="255584E6" w:rsidR="009E38E5" w:rsidRDefault="009E38E5">
      <w:pPr>
        <w:pStyle w:val="TOC2"/>
        <w:rPr>
          <w:rFonts w:eastAsiaTheme="minorEastAsia" w:cstheme="minorBidi"/>
          <w:color w:val="auto"/>
          <w:kern w:val="2"/>
          <w:sz w:val="24"/>
          <w:szCs w:val="24"/>
          <w:lang w:eastAsia="en-GB"/>
          <w14:ligatures w14:val="standardContextual"/>
        </w:rPr>
      </w:pPr>
      <w:hyperlink w:anchor="_Toc163547103" w:history="1">
        <w:r w:rsidRPr="00AE23CC">
          <w:rPr>
            <w:rStyle w:val="Hyperlink"/>
          </w:rPr>
          <w:t>A3.1. Biomass for timber</w:t>
        </w:r>
        <w:r>
          <w:rPr>
            <w:webHidden/>
          </w:rPr>
          <w:tab/>
        </w:r>
        <w:r>
          <w:rPr>
            <w:webHidden/>
          </w:rPr>
          <w:fldChar w:fldCharType="begin"/>
        </w:r>
        <w:r>
          <w:rPr>
            <w:webHidden/>
          </w:rPr>
          <w:instrText xml:space="preserve"> PAGEREF _Toc163547103 \h </w:instrText>
        </w:r>
        <w:r>
          <w:rPr>
            <w:webHidden/>
          </w:rPr>
        </w:r>
        <w:r>
          <w:rPr>
            <w:webHidden/>
          </w:rPr>
          <w:fldChar w:fldCharType="separate"/>
        </w:r>
        <w:r w:rsidR="007C6651">
          <w:rPr>
            <w:webHidden/>
          </w:rPr>
          <w:t>197</w:t>
        </w:r>
        <w:r>
          <w:rPr>
            <w:webHidden/>
          </w:rPr>
          <w:fldChar w:fldCharType="end"/>
        </w:r>
      </w:hyperlink>
    </w:p>
    <w:p w14:paraId="0626FA34" w14:textId="2FEF6173" w:rsidR="009E38E5" w:rsidRDefault="009E38E5">
      <w:pPr>
        <w:pStyle w:val="TOC2"/>
        <w:rPr>
          <w:rFonts w:eastAsiaTheme="minorEastAsia" w:cstheme="minorBidi"/>
          <w:color w:val="auto"/>
          <w:kern w:val="2"/>
          <w:sz w:val="24"/>
          <w:szCs w:val="24"/>
          <w:lang w:eastAsia="en-GB"/>
          <w14:ligatures w14:val="standardContextual"/>
        </w:rPr>
      </w:pPr>
      <w:hyperlink w:anchor="_Toc163547104" w:history="1">
        <w:r w:rsidRPr="00AE23CC">
          <w:rPr>
            <w:rStyle w:val="Hyperlink"/>
          </w:rPr>
          <w:t>A3.2. Coastal protection</w:t>
        </w:r>
        <w:r>
          <w:rPr>
            <w:webHidden/>
          </w:rPr>
          <w:tab/>
        </w:r>
        <w:r>
          <w:rPr>
            <w:webHidden/>
          </w:rPr>
          <w:fldChar w:fldCharType="begin"/>
        </w:r>
        <w:r>
          <w:rPr>
            <w:webHidden/>
          </w:rPr>
          <w:instrText xml:space="preserve"> PAGEREF _Toc163547104 \h </w:instrText>
        </w:r>
        <w:r>
          <w:rPr>
            <w:webHidden/>
          </w:rPr>
        </w:r>
        <w:r>
          <w:rPr>
            <w:webHidden/>
          </w:rPr>
          <w:fldChar w:fldCharType="separate"/>
        </w:r>
        <w:r w:rsidR="007C6651">
          <w:rPr>
            <w:webHidden/>
          </w:rPr>
          <w:t>198</w:t>
        </w:r>
        <w:r>
          <w:rPr>
            <w:webHidden/>
          </w:rPr>
          <w:fldChar w:fldCharType="end"/>
        </w:r>
      </w:hyperlink>
    </w:p>
    <w:p w14:paraId="20595876" w14:textId="62679C22" w:rsidR="009E38E5" w:rsidRDefault="009E38E5">
      <w:pPr>
        <w:pStyle w:val="TOC2"/>
        <w:rPr>
          <w:rFonts w:eastAsiaTheme="minorEastAsia" w:cstheme="minorBidi"/>
          <w:color w:val="auto"/>
          <w:kern w:val="2"/>
          <w:sz w:val="24"/>
          <w:szCs w:val="24"/>
          <w:lang w:eastAsia="en-GB"/>
          <w14:ligatures w14:val="standardContextual"/>
        </w:rPr>
      </w:pPr>
      <w:hyperlink w:anchor="_Toc163547105" w:history="1">
        <w:r w:rsidRPr="00AE23CC">
          <w:rPr>
            <w:rStyle w:val="Hyperlink"/>
          </w:rPr>
          <w:t>A3.3. Education and research</w:t>
        </w:r>
        <w:r>
          <w:rPr>
            <w:webHidden/>
          </w:rPr>
          <w:tab/>
        </w:r>
        <w:r>
          <w:rPr>
            <w:webHidden/>
          </w:rPr>
          <w:fldChar w:fldCharType="begin"/>
        </w:r>
        <w:r>
          <w:rPr>
            <w:webHidden/>
          </w:rPr>
          <w:instrText xml:space="preserve"> PAGEREF _Toc163547105 \h </w:instrText>
        </w:r>
        <w:r>
          <w:rPr>
            <w:webHidden/>
          </w:rPr>
        </w:r>
        <w:r>
          <w:rPr>
            <w:webHidden/>
          </w:rPr>
          <w:fldChar w:fldCharType="separate"/>
        </w:r>
        <w:r w:rsidR="007C6651">
          <w:rPr>
            <w:webHidden/>
          </w:rPr>
          <w:t>202</w:t>
        </w:r>
        <w:r>
          <w:rPr>
            <w:webHidden/>
          </w:rPr>
          <w:fldChar w:fldCharType="end"/>
        </w:r>
      </w:hyperlink>
    </w:p>
    <w:p w14:paraId="1EA369DB" w14:textId="4D82320F" w:rsidR="009E38E5" w:rsidRDefault="009E38E5">
      <w:pPr>
        <w:pStyle w:val="TOC2"/>
        <w:rPr>
          <w:rFonts w:eastAsiaTheme="minorEastAsia" w:cstheme="minorBidi"/>
          <w:color w:val="auto"/>
          <w:kern w:val="2"/>
          <w:sz w:val="24"/>
          <w:szCs w:val="24"/>
          <w:lang w:eastAsia="en-GB"/>
          <w14:ligatures w14:val="standardContextual"/>
        </w:rPr>
      </w:pPr>
      <w:hyperlink w:anchor="_Toc163547106" w:history="1">
        <w:r w:rsidRPr="00AE23CC">
          <w:rPr>
            <w:rStyle w:val="Hyperlink"/>
          </w:rPr>
          <w:t>A3.4. Biomass - Food</w:t>
        </w:r>
        <w:r>
          <w:rPr>
            <w:webHidden/>
          </w:rPr>
          <w:tab/>
        </w:r>
        <w:r>
          <w:rPr>
            <w:webHidden/>
          </w:rPr>
          <w:fldChar w:fldCharType="begin"/>
        </w:r>
        <w:r>
          <w:rPr>
            <w:webHidden/>
          </w:rPr>
          <w:instrText xml:space="preserve"> PAGEREF _Toc163547106 \h </w:instrText>
        </w:r>
        <w:r>
          <w:rPr>
            <w:webHidden/>
          </w:rPr>
        </w:r>
        <w:r>
          <w:rPr>
            <w:webHidden/>
          </w:rPr>
          <w:fldChar w:fldCharType="separate"/>
        </w:r>
        <w:r w:rsidR="007C6651">
          <w:rPr>
            <w:webHidden/>
          </w:rPr>
          <w:t>204</w:t>
        </w:r>
        <w:r>
          <w:rPr>
            <w:webHidden/>
          </w:rPr>
          <w:fldChar w:fldCharType="end"/>
        </w:r>
      </w:hyperlink>
    </w:p>
    <w:p w14:paraId="7E20B8DE" w14:textId="71B344BA" w:rsidR="009E38E5" w:rsidRDefault="009E38E5">
      <w:pPr>
        <w:pStyle w:val="TOC2"/>
        <w:rPr>
          <w:rFonts w:eastAsiaTheme="minorEastAsia" w:cstheme="minorBidi"/>
          <w:color w:val="auto"/>
          <w:kern w:val="2"/>
          <w:sz w:val="24"/>
          <w:szCs w:val="24"/>
          <w:lang w:eastAsia="en-GB"/>
          <w14:ligatures w14:val="standardContextual"/>
        </w:rPr>
      </w:pPr>
      <w:hyperlink w:anchor="_Toc163547107" w:history="1">
        <w:r w:rsidRPr="00AE23CC">
          <w:rPr>
            <w:rStyle w:val="Hyperlink"/>
          </w:rPr>
          <w:t>A3.5. Global climate regulation</w:t>
        </w:r>
        <w:r>
          <w:rPr>
            <w:webHidden/>
          </w:rPr>
          <w:tab/>
        </w:r>
        <w:r>
          <w:rPr>
            <w:webHidden/>
          </w:rPr>
          <w:fldChar w:fldCharType="begin"/>
        </w:r>
        <w:r>
          <w:rPr>
            <w:webHidden/>
          </w:rPr>
          <w:instrText xml:space="preserve"> PAGEREF _Toc163547107 \h </w:instrText>
        </w:r>
        <w:r>
          <w:rPr>
            <w:webHidden/>
          </w:rPr>
        </w:r>
        <w:r>
          <w:rPr>
            <w:webHidden/>
          </w:rPr>
          <w:fldChar w:fldCharType="separate"/>
        </w:r>
        <w:r w:rsidR="007C6651">
          <w:rPr>
            <w:webHidden/>
          </w:rPr>
          <w:t>210</w:t>
        </w:r>
        <w:r>
          <w:rPr>
            <w:webHidden/>
          </w:rPr>
          <w:fldChar w:fldCharType="end"/>
        </w:r>
      </w:hyperlink>
    </w:p>
    <w:p w14:paraId="48611356" w14:textId="1943C6B2" w:rsidR="009E38E5" w:rsidRDefault="009E38E5">
      <w:pPr>
        <w:pStyle w:val="TOC2"/>
        <w:rPr>
          <w:rFonts w:eastAsiaTheme="minorEastAsia" w:cstheme="minorBidi"/>
          <w:color w:val="auto"/>
          <w:kern w:val="2"/>
          <w:sz w:val="24"/>
          <w:szCs w:val="24"/>
          <w:lang w:eastAsia="en-GB"/>
          <w14:ligatures w14:val="standardContextual"/>
        </w:rPr>
      </w:pPr>
      <w:hyperlink w:anchor="_Toc163547108" w:history="1">
        <w:r w:rsidRPr="00AE23CC">
          <w:rPr>
            <w:rStyle w:val="Hyperlink"/>
          </w:rPr>
          <w:t>A3.6. Recreation and tourism</w:t>
        </w:r>
        <w:r>
          <w:rPr>
            <w:webHidden/>
          </w:rPr>
          <w:tab/>
        </w:r>
        <w:r>
          <w:rPr>
            <w:webHidden/>
          </w:rPr>
          <w:fldChar w:fldCharType="begin"/>
        </w:r>
        <w:r>
          <w:rPr>
            <w:webHidden/>
          </w:rPr>
          <w:instrText xml:space="preserve"> PAGEREF _Toc163547108 \h </w:instrText>
        </w:r>
        <w:r>
          <w:rPr>
            <w:webHidden/>
          </w:rPr>
        </w:r>
        <w:r>
          <w:rPr>
            <w:webHidden/>
          </w:rPr>
          <w:fldChar w:fldCharType="separate"/>
        </w:r>
        <w:r w:rsidR="007C6651">
          <w:rPr>
            <w:webHidden/>
          </w:rPr>
          <w:t>219</w:t>
        </w:r>
        <w:r>
          <w:rPr>
            <w:webHidden/>
          </w:rPr>
          <w:fldChar w:fldCharType="end"/>
        </w:r>
      </w:hyperlink>
    </w:p>
    <w:p w14:paraId="4F2F994A" w14:textId="746EB68A" w:rsidR="009E38E5" w:rsidRDefault="009E38E5">
      <w:pPr>
        <w:pStyle w:val="TOC2"/>
        <w:rPr>
          <w:rFonts w:eastAsiaTheme="minorEastAsia" w:cstheme="minorBidi"/>
          <w:color w:val="auto"/>
          <w:kern w:val="2"/>
          <w:sz w:val="24"/>
          <w:szCs w:val="24"/>
          <w:lang w:eastAsia="en-GB"/>
          <w14:ligatures w14:val="standardContextual"/>
        </w:rPr>
      </w:pPr>
      <w:hyperlink w:anchor="_Toc163547109" w:history="1">
        <w:r w:rsidRPr="00AE23CC">
          <w:rPr>
            <w:rStyle w:val="Hyperlink"/>
          </w:rPr>
          <w:t>A3.7. Aesthetics</w:t>
        </w:r>
        <w:r>
          <w:rPr>
            <w:webHidden/>
          </w:rPr>
          <w:tab/>
        </w:r>
        <w:r>
          <w:rPr>
            <w:webHidden/>
          </w:rPr>
          <w:fldChar w:fldCharType="begin"/>
        </w:r>
        <w:r>
          <w:rPr>
            <w:webHidden/>
          </w:rPr>
          <w:instrText xml:space="preserve"> PAGEREF _Toc163547109 \h </w:instrText>
        </w:r>
        <w:r>
          <w:rPr>
            <w:webHidden/>
          </w:rPr>
        </w:r>
        <w:r>
          <w:rPr>
            <w:webHidden/>
          </w:rPr>
          <w:fldChar w:fldCharType="separate"/>
        </w:r>
        <w:r w:rsidR="007C6651">
          <w:rPr>
            <w:webHidden/>
          </w:rPr>
          <w:t>228</w:t>
        </w:r>
        <w:r>
          <w:rPr>
            <w:webHidden/>
          </w:rPr>
          <w:fldChar w:fldCharType="end"/>
        </w:r>
      </w:hyperlink>
    </w:p>
    <w:p w14:paraId="70189DEC" w14:textId="663EEEB5" w:rsidR="009E38E5" w:rsidRDefault="009E38E5">
      <w:pPr>
        <w:pStyle w:val="TOC1"/>
        <w:rPr>
          <w:rFonts w:eastAsiaTheme="minorEastAsia" w:cstheme="minorBidi"/>
          <w:b w:val="0"/>
          <w:color w:val="auto"/>
          <w:kern w:val="2"/>
          <w:lang w:eastAsia="en-GB"/>
          <w14:ligatures w14:val="standardContextual"/>
        </w:rPr>
      </w:pPr>
      <w:hyperlink w:anchor="_Toc163547110" w:history="1">
        <w:r w:rsidRPr="00AE23CC">
          <w:rPr>
            <w:rStyle w:val="Hyperlink"/>
          </w:rPr>
          <w:t>Annex 4. Scoping phase approach</w:t>
        </w:r>
        <w:r>
          <w:rPr>
            <w:webHidden/>
          </w:rPr>
          <w:tab/>
        </w:r>
        <w:r>
          <w:rPr>
            <w:webHidden/>
          </w:rPr>
          <w:fldChar w:fldCharType="begin"/>
        </w:r>
        <w:r>
          <w:rPr>
            <w:webHidden/>
          </w:rPr>
          <w:instrText xml:space="preserve"> PAGEREF _Toc163547110 \h </w:instrText>
        </w:r>
        <w:r>
          <w:rPr>
            <w:webHidden/>
          </w:rPr>
        </w:r>
        <w:r>
          <w:rPr>
            <w:webHidden/>
          </w:rPr>
          <w:fldChar w:fldCharType="separate"/>
        </w:r>
        <w:r w:rsidR="007C6651">
          <w:rPr>
            <w:webHidden/>
          </w:rPr>
          <w:t>229</w:t>
        </w:r>
        <w:r>
          <w:rPr>
            <w:webHidden/>
          </w:rPr>
          <w:fldChar w:fldCharType="end"/>
        </w:r>
      </w:hyperlink>
    </w:p>
    <w:p w14:paraId="7B6F521A" w14:textId="5A6C5E4E" w:rsidR="009E38E5" w:rsidRDefault="009E38E5">
      <w:pPr>
        <w:pStyle w:val="TOC2"/>
        <w:rPr>
          <w:rFonts w:eastAsiaTheme="minorEastAsia" w:cstheme="minorBidi"/>
          <w:color w:val="auto"/>
          <w:kern w:val="2"/>
          <w:sz w:val="24"/>
          <w:szCs w:val="24"/>
          <w:lang w:eastAsia="en-GB"/>
          <w14:ligatures w14:val="standardContextual"/>
        </w:rPr>
      </w:pPr>
      <w:hyperlink w:anchor="_Toc163547111" w:history="1">
        <w:r w:rsidRPr="00AE23CC">
          <w:rPr>
            <w:rStyle w:val="Hyperlink"/>
          </w:rPr>
          <w:t>Annex 5. Ecosystem asset extent - Review of global literature</w:t>
        </w:r>
        <w:r>
          <w:rPr>
            <w:webHidden/>
          </w:rPr>
          <w:tab/>
        </w:r>
        <w:r>
          <w:rPr>
            <w:webHidden/>
          </w:rPr>
          <w:fldChar w:fldCharType="begin"/>
        </w:r>
        <w:r>
          <w:rPr>
            <w:webHidden/>
          </w:rPr>
          <w:instrText xml:space="preserve"> PAGEREF _Toc163547111 \h </w:instrText>
        </w:r>
        <w:r>
          <w:rPr>
            <w:webHidden/>
          </w:rPr>
        </w:r>
        <w:r>
          <w:rPr>
            <w:webHidden/>
          </w:rPr>
          <w:fldChar w:fldCharType="separate"/>
        </w:r>
        <w:r w:rsidR="007C6651">
          <w:rPr>
            <w:webHidden/>
          </w:rPr>
          <w:t>231</w:t>
        </w:r>
        <w:r>
          <w:rPr>
            <w:webHidden/>
          </w:rPr>
          <w:fldChar w:fldCharType="end"/>
        </w:r>
      </w:hyperlink>
    </w:p>
    <w:p w14:paraId="78ADBAE2" w14:textId="186339CF" w:rsidR="009E38E5" w:rsidRDefault="009E38E5">
      <w:pPr>
        <w:pStyle w:val="TOC2"/>
        <w:rPr>
          <w:rFonts w:eastAsiaTheme="minorEastAsia" w:cstheme="minorBidi"/>
          <w:color w:val="auto"/>
          <w:kern w:val="2"/>
          <w:sz w:val="24"/>
          <w:szCs w:val="24"/>
          <w:lang w:eastAsia="en-GB"/>
          <w14:ligatures w14:val="standardContextual"/>
        </w:rPr>
      </w:pPr>
      <w:hyperlink w:anchor="_Toc163547112" w:history="1">
        <w:r w:rsidRPr="00AE23CC">
          <w:rPr>
            <w:rStyle w:val="Hyperlink"/>
          </w:rPr>
          <w:t>Annex 6. Summary of the Victorian Land Cover Time Series</w:t>
        </w:r>
        <w:r>
          <w:rPr>
            <w:webHidden/>
          </w:rPr>
          <w:tab/>
        </w:r>
        <w:r>
          <w:rPr>
            <w:webHidden/>
          </w:rPr>
          <w:fldChar w:fldCharType="begin"/>
        </w:r>
        <w:r>
          <w:rPr>
            <w:webHidden/>
          </w:rPr>
          <w:instrText xml:space="preserve"> PAGEREF _Toc163547112 \h </w:instrText>
        </w:r>
        <w:r>
          <w:rPr>
            <w:webHidden/>
          </w:rPr>
        </w:r>
        <w:r>
          <w:rPr>
            <w:webHidden/>
          </w:rPr>
          <w:fldChar w:fldCharType="separate"/>
        </w:r>
        <w:r w:rsidR="007C6651">
          <w:rPr>
            <w:webHidden/>
          </w:rPr>
          <w:t>235</w:t>
        </w:r>
        <w:r>
          <w:rPr>
            <w:webHidden/>
          </w:rPr>
          <w:fldChar w:fldCharType="end"/>
        </w:r>
      </w:hyperlink>
    </w:p>
    <w:p w14:paraId="3BE771A7" w14:textId="09A92AE1" w:rsidR="009E38E5" w:rsidRDefault="009E38E5">
      <w:pPr>
        <w:pStyle w:val="TOC2"/>
        <w:rPr>
          <w:rFonts w:eastAsiaTheme="minorEastAsia" w:cstheme="minorBidi"/>
          <w:color w:val="auto"/>
          <w:kern w:val="2"/>
          <w:sz w:val="24"/>
          <w:szCs w:val="24"/>
          <w:lang w:eastAsia="en-GB"/>
          <w14:ligatures w14:val="standardContextual"/>
        </w:rPr>
      </w:pPr>
      <w:hyperlink w:anchor="_Toc163547113" w:history="1">
        <w:r w:rsidRPr="00AE23CC">
          <w:rPr>
            <w:rStyle w:val="Hyperlink"/>
          </w:rPr>
          <w:t>Annex 7. Ecosystem asset condition - Review of global literature</w:t>
        </w:r>
        <w:r>
          <w:rPr>
            <w:webHidden/>
          </w:rPr>
          <w:tab/>
        </w:r>
        <w:r>
          <w:rPr>
            <w:webHidden/>
          </w:rPr>
          <w:fldChar w:fldCharType="begin"/>
        </w:r>
        <w:r>
          <w:rPr>
            <w:webHidden/>
          </w:rPr>
          <w:instrText xml:space="preserve"> PAGEREF _Toc163547113 \h </w:instrText>
        </w:r>
        <w:r>
          <w:rPr>
            <w:webHidden/>
          </w:rPr>
        </w:r>
        <w:r>
          <w:rPr>
            <w:webHidden/>
          </w:rPr>
          <w:fldChar w:fldCharType="separate"/>
        </w:r>
        <w:r w:rsidR="007C6651">
          <w:rPr>
            <w:webHidden/>
          </w:rPr>
          <w:t>236</w:t>
        </w:r>
        <w:r>
          <w:rPr>
            <w:webHidden/>
          </w:rPr>
          <w:fldChar w:fldCharType="end"/>
        </w:r>
      </w:hyperlink>
    </w:p>
    <w:p w14:paraId="38FFEFC1" w14:textId="15E11B4D" w:rsidR="009E38E5" w:rsidRDefault="009E38E5">
      <w:pPr>
        <w:pStyle w:val="TOC1"/>
        <w:rPr>
          <w:rFonts w:eastAsiaTheme="minorEastAsia" w:cstheme="minorBidi"/>
          <w:b w:val="0"/>
          <w:color w:val="auto"/>
          <w:kern w:val="2"/>
          <w:lang w:eastAsia="en-GB"/>
          <w14:ligatures w14:val="standardContextual"/>
        </w:rPr>
      </w:pPr>
      <w:hyperlink w:anchor="_Toc163547114" w:history="1">
        <w:r w:rsidRPr="00AE23CC">
          <w:rPr>
            <w:rStyle w:val="Hyperlink"/>
          </w:rPr>
          <w:t>Annex 8. Alignment of OCES coastal and marine indicators with the environmental-economic accounting framework for Great Ocean Road</w:t>
        </w:r>
        <w:r>
          <w:rPr>
            <w:webHidden/>
          </w:rPr>
          <w:tab/>
        </w:r>
        <w:r>
          <w:rPr>
            <w:webHidden/>
          </w:rPr>
          <w:fldChar w:fldCharType="begin"/>
        </w:r>
        <w:r>
          <w:rPr>
            <w:webHidden/>
          </w:rPr>
          <w:instrText xml:space="preserve"> PAGEREF _Toc163547114 \h </w:instrText>
        </w:r>
        <w:r>
          <w:rPr>
            <w:webHidden/>
          </w:rPr>
        </w:r>
        <w:r>
          <w:rPr>
            <w:webHidden/>
          </w:rPr>
          <w:fldChar w:fldCharType="separate"/>
        </w:r>
        <w:r w:rsidR="007C6651">
          <w:rPr>
            <w:webHidden/>
          </w:rPr>
          <w:t>239</w:t>
        </w:r>
        <w:r>
          <w:rPr>
            <w:webHidden/>
          </w:rPr>
          <w:fldChar w:fldCharType="end"/>
        </w:r>
      </w:hyperlink>
    </w:p>
    <w:p w14:paraId="4D9DA205" w14:textId="76AE3EEE" w:rsidR="009E38E5" w:rsidRDefault="009E38E5">
      <w:pPr>
        <w:pStyle w:val="TOC1"/>
        <w:rPr>
          <w:rFonts w:eastAsiaTheme="minorEastAsia" w:cstheme="minorBidi"/>
          <w:b w:val="0"/>
          <w:color w:val="auto"/>
          <w:kern w:val="2"/>
          <w:lang w:eastAsia="en-GB"/>
          <w14:ligatures w14:val="standardContextual"/>
        </w:rPr>
      </w:pPr>
      <w:hyperlink w:anchor="_Toc163547115" w:history="1">
        <w:r w:rsidRPr="00AE23CC">
          <w:rPr>
            <w:rStyle w:val="Hyperlink"/>
          </w:rPr>
          <w:t>Annex 9. Assessment of ecosystem services</w:t>
        </w:r>
        <w:r>
          <w:rPr>
            <w:webHidden/>
          </w:rPr>
          <w:tab/>
        </w:r>
        <w:r>
          <w:rPr>
            <w:webHidden/>
          </w:rPr>
          <w:fldChar w:fldCharType="begin"/>
        </w:r>
        <w:r>
          <w:rPr>
            <w:webHidden/>
          </w:rPr>
          <w:instrText xml:space="preserve"> PAGEREF _Toc163547115 \h </w:instrText>
        </w:r>
        <w:r>
          <w:rPr>
            <w:webHidden/>
          </w:rPr>
        </w:r>
        <w:r>
          <w:rPr>
            <w:webHidden/>
          </w:rPr>
          <w:fldChar w:fldCharType="separate"/>
        </w:r>
        <w:r w:rsidR="007C6651">
          <w:rPr>
            <w:webHidden/>
          </w:rPr>
          <w:t>242</w:t>
        </w:r>
        <w:r>
          <w:rPr>
            <w:webHidden/>
          </w:rPr>
          <w:fldChar w:fldCharType="end"/>
        </w:r>
      </w:hyperlink>
    </w:p>
    <w:p w14:paraId="335D6AAA" w14:textId="1C590D2A" w:rsidR="009E38E5" w:rsidRDefault="009E38E5">
      <w:pPr>
        <w:pStyle w:val="TOC2"/>
        <w:rPr>
          <w:rFonts w:eastAsiaTheme="minorEastAsia" w:cstheme="minorBidi"/>
          <w:color w:val="auto"/>
          <w:kern w:val="2"/>
          <w:sz w:val="24"/>
          <w:szCs w:val="24"/>
          <w:lang w:eastAsia="en-GB"/>
          <w14:ligatures w14:val="standardContextual"/>
        </w:rPr>
      </w:pPr>
      <w:hyperlink w:anchor="_Toc163547116" w:history="1">
        <w:r w:rsidRPr="00AE23CC">
          <w:rPr>
            <w:rStyle w:val="Hyperlink"/>
          </w:rPr>
          <w:t>A9.1. Physical quantification of ecosystem services</w:t>
        </w:r>
        <w:r>
          <w:rPr>
            <w:webHidden/>
          </w:rPr>
          <w:tab/>
        </w:r>
        <w:r>
          <w:rPr>
            <w:webHidden/>
          </w:rPr>
          <w:fldChar w:fldCharType="begin"/>
        </w:r>
        <w:r>
          <w:rPr>
            <w:webHidden/>
          </w:rPr>
          <w:instrText xml:space="preserve"> PAGEREF _Toc163547116 \h </w:instrText>
        </w:r>
        <w:r>
          <w:rPr>
            <w:webHidden/>
          </w:rPr>
        </w:r>
        <w:r>
          <w:rPr>
            <w:webHidden/>
          </w:rPr>
          <w:fldChar w:fldCharType="separate"/>
        </w:r>
        <w:r w:rsidR="007C6651">
          <w:rPr>
            <w:webHidden/>
          </w:rPr>
          <w:t>242</w:t>
        </w:r>
        <w:r>
          <w:rPr>
            <w:webHidden/>
          </w:rPr>
          <w:fldChar w:fldCharType="end"/>
        </w:r>
      </w:hyperlink>
    </w:p>
    <w:p w14:paraId="21D1D539" w14:textId="7216C84D" w:rsidR="009E38E5" w:rsidRDefault="009E38E5">
      <w:pPr>
        <w:pStyle w:val="TOC2"/>
        <w:rPr>
          <w:rFonts w:eastAsiaTheme="minorEastAsia" w:cstheme="minorBidi"/>
          <w:color w:val="auto"/>
          <w:kern w:val="2"/>
          <w:sz w:val="24"/>
          <w:szCs w:val="24"/>
          <w:lang w:eastAsia="en-GB"/>
          <w14:ligatures w14:val="standardContextual"/>
        </w:rPr>
      </w:pPr>
      <w:hyperlink w:anchor="_Toc163547117" w:history="1">
        <w:r w:rsidRPr="00AE23CC">
          <w:rPr>
            <w:rStyle w:val="Hyperlink"/>
          </w:rPr>
          <w:t>A9.2. Estimating the monetary value of ecosystem services</w:t>
        </w:r>
        <w:r>
          <w:rPr>
            <w:webHidden/>
          </w:rPr>
          <w:tab/>
        </w:r>
        <w:r>
          <w:rPr>
            <w:webHidden/>
          </w:rPr>
          <w:fldChar w:fldCharType="begin"/>
        </w:r>
        <w:r>
          <w:rPr>
            <w:webHidden/>
          </w:rPr>
          <w:instrText xml:space="preserve"> PAGEREF _Toc163547117 \h </w:instrText>
        </w:r>
        <w:r>
          <w:rPr>
            <w:webHidden/>
          </w:rPr>
        </w:r>
        <w:r>
          <w:rPr>
            <w:webHidden/>
          </w:rPr>
          <w:fldChar w:fldCharType="separate"/>
        </w:r>
        <w:r w:rsidR="007C6651">
          <w:rPr>
            <w:webHidden/>
          </w:rPr>
          <w:t>243</w:t>
        </w:r>
        <w:r>
          <w:rPr>
            <w:webHidden/>
          </w:rPr>
          <w:fldChar w:fldCharType="end"/>
        </w:r>
      </w:hyperlink>
    </w:p>
    <w:p w14:paraId="09EDC0E7" w14:textId="4FAC3CFD" w:rsidR="009E38E5" w:rsidRDefault="009E38E5">
      <w:pPr>
        <w:pStyle w:val="TOC1"/>
        <w:rPr>
          <w:rFonts w:eastAsiaTheme="minorEastAsia" w:cstheme="minorBidi"/>
          <w:b w:val="0"/>
          <w:color w:val="auto"/>
          <w:kern w:val="2"/>
          <w:lang w:eastAsia="en-GB"/>
          <w14:ligatures w14:val="standardContextual"/>
        </w:rPr>
      </w:pPr>
      <w:hyperlink w:anchor="_Toc163547118" w:history="1">
        <w:r w:rsidRPr="00AE23CC">
          <w:rPr>
            <w:rStyle w:val="Hyperlink"/>
          </w:rPr>
          <w:t>Annex 10. Supply and use of ecosystem services</w:t>
        </w:r>
        <w:r>
          <w:rPr>
            <w:webHidden/>
          </w:rPr>
          <w:tab/>
        </w:r>
        <w:r>
          <w:rPr>
            <w:webHidden/>
          </w:rPr>
          <w:fldChar w:fldCharType="begin"/>
        </w:r>
        <w:r>
          <w:rPr>
            <w:webHidden/>
          </w:rPr>
          <w:instrText xml:space="preserve"> PAGEREF _Toc163547118 \h </w:instrText>
        </w:r>
        <w:r>
          <w:rPr>
            <w:webHidden/>
          </w:rPr>
        </w:r>
        <w:r>
          <w:rPr>
            <w:webHidden/>
          </w:rPr>
          <w:fldChar w:fldCharType="separate"/>
        </w:r>
        <w:r w:rsidR="007C6651">
          <w:rPr>
            <w:webHidden/>
          </w:rPr>
          <w:t>247</w:t>
        </w:r>
        <w:r>
          <w:rPr>
            <w:webHidden/>
          </w:rPr>
          <w:fldChar w:fldCharType="end"/>
        </w:r>
      </w:hyperlink>
    </w:p>
    <w:p w14:paraId="010E258E" w14:textId="34D99A9C" w:rsidR="009E38E5" w:rsidRDefault="009E38E5">
      <w:pPr>
        <w:pStyle w:val="TOC1"/>
        <w:rPr>
          <w:rFonts w:eastAsiaTheme="minorEastAsia" w:cstheme="minorBidi"/>
          <w:b w:val="0"/>
          <w:color w:val="auto"/>
          <w:kern w:val="2"/>
          <w:lang w:eastAsia="en-GB"/>
          <w14:ligatures w14:val="standardContextual"/>
        </w:rPr>
      </w:pPr>
      <w:hyperlink w:anchor="_Toc163547119" w:history="1">
        <w:r w:rsidRPr="00AE23CC">
          <w:rPr>
            <w:rStyle w:val="Hyperlink"/>
          </w:rPr>
          <w:t>Annex 11: Practical considerations</w:t>
        </w:r>
        <w:r>
          <w:rPr>
            <w:webHidden/>
          </w:rPr>
          <w:tab/>
        </w:r>
        <w:r>
          <w:rPr>
            <w:webHidden/>
          </w:rPr>
          <w:fldChar w:fldCharType="begin"/>
        </w:r>
        <w:r>
          <w:rPr>
            <w:webHidden/>
          </w:rPr>
          <w:instrText xml:space="preserve"> PAGEREF _Toc163547119 \h </w:instrText>
        </w:r>
        <w:r>
          <w:rPr>
            <w:webHidden/>
          </w:rPr>
        </w:r>
        <w:r>
          <w:rPr>
            <w:webHidden/>
          </w:rPr>
          <w:fldChar w:fldCharType="separate"/>
        </w:r>
        <w:r w:rsidR="007C6651">
          <w:rPr>
            <w:webHidden/>
          </w:rPr>
          <w:t>248</w:t>
        </w:r>
        <w:r>
          <w:rPr>
            <w:webHidden/>
          </w:rPr>
          <w:fldChar w:fldCharType="end"/>
        </w:r>
      </w:hyperlink>
    </w:p>
    <w:p w14:paraId="16C35E94" w14:textId="549AAFB9" w:rsidR="009E38E5" w:rsidRDefault="009E38E5">
      <w:pPr>
        <w:pStyle w:val="TOC2"/>
        <w:rPr>
          <w:rFonts w:eastAsiaTheme="minorEastAsia" w:cstheme="minorBidi"/>
          <w:color w:val="auto"/>
          <w:kern w:val="2"/>
          <w:sz w:val="24"/>
          <w:szCs w:val="24"/>
          <w:lang w:eastAsia="en-GB"/>
          <w14:ligatures w14:val="standardContextual"/>
        </w:rPr>
      </w:pPr>
      <w:hyperlink w:anchor="_Toc163547120" w:history="1">
        <w:r w:rsidRPr="00AE23CC">
          <w:rPr>
            <w:rStyle w:val="Hyperlink"/>
          </w:rPr>
          <w:t>A11.1. Establishing appropriate data for the account</w:t>
        </w:r>
        <w:r>
          <w:rPr>
            <w:webHidden/>
          </w:rPr>
          <w:tab/>
        </w:r>
        <w:r>
          <w:rPr>
            <w:webHidden/>
          </w:rPr>
          <w:fldChar w:fldCharType="begin"/>
        </w:r>
        <w:r>
          <w:rPr>
            <w:webHidden/>
          </w:rPr>
          <w:instrText xml:space="preserve"> PAGEREF _Toc163547120 \h </w:instrText>
        </w:r>
        <w:r>
          <w:rPr>
            <w:webHidden/>
          </w:rPr>
        </w:r>
        <w:r>
          <w:rPr>
            <w:webHidden/>
          </w:rPr>
          <w:fldChar w:fldCharType="separate"/>
        </w:r>
        <w:r w:rsidR="007C6651">
          <w:rPr>
            <w:webHidden/>
          </w:rPr>
          <w:t>248</w:t>
        </w:r>
        <w:r>
          <w:rPr>
            <w:webHidden/>
          </w:rPr>
          <w:fldChar w:fldCharType="end"/>
        </w:r>
      </w:hyperlink>
    </w:p>
    <w:p w14:paraId="60100AC3" w14:textId="5A852613" w:rsidR="009E38E5" w:rsidRDefault="009E38E5">
      <w:pPr>
        <w:pStyle w:val="TOC2"/>
        <w:rPr>
          <w:rFonts w:eastAsiaTheme="minorEastAsia" w:cstheme="minorBidi"/>
          <w:color w:val="auto"/>
          <w:kern w:val="2"/>
          <w:sz w:val="24"/>
          <w:szCs w:val="24"/>
          <w:lang w:eastAsia="en-GB"/>
          <w14:ligatures w14:val="standardContextual"/>
        </w:rPr>
      </w:pPr>
      <w:hyperlink w:anchor="_Toc163547121" w:history="1">
        <w:r w:rsidRPr="00AE23CC">
          <w:rPr>
            <w:rStyle w:val="Hyperlink"/>
          </w:rPr>
          <w:t>A11.3. Measurement baseline</w:t>
        </w:r>
        <w:r>
          <w:rPr>
            <w:webHidden/>
          </w:rPr>
          <w:tab/>
        </w:r>
        <w:r>
          <w:rPr>
            <w:webHidden/>
          </w:rPr>
          <w:fldChar w:fldCharType="begin"/>
        </w:r>
        <w:r>
          <w:rPr>
            <w:webHidden/>
          </w:rPr>
          <w:instrText xml:space="preserve"> PAGEREF _Toc163547121 \h </w:instrText>
        </w:r>
        <w:r>
          <w:rPr>
            <w:webHidden/>
          </w:rPr>
        </w:r>
        <w:r>
          <w:rPr>
            <w:webHidden/>
          </w:rPr>
          <w:fldChar w:fldCharType="separate"/>
        </w:r>
        <w:r w:rsidR="007C6651">
          <w:rPr>
            <w:webHidden/>
          </w:rPr>
          <w:t>251</w:t>
        </w:r>
        <w:r>
          <w:rPr>
            <w:webHidden/>
          </w:rPr>
          <w:fldChar w:fldCharType="end"/>
        </w:r>
      </w:hyperlink>
    </w:p>
    <w:p w14:paraId="6279CC9E" w14:textId="5A9AFB8D" w:rsidR="009E38E5" w:rsidRDefault="009E38E5">
      <w:pPr>
        <w:pStyle w:val="TOC2"/>
        <w:rPr>
          <w:rFonts w:eastAsiaTheme="minorEastAsia" w:cstheme="minorBidi"/>
          <w:color w:val="auto"/>
          <w:kern w:val="2"/>
          <w:sz w:val="24"/>
          <w:szCs w:val="24"/>
          <w:lang w:eastAsia="en-GB"/>
          <w14:ligatures w14:val="standardContextual"/>
        </w:rPr>
      </w:pPr>
      <w:hyperlink w:anchor="_Toc163547122" w:history="1">
        <w:r w:rsidRPr="00AE23CC">
          <w:rPr>
            <w:rStyle w:val="Hyperlink"/>
          </w:rPr>
          <w:t>A11.4. Assessment year</w:t>
        </w:r>
        <w:r>
          <w:rPr>
            <w:webHidden/>
          </w:rPr>
          <w:tab/>
        </w:r>
        <w:r>
          <w:rPr>
            <w:webHidden/>
          </w:rPr>
          <w:fldChar w:fldCharType="begin"/>
        </w:r>
        <w:r>
          <w:rPr>
            <w:webHidden/>
          </w:rPr>
          <w:instrText xml:space="preserve"> PAGEREF _Toc163547122 \h </w:instrText>
        </w:r>
        <w:r>
          <w:rPr>
            <w:webHidden/>
          </w:rPr>
        </w:r>
        <w:r>
          <w:rPr>
            <w:webHidden/>
          </w:rPr>
          <w:fldChar w:fldCharType="separate"/>
        </w:r>
        <w:r w:rsidR="007C6651">
          <w:rPr>
            <w:webHidden/>
          </w:rPr>
          <w:t>253</w:t>
        </w:r>
        <w:r>
          <w:rPr>
            <w:webHidden/>
          </w:rPr>
          <w:fldChar w:fldCharType="end"/>
        </w:r>
      </w:hyperlink>
    </w:p>
    <w:p w14:paraId="75ABAF99" w14:textId="517CBDBF" w:rsidR="009E38E5" w:rsidRDefault="009E38E5">
      <w:pPr>
        <w:pStyle w:val="TOC1"/>
        <w:rPr>
          <w:rFonts w:eastAsiaTheme="minorEastAsia" w:cstheme="minorBidi"/>
          <w:b w:val="0"/>
          <w:color w:val="auto"/>
          <w:kern w:val="2"/>
          <w:lang w:eastAsia="en-GB"/>
          <w14:ligatures w14:val="standardContextual"/>
        </w:rPr>
      </w:pPr>
      <w:hyperlink w:anchor="_Toc163547123" w:history="1">
        <w:r w:rsidRPr="00AE23CC">
          <w:rPr>
            <w:rStyle w:val="Hyperlink"/>
          </w:rPr>
          <w:t>Annex 12. Community groups within the GORCAP EEA boundary</w:t>
        </w:r>
        <w:r>
          <w:rPr>
            <w:webHidden/>
          </w:rPr>
          <w:tab/>
        </w:r>
        <w:r>
          <w:rPr>
            <w:webHidden/>
          </w:rPr>
          <w:fldChar w:fldCharType="begin"/>
        </w:r>
        <w:r>
          <w:rPr>
            <w:webHidden/>
          </w:rPr>
          <w:instrText xml:space="preserve"> PAGEREF _Toc163547123 \h </w:instrText>
        </w:r>
        <w:r>
          <w:rPr>
            <w:webHidden/>
          </w:rPr>
        </w:r>
        <w:r>
          <w:rPr>
            <w:webHidden/>
          </w:rPr>
          <w:fldChar w:fldCharType="separate"/>
        </w:r>
        <w:r w:rsidR="007C6651">
          <w:rPr>
            <w:webHidden/>
          </w:rPr>
          <w:t>254</w:t>
        </w:r>
        <w:r>
          <w:rPr>
            <w:webHidden/>
          </w:rPr>
          <w:fldChar w:fldCharType="end"/>
        </w:r>
      </w:hyperlink>
    </w:p>
    <w:p w14:paraId="567C777E" w14:textId="33109DA6" w:rsidR="009E38E5" w:rsidRDefault="009E38E5">
      <w:pPr>
        <w:pStyle w:val="TOC1"/>
        <w:rPr>
          <w:rFonts w:eastAsiaTheme="minorEastAsia" w:cstheme="minorBidi"/>
          <w:b w:val="0"/>
          <w:color w:val="auto"/>
          <w:kern w:val="2"/>
          <w:lang w:eastAsia="en-GB"/>
          <w14:ligatures w14:val="standardContextual"/>
        </w:rPr>
      </w:pPr>
      <w:hyperlink w:anchor="_Toc163547124" w:history="1">
        <w:r w:rsidRPr="00AE23CC">
          <w:rPr>
            <w:rStyle w:val="Hyperlink"/>
          </w:rPr>
          <w:t>Annex 13. Data on GORCAP EEA specific pressures</w:t>
        </w:r>
        <w:r>
          <w:rPr>
            <w:webHidden/>
          </w:rPr>
          <w:tab/>
        </w:r>
        <w:r>
          <w:rPr>
            <w:webHidden/>
          </w:rPr>
          <w:fldChar w:fldCharType="begin"/>
        </w:r>
        <w:r>
          <w:rPr>
            <w:webHidden/>
          </w:rPr>
          <w:instrText xml:space="preserve"> PAGEREF _Toc163547124 \h </w:instrText>
        </w:r>
        <w:r>
          <w:rPr>
            <w:webHidden/>
          </w:rPr>
        </w:r>
        <w:r>
          <w:rPr>
            <w:webHidden/>
          </w:rPr>
          <w:fldChar w:fldCharType="separate"/>
        </w:r>
        <w:r w:rsidR="007C6651">
          <w:rPr>
            <w:webHidden/>
          </w:rPr>
          <w:t>257</w:t>
        </w:r>
        <w:r>
          <w:rPr>
            <w:webHidden/>
          </w:rPr>
          <w:fldChar w:fldCharType="end"/>
        </w:r>
      </w:hyperlink>
    </w:p>
    <w:p w14:paraId="07828A26" w14:textId="000100CF" w:rsidR="00376EF3" w:rsidRDefault="007D3F7E" w:rsidP="00467E43">
      <w:pPr>
        <w:pStyle w:val="NoSpacing"/>
        <w:rPr>
          <w:rFonts w:eastAsiaTheme="majorEastAsia"/>
        </w:rPr>
      </w:pPr>
      <w:r>
        <w:rPr>
          <w:rFonts w:eastAsiaTheme="majorEastAsia" w:cs="Arial"/>
          <w:b/>
          <w:noProof/>
          <w:color w:val="201547" w:themeColor="text2"/>
          <w:sz w:val="24"/>
          <w:szCs w:val="24"/>
        </w:rPr>
        <w:fldChar w:fldCharType="end"/>
      </w:r>
    </w:p>
    <w:p w14:paraId="35FA8ACE" w14:textId="77777777" w:rsidR="00095E93" w:rsidRPr="003D4383" w:rsidRDefault="00095E93" w:rsidP="003D4383">
      <w:pPr>
        <w:pStyle w:val="BodyText"/>
      </w:pPr>
    </w:p>
    <w:p w14:paraId="67ABC0BF" w14:textId="77777777" w:rsidR="00233D6B" w:rsidRDefault="00233D6B" w:rsidP="00254F12">
      <w:pPr>
        <w:sectPr w:rsidR="00233D6B" w:rsidSect="00E52A9A">
          <w:pgSz w:w="11907" w:h="16839" w:code="9"/>
          <w:pgMar w:top="1134" w:right="1134" w:bottom="1134" w:left="1134" w:header="283" w:footer="283" w:gutter="0"/>
          <w:pgNumType w:start="1"/>
          <w:cols w:space="454"/>
          <w:noEndnote/>
          <w:docGrid w:linePitch="360"/>
        </w:sectPr>
      </w:pPr>
    </w:p>
    <w:p w14:paraId="30460569" w14:textId="0D5B34EB" w:rsidR="000D6309" w:rsidRPr="002D259B" w:rsidRDefault="000D6309" w:rsidP="0004232F">
      <w:pPr>
        <w:pStyle w:val="Heading1"/>
        <w:numPr>
          <w:ilvl w:val="0"/>
          <w:numId w:val="0"/>
        </w:numPr>
      </w:pPr>
      <w:bookmarkStart w:id="58" w:name="_Toc136353491"/>
      <w:bookmarkStart w:id="59" w:name="_Toc163547016"/>
      <w:bookmarkStart w:id="60" w:name="_Toc4060449"/>
      <w:bookmarkStart w:id="61" w:name="_Toc132706726"/>
      <w:bookmarkStart w:id="62" w:name="_Toc132706771"/>
      <w:bookmarkStart w:id="63" w:name="_Toc132706781"/>
      <w:bookmarkStart w:id="64" w:name="_Toc132706789"/>
      <w:bookmarkStart w:id="65" w:name="_Toc132706796"/>
      <w:bookmarkStart w:id="66" w:name="_Toc132706835"/>
      <w:bookmarkStart w:id="67" w:name="_Toc132707234"/>
      <w:bookmarkStart w:id="68" w:name="_Toc132707345"/>
      <w:bookmarkStart w:id="69" w:name="_Toc132707652"/>
      <w:bookmarkStart w:id="70" w:name="_Toc132707671"/>
      <w:bookmarkStart w:id="71" w:name="_Toc132815935"/>
      <w:r w:rsidRPr="002D259B">
        <w:lastRenderedPageBreak/>
        <w:t>List of abbreviations and acronyms</w:t>
      </w:r>
      <w:bookmarkEnd w:id="58"/>
      <w:bookmarkEnd w:id="59"/>
    </w:p>
    <w:p w14:paraId="094A4C2A" w14:textId="7200B883" w:rsidR="000D6309" w:rsidRPr="002D259B" w:rsidRDefault="000D6309" w:rsidP="00B74438">
      <w:pPr>
        <w:pStyle w:val="BodyText"/>
        <w:ind w:left="1276" w:hanging="1276"/>
      </w:pPr>
      <w:r w:rsidRPr="002D259B">
        <w:t>ABS</w:t>
      </w:r>
      <w:r w:rsidRPr="002D259B">
        <w:tab/>
        <w:t>Australian Bureau of Statistics</w:t>
      </w:r>
    </w:p>
    <w:p w14:paraId="02589185" w14:textId="20B37FCA" w:rsidR="000D6309" w:rsidRPr="002D259B" w:rsidRDefault="000D6309" w:rsidP="00B74438">
      <w:pPr>
        <w:pStyle w:val="BodyText"/>
        <w:ind w:left="1276" w:hanging="1276"/>
      </w:pPr>
      <w:r w:rsidRPr="002D259B">
        <w:t>ASGS</w:t>
      </w:r>
      <w:r w:rsidRPr="002D259B">
        <w:tab/>
        <w:t>Australian Statistical Geography Standard</w:t>
      </w:r>
    </w:p>
    <w:p w14:paraId="1AD35FE1" w14:textId="213A33B0" w:rsidR="000D6309" w:rsidRPr="002D259B" w:rsidRDefault="000D6309" w:rsidP="00B74438">
      <w:pPr>
        <w:pStyle w:val="BodyText"/>
        <w:ind w:left="1276" w:hanging="1276"/>
      </w:pPr>
      <w:r w:rsidRPr="002D259B">
        <w:t>BSU</w:t>
      </w:r>
      <w:r w:rsidRPr="002D259B">
        <w:tab/>
        <w:t xml:space="preserve">Basic Spatial Units </w:t>
      </w:r>
    </w:p>
    <w:p w14:paraId="3A11F5EF" w14:textId="50DDAF78" w:rsidR="000D6309" w:rsidRPr="002D259B" w:rsidRDefault="000D6309" w:rsidP="00B74438">
      <w:pPr>
        <w:pStyle w:val="BodyText"/>
        <w:ind w:left="1276" w:hanging="1276"/>
      </w:pPr>
      <w:proofErr w:type="spellStart"/>
      <w:r w:rsidRPr="002D259B">
        <w:t>CBiCS</w:t>
      </w:r>
      <w:proofErr w:type="spellEnd"/>
      <w:r w:rsidRPr="002D259B">
        <w:tab/>
        <w:t>Combined Biotope Classification Scheme</w:t>
      </w:r>
    </w:p>
    <w:p w14:paraId="5E14AF55" w14:textId="63A161D6" w:rsidR="000D6309" w:rsidRPr="002D259B" w:rsidRDefault="000D6309" w:rsidP="00B74438">
      <w:pPr>
        <w:pStyle w:val="BodyText"/>
        <w:ind w:left="1276" w:hanging="1276"/>
      </w:pPr>
      <w:r w:rsidRPr="002D259B">
        <w:t xml:space="preserve">CICES </w:t>
      </w:r>
      <w:r w:rsidRPr="002D259B">
        <w:tab/>
        <w:t>Common International Classification of Ecosystem Services (European Environment Agency)</w:t>
      </w:r>
    </w:p>
    <w:p w14:paraId="5A974417" w14:textId="41334761" w:rsidR="000D6309" w:rsidRPr="002D259B" w:rsidRDefault="000D6309" w:rsidP="00B74438">
      <w:pPr>
        <w:pStyle w:val="BodyText"/>
        <w:ind w:left="1276" w:hanging="1276"/>
      </w:pPr>
      <w:r w:rsidRPr="002D259B">
        <w:t>DEECA</w:t>
      </w:r>
      <w:r w:rsidRPr="002D259B">
        <w:tab/>
        <w:t>Department of Energy, Environment and Climate Action</w:t>
      </w:r>
    </w:p>
    <w:p w14:paraId="781C1BFD" w14:textId="674618A5" w:rsidR="000D6309" w:rsidRPr="002D259B" w:rsidRDefault="000D6309" w:rsidP="00B74438">
      <w:pPr>
        <w:pStyle w:val="BodyText"/>
        <w:ind w:left="1276" w:hanging="1276"/>
      </w:pPr>
      <w:r w:rsidRPr="002D259B">
        <w:t>DELWP</w:t>
      </w:r>
      <w:r w:rsidRPr="002D259B">
        <w:tab/>
        <w:t>Department of Environment, Land, Water and Planning</w:t>
      </w:r>
    </w:p>
    <w:p w14:paraId="696ABFDB" w14:textId="072C6BEE" w:rsidR="000D6309" w:rsidRPr="002D259B" w:rsidRDefault="000D6309" w:rsidP="00B74438">
      <w:pPr>
        <w:pStyle w:val="BodyText"/>
        <w:ind w:left="1276" w:hanging="1276"/>
      </w:pPr>
      <w:r w:rsidRPr="002D259B">
        <w:t>EA</w:t>
      </w:r>
      <w:r w:rsidRPr="002D259B">
        <w:tab/>
        <w:t>Ecosystem Assets</w:t>
      </w:r>
    </w:p>
    <w:p w14:paraId="3F4F13A5" w14:textId="4E3531D9" w:rsidR="000D6309" w:rsidRPr="002D259B" w:rsidRDefault="000D6309" w:rsidP="00B74438">
      <w:pPr>
        <w:pStyle w:val="BodyText"/>
        <w:ind w:left="1276" w:hanging="1276"/>
      </w:pPr>
      <w:r w:rsidRPr="002D259B">
        <w:t>EEA</w:t>
      </w:r>
      <w:r w:rsidRPr="002D259B">
        <w:tab/>
        <w:t>Environmental-Economic Accounts</w:t>
      </w:r>
    </w:p>
    <w:p w14:paraId="57B167AC" w14:textId="69C627FF" w:rsidR="000D6309" w:rsidRPr="002D259B" w:rsidRDefault="000D6309" w:rsidP="00B74438">
      <w:pPr>
        <w:pStyle w:val="BodyText"/>
        <w:ind w:left="1276" w:hanging="1276"/>
      </w:pPr>
      <w:r w:rsidRPr="002D259B">
        <w:t>EMAC</w:t>
      </w:r>
      <w:r w:rsidRPr="002D259B">
        <w:tab/>
        <w:t>Eastern Maar Aboriginal Corporation</w:t>
      </w:r>
    </w:p>
    <w:p w14:paraId="4BE31D4E" w14:textId="71F95D7E" w:rsidR="000D6309" w:rsidRPr="002D259B" w:rsidRDefault="000D6309" w:rsidP="00B74438">
      <w:pPr>
        <w:pStyle w:val="BodyText"/>
        <w:ind w:left="1276" w:hanging="1276"/>
      </w:pPr>
      <w:r w:rsidRPr="002D259B">
        <w:t>EVC</w:t>
      </w:r>
      <w:r w:rsidRPr="002D259B">
        <w:tab/>
        <w:t>Ecological Vegetation Classes</w:t>
      </w:r>
    </w:p>
    <w:p w14:paraId="62E821C9" w14:textId="06848E48" w:rsidR="000D6309" w:rsidRPr="002D259B" w:rsidRDefault="000D6309" w:rsidP="00B74438">
      <w:pPr>
        <w:pStyle w:val="BodyText"/>
        <w:ind w:left="1276" w:hanging="1276"/>
      </w:pPr>
      <w:r w:rsidRPr="002D259B">
        <w:t>GA</w:t>
      </w:r>
      <w:r w:rsidRPr="002D259B">
        <w:tab/>
        <w:t>Geographical Areas</w:t>
      </w:r>
    </w:p>
    <w:p w14:paraId="7E64FDCC" w14:textId="26531C07" w:rsidR="000D6309" w:rsidRPr="002D259B" w:rsidRDefault="000D6309" w:rsidP="00B74438">
      <w:pPr>
        <w:pStyle w:val="BodyText"/>
        <w:ind w:left="1276" w:hanging="1276"/>
      </w:pPr>
      <w:r w:rsidRPr="002D259B">
        <w:t xml:space="preserve">GORCAP </w:t>
      </w:r>
      <w:r w:rsidRPr="002D259B">
        <w:tab/>
        <w:t xml:space="preserve">Great Ocean Road Coast and Parks </w:t>
      </w:r>
    </w:p>
    <w:p w14:paraId="03697CE4" w14:textId="5D66F10A" w:rsidR="000D6309" w:rsidRPr="002D259B" w:rsidRDefault="000D6309" w:rsidP="00B74438">
      <w:pPr>
        <w:pStyle w:val="BodyText"/>
        <w:ind w:left="1276" w:hanging="1276"/>
      </w:pPr>
      <w:r w:rsidRPr="002D259B">
        <w:t>GORCAPA</w:t>
      </w:r>
      <w:r w:rsidRPr="002D259B">
        <w:tab/>
        <w:t>Great Ocean Road Coast and Parks Authority</w:t>
      </w:r>
    </w:p>
    <w:p w14:paraId="00E8DB06" w14:textId="5139E4D3" w:rsidR="000D6309" w:rsidRPr="002D259B" w:rsidRDefault="000D6309" w:rsidP="00B74438">
      <w:pPr>
        <w:pStyle w:val="BodyText"/>
        <w:ind w:left="1276" w:hanging="1276"/>
      </w:pPr>
      <w:r w:rsidRPr="002D259B">
        <w:t>GVA</w:t>
      </w:r>
      <w:r w:rsidRPr="002D259B">
        <w:tab/>
        <w:t>Gross Value Added</w:t>
      </w:r>
    </w:p>
    <w:p w14:paraId="00271E65" w14:textId="350C447A" w:rsidR="000D6309" w:rsidRPr="002D259B" w:rsidRDefault="000D6309" w:rsidP="00B74438">
      <w:pPr>
        <w:pStyle w:val="BodyText"/>
        <w:ind w:left="1276" w:hanging="1276"/>
      </w:pPr>
      <w:r w:rsidRPr="002D259B">
        <w:t>IPBES</w:t>
      </w:r>
      <w:r w:rsidRPr="002D259B">
        <w:tab/>
        <w:t>Intergovernmental Panel on Biodiversity and Ecosystem Services</w:t>
      </w:r>
    </w:p>
    <w:p w14:paraId="77C5B86B" w14:textId="32ABBD49" w:rsidR="000D6309" w:rsidRPr="002D259B" w:rsidRDefault="000D6309" w:rsidP="00B74438">
      <w:pPr>
        <w:pStyle w:val="BodyText"/>
        <w:ind w:left="1276" w:hanging="1276"/>
      </w:pPr>
      <w:r w:rsidRPr="002D259B">
        <w:t>LGA</w:t>
      </w:r>
      <w:r w:rsidRPr="002D259B">
        <w:tab/>
        <w:t>Local Government Area</w:t>
      </w:r>
    </w:p>
    <w:p w14:paraId="7740E141" w14:textId="01895F82" w:rsidR="000D6309" w:rsidRPr="002D259B" w:rsidRDefault="000D6309" w:rsidP="00B74438">
      <w:pPr>
        <w:pStyle w:val="BodyText"/>
        <w:ind w:left="1276" w:hanging="1276"/>
      </w:pPr>
      <w:r w:rsidRPr="002D259B">
        <w:t>MAES</w:t>
      </w:r>
      <w:r w:rsidRPr="002D259B">
        <w:tab/>
        <w:t>Mapping and Assessment of Ecosystems and their Services (by European Commission)</w:t>
      </w:r>
    </w:p>
    <w:p w14:paraId="0F0E8336" w14:textId="0E21A45E" w:rsidR="000D6309" w:rsidRPr="002D259B" w:rsidRDefault="000D6309" w:rsidP="00B74438">
      <w:pPr>
        <w:pStyle w:val="BodyText"/>
        <w:ind w:left="1276" w:hanging="1276"/>
      </w:pPr>
      <w:r w:rsidRPr="002D259B">
        <w:t>OECD</w:t>
      </w:r>
      <w:r w:rsidRPr="002D259B">
        <w:tab/>
        <w:t>Organisation for Economic Co-operation and Development</w:t>
      </w:r>
    </w:p>
    <w:p w14:paraId="3ACC6730" w14:textId="3BAB6F16" w:rsidR="000D6309" w:rsidRPr="002D259B" w:rsidRDefault="000D6309" w:rsidP="00B74438">
      <w:pPr>
        <w:pStyle w:val="BodyText"/>
        <w:ind w:left="1276" w:hanging="1276"/>
      </w:pPr>
      <w:r w:rsidRPr="002D259B">
        <w:t>QALY</w:t>
      </w:r>
      <w:r w:rsidRPr="002D259B">
        <w:tab/>
        <w:t>Quality adjusted life year</w:t>
      </w:r>
    </w:p>
    <w:p w14:paraId="4E9F7B99" w14:textId="3AD1622B" w:rsidR="000D6309" w:rsidRPr="002D259B" w:rsidRDefault="000D6309" w:rsidP="00B74438">
      <w:pPr>
        <w:pStyle w:val="BodyText"/>
        <w:ind w:left="1276" w:hanging="1276"/>
      </w:pPr>
      <w:r w:rsidRPr="002D259B">
        <w:t>SEEA</w:t>
      </w:r>
      <w:r w:rsidRPr="002D259B">
        <w:tab/>
        <w:t>System of Environmental-Economic Accounting (UN)</w:t>
      </w:r>
    </w:p>
    <w:p w14:paraId="57556A48" w14:textId="0DAFCC36" w:rsidR="000D6309" w:rsidRPr="002D259B" w:rsidRDefault="000D6309" w:rsidP="00B74438">
      <w:pPr>
        <w:pStyle w:val="BodyText"/>
        <w:ind w:left="1276" w:hanging="1276"/>
      </w:pPr>
      <w:r w:rsidRPr="002D259B">
        <w:t>SEEA-EA</w:t>
      </w:r>
      <w:r w:rsidRPr="002D259B">
        <w:tab/>
        <w:t xml:space="preserve">System of Environmental-Economic Accounting – Ecosystem accounts </w:t>
      </w:r>
    </w:p>
    <w:p w14:paraId="02DB33DC" w14:textId="2C39FD20" w:rsidR="000D6309" w:rsidRPr="002D259B" w:rsidRDefault="000D6309" w:rsidP="00B74438">
      <w:pPr>
        <w:pStyle w:val="BodyText"/>
        <w:ind w:left="1276" w:hanging="1276"/>
      </w:pPr>
      <w:r w:rsidRPr="002D259B">
        <w:t>VLCTS</w:t>
      </w:r>
      <w:r w:rsidRPr="002D259B">
        <w:tab/>
        <w:t>Victorian Land Cover Time Series</w:t>
      </w:r>
    </w:p>
    <w:p w14:paraId="2E614162" w14:textId="47B06F5E" w:rsidR="000D6309" w:rsidRPr="002D259B" w:rsidRDefault="000D6309" w:rsidP="00B74438">
      <w:pPr>
        <w:pStyle w:val="BodyText"/>
        <w:ind w:left="1276" w:hanging="1276"/>
      </w:pPr>
      <w:r w:rsidRPr="002D259B">
        <w:t>VLUIS</w:t>
      </w:r>
      <w:r w:rsidRPr="002D259B">
        <w:tab/>
        <w:t>Victorian Land Use Information System</w:t>
      </w:r>
    </w:p>
    <w:p w14:paraId="64162ADD" w14:textId="56AD5292" w:rsidR="000D6309" w:rsidRPr="002D259B" w:rsidRDefault="000D6309" w:rsidP="00B74438">
      <w:pPr>
        <w:pStyle w:val="BodyText"/>
        <w:ind w:left="1276" w:hanging="1276"/>
      </w:pPr>
      <w:r w:rsidRPr="002D259B">
        <w:t>VOLY</w:t>
      </w:r>
      <w:r w:rsidRPr="002D259B">
        <w:tab/>
        <w:t>Value of a Life Year</w:t>
      </w:r>
    </w:p>
    <w:p w14:paraId="41773E18" w14:textId="52459AAE" w:rsidR="000D6309" w:rsidRPr="002D259B" w:rsidRDefault="000D6309" w:rsidP="00B74438">
      <w:pPr>
        <w:pStyle w:val="BodyText"/>
        <w:ind w:left="1276" w:hanging="1276"/>
      </w:pPr>
      <w:r w:rsidRPr="002D259B">
        <w:t>WTOAC</w:t>
      </w:r>
      <w:r w:rsidRPr="002D259B">
        <w:tab/>
      </w:r>
      <w:proofErr w:type="spellStart"/>
      <w:r w:rsidRPr="002D259B">
        <w:t>Wadawurrung</w:t>
      </w:r>
      <w:proofErr w:type="spellEnd"/>
      <w:r w:rsidRPr="002D259B">
        <w:t xml:space="preserve"> Traditional Owners Aboriginal Corporation </w:t>
      </w:r>
    </w:p>
    <w:p w14:paraId="16960872" w14:textId="5B46ACA1" w:rsidR="000D6309" w:rsidRPr="002D259B" w:rsidRDefault="000D6309" w:rsidP="00B74438">
      <w:pPr>
        <w:pStyle w:val="BodyText"/>
        <w:ind w:left="1276" w:hanging="1276"/>
      </w:pPr>
      <w:r w:rsidRPr="002D259B">
        <w:t>WTP</w:t>
      </w:r>
      <w:r w:rsidRPr="002D259B">
        <w:tab/>
        <w:t xml:space="preserve">Willingness to Pay </w:t>
      </w:r>
    </w:p>
    <w:p w14:paraId="39D1E597" w14:textId="77777777" w:rsidR="00FB6E96" w:rsidRDefault="00FB6E96" w:rsidP="00FB6E96">
      <w:pPr>
        <w:pStyle w:val="BodyText"/>
        <w:ind w:left="1418" w:hanging="1418"/>
        <w:rPr>
          <w:highlight w:val="yellow"/>
        </w:rPr>
      </w:pPr>
    </w:p>
    <w:p w14:paraId="0D042AB1" w14:textId="51ABA199" w:rsidR="00FB6E96" w:rsidRDefault="00FB6E96" w:rsidP="000D6309">
      <w:pPr>
        <w:pStyle w:val="BodyText"/>
        <w:rPr>
          <w:highlight w:val="yellow"/>
        </w:rPr>
        <w:sectPr w:rsidR="00FB6E96" w:rsidSect="00E52A9A">
          <w:headerReference w:type="default" r:id="rId58"/>
          <w:pgSz w:w="11906" w:h="16838" w:code="9"/>
          <w:pgMar w:top="1134" w:right="1134" w:bottom="1134" w:left="1134" w:header="283" w:footer="283" w:gutter="0"/>
          <w:cols w:space="720"/>
          <w:docGrid w:linePitch="360"/>
        </w:sectPr>
      </w:pPr>
    </w:p>
    <w:bookmarkStart w:id="72" w:name="_Toc98852564"/>
    <w:bookmarkStart w:id="73" w:name="_Toc98854643"/>
    <w:bookmarkStart w:id="74" w:name="_Toc163547017"/>
    <w:bookmarkEnd w:id="60"/>
    <w:bookmarkEnd w:id="61"/>
    <w:bookmarkEnd w:id="62"/>
    <w:bookmarkEnd w:id="63"/>
    <w:bookmarkEnd w:id="64"/>
    <w:bookmarkEnd w:id="65"/>
    <w:bookmarkEnd w:id="66"/>
    <w:bookmarkEnd w:id="67"/>
    <w:bookmarkEnd w:id="68"/>
    <w:bookmarkEnd w:id="69"/>
    <w:bookmarkEnd w:id="70"/>
    <w:bookmarkEnd w:id="71"/>
    <w:p w14:paraId="064C7784" w14:textId="77777777" w:rsidR="00B21991" w:rsidRPr="00FB15DB" w:rsidRDefault="00B21991" w:rsidP="00E85B64">
      <w:pPr>
        <w:pStyle w:val="Heading1"/>
        <w:numPr>
          <w:ilvl w:val="0"/>
          <w:numId w:val="0"/>
        </w:numPr>
        <w:jc w:val="right"/>
      </w:pPr>
      <w:r w:rsidRPr="00FB15DB">
        <w:rPr>
          <w:noProof/>
        </w:rPr>
        <w:lastRenderedPageBreak/>
        <mc:AlternateContent>
          <mc:Choice Requires="wps">
            <w:drawing>
              <wp:anchor distT="0" distB="0" distL="114300" distR="114300" simplePos="0" relativeHeight="251658269" behindDoc="0" locked="0" layoutInCell="1" allowOverlap="1" wp14:anchorId="65839A12" wp14:editId="547608F5">
                <wp:simplePos x="0" y="0"/>
                <wp:positionH relativeFrom="margin">
                  <wp:posOffset>-212839</wp:posOffset>
                </wp:positionH>
                <wp:positionV relativeFrom="paragraph">
                  <wp:posOffset>4284</wp:posOffset>
                </wp:positionV>
                <wp:extent cx="2369820" cy="9362364"/>
                <wp:effectExtent l="0" t="0" r="11430" b="10795"/>
                <wp:wrapNone/>
                <wp:docPr id="1330001081" name="Rectangle: Rounded Corners 1330001081"/>
                <wp:cNvGraphicFramePr/>
                <a:graphic xmlns:a="http://schemas.openxmlformats.org/drawingml/2006/main">
                  <a:graphicData uri="http://schemas.microsoft.com/office/word/2010/wordprocessingShape">
                    <wps:wsp>
                      <wps:cNvSpPr/>
                      <wps:spPr>
                        <a:xfrm>
                          <a:off x="0" y="0"/>
                          <a:ext cx="2369820" cy="9362364"/>
                        </a:xfrm>
                        <a:prstGeom prst="roundRect">
                          <a:avLst>
                            <a:gd name="adj" fmla="val 10000"/>
                          </a:avLst>
                        </a:prstGeom>
                        <a:solidFill>
                          <a:sysClr val="window" lastClr="FFFFFF">
                            <a:lumMod val="85000"/>
                            <a:alpha val="85098"/>
                          </a:sysClr>
                        </a:solidFill>
                        <a:ln w="12700" cap="flat" cmpd="sng" algn="ctr">
                          <a:solidFill>
                            <a:sysClr val="window" lastClr="FFFFFF">
                              <a:lumMod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roundrect w14:anchorId="1D2C8FF1" id="Rectangle: Rounded Corners 1330001081" o:spid="_x0000_s1026" style="position:absolute;margin-left:-16.75pt;margin-top:.35pt;width:186.6pt;height:737.2pt;z-index:25165826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655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" fillcolor="#d9d9d9" strokecolor="#7f7f7f" strokeweight="1pt">
                <v:fill opacity="55769f"/>
                <v:stroke joinstyle="miter"/>
                <w10:wrap anchorx="margin"/>
              </v:roundrect>
            </w:pict>
          </mc:Fallback>
        </mc:AlternateContent>
      </w:r>
      <w:r w:rsidRPr="00FB15DB">
        <w:rPr>
          <w:noProof/>
        </w:rPr>
        <mc:AlternateContent>
          <mc:Choice Requires="wps">
            <w:drawing>
              <wp:anchor distT="45720" distB="45720" distL="114300" distR="114300" simplePos="0" relativeHeight="251658277" behindDoc="0" locked="0" layoutInCell="1" allowOverlap="1" wp14:anchorId="04945E20" wp14:editId="090832D4">
                <wp:simplePos x="0" y="0"/>
                <wp:positionH relativeFrom="margin">
                  <wp:posOffset>16642</wp:posOffset>
                </wp:positionH>
                <wp:positionV relativeFrom="paragraph">
                  <wp:posOffset>139700</wp:posOffset>
                </wp:positionV>
                <wp:extent cx="1955800" cy="948690"/>
                <wp:effectExtent l="0" t="0" r="25400" b="22860"/>
                <wp:wrapSquare wrapText="bothSides"/>
                <wp:docPr id="708" name="Text 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948690"/>
                        </a:xfrm>
                        <a:prstGeom prst="rect">
                          <a:avLst/>
                        </a:prstGeom>
                        <a:solidFill>
                          <a:srgbClr val="66D1CB">
                            <a:lumMod val="20000"/>
                            <a:lumOff val="80000"/>
                          </a:srgbClr>
                        </a:solidFill>
                        <a:ln w="9525">
                          <a:solidFill>
                            <a:srgbClr val="00B2A9"/>
                          </a:solidFill>
                          <a:miter lim="800000"/>
                          <a:headEnd/>
                          <a:tailEnd/>
                        </a:ln>
                      </wps:spPr>
                      <wps:txbx>
                        <w:txbxContent>
                          <w:p w14:paraId="15B3064F" w14:textId="77777777" w:rsidR="00B21991" w:rsidRPr="00453830" w:rsidRDefault="00B21991" w:rsidP="00B21991">
                            <w:pPr>
                              <w:jc w:val="center"/>
                              <w:rPr>
                                <w:rFonts w:ascii="Arial" w:hAnsi="Arial"/>
                                <w:b/>
                                <w:bCs/>
                              </w:rPr>
                            </w:pPr>
                            <w:r w:rsidRPr="00453830">
                              <w:rPr>
                                <w:rFonts w:ascii="Arial" w:hAnsi="Arial"/>
                                <w:b/>
                                <w:bCs/>
                              </w:rPr>
                              <w:t>UN System of Environmental-Economic Accounting (SEEA) Framework</w:t>
                            </w:r>
                          </w:p>
                          <w:p w14:paraId="1005B8C7" w14:textId="77777777" w:rsidR="00B21991" w:rsidRDefault="00B21991" w:rsidP="00B21991"/>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4945E20" id="Text Box 708" o:spid="_x0000_s1032" type="#_x0000_t202" style="position:absolute;left:0;text-align:left;margin-left:1.3pt;margin-top:11pt;width:154pt;height:74.7pt;z-index:25165827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" fillcolor="#e0f6f5" strokecolor="#00b2a9">
                <v:textbox>
                  <w:txbxContent>
                    <w:p w14:paraId="15B3064F" w14:textId="77777777" w:rsidR="00B21991" w:rsidRPr="00453830" w:rsidRDefault="00B21991" w:rsidP="00B21991">
                      <w:pPr>
                        <w:jc w:val="center"/>
                        <w:rPr>
                          <w:rFonts w:ascii="Arial" w:hAnsi="Arial"/>
                          <w:b/>
                          <w:bCs/>
                        </w:rPr>
                      </w:pPr>
                      <w:r w:rsidRPr="00453830">
                        <w:rPr>
                          <w:rFonts w:ascii="Arial" w:hAnsi="Arial"/>
                          <w:b/>
                          <w:bCs/>
                        </w:rPr>
                        <w:t>UN System of Environmental-Economic Accounting (SEEA) Framework</w:t>
                      </w:r>
                    </w:p>
                    <w:p w14:paraId="1005B8C7" w14:textId="77777777" w:rsidR="00B21991" w:rsidRDefault="00B21991" w:rsidP="00B21991"/>
                  </w:txbxContent>
                </v:textbox>
                <w10:wrap type="square" anchorx="margin"/>
              </v:shape>
            </w:pict>
          </mc:Fallback>
        </mc:AlternateContent>
      </w:r>
      <w:r w:rsidRPr="00FB15DB">
        <w:t xml:space="preserve">Headline results: Great Ocean Road Coast and Parks </w:t>
      </w:r>
      <w:bookmarkEnd w:id="72"/>
      <w:bookmarkEnd w:id="73"/>
      <w:r w:rsidRPr="00FB15DB">
        <w:t>EEA</w:t>
      </w:r>
      <w:bookmarkEnd w:id="74"/>
    </w:p>
    <w:p w14:paraId="3E91BA7A" w14:textId="44459698" w:rsidR="00B21991" w:rsidRPr="00FB15DB" w:rsidRDefault="004D5561" w:rsidP="00B21991">
      <w:pPr>
        <w:pStyle w:val="BodyText"/>
        <w:rPr>
          <w:rFonts w:eastAsia="Calibri"/>
        </w:rPr>
      </w:pPr>
      <w:r w:rsidRPr="00FB15DB">
        <w:rPr>
          <w:rFonts w:eastAsia="Calibri"/>
          <w:noProof/>
        </w:rPr>
        <mc:AlternateContent>
          <mc:Choice Requires="wps">
            <w:drawing>
              <wp:anchor distT="45720" distB="45720" distL="114300" distR="114300" simplePos="0" relativeHeight="251658279" behindDoc="0" locked="0" layoutInCell="1" allowOverlap="1" wp14:anchorId="4D347EA3" wp14:editId="07EBFC61">
                <wp:simplePos x="0" y="0"/>
                <wp:positionH relativeFrom="column">
                  <wp:posOffset>9871710</wp:posOffset>
                </wp:positionH>
                <wp:positionV relativeFrom="paragraph">
                  <wp:posOffset>262890</wp:posOffset>
                </wp:positionV>
                <wp:extent cx="3923665" cy="396000"/>
                <wp:effectExtent l="0" t="0" r="13335" b="10795"/>
                <wp:wrapSquare wrapText="bothSides"/>
                <wp:docPr id="1330001083" name="Text Box 13300010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3665" cy="396000"/>
                        </a:xfrm>
                        <a:prstGeom prst="rect">
                          <a:avLst/>
                        </a:prstGeom>
                        <a:solidFill>
                          <a:srgbClr val="66D1CB">
                            <a:lumMod val="20000"/>
                            <a:lumOff val="80000"/>
                          </a:srgbClr>
                        </a:solidFill>
                        <a:ln w="9525">
                          <a:solidFill>
                            <a:srgbClr val="00B2A9"/>
                          </a:solidFill>
                          <a:miter lim="800000"/>
                          <a:headEnd/>
                          <a:tailEnd/>
                        </a:ln>
                      </wps:spPr>
                      <wps:txbx>
                        <w:txbxContent>
                          <w:p w14:paraId="0B408164" w14:textId="77777777" w:rsidR="00B21991" w:rsidRPr="00453830" w:rsidRDefault="00B21991" w:rsidP="00B21991">
                            <w:pPr>
                              <w:jc w:val="center"/>
                              <w:rPr>
                                <w:rFonts w:ascii="Arial" w:hAnsi="Arial"/>
                                <w:b/>
                                <w:bCs/>
                              </w:rPr>
                            </w:pPr>
                            <w:r>
                              <w:rPr>
                                <w:rFonts w:ascii="Arial" w:hAnsi="Arial"/>
                                <w:b/>
                                <w:bCs/>
                              </w:rPr>
                              <w:t>GORCAP</w:t>
                            </w:r>
                            <w:r w:rsidRPr="00453830">
                              <w:rPr>
                                <w:rFonts w:ascii="Arial" w:hAnsi="Arial"/>
                                <w:b/>
                                <w:bCs/>
                              </w:rPr>
                              <w:t xml:space="preserve"> EEA Use </w:t>
                            </w:r>
                            <w:r>
                              <w:rPr>
                                <w:rFonts w:ascii="Arial" w:hAnsi="Arial"/>
                                <w:b/>
                                <w:bCs/>
                              </w:rPr>
                              <w:t xml:space="preserve">(Current </w:t>
                            </w:r>
                            <w:r>
                              <w:rPr>
                                <w:rFonts w:ascii="Arial" w:hAnsi="Arial"/>
                              </w:rPr>
                              <w:t>/</w:t>
                            </w:r>
                            <w:r>
                              <w:rPr>
                                <w:rFonts w:ascii="Arial" w:hAnsi="Arial"/>
                                <w:b/>
                                <w:bCs/>
                              </w:rPr>
                              <w:t xml:space="preserve"> </w:t>
                            </w:r>
                            <w:r w:rsidRPr="0013146A">
                              <w:rPr>
                                <w:rFonts w:ascii="Arial" w:hAnsi="Arial"/>
                                <w:i/>
                                <w:iCs/>
                              </w:rPr>
                              <w:t>Future</w:t>
                            </w:r>
                            <w:r>
                              <w:rPr>
                                <w:rFonts w:ascii="Arial" w:hAnsi="Arial"/>
                                <w:b/>
                                <w:bCs/>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D347EA3" id="Text Box 1330001083" o:spid="_x0000_s1033" type="#_x0000_t202" style="position:absolute;margin-left:777.3pt;margin-top:20.7pt;width:308.95pt;height:31.2pt;z-index:25165827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" fillcolor="#e0f6f5" strokecolor="#00b2a9">
                <v:textbox>
                  <w:txbxContent>
                    <w:p w14:paraId="0B408164" w14:textId="77777777" w:rsidR="00B21991" w:rsidRPr="00453830" w:rsidRDefault="00B21991" w:rsidP="00B21991">
                      <w:pPr>
                        <w:jc w:val="center"/>
                        <w:rPr>
                          <w:rFonts w:ascii="Arial" w:hAnsi="Arial"/>
                          <w:b/>
                          <w:bCs/>
                        </w:rPr>
                      </w:pPr>
                      <w:r>
                        <w:rPr>
                          <w:rFonts w:ascii="Arial" w:hAnsi="Arial"/>
                          <w:b/>
                          <w:bCs/>
                        </w:rPr>
                        <w:t>GORCAP</w:t>
                      </w:r>
                      <w:r w:rsidRPr="00453830">
                        <w:rPr>
                          <w:rFonts w:ascii="Arial" w:hAnsi="Arial"/>
                          <w:b/>
                          <w:bCs/>
                        </w:rPr>
                        <w:t xml:space="preserve"> EEA Use </w:t>
                      </w:r>
                      <w:r>
                        <w:rPr>
                          <w:rFonts w:ascii="Arial" w:hAnsi="Arial"/>
                          <w:b/>
                          <w:bCs/>
                        </w:rPr>
                        <w:t xml:space="preserve">(Current </w:t>
                      </w:r>
                      <w:r>
                        <w:rPr>
                          <w:rFonts w:ascii="Arial" w:hAnsi="Arial"/>
                        </w:rPr>
                        <w:t>/</w:t>
                      </w:r>
                      <w:r>
                        <w:rPr>
                          <w:rFonts w:ascii="Arial" w:hAnsi="Arial"/>
                          <w:b/>
                          <w:bCs/>
                        </w:rPr>
                        <w:t xml:space="preserve"> </w:t>
                      </w:r>
                      <w:r w:rsidRPr="0013146A">
                        <w:rPr>
                          <w:rFonts w:ascii="Arial" w:hAnsi="Arial"/>
                          <w:i/>
                          <w:iCs/>
                        </w:rPr>
                        <w:t>Future</w:t>
                      </w:r>
                      <w:r>
                        <w:rPr>
                          <w:rFonts w:ascii="Arial" w:hAnsi="Arial"/>
                          <w:b/>
                          <w:bCs/>
                        </w:rPr>
                        <w:t>)</w:t>
                      </w:r>
                    </w:p>
                  </w:txbxContent>
                </v:textbox>
                <w10:wrap type="square"/>
              </v:shape>
            </w:pict>
          </mc:Fallback>
        </mc:AlternateContent>
      </w:r>
      <w:r w:rsidR="00B21991" w:rsidRPr="00FB15DB">
        <w:rPr>
          <w:rFonts w:eastAsia="Calibri"/>
          <w:noProof/>
        </w:rPr>
        <mc:AlternateContent>
          <mc:Choice Requires="wps">
            <w:drawing>
              <wp:anchor distT="45720" distB="45720" distL="114300" distR="114300" simplePos="0" relativeHeight="251658278" behindDoc="0" locked="0" layoutInCell="1" allowOverlap="1" wp14:anchorId="4DB0C20A" wp14:editId="1A92AC62">
                <wp:simplePos x="0" y="0"/>
                <wp:positionH relativeFrom="page">
                  <wp:posOffset>3046095</wp:posOffset>
                </wp:positionH>
                <wp:positionV relativeFrom="paragraph">
                  <wp:posOffset>262890</wp:posOffset>
                </wp:positionV>
                <wp:extent cx="7268400" cy="396000"/>
                <wp:effectExtent l="0" t="0" r="8890" b="10795"/>
                <wp:wrapSquare wrapText="bothSides"/>
                <wp:docPr id="1330001082" name="Text Box 13300010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68400" cy="396000"/>
                        </a:xfrm>
                        <a:prstGeom prst="rect">
                          <a:avLst/>
                        </a:prstGeom>
                        <a:solidFill>
                          <a:srgbClr val="66D1CB">
                            <a:lumMod val="20000"/>
                            <a:lumOff val="80000"/>
                          </a:srgbClr>
                        </a:solidFill>
                        <a:ln w="9525">
                          <a:solidFill>
                            <a:srgbClr val="00B2A9"/>
                          </a:solidFill>
                          <a:miter lim="800000"/>
                          <a:headEnd/>
                          <a:tailEnd/>
                        </a:ln>
                      </wps:spPr>
                      <wps:txbx>
                        <w:txbxContent>
                          <w:p w14:paraId="6011B054" w14:textId="77777777" w:rsidR="00B21991" w:rsidRPr="00453830" w:rsidRDefault="00B21991" w:rsidP="00B21991">
                            <w:pPr>
                              <w:spacing w:line="240" w:lineRule="auto"/>
                              <w:jc w:val="center"/>
                              <w:rPr>
                                <w:rFonts w:ascii="Arial" w:hAnsi="Arial"/>
                                <w:b/>
                                <w:bCs/>
                              </w:rPr>
                            </w:pPr>
                            <w:r>
                              <w:rPr>
                                <w:rFonts w:ascii="Arial" w:hAnsi="Arial"/>
                                <w:b/>
                                <w:bCs/>
                              </w:rPr>
                              <w:t>GORCAP</w:t>
                            </w:r>
                            <w:r w:rsidRPr="00453830">
                              <w:rPr>
                                <w:rFonts w:ascii="Arial" w:hAnsi="Arial"/>
                                <w:b/>
                                <w:bCs/>
                              </w:rPr>
                              <w:t xml:space="preserve"> EEA Outputs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DB0C20A" id="Text Box 1330001082" o:spid="_x0000_s1034" type="#_x0000_t202" style="position:absolute;margin-left:239.85pt;margin-top:20.7pt;width:572.3pt;height:31.2pt;z-index:25165827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" fillcolor="#e0f6f5" strokecolor="#00b2a9">
                <v:textbox>
                  <w:txbxContent>
                    <w:p w14:paraId="6011B054" w14:textId="77777777" w:rsidR="00B21991" w:rsidRPr="00453830" w:rsidRDefault="00B21991" w:rsidP="00B21991">
                      <w:pPr>
                        <w:spacing w:line="240" w:lineRule="auto"/>
                        <w:jc w:val="center"/>
                        <w:rPr>
                          <w:rFonts w:ascii="Arial" w:hAnsi="Arial"/>
                          <w:b/>
                          <w:bCs/>
                        </w:rPr>
                      </w:pPr>
                      <w:r>
                        <w:rPr>
                          <w:rFonts w:ascii="Arial" w:hAnsi="Arial"/>
                          <w:b/>
                          <w:bCs/>
                        </w:rPr>
                        <w:t>GORCAP</w:t>
                      </w:r>
                      <w:r w:rsidRPr="00453830">
                        <w:rPr>
                          <w:rFonts w:ascii="Arial" w:hAnsi="Arial"/>
                          <w:b/>
                          <w:bCs/>
                        </w:rPr>
                        <w:t xml:space="preserve"> EEA Outputs</w:t>
                      </w:r>
                    </w:p>
                  </w:txbxContent>
                </v:textbox>
                <w10:wrap type="square" anchorx="page"/>
              </v:shape>
            </w:pict>
          </mc:Fallback>
        </mc:AlternateContent>
      </w:r>
      <w:r w:rsidR="00B21991" w:rsidRPr="00FB15DB">
        <w:rPr>
          <w:rFonts w:eastAsia="Calibri"/>
          <w:noProof/>
        </w:rPr>
        <mc:AlternateContent>
          <mc:Choice Requires="wps">
            <w:drawing>
              <wp:anchor distT="0" distB="0" distL="114300" distR="114300" simplePos="0" relativeHeight="251658276" behindDoc="0" locked="0" layoutInCell="1" allowOverlap="1" wp14:anchorId="63352EAD" wp14:editId="41558626">
                <wp:simplePos x="0" y="0"/>
                <wp:positionH relativeFrom="column">
                  <wp:posOffset>250582</wp:posOffset>
                </wp:positionH>
                <wp:positionV relativeFrom="paragraph">
                  <wp:posOffset>6064458</wp:posOffset>
                </wp:positionV>
                <wp:extent cx="499527" cy="241686"/>
                <wp:effectExtent l="0" t="0" r="0" b="0"/>
                <wp:wrapNone/>
                <wp:docPr id="1330001084" name="Text Box 1330001084"/>
                <wp:cNvGraphicFramePr/>
                <a:graphic xmlns:a="http://schemas.openxmlformats.org/drawingml/2006/main">
                  <a:graphicData uri="http://schemas.microsoft.com/office/word/2010/wordprocessingShape">
                    <wps:wsp>
                      <wps:cNvSpPr txBox="1"/>
                      <wps:spPr>
                        <a:xfrm rot="5400000">
                          <a:off x="0" y="0"/>
                          <a:ext cx="499527" cy="241686"/>
                        </a:xfrm>
                        <a:prstGeom prst="rect">
                          <a:avLst/>
                        </a:prstGeom>
                        <a:noFill/>
                        <a:ln>
                          <a:noFill/>
                        </a:ln>
                        <a:effectLst/>
                      </wps:spPr>
                      <wps:bodyPr spcFirstLastPara="0" vert="horz" wrap="square" lIns="0" tIns="0" rIns="0" bIns="0" numCol="1" spcCol="1270" anchor="ctr" anchorCtr="0">
                        <a:noAutofit/>
                      </wps:bodyPr>
                    </wps:wsp>
                  </a:graphicData>
                </a:graphic>
              </wp:anchor>
            </w:drawing>
          </mc:Choice>
          <mc:Fallback>
            <w:pict>
              <v:shape w14:anchorId="4533D80E" id="Text Box 1330001084" o:spid="_x0000_s1026" type="#_x0000_t202" style="position:absolute;margin-left:19.75pt;margin-top:477.5pt;width:39.35pt;height:19.05pt;rotation:90;z-index:2516582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" filled="f" stroked="f">
                <v:textbox inset="0,0,0,0"/>
              </v:shape>
            </w:pict>
          </mc:Fallback>
        </mc:AlternateContent>
      </w:r>
      <w:r w:rsidR="00B21991" w:rsidRPr="00FB15DB">
        <w:rPr>
          <w:rFonts w:eastAsia="Calibri"/>
        </w:rPr>
        <w:t xml:space="preserve"> </w:t>
      </w:r>
    </w:p>
    <w:p w14:paraId="77ABA4A5" w14:textId="45660C4E" w:rsidR="00B21991" w:rsidRPr="00FB15DB" w:rsidRDefault="00341974" w:rsidP="00B21991">
      <w:pPr>
        <w:pStyle w:val="BodyText"/>
        <w:rPr>
          <w:rFonts w:eastAsia="Calibri"/>
        </w:rPr>
      </w:pPr>
      <w:r w:rsidRPr="00FB15DB">
        <w:rPr>
          <w:rFonts w:eastAsia="Calibri"/>
          <w:noProof/>
        </w:rPr>
        <mc:AlternateContent>
          <mc:Choice Requires="wps">
            <w:drawing>
              <wp:anchor distT="0" distB="0" distL="114300" distR="114300" simplePos="0" relativeHeight="251658274" behindDoc="0" locked="0" layoutInCell="1" allowOverlap="1" wp14:anchorId="64074CD1" wp14:editId="09C1B7A6">
                <wp:simplePos x="0" y="0"/>
                <wp:positionH relativeFrom="margin">
                  <wp:posOffset>0</wp:posOffset>
                </wp:positionH>
                <wp:positionV relativeFrom="paragraph">
                  <wp:posOffset>636905</wp:posOffset>
                </wp:positionV>
                <wp:extent cx="1918335" cy="698500"/>
                <wp:effectExtent l="0" t="0" r="0" b="0"/>
                <wp:wrapNone/>
                <wp:docPr id="1330001086" name="Rectangle 1330001086"/>
                <wp:cNvGraphicFramePr/>
                <a:graphic xmlns:a="http://schemas.openxmlformats.org/drawingml/2006/main">
                  <a:graphicData uri="http://schemas.microsoft.com/office/word/2010/wordprocessingShape">
                    <wps:wsp>
                      <wps:cNvSpPr/>
                      <wps:spPr>
                        <a:xfrm>
                          <a:off x="0" y="0"/>
                          <a:ext cx="1918335" cy="698500"/>
                        </a:xfrm>
                        <a:prstGeom prst="rect">
                          <a:avLst/>
                        </a:prstGeom>
                      </wps:spPr>
                      <wps:txbx>
                        <w:txbxContent>
                          <w:p w14:paraId="4944BBFE" w14:textId="62875BAD" w:rsidR="00B21991" w:rsidRPr="00341974" w:rsidRDefault="00B21991" w:rsidP="00B21991">
                            <w:pPr>
                              <w:spacing w:after="100" w:afterAutospacing="1" w:line="321" w:lineRule="auto"/>
                              <w:jc w:val="center"/>
                              <w:textAlignment w:val="baseline"/>
                              <w:rPr>
                                <w:rFonts w:ascii="Arial" w:hAnsi="Arial"/>
                                <w:b/>
                                <w:bCs/>
                                <w:color w:val="201547" w:themeColor="accent4"/>
                                <w:kern w:val="24"/>
                              </w:rPr>
                            </w:pPr>
                            <w:r w:rsidRPr="00341974">
                              <w:rPr>
                                <w:rFonts w:ascii="Arial" w:hAnsi="Arial"/>
                                <w:b/>
                                <w:bCs/>
                                <w:color w:val="201547" w:themeColor="accent4"/>
                                <w:kern w:val="24"/>
                              </w:rPr>
                              <w:t xml:space="preserve">Status </w:t>
                            </w:r>
                            <w:r w:rsidRPr="00341974">
                              <w:rPr>
                                <w:rFonts w:ascii="Arial" w:hAnsi="Arial"/>
                                <w:color w:val="201547" w:themeColor="accent4"/>
                                <w:kern w:val="24"/>
                              </w:rPr>
                              <w:t>of ecosystem assets</w:t>
                            </w:r>
                            <w:r w:rsidR="002B2BFA" w:rsidRPr="00341974">
                              <w:rPr>
                                <w:rFonts w:ascii="Arial" w:hAnsi="Arial"/>
                                <w:color w:val="201547" w:themeColor="accent4"/>
                                <w:kern w:val="24"/>
                              </w:rPr>
                              <w:br/>
                            </w:r>
                            <w:r w:rsidRPr="00341974">
                              <w:rPr>
                                <w:rFonts w:ascii="Arial" w:hAnsi="Arial"/>
                                <w:color w:val="201547" w:themeColor="accent4"/>
                                <w:kern w:val="24"/>
                              </w:rPr>
                              <w:t>in Great Ocean Road Coast and Parks</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64074CD1" id="Rectangle 1330001086" o:spid="_x0000_s1035" style="position:absolute;margin-left:0;margin-top:50.15pt;width:151.05pt;height:55pt;z-index:25165827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" filled="f" stroked="f">
                <v:textbox>
                  <w:txbxContent>
                    <w:p w14:paraId="4944BBFE" w14:textId="62875BAD" w:rsidR="00B21991" w:rsidRPr="00341974" w:rsidRDefault="00B21991" w:rsidP="00B21991">
                      <w:pPr>
                        <w:spacing w:after="100" w:afterAutospacing="1" w:line="321" w:lineRule="auto"/>
                        <w:jc w:val="center"/>
                        <w:textAlignment w:val="baseline"/>
                        <w:rPr>
                          <w:rFonts w:ascii="Arial" w:hAnsi="Arial"/>
                          <w:b/>
                          <w:bCs/>
                          <w:color w:val="201547" w:themeColor="accent4"/>
                          <w:kern w:val="24"/>
                        </w:rPr>
                      </w:pPr>
                      <w:r w:rsidRPr="00341974">
                        <w:rPr>
                          <w:rFonts w:ascii="Arial" w:hAnsi="Arial"/>
                          <w:b/>
                          <w:bCs/>
                          <w:color w:val="201547" w:themeColor="accent4"/>
                          <w:kern w:val="24"/>
                        </w:rPr>
                        <w:t xml:space="preserve">Status </w:t>
                      </w:r>
                      <w:r w:rsidRPr="00341974">
                        <w:rPr>
                          <w:rFonts w:ascii="Arial" w:hAnsi="Arial"/>
                          <w:color w:val="201547" w:themeColor="accent4"/>
                          <w:kern w:val="24"/>
                        </w:rPr>
                        <w:t>of ecosystem assets</w:t>
                      </w:r>
                      <w:r w:rsidR="002B2BFA" w:rsidRPr="00341974">
                        <w:rPr>
                          <w:rFonts w:ascii="Arial" w:hAnsi="Arial"/>
                          <w:color w:val="201547" w:themeColor="accent4"/>
                          <w:kern w:val="24"/>
                        </w:rPr>
                        <w:br/>
                      </w:r>
                      <w:r w:rsidRPr="00341974">
                        <w:rPr>
                          <w:rFonts w:ascii="Arial" w:hAnsi="Arial"/>
                          <w:color w:val="201547" w:themeColor="accent4"/>
                          <w:kern w:val="24"/>
                        </w:rPr>
                        <w:t>in Great Ocean Road Coast and Parks</w:t>
                      </w:r>
                    </w:p>
                  </w:txbxContent>
                </v:textbox>
                <w10:wrap anchorx="margin"/>
              </v:rect>
            </w:pict>
          </mc:Fallback>
        </mc:AlternateContent>
      </w:r>
      <w:r w:rsidR="00B21991" w:rsidRPr="00FB15DB">
        <w:rPr>
          <w:rFonts w:eastAsia="Calibri"/>
          <w:noProof/>
        </w:rPr>
        <mc:AlternateContent>
          <mc:Choice Requires="wps">
            <w:drawing>
              <wp:anchor distT="0" distB="0" distL="114300" distR="114300" simplePos="0" relativeHeight="251658270" behindDoc="0" locked="0" layoutInCell="1" allowOverlap="1" wp14:anchorId="361B5DCC" wp14:editId="4F429085">
                <wp:simplePos x="0" y="0"/>
                <wp:positionH relativeFrom="margin">
                  <wp:posOffset>0</wp:posOffset>
                </wp:positionH>
                <wp:positionV relativeFrom="paragraph">
                  <wp:posOffset>532765</wp:posOffset>
                </wp:positionV>
                <wp:extent cx="1918335" cy="7888406"/>
                <wp:effectExtent l="0" t="0" r="24765" b="17780"/>
                <wp:wrapNone/>
                <wp:docPr id="722" name="Rectangle: Rounded Corners 722"/>
                <wp:cNvGraphicFramePr/>
                <a:graphic xmlns:a="http://schemas.openxmlformats.org/drawingml/2006/main">
                  <a:graphicData uri="http://schemas.microsoft.com/office/word/2010/wordprocessingShape">
                    <wps:wsp>
                      <wps:cNvSpPr/>
                      <wps:spPr>
                        <a:xfrm>
                          <a:off x="0" y="0"/>
                          <a:ext cx="1918335" cy="7888406"/>
                        </a:xfrm>
                        <a:prstGeom prst="roundRect">
                          <a:avLst>
                            <a:gd name="adj" fmla="val 10000"/>
                          </a:avLst>
                        </a:prstGeom>
                        <a:solidFill>
                          <a:srgbClr val="FFFFFF">
                            <a:alpha val="85098"/>
                          </a:srgbClr>
                        </a:solidFill>
                        <a:ln w="12700" cap="flat" cmpd="sng" algn="ctr">
                          <a:solidFill>
                            <a:srgbClr val="786CA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roundrect w14:anchorId="423ABE69" id="Rectangle: Rounded Corners 722" o:spid="_x0000_s1026" style="position:absolute;margin-left:0;margin-top:41.95pt;width:151.05pt;height:621.15pt;z-index:25165827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655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" strokecolor="#786ca4" strokeweight="1pt">
                <v:fill opacity="55769f"/>
                <v:stroke joinstyle="miter"/>
                <w10:wrap anchorx="margin"/>
              </v:roundrect>
            </w:pict>
          </mc:Fallback>
        </mc:AlternateContent>
      </w:r>
    </w:p>
    <w:p w14:paraId="0ED85557" w14:textId="56F9BA1F" w:rsidR="00B21991" w:rsidRPr="00FB15DB" w:rsidRDefault="004A3AE5" w:rsidP="00B21991">
      <w:pPr>
        <w:pStyle w:val="BodyText"/>
        <w:rPr>
          <w:rFonts w:eastAsia="Calibri"/>
        </w:rPr>
      </w:pPr>
      <w:r w:rsidRPr="00FB15DB">
        <w:rPr>
          <w:rFonts w:eastAsia="Calibri"/>
          <w:noProof/>
        </w:rPr>
        <mc:AlternateContent>
          <mc:Choice Requires="wps">
            <w:drawing>
              <wp:anchor distT="45720" distB="45720" distL="114300" distR="114300" simplePos="0" relativeHeight="251658300" behindDoc="0" locked="0" layoutInCell="1" allowOverlap="1" wp14:anchorId="13A0EF01" wp14:editId="174B91D0">
                <wp:simplePos x="0" y="0"/>
                <wp:positionH relativeFrom="page">
                  <wp:posOffset>10591800</wp:posOffset>
                </wp:positionH>
                <wp:positionV relativeFrom="paragraph">
                  <wp:posOffset>46355</wp:posOffset>
                </wp:positionV>
                <wp:extent cx="3239770" cy="1404620"/>
                <wp:effectExtent l="0" t="0" r="11430" b="13970"/>
                <wp:wrapNone/>
                <wp:docPr id="1330001085" name="Text Box 13300010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1404620"/>
                        </a:xfrm>
                        <a:prstGeom prst="rect">
                          <a:avLst/>
                        </a:prstGeom>
                        <a:solidFill>
                          <a:srgbClr val="0070C0">
                            <a:lumMod val="20000"/>
                            <a:lumOff val="80000"/>
                          </a:srgbClr>
                        </a:solidFill>
                        <a:ln w="9525">
                          <a:solidFill>
                            <a:srgbClr val="0070C0"/>
                          </a:solidFill>
                          <a:miter lim="800000"/>
                          <a:headEnd/>
                          <a:tailEnd/>
                        </a:ln>
                      </wps:spPr>
                      <wps:txbx>
                        <w:txbxContent>
                          <w:p w14:paraId="460D95E0" w14:textId="77777777" w:rsidR="00B21991" w:rsidRDefault="00B21991" w:rsidP="003246B9">
                            <w:pPr>
                              <w:pStyle w:val="ListBullet"/>
                            </w:pPr>
                            <w:r w:rsidRPr="00EA31E1">
                              <w:t>Evidence on the current (2019) extent and distribution of ecosystems</w:t>
                            </w:r>
                          </w:p>
                          <w:p w14:paraId="1295BF1C" w14:textId="77777777" w:rsidR="00B21991" w:rsidRPr="00873F0C" w:rsidRDefault="00B21991" w:rsidP="003246B9">
                            <w:pPr>
                              <w:pStyle w:val="ListBullet"/>
                            </w:pPr>
                            <w:r w:rsidRPr="00EA31E1">
                              <w:rPr>
                                <w:i/>
                                <w:iCs/>
                              </w:rPr>
                              <w:t xml:space="preserve">Monitoring and reporting on management effectiveness </w:t>
                            </w:r>
                            <w:r>
                              <w:rPr>
                                <w:i/>
                                <w:iCs/>
                              </w:rPr>
                              <w:t>in meeting extent targets</w:t>
                            </w:r>
                          </w:p>
                          <w:p w14:paraId="1C215458" w14:textId="77777777" w:rsidR="00B21991" w:rsidRPr="00EA31E1" w:rsidRDefault="00B21991" w:rsidP="003246B9">
                            <w:pPr>
                              <w:pStyle w:val="ListBullet"/>
                            </w:pPr>
                            <w:r w:rsidRPr="00EA31E1">
                              <w:rPr>
                                <w:i/>
                                <w:iCs/>
                              </w:rPr>
                              <w:t>Identifying ecosystem</w:t>
                            </w:r>
                            <w:r>
                              <w:rPr>
                                <w:i/>
                                <w:iCs/>
                              </w:rPr>
                              <w:t>s</w:t>
                            </w:r>
                            <w:r w:rsidRPr="00EA31E1">
                              <w:rPr>
                                <w:i/>
                                <w:iCs/>
                              </w:rPr>
                              <w:t xml:space="preserve"> at risk of </w:t>
                            </w:r>
                            <w:r>
                              <w:rPr>
                                <w:i/>
                                <w:iCs/>
                              </w:rPr>
                              <w:t xml:space="preserve">future </w:t>
                            </w:r>
                            <w:r w:rsidRPr="00EA31E1">
                              <w:rPr>
                                <w:i/>
                                <w:iCs/>
                              </w:rPr>
                              <w:t>pressures</w:t>
                            </w:r>
                          </w:p>
                          <w:p w14:paraId="2C9681D9" w14:textId="77777777" w:rsidR="00B21991" w:rsidRPr="00EA31E1" w:rsidRDefault="00B21991" w:rsidP="003246B9">
                            <w:pPr>
                              <w:pStyle w:val="ListBullet"/>
                              <w:rPr>
                                <w:i/>
                                <w:iCs/>
                              </w:rPr>
                            </w:pPr>
                            <w:r w:rsidRPr="00EA31E1">
                              <w:rPr>
                                <w:i/>
                                <w:iCs/>
                              </w:rPr>
                              <w:t>Identifying ecosystem restoration opportunities</w:t>
                            </w:r>
                            <w:r>
                              <w:rPr>
                                <w:i/>
                                <w:iCs/>
                              </w:rPr>
                              <w:t xml:space="preserve"> through comparison with historical extent</w:t>
                            </w:r>
                          </w:p>
                          <w:p w14:paraId="471E6D67" w14:textId="657795D2" w:rsidR="00B21991" w:rsidRPr="003246B9" w:rsidRDefault="00B21991" w:rsidP="00B21991">
                            <w:pPr>
                              <w:pStyle w:val="ListBullet"/>
                              <w:rPr>
                                <w:i/>
                                <w:iCs/>
                              </w:rPr>
                            </w:pPr>
                            <w:r w:rsidRPr="00EA31E1">
                              <w:rPr>
                                <w:i/>
                                <w:iCs/>
                              </w:rPr>
                              <w:t>Identifying key ecological interactions</w:t>
                            </w:r>
                            <w:r>
                              <w:rPr>
                                <w:i/>
                                <w:iCs/>
                              </w:rPr>
                              <w:t xml:space="preserve"> across space and time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A0EF01" id="Text Box 1330001085" o:spid="_x0000_s1036" type="#_x0000_t202" style="position:absolute;margin-left:834pt;margin-top:3.65pt;width:255.1pt;height:110.6pt;z-index:25165830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" fillcolor="#bfe4ff" strokecolor="#0070c0">
                <v:textbox style="mso-fit-shape-to-text:t">
                  <w:txbxContent>
                    <w:p w14:paraId="460D95E0" w14:textId="77777777" w:rsidR="00B21991" w:rsidRDefault="00B21991" w:rsidP="003246B9">
                      <w:pPr>
                        <w:pStyle w:val="ListBullet"/>
                      </w:pPr>
                      <w:r w:rsidRPr="00EA31E1">
                        <w:t>Evidence on the current (2019) extent and distribution of ecosystems</w:t>
                      </w:r>
                    </w:p>
                    <w:p w14:paraId="1295BF1C" w14:textId="77777777" w:rsidR="00B21991" w:rsidRPr="00873F0C" w:rsidRDefault="00B21991" w:rsidP="003246B9">
                      <w:pPr>
                        <w:pStyle w:val="ListBullet"/>
                      </w:pPr>
                      <w:r w:rsidRPr="00EA31E1">
                        <w:rPr>
                          <w:i/>
                          <w:iCs/>
                        </w:rPr>
                        <w:t xml:space="preserve">Monitoring and reporting on management effectiveness </w:t>
                      </w:r>
                      <w:r>
                        <w:rPr>
                          <w:i/>
                          <w:iCs/>
                        </w:rPr>
                        <w:t>in meeting extent targets</w:t>
                      </w:r>
                    </w:p>
                    <w:p w14:paraId="1C215458" w14:textId="77777777" w:rsidR="00B21991" w:rsidRPr="00EA31E1" w:rsidRDefault="00B21991" w:rsidP="003246B9">
                      <w:pPr>
                        <w:pStyle w:val="ListBullet"/>
                      </w:pPr>
                      <w:r w:rsidRPr="00EA31E1">
                        <w:rPr>
                          <w:i/>
                          <w:iCs/>
                        </w:rPr>
                        <w:t>Identifying ecosystem</w:t>
                      </w:r>
                      <w:r>
                        <w:rPr>
                          <w:i/>
                          <w:iCs/>
                        </w:rPr>
                        <w:t>s</w:t>
                      </w:r>
                      <w:r w:rsidRPr="00EA31E1">
                        <w:rPr>
                          <w:i/>
                          <w:iCs/>
                        </w:rPr>
                        <w:t xml:space="preserve"> at risk of </w:t>
                      </w:r>
                      <w:r>
                        <w:rPr>
                          <w:i/>
                          <w:iCs/>
                        </w:rPr>
                        <w:t xml:space="preserve">future </w:t>
                      </w:r>
                      <w:r w:rsidRPr="00EA31E1">
                        <w:rPr>
                          <w:i/>
                          <w:iCs/>
                        </w:rPr>
                        <w:t>pressures</w:t>
                      </w:r>
                    </w:p>
                    <w:p w14:paraId="2C9681D9" w14:textId="77777777" w:rsidR="00B21991" w:rsidRPr="00EA31E1" w:rsidRDefault="00B21991" w:rsidP="003246B9">
                      <w:pPr>
                        <w:pStyle w:val="ListBullet"/>
                        <w:rPr>
                          <w:i/>
                          <w:iCs/>
                        </w:rPr>
                      </w:pPr>
                      <w:r w:rsidRPr="00EA31E1">
                        <w:rPr>
                          <w:i/>
                          <w:iCs/>
                        </w:rPr>
                        <w:t>Identifying ecosystem restoration opportunities</w:t>
                      </w:r>
                      <w:r>
                        <w:rPr>
                          <w:i/>
                          <w:iCs/>
                        </w:rPr>
                        <w:t xml:space="preserve"> through comparison with historical extent</w:t>
                      </w:r>
                    </w:p>
                    <w:p w14:paraId="471E6D67" w14:textId="657795D2" w:rsidR="00B21991" w:rsidRPr="003246B9" w:rsidRDefault="00B21991" w:rsidP="00B21991">
                      <w:pPr>
                        <w:pStyle w:val="ListBullet"/>
                        <w:rPr>
                          <w:i/>
                          <w:iCs/>
                        </w:rPr>
                      </w:pPr>
                      <w:r w:rsidRPr="00EA31E1">
                        <w:rPr>
                          <w:i/>
                          <w:iCs/>
                        </w:rPr>
                        <w:t>Identifying key ecological interactions</w:t>
                      </w:r>
                      <w:r>
                        <w:rPr>
                          <w:i/>
                          <w:iCs/>
                        </w:rPr>
                        <w:t xml:space="preserve"> across space and time</w:t>
                      </w:r>
                    </w:p>
                  </w:txbxContent>
                </v:textbox>
                <w10:wrap anchorx="page"/>
              </v:shape>
            </w:pict>
          </mc:Fallback>
        </mc:AlternateContent>
      </w:r>
      <w:r w:rsidR="00B21991" w:rsidRPr="00FB15DB">
        <w:rPr>
          <w:noProof/>
        </w:rPr>
        <w:drawing>
          <wp:anchor distT="0" distB="0" distL="114300" distR="114300" simplePos="0" relativeHeight="251658294" behindDoc="0" locked="0" layoutInCell="1" allowOverlap="1" wp14:anchorId="7B7A3CEA" wp14:editId="3F8492F0">
            <wp:simplePos x="0" y="0"/>
            <wp:positionH relativeFrom="margin">
              <wp:posOffset>2326640</wp:posOffset>
            </wp:positionH>
            <wp:positionV relativeFrom="paragraph">
              <wp:posOffset>46990</wp:posOffset>
            </wp:positionV>
            <wp:extent cx="7265670" cy="3567430"/>
            <wp:effectExtent l="0" t="0" r="0" b="1270"/>
            <wp:wrapSquare wrapText="bothSides"/>
            <wp:docPr id="1330001285" name="Picture 133000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001285" name="Picture 1330001285"/>
                    <pic:cNvPicPr/>
                  </pic:nvPicPr>
                  <pic:blipFill>
                    <a:blip r:embed="rId59" cstate="email">
                      <a:extLst>
                        <a:ext uri="{28A0092B-C50C-407E-A947-70E740481C1C}">
                          <a14:useLocalDpi xmlns:a14="http://schemas.microsoft.com/office/drawing/2010/main"/>
                        </a:ext>
                      </a:extLst>
                    </a:blip>
                    <a:stretch>
                      <a:fillRect/>
                    </a:stretch>
                  </pic:blipFill>
                  <pic:spPr>
                    <a:xfrm>
                      <a:off x="0" y="0"/>
                      <a:ext cx="7265670" cy="3567430"/>
                    </a:xfrm>
                    <a:prstGeom prst="rect">
                      <a:avLst/>
                    </a:prstGeom>
                  </pic:spPr>
                </pic:pic>
              </a:graphicData>
            </a:graphic>
            <wp14:sizeRelH relativeFrom="margin">
              <wp14:pctWidth>0</wp14:pctWidth>
            </wp14:sizeRelH>
            <wp14:sizeRelV relativeFrom="margin">
              <wp14:pctHeight>0</wp14:pctHeight>
            </wp14:sizeRelV>
          </wp:anchor>
        </w:drawing>
      </w:r>
    </w:p>
    <w:p w14:paraId="1C4EA6C7" w14:textId="026BCC9A" w:rsidR="00B21991" w:rsidRPr="00FB15DB" w:rsidRDefault="00B21991" w:rsidP="00B21991">
      <w:pPr>
        <w:pStyle w:val="BodyText"/>
        <w:rPr>
          <w:rFonts w:eastAsia="Calibri"/>
        </w:rPr>
      </w:pPr>
    </w:p>
    <w:p w14:paraId="1060CE4D" w14:textId="32A7E98E" w:rsidR="00B21991" w:rsidRPr="00FB15DB" w:rsidRDefault="00B21991" w:rsidP="00B21991">
      <w:pPr>
        <w:pStyle w:val="BodyText"/>
        <w:rPr>
          <w:rFonts w:eastAsia="Calibri"/>
        </w:rPr>
      </w:pPr>
      <w:r w:rsidRPr="00FB15DB">
        <w:rPr>
          <w:rFonts w:eastAsia="Calibri"/>
          <w:noProof/>
        </w:rPr>
        <mc:AlternateContent>
          <mc:Choice Requires="wps">
            <w:drawing>
              <wp:anchor distT="0" distB="0" distL="114300" distR="114300" simplePos="0" relativeHeight="251658286" behindDoc="0" locked="0" layoutInCell="1" allowOverlap="1" wp14:anchorId="6C5D4CFD" wp14:editId="2195F13B">
                <wp:simplePos x="0" y="0"/>
                <wp:positionH relativeFrom="column">
                  <wp:posOffset>12994640</wp:posOffset>
                </wp:positionH>
                <wp:positionV relativeFrom="paragraph">
                  <wp:posOffset>236855</wp:posOffset>
                </wp:positionV>
                <wp:extent cx="755650" cy="0"/>
                <wp:effectExtent l="0" t="0" r="0" b="0"/>
                <wp:wrapNone/>
                <wp:docPr id="1330001122" name="Straight Connector 1330001122"/>
                <wp:cNvGraphicFramePr/>
                <a:graphic xmlns:a="http://schemas.openxmlformats.org/drawingml/2006/main">
                  <a:graphicData uri="http://schemas.microsoft.com/office/word/2010/wordprocessingShape">
                    <wps:wsp>
                      <wps:cNvCnPr/>
                      <wps:spPr>
                        <a:xfrm flipV="1">
                          <a:off x="0" y="0"/>
                          <a:ext cx="755650" cy="0"/>
                        </a:xfrm>
                        <a:prstGeom prst="line">
                          <a:avLst/>
                        </a:prstGeom>
                        <a:noFill/>
                        <a:ln w="6350" cap="flat" cmpd="sng" algn="ctr">
                          <a:solidFill>
                            <a:sysClr val="window" lastClr="FFFFFF">
                              <a:lumMod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9D5A74C" id="Straight Connector 1330001122" o:spid="_x0000_s1026" style="position:absolute;flip:y;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23.2pt,18.65pt" to="1082.7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" strokecolor="#7f7f7f" strokeweight=".5pt">
                <v:stroke joinstyle="miter"/>
              </v:line>
            </w:pict>
          </mc:Fallback>
        </mc:AlternateContent>
      </w:r>
    </w:p>
    <w:p w14:paraId="6CD727AD" w14:textId="555360B7" w:rsidR="00B21991" w:rsidRPr="00FB15DB" w:rsidRDefault="002B2BFA" w:rsidP="00B21991">
      <w:pPr>
        <w:pStyle w:val="BodyText"/>
        <w:rPr>
          <w:rFonts w:eastAsia="Calibri"/>
        </w:rPr>
      </w:pPr>
      <w:r>
        <w:rPr>
          <w:rFonts w:eastAsia="Calibri"/>
          <w:noProof/>
        </w:rPr>
        <mc:AlternateContent>
          <mc:Choice Requires="wps">
            <w:drawing>
              <wp:anchor distT="0" distB="0" distL="114300" distR="114300" simplePos="0" relativeHeight="251658271" behindDoc="0" locked="0" layoutInCell="1" allowOverlap="1" wp14:anchorId="22EE646F" wp14:editId="47AF1F46">
                <wp:simplePos x="0" y="0"/>
                <wp:positionH relativeFrom="column">
                  <wp:posOffset>95250</wp:posOffset>
                </wp:positionH>
                <wp:positionV relativeFrom="paragraph">
                  <wp:posOffset>135890</wp:posOffset>
                </wp:positionV>
                <wp:extent cx="1734185" cy="882015"/>
                <wp:effectExtent l="0" t="0" r="18415" b="13335"/>
                <wp:wrapNone/>
                <wp:docPr id="1330001120" name="Rectangle: Rounded Corners 1330001120"/>
                <wp:cNvGraphicFramePr/>
                <a:graphic xmlns:a="http://schemas.openxmlformats.org/drawingml/2006/main">
                  <a:graphicData uri="http://schemas.microsoft.com/office/word/2010/wordprocessingShape">
                    <wps:wsp>
                      <wps:cNvSpPr/>
                      <wps:spPr>
                        <a:xfrm>
                          <a:off x="0" y="0"/>
                          <a:ext cx="1734185" cy="882015"/>
                        </a:xfrm>
                        <a:prstGeom prst="roundRect">
                          <a:avLst>
                            <a:gd name="adj" fmla="val 10000"/>
                          </a:avLst>
                        </a:prstGeom>
                        <a:solidFill>
                          <a:srgbClr val="786CA4"/>
                        </a:solidFill>
                        <a:ln w="12700" cap="flat" cmpd="sng" algn="ctr">
                          <a:solidFill>
                            <a:sysClr val="window" lastClr="FFFFFF">
                              <a:hueOff val="0"/>
                              <a:satOff val="0"/>
                              <a:lumOff val="0"/>
                              <a:alphaOff val="0"/>
                            </a:sysClr>
                          </a:solidFill>
                          <a:prstDash val="solid"/>
                          <a:miter lim="800000"/>
                        </a:ln>
                        <a:effectLst/>
                      </wps:spPr>
                      <wps:txbx>
                        <w:txbxContent>
                          <w:p w14:paraId="4E6A5667" w14:textId="77777777" w:rsidR="002B2BFA" w:rsidRPr="00CB16F6" w:rsidRDefault="002B2BFA" w:rsidP="002B2BFA">
                            <w:pPr>
                              <w:spacing w:after="109" w:line="273" w:lineRule="auto"/>
                              <w:jc w:val="center"/>
                              <w:textAlignment w:val="baseline"/>
                              <w:rPr>
                                <w:rFonts w:ascii="Arial" w:hAnsi="Arial"/>
                                <w:b/>
                                <w:bCs/>
                                <w:color w:val="FFFFFF"/>
                                <w:kern w:val="24"/>
                              </w:rPr>
                            </w:pPr>
                            <w:r w:rsidRPr="00CB16F6">
                              <w:rPr>
                                <w:rFonts w:ascii="Arial" w:hAnsi="Arial"/>
                                <w:b/>
                                <w:bCs/>
                                <w:color w:val="FFFFFF"/>
                                <w:kern w:val="24"/>
                              </w:rPr>
                              <w:t>Asset extent</w:t>
                            </w:r>
                          </w:p>
                          <w:p w14:paraId="60819DBC" w14:textId="77777777" w:rsidR="002B2BFA" w:rsidRPr="00CB16F6" w:rsidRDefault="002B2BFA" w:rsidP="002B2BFA">
                            <w:pPr>
                              <w:spacing w:after="109" w:line="273" w:lineRule="auto"/>
                              <w:jc w:val="center"/>
                              <w:textAlignment w:val="baseline"/>
                              <w:rPr>
                                <w:rFonts w:ascii="Arial" w:hAnsi="Arial"/>
                                <w:color w:val="FFFFFF"/>
                                <w:kern w:val="24"/>
                              </w:rPr>
                            </w:pPr>
                            <w:r w:rsidRPr="00CB16F6">
                              <w:rPr>
                                <w:rFonts w:ascii="Arial" w:hAnsi="Arial"/>
                                <w:color w:val="FFFFFF"/>
                                <w:kern w:val="24"/>
                              </w:rPr>
                              <w:t>Measure spatial extent of ecosystem assets</w:t>
                            </w:r>
                          </w:p>
                          <w:p w14:paraId="25740708" w14:textId="77777777" w:rsidR="002B2BFA" w:rsidRDefault="002B2BFA" w:rsidP="002B2BFA">
                            <w:pPr>
                              <w:jc w:val="center"/>
                            </w:pPr>
                          </w:p>
                        </w:txbxContent>
                      </wps:txbx>
                      <wps:bodyPr/>
                    </wps:wsp>
                  </a:graphicData>
                </a:graphic>
              </wp:anchor>
            </w:drawing>
          </mc:Choice>
          <mc:Fallback>
            <w:pict>
              <v:roundrect w14:anchorId="22EE646F" id="Rectangle: Rounded Corners 1330001120" o:spid="_x0000_s1037" style="position:absolute;margin-left:7.5pt;margin-top:10.7pt;width:136.55pt;height:69.45pt;z-index:251658271;visibility:visible;mso-wrap-style:square;mso-wrap-distance-left:9pt;mso-wrap-distance-top:0;mso-wrap-distance-right:9pt;mso-wrap-distance-bottom:0;mso-position-horizontal:absolute;mso-position-horizontal-relative:text;mso-position-vertical:absolute;mso-position-vertical-relative:text;v-text-anchor:top" arcsize="655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" fillcolor="#786ca4" strokecolor="white" strokeweight="1pt">
                <v:stroke joinstyle="miter"/>
                <v:textbox>
                  <w:txbxContent>
                    <w:p w14:paraId="4E6A5667" w14:textId="77777777" w:rsidR="002B2BFA" w:rsidRPr="00CB16F6" w:rsidRDefault="002B2BFA" w:rsidP="002B2BFA">
                      <w:pPr>
                        <w:spacing w:after="109" w:line="273" w:lineRule="auto"/>
                        <w:jc w:val="center"/>
                        <w:textAlignment w:val="baseline"/>
                        <w:rPr>
                          <w:rFonts w:ascii="Arial" w:hAnsi="Arial"/>
                          <w:b/>
                          <w:bCs/>
                          <w:color w:val="FFFFFF"/>
                          <w:kern w:val="24"/>
                        </w:rPr>
                      </w:pPr>
                      <w:r w:rsidRPr="00CB16F6">
                        <w:rPr>
                          <w:rFonts w:ascii="Arial" w:hAnsi="Arial"/>
                          <w:b/>
                          <w:bCs/>
                          <w:color w:val="FFFFFF"/>
                          <w:kern w:val="24"/>
                        </w:rPr>
                        <w:t>Asset extent</w:t>
                      </w:r>
                    </w:p>
                    <w:p w14:paraId="60819DBC" w14:textId="77777777" w:rsidR="002B2BFA" w:rsidRPr="00CB16F6" w:rsidRDefault="002B2BFA" w:rsidP="002B2BFA">
                      <w:pPr>
                        <w:spacing w:after="109" w:line="273" w:lineRule="auto"/>
                        <w:jc w:val="center"/>
                        <w:textAlignment w:val="baseline"/>
                        <w:rPr>
                          <w:rFonts w:ascii="Arial" w:hAnsi="Arial"/>
                          <w:color w:val="FFFFFF"/>
                          <w:kern w:val="24"/>
                        </w:rPr>
                      </w:pPr>
                      <w:r w:rsidRPr="00CB16F6">
                        <w:rPr>
                          <w:rFonts w:ascii="Arial" w:hAnsi="Arial"/>
                          <w:color w:val="FFFFFF"/>
                          <w:kern w:val="24"/>
                        </w:rPr>
                        <w:t>Measure spatial extent of ecosystem assets</w:t>
                      </w:r>
                    </w:p>
                    <w:p w14:paraId="25740708" w14:textId="77777777" w:rsidR="002B2BFA" w:rsidRDefault="002B2BFA" w:rsidP="002B2BFA">
                      <w:pPr>
                        <w:jc w:val="center"/>
                      </w:pPr>
                    </w:p>
                  </w:txbxContent>
                </v:textbox>
              </v:roundrect>
            </w:pict>
          </mc:Fallback>
        </mc:AlternateContent>
      </w:r>
      <w:r w:rsidR="00B21991" w:rsidRPr="00FB15DB">
        <w:rPr>
          <w:rFonts w:eastAsia="Calibri"/>
          <w:noProof/>
        </w:rPr>
        <mc:AlternateContent>
          <mc:Choice Requires="wps">
            <w:drawing>
              <wp:anchor distT="0" distB="0" distL="114300" distR="114300" simplePos="0" relativeHeight="251658287" behindDoc="0" locked="0" layoutInCell="1" allowOverlap="1" wp14:anchorId="3369F226" wp14:editId="1054313D">
                <wp:simplePos x="0" y="0"/>
                <wp:positionH relativeFrom="column">
                  <wp:posOffset>13743940</wp:posOffset>
                </wp:positionH>
                <wp:positionV relativeFrom="paragraph">
                  <wp:posOffset>8890</wp:posOffset>
                </wp:positionV>
                <wp:extent cx="5611" cy="6762307"/>
                <wp:effectExtent l="0" t="0" r="33020" b="19685"/>
                <wp:wrapNone/>
                <wp:docPr id="1330001123" name="Straight Connector 1330001123"/>
                <wp:cNvGraphicFramePr/>
                <a:graphic xmlns:a="http://schemas.openxmlformats.org/drawingml/2006/main">
                  <a:graphicData uri="http://schemas.microsoft.com/office/word/2010/wordprocessingShape">
                    <wps:wsp>
                      <wps:cNvCnPr/>
                      <wps:spPr>
                        <a:xfrm flipH="1">
                          <a:off x="0" y="0"/>
                          <a:ext cx="5611" cy="6762307"/>
                        </a:xfrm>
                        <a:prstGeom prst="line">
                          <a:avLst/>
                        </a:prstGeom>
                        <a:noFill/>
                        <a:ln w="6350" cap="flat" cmpd="sng" algn="ctr">
                          <a:solidFill>
                            <a:sysClr val="window" lastClr="FFFFFF">
                              <a:lumMod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8D75BE0" id="Straight Connector 1330001123" o:spid="_x0000_s1026" style="position:absolute;flip:x;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2.2pt,.7pt" to="1082.65pt,53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" strokecolor="#7f7f7f" strokeweight=".5pt">
                <v:stroke joinstyle="miter"/>
              </v:line>
            </w:pict>
          </mc:Fallback>
        </mc:AlternateContent>
      </w:r>
    </w:p>
    <w:p w14:paraId="151A1189" w14:textId="77777777" w:rsidR="00B21991" w:rsidRPr="00FB15DB" w:rsidRDefault="00B21991" w:rsidP="00B21991">
      <w:pPr>
        <w:pStyle w:val="BodyText"/>
        <w:rPr>
          <w:rFonts w:eastAsia="Calibri"/>
        </w:rPr>
      </w:pPr>
    </w:p>
    <w:p w14:paraId="241F67A6" w14:textId="6F7BA964" w:rsidR="00B21991" w:rsidRPr="00FB15DB" w:rsidRDefault="00B21991" w:rsidP="00B21991">
      <w:pPr>
        <w:pStyle w:val="BodyText"/>
        <w:rPr>
          <w:rFonts w:eastAsia="Calibri"/>
        </w:rPr>
      </w:pPr>
    </w:p>
    <w:p w14:paraId="63D80B97" w14:textId="4E24D484" w:rsidR="00B21991" w:rsidRPr="00FB15DB" w:rsidRDefault="00B21991" w:rsidP="00B21991">
      <w:pPr>
        <w:pStyle w:val="BodyText"/>
        <w:rPr>
          <w:rFonts w:eastAsia="Calibri"/>
        </w:rPr>
      </w:pPr>
    </w:p>
    <w:p w14:paraId="72419A36" w14:textId="008DE7A5" w:rsidR="00B21991" w:rsidRPr="00FB15DB" w:rsidRDefault="00B21991" w:rsidP="00B21991">
      <w:pPr>
        <w:pStyle w:val="BodyText"/>
        <w:rPr>
          <w:rFonts w:eastAsia="Calibri"/>
        </w:rPr>
      </w:pPr>
    </w:p>
    <w:p w14:paraId="59C5FB35" w14:textId="12F7931F" w:rsidR="00B21991" w:rsidRPr="00FB15DB" w:rsidRDefault="00B21991" w:rsidP="00B21991">
      <w:pPr>
        <w:pStyle w:val="BodyText"/>
        <w:rPr>
          <w:rFonts w:eastAsia="Calibri"/>
        </w:rPr>
      </w:pPr>
    </w:p>
    <w:p w14:paraId="1B43082F" w14:textId="060C8628" w:rsidR="00B21991" w:rsidRPr="00FB15DB" w:rsidRDefault="00B21991" w:rsidP="00B21991">
      <w:pPr>
        <w:pStyle w:val="BodyText"/>
        <w:rPr>
          <w:rFonts w:eastAsia="Calibri"/>
        </w:rPr>
      </w:pPr>
    </w:p>
    <w:p w14:paraId="759DA413" w14:textId="0D2924C9" w:rsidR="00B21991" w:rsidRPr="00FB15DB" w:rsidRDefault="00B21991" w:rsidP="00B21991">
      <w:pPr>
        <w:pStyle w:val="BodyText"/>
        <w:rPr>
          <w:rFonts w:eastAsia="Calibri"/>
        </w:rPr>
      </w:pPr>
    </w:p>
    <w:p w14:paraId="3BAC652A" w14:textId="58783F8E" w:rsidR="00B21991" w:rsidRPr="00FB15DB" w:rsidRDefault="00B21991" w:rsidP="00B21991">
      <w:pPr>
        <w:pStyle w:val="BodyText"/>
        <w:rPr>
          <w:rFonts w:eastAsia="Calibri"/>
        </w:rPr>
      </w:pPr>
    </w:p>
    <w:p w14:paraId="5FB1C443" w14:textId="1412E6BC" w:rsidR="00B21991" w:rsidRPr="00FB15DB" w:rsidRDefault="007348BD" w:rsidP="00B21991">
      <w:pPr>
        <w:pStyle w:val="BodyText"/>
        <w:rPr>
          <w:rFonts w:eastAsia="Calibri"/>
        </w:rPr>
      </w:pPr>
      <w:r>
        <w:rPr>
          <w:rFonts w:eastAsia="Calibri"/>
          <w:noProof/>
        </w:rPr>
        <mc:AlternateContent>
          <mc:Choice Requires="wps">
            <w:drawing>
              <wp:anchor distT="0" distB="0" distL="114300" distR="114300" simplePos="0" relativeHeight="251658272" behindDoc="0" locked="0" layoutInCell="1" allowOverlap="1" wp14:anchorId="2A9A2980" wp14:editId="244F9BEB">
                <wp:simplePos x="0" y="0"/>
                <wp:positionH relativeFrom="column">
                  <wp:posOffset>-376555</wp:posOffset>
                </wp:positionH>
                <wp:positionV relativeFrom="paragraph">
                  <wp:posOffset>215900</wp:posOffset>
                </wp:positionV>
                <wp:extent cx="2602550" cy="160020"/>
                <wp:effectExtent l="1905" t="17145" r="9525" b="9525"/>
                <wp:wrapNone/>
                <wp:docPr id="1330001126" name="Text Box 1330001126"/>
                <wp:cNvGraphicFramePr/>
                <a:graphic xmlns:a="http://schemas.openxmlformats.org/drawingml/2006/main">
                  <a:graphicData uri="http://schemas.microsoft.com/office/word/2010/wordprocessingShape">
                    <wps:wsp>
                      <wps:cNvSpPr txBox="1"/>
                      <wps:spPr>
                        <a:xfrm rot="5400000">
                          <a:off x="0" y="0"/>
                          <a:ext cx="2602550" cy="160020"/>
                        </a:xfrm>
                        <a:prstGeom prst="rect">
                          <a:avLst/>
                        </a:prstGeom>
                        <a:noFill/>
                        <a:ln>
                          <a:noFill/>
                        </a:ln>
                        <a:effectLst/>
                      </wps:spPr>
                      <wps:bodyPr spcFirstLastPara="0" vert="horz" wrap="square" lIns="0" tIns="0" rIns="0" bIns="0" numCol="1" spcCol="1270" anchor="ctr" anchorCtr="0">
                        <a:noAutofit/>
                      </wps:bodyPr>
                    </wps:wsp>
                  </a:graphicData>
                </a:graphic>
              </wp:anchor>
            </w:drawing>
          </mc:Choice>
          <mc:Fallback>
            <w:pict>
              <v:shape w14:anchorId="4E1358E7" id="Text Box 1330001126" o:spid="_x0000_s1026" type="#_x0000_t202" style="position:absolute;margin-left:-29.65pt;margin-top:17pt;width:204.95pt;height:12.6pt;rotation:90;z-index:251658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" filled="f" stroked="f">
                <v:textbox inset="0,0,0,0"/>
              </v:shape>
            </w:pict>
          </mc:Fallback>
        </mc:AlternateContent>
      </w:r>
    </w:p>
    <w:p w14:paraId="41C32D89" w14:textId="44C8EE33" w:rsidR="00B21991" w:rsidRPr="00FB15DB" w:rsidRDefault="007348BD" w:rsidP="00B21991">
      <w:pPr>
        <w:pStyle w:val="BodyText"/>
        <w:rPr>
          <w:rFonts w:eastAsia="Calibri"/>
        </w:rPr>
      </w:pPr>
      <w:r>
        <w:rPr>
          <w:rFonts w:eastAsia="Calibri"/>
          <w:noProof/>
        </w:rPr>
        <mc:AlternateContent>
          <mc:Choice Requires="wps">
            <w:drawing>
              <wp:anchor distT="0" distB="0" distL="114300" distR="114300" simplePos="0" relativeHeight="251658299" behindDoc="0" locked="0" layoutInCell="1" allowOverlap="1" wp14:anchorId="3FED5661" wp14:editId="4729526A">
                <wp:simplePos x="0" y="0"/>
                <wp:positionH relativeFrom="column">
                  <wp:posOffset>302264</wp:posOffset>
                </wp:positionH>
                <wp:positionV relativeFrom="paragraph">
                  <wp:posOffset>107692</wp:posOffset>
                </wp:positionV>
                <wp:extent cx="2602550" cy="160020"/>
                <wp:effectExtent l="1905" t="17145" r="9525" b="9525"/>
                <wp:wrapNone/>
                <wp:docPr id="56" name="Text Box 56"/>
                <wp:cNvGraphicFramePr/>
                <a:graphic xmlns:a="http://schemas.openxmlformats.org/drawingml/2006/main">
                  <a:graphicData uri="http://schemas.microsoft.com/office/word/2010/wordprocessingShape">
                    <wps:wsp>
                      <wps:cNvSpPr txBox="1"/>
                      <wps:spPr>
                        <a:xfrm rot="5400000">
                          <a:off x="0" y="0"/>
                          <a:ext cx="2602550" cy="160020"/>
                        </a:xfrm>
                        <a:prstGeom prst="rect">
                          <a:avLst/>
                        </a:prstGeom>
                        <a:noFill/>
                        <a:ln>
                          <a:noFill/>
                        </a:ln>
                        <a:effectLst/>
                      </wps:spPr>
                      <wps:bodyPr spcFirstLastPara="0" vert="horz" wrap="square" lIns="0" tIns="0" rIns="0" bIns="0" numCol="1" spcCol="1270" anchor="ctr" anchorCtr="0">
                        <a:noAutofit/>
                      </wps:bodyPr>
                    </wps:wsp>
                  </a:graphicData>
                </a:graphic>
              </wp:anchor>
            </w:drawing>
          </mc:Choice>
          <mc:Fallback>
            <w:pict>
              <v:shape w14:anchorId="775EF30C" id="Text Box 56" o:spid="_x0000_s1026" type="#_x0000_t202" style="position:absolute;margin-left:23.8pt;margin-top:8.5pt;width:204.95pt;height:12.6pt;rotation:90;z-index:25165829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" filled="f" stroked="f">
                <v:textbox inset="0,0,0,0"/>
              </v:shape>
            </w:pict>
          </mc:Fallback>
        </mc:AlternateContent>
      </w:r>
    </w:p>
    <w:p w14:paraId="77B6A986" w14:textId="1C9AFC19" w:rsidR="00B21991" w:rsidRPr="00FB15DB" w:rsidRDefault="007348BD" w:rsidP="00B21991">
      <w:pPr>
        <w:pStyle w:val="BodyText"/>
        <w:rPr>
          <w:rFonts w:eastAsia="Calibri"/>
        </w:rPr>
      </w:pPr>
      <w:r>
        <w:rPr>
          <w:rFonts w:eastAsia="Calibri"/>
          <w:noProof/>
        </w:rPr>
        <mc:AlternateContent>
          <mc:Choice Requires="wps">
            <w:drawing>
              <wp:anchor distT="0" distB="0" distL="114300" distR="114300" simplePos="0" relativeHeight="251658273" behindDoc="0" locked="0" layoutInCell="1" allowOverlap="1" wp14:anchorId="065547A3" wp14:editId="1D1D57E5">
                <wp:simplePos x="0" y="0"/>
                <wp:positionH relativeFrom="column">
                  <wp:posOffset>-898208</wp:posOffset>
                </wp:positionH>
                <wp:positionV relativeFrom="paragraph">
                  <wp:posOffset>281623</wp:posOffset>
                </wp:positionV>
                <wp:extent cx="3717925" cy="266700"/>
                <wp:effectExtent l="0" t="7937" r="7937" b="7938"/>
                <wp:wrapNone/>
                <wp:docPr id="1330001125" name="Arrow: Right 1330001125"/>
                <wp:cNvGraphicFramePr/>
                <a:graphic xmlns:a="http://schemas.openxmlformats.org/drawingml/2006/main">
                  <a:graphicData uri="http://schemas.microsoft.com/office/word/2010/wordprocessingShape">
                    <wps:wsp>
                      <wps:cNvSpPr/>
                      <wps:spPr>
                        <a:xfrm rot="5400000">
                          <a:off x="0" y="0"/>
                          <a:ext cx="3717925" cy="266700"/>
                        </a:xfrm>
                        <a:prstGeom prst="rightArrow">
                          <a:avLst>
                            <a:gd name="adj1" fmla="val 60000"/>
                            <a:gd name="adj2" fmla="val 50000"/>
                          </a:avLst>
                        </a:prstGeom>
                        <a:solidFill>
                          <a:sysClr val="window" lastClr="FFFFFF">
                            <a:lumMod val="65000"/>
                          </a:sysClr>
                        </a:solidFill>
                        <a:ln>
                          <a:noFill/>
                        </a:ln>
                        <a:effectLst/>
                      </wps:spPr>
                      <wps:bodyPr/>
                    </wps:wsp>
                  </a:graphicData>
                </a:graphic>
              </wp:anchor>
            </w:drawing>
          </mc:Choice>
          <mc:Fallback>
            <w:pict>
              <v:shapetype w14:anchorId="438751A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330001125" o:spid="_x0000_s1026" type="#_x0000_t13" style="position:absolute;margin-left:-70.75pt;margin-top:22.2pt;width:292.75pt;height:21pt;rotation:90;z-index:25165827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" adj="20825,4320" fillcolor="#a6a6a6" stroked="f"/>
            </w:pict>
          </mc:Fallback>
        </mc:AlternateContent>
      </w:r>
    </w:p>
    <w:p w14:paraId="359261D5" w14:textId="18552998" w:rsidR="00B21991" w:rsidRPr="00FB15DB" w:rsidRDefault="00B21991" w:rsidP="00B21991">
      <w:pPr>
        <w:pStyle w:val="BodyText"/>
        <w:rPr>
          <w:rFonts w:eastAsia="Calibri"/>
        </w:rPr>
      </w:pPr>
    </w:p>
    <w:p w14:paraId="4BBFEE70" w14:textId="29835A77" w:rsidR="00B21991" w:rsidRPr="00FB15DB" w:rsidRDefault="004D5561" w:rsidP="00B21991">
      <w:pPr>
        <w:pStyle w:val="BodyText"/>
        <w:rPr>
          <w:rFonts w:eastAsia="Calibri"/>
        </w:rPr>
      </w:pPr>
      <w:r w:rsidRPr="00FB15DB">
        <w:rPr>
          <w:rFonts w:eastAsia="Calibri"/>
          <w:noProof/>
        </w:rPr>
        <w:drawing>
          <wp:anchor distT="0" distB="0" distL="114300" distR="114300" simplePos="0" relativeHeight="251658297" behindDoc="0" locked="0" layoutInCell="1" allowOverlap="1" wp14:anchorId="5EEFC4C0" wp14:editId="2334E6BD">
            <wp:simplePos x="0" y="0"/>
            <wp:positionH relativeFrom="page">
              <wp:posOffset>2507071</wp:posOffset>
            </wp:positionH>
            <wp:positionV relativeFrom="page">
              <wp:posOffset>5876290</wp:posOffset>
            </wp:positionV>
            <wp:extent cx="7760970" cy="3999230"/>
            <wp:effectExtent l="0" t="0" r="0" b="1270"/>
            <wp:wrapSquare wrapText="bothSides"/>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7760970" cy="3999230"/>
                    </a:xfrm>
                    <a:prstGeom prst="rect">
                      <a:avLst/>
                    </a:prstGeom>
                    <a:noFill/>
                  </pic:spPr>
                </pic:pic>
              </a:graphicData>
            </a:graphic>
            <wp14:sizeRelH relativeFrom="page">
              <wp14:pctWidth>0</wp14:pctWidth>
            </wp14:sizeRelH>
            <wp14:sizeRelV relativeFrom="page">
              <wp14:pctHeight>0</wp14:pctHeight>
            </wp14:sizeRelV>
          </wp:anchor>
        </w:drawing>
      </w:r>
      <w:r w:rsidR="00F0293C" w:rsidRPr="00FB15DB">
        <w:rPr>
          <w:rFonts w:eastAsia="Calibri"/>
          <w:noProof/>
        </w:rPr>
        <mc:AlternateContent>
          <mc:Choice Requires="wps">
            <w:drawing>
              <wp:anchor distT="0" distB="0" distL="114300" distR="114300" simplePos="0" relativeHeight="251658288" behindDoc="0" locked="0" layoutInCell="1" allowOverlap="1" wp14:anchorId="73EA75D5" wp14:editId="08F1AB9C">
                <wp:simplePos x="0" y="0"/>
                <wp:positionH relativeFrom="column">
                  <wp:posOffset>12997815</wp:posOffset>
                </wp:positionH>
                <wp:positionV relativeFrom="paragraph">
                  <wp:posOffset>1227788</wp:posOffset>
                </wp:positionV>
                <wp:extent cx="749300" cy="6350"/>
                <wp:effectExtent l="0" t="0" r="31750" b="31750"/>
                <wp:wrapNone/>
                <wp:docPr id="756" name="Straight Connector 756"/>
                <wp:cNvGraphicFramePr/>
                <a:graphic xmlns:a="http://schemas.openxmlformats.org/drawingml/2006/main">
                  <a:graphicData uri="http://schemas.microsoft.com/office/word/2010/wordprocessingShape">
                    <wps:wsp>
                      <wps:cNvCnPr/>
                      <wps:spPr>
                        <a:xfrm flipV="1">
                          <a:off x="0" y="0"/>
                          <a:ext cx="749300" cy="6350"/>
                        </a:xfrm>
                        <a:prstGeom prst="line">
                          <a:avLst/>
                        </a:prstGeom>
                        <a:noFill/>
                        <a:ln w="6350" cap="flat" cmpd="sng" algn="ctr">
                          <a:solidFill>
                            <a:sysClr val="window" lastClr="FFFFFF">
                              <a:lumMod val="65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70B73EB" id="Straight Connector 756" o:spid="_x0000_s1026" style="position:absolute;flip:y;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23.45pt,96.7pt" to="1082.45pt,9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" strokecolor="#a6a6a6" strokeweight=".5pt">
                <v:stroke joinstyle="miter"/>
              </v:line>
            </w:pict>
          </mc:Fallback>
        </mc:AlternateContent>
      </w:r>
      <w:r w:rsidR="007348BD" w:rsidRPr="00FB15DB">
        <w:rPr>
          <w:rFonts w:eastAsia="Calibri"/>
          <w:noProof/>
        </w:rPr>
        <mc:AlternateContent>
          <mc:Choice Requires="wps">
            <w:drawing>
              <wp:anchor distT="0" distB="0" distL="114300" distR="114300" simplePos="0" relativeHeight="251658281" behindDoc="0" locked="0" layoutInCell="1" allowOverlap="1" wp14:anchorId="48EA47DE" wp14:editId="733032D3">
                <wp:simplePos x="0" y="0"/>
                <wp:positionH relativeFrom="column">
                  <wp:posOffset>880110</wp:posOffset>
                </wp:positionH>
                <wp:positionV relativeFrom="paragraph">
                  <wp:posOffset>2778760</wp:posOffset>
                </wp:positionV>
                <wp:extent cx="155546" cy="1224000"/>
                <wp:effectExtent l="0" t="0" r="0" b="0"/>
                <wp:wrapNone/>
                <wp:docPr id="1330001131" name="Rectangle 1330001131"/>
                <wp:cNvGraphicFramePr/>
                <a:graphic xmlns:a="http://schemas.openxmlformats.org/drawingml/2006/main">
                  <a:graphicData uri="http://schemas.microsoft.com/office/word/2010/wordprocessingShape">
                    <wps:wsp>
                      <wps:cNvSpPr/>
                      <wps:spPr>
                        <a:xfrm>
                          <a:off x="0" y="0"/>
                          <a:ext cx="155546" cy="1224000"/>
                        </a:xfrm>
                        <a:prstGeom prst="rect">
                          <a:avLst/>
                        </a:prstGeom>
                        <a:solidFill>
                          <a:sysClr val="window" lastClr="FFFFFF">
                            <a:lumMod val="65000"/>
                          </a:sysClr>
                        </a:solidFill>
                        <a:ln w="12700" cap="flat" cmpd="sng" algn="ctr">
                          <a:noFill/>
                          <a:prstDash val="solid"/>
                          <a:miter lim="800000"/>
                        </a:ln>
                        <a:effectLst/>
                      </wps:spPr>
                      <wps:txbx>
                        <w:txbxContent>
                          <w:p w14:paraId="4043A219" w14:textId="29F14898" w:rsidR="00341974" w:rsidRDefault="00341974" w:rsidP="00341974">
                            <w:pPr>
                              <w:jc w:val="center"/>
                            </w:pPr>
                            <w:r>
                              <w:softHyphen/>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EA47DE" id="Rectangle 1330001131" o:spid="_x0000_s1038" style="position:absolute;margin-left:69.3pt;margin-top:218.8pt;width:12.25pt;height:96.4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" fillcolor="#a6a6a6" stroked="f" strokeweight="1pt">
                <v:textbox>
                  <w:txbxContent>
                    <w:p w14:paraId="4043A219" w14:textId="29F14898" w:rsidR="00341974" w:rsidRDefault="00341974" w:rsidP="00341974">
                      <w:pPr>
                        <w:jc w:val="center"/>
                      </w:pPr>
                      <w:r>
                        <w:softHyphen/>
                      </w:r>
                    </w:p>
                  </w:txbxContent>
                </v:textbox>
              </v:rect>
            </w:pict>
          </mc:Fallback>
        </mc:AlternateContent>
      </w:r>
      <w:r w:rsidR="002B2BFA">
        <w:rPr>
          <w:rFonts w:eastAsia="Calibri"/>
          <w:noProof/>
        </w:rPr>
        <mc:AlternateContent>
          <mc:Choice Requires="wps">
            <w:drawing>
              <wp:anchor distT="0" distB="0" distL="114300" distR="114300" simplePos="0" relativeHeight="251658298" behindDoc="0" locked="0" layoutInCell="1" allowOverlap="1" wp14:anchorId="6C6C3B00" wp14:editId="6A75E043">
                <wp:simplePos x="0" y="0"/>
                <wp:positionH relativeFrom="column">
                  <wp:posOffset>95250</wp:posOffset>
                </wp:positionH>
                <wp:positionV relativeFrom="paragraph">
                  <wp:posOffset>1873885</wp:posOffset>
                </wp:positionV>
                <wp:extent cx="1734185" cy="882015"/>
                <wp:effectExtent l="0" t="0" r="18415" b="13335"/>
                <wp:wrapNone/>
                <wp:docPr id="53" name="Rectangle: Rounded Corners 53"/>
                <wp:cNvGraphicFramePr/>
                <a:graphic xmlns:a="http://schemas.openxmlformats.org/drawingml/2006/main">
                  <a:graphicData uri="http://schemas.microsoft.com/office/word/2010/wordprocessingShape">
                    <wps:wsp>
                      <wps:cNvSpPr/>
                      <wps:spPr>
                        <a:xfrm>
                          <a:off x="0" y="0"/>
                          <a:ext cx="1734185" cy="882015"/>
                        </a:xfrm>
                        <a:prstGeom prst="roundRect">
                          <a:avLst>
                            <a:gd name="adj" fmla="val 10000"/>
                          </a:avLst>
                        </a:prstGeom>
                        <a:solidFill>
                          <a:srgbClr val="786CA4"/>
                        </a:solidFill>
                        <a:ln w="12700" cap="flat" cmpd="sng" algn="ctr">
                          <a:solidFill>
                            <a:sysClr val="window" lastClr="FFFFFF">
                              <a:hueOff val="0"/>
                              <a:satOff val="0"/>
                              <a:lumOff val="0"/>
                              <a:alphaOff val="0"/>
                            </a:sysClr>
                          </a:solidFill>
                          <a:prstDash val="solid"/>
                          <a:miter lim="800000"/>
                        </a:ln>
                        <a:effectLst/>
                      </wps:spPr>
                      <wps:txbx>
                        <w:txbxContent>
                          <w:p w14:paraId="4A219A04" w14:textId="77777777" w:rsidR="007348BD" w:rsidRPr="00CB16F6" w:rsidRDefault="007348BD" w:rsidP="007348BD">
                            <w:pPr>
                              <w:spacing w:after="109" w:line="273" w:lineRule="auto"/>
                              <w:jc w:val="center"/>
                              <w:textAlignment w:val="baseline"/>
                              <w:rPr>
                                <w:rFonts w:ascii="Arial" w:hAnsi="Arial"/>
                                <w:b/>
                                <w:bCs/>
                                <w:color w:val="FFFFFF"/>
                                <w:kern w:val="24"/>
                              </w:rPr>
                            </w:pPr>
                            <w:r w:rsidRPr="00CB16F6">
                              <w:rPr>
                                <w:rFonts w:ascii="Arial" w:hAnsi="Arial"/>
                                <w:b/>
                                <w:bCs/>
                                <w:color w:val="FFFFFF"/>
                                <w:kern w:val="24"/>
                              </w:rPr>
                              <w:t>Asset condition</w:t>
                            </w:r>
                          </w:p>
                          <w:p w14:paraId="4D74E069" w14:textId="47BD73AC" w:rsidR="002B2BFA" w:rsidRPr="007348BD" w:rsidRDefault="007348BD" w:rsidP="007348BD">
                            <w:pPr>
                              <w:spacing w:after="109" w:line="273" w:lineRule="auto"/>
                              <w:jc w:val="center"/>
                              <w:textAlignment w:val="baseline"/>
                              <w:rPr>
                                <w:rFonts w:ascii="Arial" w:hAnsi="Arial"/>
                                <w:color w:val="FFFFFF"/>
                                <w:kern w:val="24"/>
                              </w:rPr>
                            </w:pPr>
                            <w:r w:rsidRPr="00CB16F6">
                              <w:rPr>
                                <w:rFonts w:ascii="Arial" w:hAnsi="Arial"/>
                                <w:color w:val="FFFFFF"/>
                                <w:kern w:val="24"/>
                              </w:rPr>
                              <w:t>Measure health of ecosystem assets</w:t>
                            </w:r>
                          </w:p>
                        </w:txbxContent>
                      </wps:txbx>
                      <wps:bodyPr/>
                    </wps:wsp>
                  </a:graphicData>
                </a:graphic>
              </wp:anchor>
            </w:drawing>
          </mc:Choice>
          <mc:Fallback>
            <w:pict>
              <v:roundrect w14:anchorId="6C6C3B00" id="Rectangle: Rounded Corners 53" o:spid="_x0000_s1039" style="position:absolute;margin-left:7.5pt;margin-top:147.55pt;width:136.55pt;height:69.45pt;z-index:251658298;visibility:visible;mso-wrap-style:square;mso-wrap-distance-left:9pt;mso-wrap-distance-top:0;mso-wrap-distance-right:9pt;mso-wrap-distance-bottom:0;mso-position-horizontal:absolute;mso-position-horizontal-relative:text;mso-position-vertical:absolute;mso-position-vertical-relative:text;v-text-anchor:top" arcsize="655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" fillcolor="#786ca4" strokecolor="white" strokeweight="1pt">
                <v:stroke joinstyle="miter"/>
                <v:textbox>
                  <w:txbxContent>
                    <w:p w14:paraId="4A219A04" w14:textId="77777777" w:rsidR="007348BD" w:rsidRPr="00CB16F6" w:rsidRDefault="007348BD" w:rsidP="007348BD">
                      <w:pPr>
                        <w:spacing w:after="109" w:line="273" w:lineRule="auto"/>
                        <w:jc w:val="center"/>
                        <w:textAlignment w:val="baseline"/>
                        <w:rPr>
                          <w:rFonts w:ascii="Arial" w:hAnsi="Arial"/>
                          <w:b/>
                          <w:bCs/>
                          <w:color w:val="FFFFFF"/>
                          <w:kern w:val="24"/>
                        </w:rPr>
                      </w:pPr>
                      <w:r w:rsidRPr="00CB16F6">
                        <w:rPr>
                          <w:rFonts w:ascii="Arial" w:hAnsi="Arial"/>
                          <w:b/>
                          <w:bCs/>
                          <w:color w:val="FFFFFF"/>
                          <w:kern w:val="24"/>
                        </w:rPr>
                        <w:t>Asset condition</w:t>
                      </w:r>
                    </w:p>
                    <w:p w14:paraId="4D74E069" w14:textId="47BD73AC" w:rsidR="002B2BFA" w:rsidRPr="007348BD" w:rsidRDefault="007348BD" w:rsidP="007348BD">
                      <w:pPr>
                        <w:spacing w:after="109" w:line="273" w:lineRule="auto"/>
                        <w:jc w:val="center"/>
                        <w:textAlignment w:val="baseline"/>
                        <w:rPr>
                          <w:rFonts w:ascii="Arial" w:hAnsi="Arial"/>
                          <w:color w:val="FFFFFF"/>
                          <w:kern w:val="24"/>
                        </w:rPr>
                      </w:pPr>
                      <w:r w:rsidRPr="00CB16F6">
                        <w:rPr>
                          <w:rFonts w:ascii="Arial" w:hAnsi="Arial"/>
                          <w:color w:val="FFFFFF"/>
                          <w:kern w:val="24"/>
                        </w:rPr>
                        <w:t>Measure health of ecosystem assets</w:t>
                      </w:r>
                    </w:p>
                  </w:txbxContent>
                </v:textbox>
              </v:roundrect>
            </w:pict>
          </mc:Fallback>
        </mc:AlternateContent>
      </w:r>
      <w:r w:rsidR="002B2BFA" w:rsidRPr="00FB15DB">
        <w:rPr>
          <w:rFonts w:eastAsia="Calibri"/>
          <w:noProof/>
        </w:rPr>
        <mc:AlternateContent>
          <mc:Choice Requires="wps">
            <w:drawing>
              <wp:anchor distT="45720" distB="45720" distL="114300" distR="114300" simplePos="0" relativeHeight="251658301" behindDoc="0" locked="0" layoutInCell="1" allowOverlap="1" wp14:anchorId="41BB12F0" wp14:editId="4925A237">
                <wp:simplePos x="0" y="0"/>
                <wp:positionH relativeFrom="page">
                  <wp:posOffset>10591800</wp:posOffset>
                </wp:positionH>
                <wp:positionV relativeFrom="paragraph">
                  <wp:posOffset>150495</wp:posOffset>
                </wp:positionV>
                <wp:extent cx="3239770" cy="3086100"/>
                <wp:effectExtent l="0" t="0" r="17780" b="19050"/>
                <wp:wrapSquare wrapText="bothSides"/>
                <wp:docPr id="1330001127" name="Text Box 1330001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3086100"/>
                        </a:xfrm>
                        <a:prstGeom prst="rect">
                          <a:avLst/>
                        </a:prstGeom>
                        <a:solidFill>
                          <a:srgbClr val="0070C0">
                            <a:lumMod val="20000"/>
                            <a:lumOff val="80000"/>
                          </a:srgbClr>
                        </a:solidFill>
                        <a:ln w="9525">
                          <a:solidFill>
                            <a:srgbClr val="0070C0"/>
                          </a:solidFill>
                          <a:miter lim="800000"/>
                          <a:headEnd/>
                          <a:tailEnd/>
                        </a:ln>
                      </wps:spPr>
                      <wps:txbx>
                        <w:txbxContent>
                          <w:p w14:paraId="2BA85AB0" w14:textId="77777777" w:rsidR="00B21991" w:rsidRDefault="00B21991" w:rsidP="004A3AE5">
                            <w:pPr>
                              <w:pStyle w:val="ListBullet"/>
                            </w:pPr>
                            <w:r w:rsidRPr="003071B6">
                              <w:t>Evidence on the current condition of ecosystems</w:t>
                            </w:r>
                            <w:r>
                              <w:t xml:space="preserve"> across the region</w:t>
                            </w:r>
                          </w:p>
                          <w:p w14:paraId="02BD6041" w14:textId="77777777" w:rsidR="00B21991" w:rsidRDefault="00B21991" w:rsidP="004A3AE5">
                            <w:pPr>
                              <w:pStyle w:val="ListBullet"/>
                            </w:pPr>
                            <w:r>
                              <w:t xml:space="preserve">Capturing ecosystems’ intrinsic value  </w:t>
                            </w:r>
                          </w:p>
                          <w:p w14:paraId="5C06C29E" w14:textId="77777777" w:rsidR="00B21991" w:rsidRPr="00757FF3" w:rsidRDefault="00B21991" w:rsidP="004A3AE5">
                            <w:pPr>
                              <w:pStyle w:val="ListBullet"/>
                            </w:pPr>
                            <w:r w:rsidRPr="00757FF3">
                              <w:t>Identifying ecosystem restoration opportunities</w:t>
                            </w:r>
                          </w:p>
                          <w:p w14:paraId="610FA5C5" w14:textId="77777777" w:rsidR="00B21991" w:rsidRPr="00EE3064" w:rsidRDefault="00B21991" w:rsidP="004A3AE5">
                            <w:pPr>
                              <w:pStyle w:val="ListBullet"/>
                            </w:pPr>
                            <w:r w:rsidRPr="00EA31E1">
                              <w:rPr>
                                <w:i/>
                                <w:iCs/>
                              </w:rPr>
                              <w:t xml:space="preserve">Monitoring and reporting on management effectiveness </w:t>
                            </w:r>
                            <w:r>
                              <w:rPr>
                                <w:i/>
                                <w:iCs/>
                              </w:rPr>
                              <w:t>in meeting condition targets</w:t>
                            </w:r>
                          </w:p>
                          <w:p w14:paraId="21808E46" w14:textId="77777777" w:rsidR="00B21991" w:rsidRPr="002D0EA8" w:rsidRDefault="00B21991" w:rsidP="004A3AE5">
                            <w:pPr>
                              <w:pStyle w:val="ListBullet"/>
                              <w:rPr>
                                <w:i/>
                                <w:iCs/>
                              </w:rPr>
                            </w:pPr>
                            <w:r w:rsidRPr="002D0EA8">
                              <w:rPr>
                                <w:i/>
                                <w:iCs/>
                              </w:rPr>
                              <w:t>Understanding how sustainable our use of the regions’ ecosystems is</w:t>
                            </w:r>
                            <w:r w:rsidRPr="002D0EA8">
                              <w:t xml:space="preserve"> </w:t>
                            </w:r>
                            <w:r w:rsidRPr="0075543C">
                              <w:rPr>
                                <w:i/>
                                <w:iCs/>
                              </w:rPr>
                              <w:t>over time</w:t>
                            </w:r>
                          </w:p>
                          <w:p w14:paraId="0E954C08" w14:textId="77777777" w:rsidR="00B21991" w:rsidRPr="009D0B7E" w:rsidRDefault="00B21991" w:rsidP="004A3AE5">
                            <w:pPr>
                              <w:pStyle w:val="ListBullet"/>
                              <w:rPr>
                                <w:i/>
                                <w:iCs/>
                              </w:rPr>
                            </w:pPr>
                            <w:r w:rsidRPr="009D0B7E">
                              <w:rPr>
                                <w:i/>
                                <w:iCs/>
                              </w:rPr>
                              <w:t>Identifying ecosystem</w:t>
                            </w:r>
                            <w:r>
                              <w:rPr>
                                <w:i/>
                                <w:iCs/>
                              </w:rPr>
                              <w:t>s that are</w:t>
                            </w:r>
                            <w:r w:rsidRPr="009D0B7E">
                              <w:rPr>
                                <w:i/>
                                <w:iCs/>
                              </w:rPr>
                              <w:t xml:space="preserve"> </w:t>
                            </w:r>
                            <w:r>
                              <w:rPr>
                                <w:i/>
                                <w:iCs/>
                              </w:rPr>
                              <w:t xml:space="preserve">currently adversely affected by </w:t>
                            </w:r>
                            <w:r w:rsidRPr="009D0B7E">
                              <w:rPr>
                                <w:i/>
                                <w:iCs/>
                              </w:rPr>
                              <w:t>pressures</w:t>
                            </w:r>
                          </w:p>
                          <w:p w14:paraId="604A53A4" w14:textId="77777777" w:rsidR="00B21991" w:rsidRPr="002D0EA8" w:rsidRDefault="00B21991" w:rsidP="004A3AE5">
                            <w:pPr>
                              <w:pStyle w:val="ListBullet"/>
                              <w:rPr>
                                <w:i/>
                                <w:iCs/>
                              </w:rPr>
                            </w:pPr>
                            <w:r w:rsidRPr="002D0EA8">
                              <w:rPr>
                                <w:i/>
                                <w:iCs/>
                              </w:rPr>
                              <w:t>Identifying key ecological interactions</w:t>
                            </w:r>
                            <w:r>
                              <w:rPr>
                                <w:i/>
                                <w:iCs/>
                              </w:rPr>
                              <w:t xml:space="preserve"> across space and time</w:t>
                            </w:r>
                          </w:p>
                          <w:p w14:paraId="4EB7D17A" w14:textId="6F13461C" w:rsidR="00B21991" w:rsidRPr="004A3AE5" w:rsidRDefault="00B21991" w:rsidP="004A3AE5">
                            <w:pPr>
                              <w:pStyle w:val="ListBullet"/>
                              <w:rPr>
                                <w:i/>
                                <w:iCs/>
                              </w:rPr>
                            </w:pPr>
                            <w:r>
                              <w:rPr>
                                <w:i/>
                                <w:iCs/>
                              </w:rPr>
                              <w:t xml:space="preserve">As a </w:t>
                            </w:r>
                            <w:r w:rsidRPr="00A2787C">
                              <w:rPr>
                                <w:i/>
                                <w:iCs/>
                              </w:rPr>
                              <w:t>basis for future research to explore “critical ecosystem characteristics”</w:t>
                            </w:r>
                            <w:r>
                              <w:rPr>
                                <w:i/>
                                <w:iCs/>
                              </w:rPr>
                              <w:t xml:space="preserve"> that underpin productivity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BB12F0" id="Text Box 1330001127" o:spid="_x0000_s1040" type="#_x0000_t202" style="position:absolute;margin-left:834pt;margin-top:11.85pt;width:255.1pt;height:243pt;z-index:251658301;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" fillcolor="#bfe4ff" strokecolor="#0070c0">
                <v:textbox>
                  <w:txbxContent>
                    <w:p w14:paraId="2BA85AB0" w14:textId="77777777" w:rsidR="00B21991" w:rsidRDefault="00B21991" w:rsidP="004A3AE5">
                      <w:pPr>
                        <w:pStyle w:val="ListBullet"/>
                      </w:pPr>
                      <w:r w:rsidRPr="003071B6">
                        <w:t>Evidence on the current condition of ecosystems</w:t>
                      </w:r>
                      <w:r>
                        <w:t xml:space="preserve"> across the region</w:t>
                      </w:r>
                    </w:p>
                    <w:p w14:paraId="02BD6041" w14:textId="77777777" w:rsidR="00B21991" w:rsidRDefault="00B21991" w:rsidP="004A3AE5">
                      <w:pPr>
                        <w:pStyle w:val="ListBullet"/>
                      </w:pPr>
                      <w:r>
                        <w:t xml:space="preserve">Capturing ecosystems’ intrinsic value  </w:t>
                      </w:r>
                    </w:p>
                    <w:p w14:paraId="5C06C29E" w14:textId="77777777" w:rsidR="00B21991" w:rsidRPr="00757FF3" w:rsidRDefault="00B21991" w:rsidP="004A3AE5">
                      <w:pPr>
                        <w:pStyle w:val="ListBullet"/>
                      </w:pPr>
                      <w:r w:rsidRPr="00757FF3">
                        <w:t>Identifying ecosystem restoration opportunities</w:t>
                      </w:r>
                    </w:p>
                    <w:p w14:paraId="610FA5C5" w14:textId="77777777" w:rsidR="00B21991" w:rsidRPr="00EE3064" w:rsidRDefault="00B21991" w:rsidP="004A3AE5">
                      <w:pPr>
                        <w:pStyle w:val="ListBullet"/>
                      </w:pPr>
                      <w:r w:rsidRPr="00EA31E1">
                        <w:rPr>
                          <w:i/>
                          <w:iCs/>
                        </w:rPr>
                        <w:t xml:space="preserve">Monitoring and reporting on management effectiveness </w:t>
                      </w:r>
                      <w:r>
                        <w:rPr>
                          <w:i/>
                          <w:iCs/>
                        </w:rPr>
                        <w:t>in meeting condition targets</w:t>
                      </w:r>
                    </w:p>
                    <w:p w14:paraId="21808E46" w14:textId="77777777" w:rsidR="00B21991" w:rsidRPr="002D0EA8" w:rsidRDefault="00B21991" w:rsidP="004A3AE5">
                      <w:pPr>
                        <w:pStyle w:val="ListBullet"/>
                        <w:rPr>
                          <w:i/>
                          <w:iCs/>
                        </w:rPr>
                      </w:pPr>
                      <w:r w:rsidRPr="002D0EA8">
                        <w:rPr>
                          <w:i/>
                          <w:iCs/>
                        </w:rPr>
                        <w:t>Understanding how sustainable our use of the regions’ ecosystems is</w:t>
                      </w:r>
                      <w:r w:rsidRPr="002D0EA8">
                        <w:t xml:space="preserve"> </w:t>
                      </w:r>
                      <w:r w:rsidRPr="0075543C">
                        <w:rPr>
                          <w:i/>
                          <w:iCs/>
                        </w:rPr>
                        <w:t>over time</w:t>
                      </w:r>
                    </w:p>
                    <w:p w14:paraId="0E954C08" w14:textId="77777777" w:rsidR="00B21991" w:rsidRPr="009D0B7E" w:rsidRDefault="00B21991" w:rsidP="004A3AE5">
                      <w:pPr>
                        <w:pStyle w:val="ListBullet"/>
                        <w:rPr>
                          <w:i/>
                          <w:iCs/>
                        </w:rPr>
                      </w:pPr>
                      <w:r w:rsidRPr="009D0B7E">
                        <w:rPr>
                          <w:i/>
                          <w:iCs/>
                        </w:rPr>
                        <w:t>Identifying ecosystem</w:t>
                      </w:r>
                      <w:r>
                        <w:rPr>
                          <w:i/>
                          <w:iCs/>
                        </w:rPr>
                        <w:t>s that are</w:t>
                      </w:r>
                      <w:r w:rsidRPr="009D0B7E">
                        <w:rPr>
                          <w:i/>
                          <w:iCs/>
                        </w:rPr>
                        <w:t xml:space="preserve"> </w:t>
                      </w:r>
                      <w:r>
                        <w:rPr>
                          <w:i/>
                          <w:iCs/>
                        </w:rPr>
                        <w:t xml:space="preserve">currently adversely affected by </w:t>
                      </w:r>
                      <w:r w:rsidRPr="009D0B7E">
                        <w:rPr>
                          <w:i/>
                          <w:iCs/>
                        </w:rPr>
                        <w:t>pressures</w:t>
                      </w:r>
                    </w:p>
                    <w:p w14:paraId="604A53A4" w14:textId="77777777" w:rsidR="00B21991" w:rsidRPr="002D0EA8" w:rsidRDefault="00B21991" w:rsidP="004A3AE5">
                      <w:pPr>
                        <w:pStyle w:val="ListBullet"/>
                        <w:rPr>
                          <w:i/>
                          <w:iCs/>
                        </w:rPr>
                      </w:pPr>
                      <w:r w:rsidRPr="002D0EA8">
                        <w:rPr>
                          <w:i/>
                          <w:iCs/>
                        </w:rPr>
                        <w:t>Identifying key ecological interactions</w:t>
                      </w:r>
                      <w:r>
                        <w:rPr>
                          <w:i/>
                          <w:iCs/>
                        </w:rPr>
                        <w:t xml:space="preserve"> across space and time</w:t>
                      </w:r>
                    </w:p>
                    <w:p w14:paraId="4EB7D17A" w14:textId="6F13461C" w:rsidR="00B21991" w:rsidRPr="004A3AE5" w:rsidRDefault="00B21991" w:rsidP="004A3AE5">
                      <w:pPr>
                        <w:pStyle w:val="ListBullet"/>
                        <w:rPr>
                          <w:i/>
                          <w:iCs/>
                        </w:rPr>
                      </w:pPr>
                      <w:r>
                        <w:rPr>
                          <w:i/>
                          <w:iCs/>
                        </w:rPr>
                        <w:t xml:space="preserve">As a </w:t>
                      </w:r>
                      <w:r w:rsidRPr="00A2787C">
                        <w:rPr>
                          <w:i/>
                          <w:iCs/>
                        </w:rPr>
                        <w:t>basis for future research to explore “critical ecosystem characteristics”</w:t>
                      </w:r>
                      <w:r>
                        <w:rPr>
                          <w:i/>
                          <w:iCs/>
                        </w:rPr>
                        <w:t xml:space="preserve"> that underpin productivity</w:t>
                      </w:r>
                    </w:p>
                  </w:txbxContent>
                </v:textbox>
                <w10:wrap type="square" anchorx="page"/>
              </v:shape>
            </w:pict>
          </mc:Fallback>
        </mc:AlternateContent>
      </w:r>
    </w:p>
    <w:p w14:paraId="1D2B1229" w14:textId="2A204E37" w:rsidR="00B21991" w:rsidRPr="00FB15DB" w:rsidRDefault="00071191" w:rsidP="00B21991">
      <w:pPr>
        <w:pStyle w:val="BodyText"/>
        <w:rPr>
          <w:rFonts w:eastAsia="Calibri"/>
        </w:rPr>
      </w:pPr>
      <w:r w:rsidRPr="00FB15DB">
        <w:rPr>
          <w:rFonts w:eastAsia="Calibri"/>
          <w:noProof/>
        </w:rPr>
        <w:lastRenderedPageBreak/>
        <mc:AlternateContent>
          <mc:Choice Requires="wps">
            <w:drawing>
              <wp:anchor distT="0" distB="0" distL="114300" distR="114300" simplePos="0" relativeHeight="251658268" behindDoc="0" locked="0" layoutInCell="1" allowOverlap="1" wp14:anchorId="5F6080C6" wp14:editId="4355FA74">
                <wp:simplePos x="0" y="0"/>
                <wp:positionH relativeFrom="margin">
                  <wp:posOffset>-214630</wp:posOffset>
                </wp:positionH>
                <wp:positionV relativeFrom="paragraph">
                  <wp:posOffset>57785</wp:posOffset>
                </wp:positionV>
                <wp:extent cx="2349500" cy="9157648"/>
                <wp:effectExtent l="0" t="0" r="12700" b="24765"/>
                <wp:wrapNone/>
                <wp:docPr id="1330001132" name="Rectangle: Rounded Corners 1330001132"/>
                <wp:cNvGraphicFramePr/>
                <a:graphic xmlns:a="http://schemas.openxmlformats.org/drawingml/2006/main">
                  <a:graphicData uri="http://schemas.microsoft.com/office/word/2010/wordprocessingShape">
                    <wps:wsp>
                      <wps:cNvSpPr/>
                      <wps:spPr>
                        <a:xfrm>
                          <a:off x="0" y="0"/>
                          <a:ext cx="2349500" cy="9157648"/>
                        </a:xfrm>
                        <a:prstGeom prst="roundRect">
                          <a:avLst>
                            <a:gd name="adj" fmla="val 10000"/>
                          </a:avLst>
                        </a:prstGeom>
                        <a:solidFill>
                          <a:sysClr val="window" lastClr="FFFFFF">
                            <a:lumMod val="85000"/>
                            <a:alpha val="85098"/>
                          </a:sysClr>
                        </a:solidFill>
                        <a:ln w="12700" cap="flat" cmpd="sng" algn="ctr">
                          <a:solidFill>
                            <a:sysClr val="window" lastClr="FFFFFF">
                              <a:lumMod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roundrect w14:anchorId="140355CF" id="Rectangle: Rounded Corners 1330001132" o:spid="_x0000_s1026" style="position:absolute;margin-left:-16.9pt;margin-top:4.55pt;width:185pt;height:721.05pt;z-index:2516582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655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" fillcolor="#d9d9d9" strokecolor="#7f7f7f" strokeweight="1pt">
                <v:fill opacity="55769f"/>
                <v:stroke joinstyle="miter"/>
                <w10:wrap anchorx="margin"/>
              </v:roundrect>
            </w:pict>
          </mc:Fallback>
        </mc:AlternateContent>
      </w:r>
      <w:r w:rsidR="00B21991" w:rsidRPr="00FB15DB">
        <w:rPr>
          <w:noProof/>
        </w:rPr>
        <w:drawing>
          <wp:anchor distT="0" distB="0" distL="114300" distR="114300" simplePos="0" relativeHeight="251658290" behindDoc="0" locked="0" layoutInCell="1" allowOverlap="1" wp14:anchorId="00CB67F1" wp14:editId="3BF78EFA">
            <wp:simplePos x="0" y="0"/>
            <wp:positionH relativeFrom="margin">
              <wp:posOffset>2250440</wp:posOffset>
            </wp:positionH>
            <wp:positionV relativeFrom="paragraph">
              <wp:posOffset>6350</wp:posOffset>
            </wp:positionV>
            <wp:extent cx="6296025" cy="4572635"/>
            <wp:effectExtent l="0" t="0" r="9525" b="0"/>
            <wp:wrapSquare wrapText="bothSides"/>
            <wp:docPr id="1330001151" name="Picture 133000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email">
                      <a:extLst>
                        <a:ext uri="{28A0092B-C50C-407E-A947-70E740481C1C}">
                          <a14:useLocalDpi xmlns:a14="http://schemas.microsoft.com/office/drawing/2010/main"/>
                        </a:ext>
                      </a:extLst>
                    </a:blip>
                    <a:stretch>
                      <a:fillRect/>
                    </a:stretch>
                  </pic:blipFill>
                  <pic:spPr>
                    <a:xfrm>
                      <a:off x="0" y="0"/>
                      <a:ext cx="6296025" cy="4572635"/>
                    </a:xfrm>
                    <a:prstGeom prst="rect">
                      <a:avLst/>
                    </a:prstGeom>
                  </pic:spPr>
                </pic:pic>
              </a:graphicData>
            </a:graphic>
            <wp14:sizeRelH relativeFrom="margin">
              <wp14:pctWidth>0</wp14:pctWidth>
            </wp14:sizeRelH>
            <wp14:sizeRelV relativeFrom="margin">
              <wp14:pctHeight>0</wp14:pctHeight>
            </wp14:sizeRelV>
          </wp:anchor>
        </w:drawing>
      </w:r>
    </w:p>
    <w:p w14:paraId="18646FB6" w14:textId="29E6DB98" w:rsidR="00B21991" w:rsidRPr="00FB15DB" w:rsidRDefault="004D5561" w:rsidP="00B21991">
      <w:pPr>
        <w:pStyle w:val="BodyText"/>
        <w:rPr>
          <w:rFonts w:eastAsia="Calibri"/>
        </w:rPr>
      </w:pPr>
      <w:r w:rsidRPr="00FB15DB">
        <w:rPr>
          <w:rFonts w:eastAsia="Calibri"/>
          <w:noProof/>
        </w:rPr>
        <mc:AlternateContent>
          <mc:Choice Requires="wps">
            <w:drawing>
              <wp:anchor distT="45720" distB="45720" distL="114300" distR="114300" simplePos="0" relativeHeight="251658293" behindDoc="0" locked="0" layoutInCell="1" allowOverlap="1" wp14:anchorId="3FA5A1E9" wp14:editId="30E96235">
                <wp:simplePos x="0" y="0"/>
                <wp:positionH relativeFrom="page">
                  <wp:posOffset>12834620</wp:posOffset>
                </wp:positionH>
                <wp:positionV relativeFrom="paragraph">
                  <wp:posOffset>212725</wp:posOffset>
                </wp:positionV>
                <wp:extent cx="1744345" cy="1404620"/>
                <wp:effectExtent l="0" t="0" r="27305" b="22860"/>
                <wp:wrapSquare wrapText="bothSides"/>
                <wp:docPr id="1330001139" name="Text Box 1330001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4345" cy="1404620"/>
                        </a:xfrm>
                        <a:prstGeom prst="rect">
                          <a:avLst/>
                        </a:prstGeom>
                        <a:solidFill>
                          <a:srgbClr val="FF832F">
                            <a:lumMod val="20000"/>
                            <a:lumOff val="80000"/>
                          </a:srgbClr>
                        </a:solidFill>
                        <a:ln w="9525">
                          <a:solidFill>
                            <a:srgbClr val="FF832F"/>
                          </a:solidFill>
                          <a:miter lim="800000"/>
                          <a:headEnd/>
                          <a:tailEnd/>
                        </a:ln>
                      </wps:spPr>
                      <wps:txbx>
                        <w:txbxContent>
                          <w:p w14:paraId="263ED13F" w14:textId="77777777" w:rsidR="00B21991" w:rsidRPr="00F278A2" w:rsidRDefault="00B21991" w:rsidP="00F278A2">
                            <w:pPr>
                              <w:pStyle w:val="ListBullet"/>
                              <w:rPr>
                                <w:b/>
                                <w:bCs/>
                              </w:rPr>
                            </w:pPr>
                            <w:r w:rsidRPr="00F278A2">
                              <w:rPr>
                                <w:b/>
                                <w:bCs/>
                              </w:rPr>
                              <w:t>Business cases</w:t>
                            </w:r>
                          </w:p>
                          <w:p w14:paraId="175B5211" w14:textId="77777777" w:rsidR="00B21991" w:rsidRPr="00F278A2" w:rsidRDefault="00B21991" w:rsidP="00F278A2">
                            <w:pPr>
                              <w:pStyle w:val="ListBullet"/>
                              <w:rPr>
                                <w:b/>
                                <w:bCs/>
                              </w:rPr>
                            </w:pPr>
                            <w:r w:rsidRPr="00F278A2">
                              <w:rPr>
                                <w:b/>
                                <w:bCs/>
                              </w:rPr>
                              <w:t>Impact assessments</w:t>
                            </w:r>
                          </w:p>
                          <w:p w14:paraId="2241891C" w14:textId="77777777" w:rsidR="00B21991" w:rsidRPr="00F278A2" w:rsidRDefault="00B21991" w:rsidP="00F278A2">
                            <w:pPr>
                              <w:pStyle w:val="ListBullet"/>
                              <w:rPr>
                                <w:b/>
                                <w:bCs/>
                              </w:rPr>
                            </w:pPr>
                            <w:r w:rsidRPr="00F278A2">
                              <w:rPr>
                                <w:b/>
                                <w:bCs/>
                              </w:rPr>
                              <w:t>Victoria’s Coastal and Marine Strategy</w:t>
                            </w:r>
                          </w:p>
                          <w:p w14:paraId="75446168" w14:textId="77777777" w:rsidR="00B21991" w:rsidRPr="00F278A2" w:rsidRDefault="00B21991" w:rsidP="00F278A2">
                            <w:pPr>
                              <w:pStyle w:val="ListBullet"/>
                              <w:rPr>
                                <w:b/>
                                <w:bCs/>
                              </w:rPr>
                            </w:pPr>
                            <w:r w:rsidRPr="00F278A2">
                              <w:rPr>
                                <w:b/>
                                <w:bCs/>
                              </w:rPr>
                              <w:t xml:space="preserve">State of the Great Ocean Road report </w:t>
                            </w:r>
                          </w:p>
                          <w:p w14:paraId="1FEBC020" w14:textId="77777777" w:rsidR="00B21991" w:rsidRPr="00F278A2" w:rsidRDefault="00B21991" w:rsidP="00F278A2">
                            <w:pPr>
                              <w:pStyle w:val="ListBullet"/>
                              <w:rPr>
                                <w:b/>
                                <w:bCs/>
                              </w:rPr>
                            </w:pPr>
                            <w:r w:rsidRPr="00F278A2">
                              <w:rPr>
                                <w:b/>
                                <w:bCs/>
                              </w:rPr>
                              <w:t>Sustainable Development Goals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A5A1E9" id="Text Box 1330001139" o:spid="_x0000_s1041" type="#_x0000_t202" style="position:absolute;margin-left:1010.6pt;margin-top:16.75pt;width:137.35pt;height:110.6pt;z-index:251658293;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" fillcolor="#ffe6d5" strokecolor="#ff832f">
                <v:textbox style="mso-fit-shape-to-text:t">
                  <w:txbxContent>
                    <w:p w14:paraId="263ED13F" w14:textId="77777777" w:rsidR="00B21991" w:rsidRPr="00F278A2" w:rsidRDefault="00B21991" w:rsidP="00F278A2">
                      <w:pPr>
                        <w:pStyle w:val="ListBullet"/>
                        <w:rPr>
                          <w:b/>
                          <w:bCs/>
                        </w:rPr>
                      </w:pPr>
                      <w:r w:rsidRPr="00F278A2">
                        <w:rPr>
                          <w:b/>
                          <w:bCs/>
                        </w:rPr>
                        <w:t>Business cases</w:t>
                      </w:r>
                    </w:p>
                    <w:p w14:paraId="175B5211" w14:textId="77777777" w:rsidR="00B21991" w:rsidRPr="00F278A2" w:rsidRDefault="00B21991" w:rsidP="00F278A2">
                      <w:pPr>
                        <w:pStyle w:val="ListBullet"/>
                        <w:rPr>
                          <w:b/>
                          <w:bCs/>
                        </w:rPr>
                      </w:pPr>
                      <w:r w:rsidRPr="00F278A2">
                        <w:rPr>
                          <w:b/>
                          <w:bCs/>
                        </w:rPr>
                        <w:t>Impact assessments</w:t>
                      </w:r>
                    </w:p>
                    <w:p w14:paraId="2241891C" w14:textId="77777777" w:rsidR="00B21991" w:rsidRPr="00F278A2" w:rsidRDefault="00B21991" w:rsidP="00F278A2">
                      <w:pPr>
                        <w:pStyle w:val="ListBullet"/>
                        <w:rPr>
                          <w:b/>
                          <w:bCs/>
                        </w:rPr>
                      </w:pPr>
                      <w:r w:rsidRPr="00F278A2">
                        <w:rPr>
                          <w:b/>
                          <w:bCs/>
                        </w:rPr>
                        <w:t>Victoria’s Coastal and Marine Strategy</w:t>
                      </w:r>
                    </w:p>
                    <w:p w14:paraId="75446168" w14:textId="77777777" w:rsidR="00B21991" w:rsidRPr="00F278A2" w:rsidRDefault="00B21991" w:rsidP="00F278A2">
                      <w:pPr>
                        <w:pStyle w:val="ListBullet"/>
                        <w:rPr>
                          <w:b/>
                          <w:bCs/>
                        </w:rPr>
                      </w:pPr>
                      <w:r w:rsidRPr="00F278A2">
                        <w:rPr>
                          <w:b/>
                          <w:bCs/>
                        </w:rPr>
                        <w:t xml:space="preserve">State of the Great Ocean Road report </w:t>
                      </w:r>
                    </w:p>
                    <w:p w14:paraId="1FEBC020" w14:textId="77777777" w:rsidR="00B21991" w:rsidRPr="00F278A2" w:rsidRDefault="00B21991" w:rsidP="00F278A2">
                      <w:pPr>
                        <w:pStyle w:val="ListBullet"/>
                        <w:rPr>
                          <w:b/>
                          <w:bCs/>
                        </w:rPr>
                      </w:pPr>
                      <w:r w:rsidRPr="00F278A2">
                        <w:rPr>
                          <w:b/>
                          <w:bCs/>
                        </w:rPr>
                        <w:t>Sustainable Development Goals</w:t>
                      </w:r>
                    </w:p>
                  </w:txbxContent>
                </v:textbox>
                <w10:wrap type="square" anchorx="page"/>
              </v:shape>
            </w:pict>
          </mc:Fallback>
        </mc:AlternateContent>
      </w:r>
      <w:r w:rsidR="00B21991" w:rsidRPr="00FB15DB">
        <w:rPr>
          <w:rFonts w:eastAsia="Calibri"/>
          <w:noProof/>
        </w:rPr>
        <mc:AlternateContent>
          <mc:Choice Requires="wps">
            <w:drawing>
              <wp:anchor distT="0" distB="0" distL="114300" distR="114300" simplePos="0" relativeHeight="251658292" behindDoc="0" locked="0" layoutInCell="1" allowOverlap="1" wp14:anchorId="6D2FFAA6" wp14:editId="3D278A17">
                <wp:simplePos x="0" y="0"/>
                <wp:positionH relativeFrom="column">
                  <wp:posOffset>13673658</wp:posOffset>
                </wp:positionH>
                <wp:positionV relativeFrom="paragraph">
                  <wp:posOffset>-102870</wp:posOffset>
                </wp:positionV>
                <wp:extent cx="5889" cy="9607137"/>
                <wp:effectExtent l="0" t="0" r="32385" b="32385"/>
                <wp:wrapNone/>
                <wp:docPr id="1330001283" name="Straight Connector 1330001283"/>
                <wp:cNvGraphicFramePr/>
                <a:graphic xmlns:a="http://schemas.openxmlformats.org/drawingml/2006/main">
                  <a:graphicData uri="http://schemas.microsoft.com/office/word/2010/wordprocessingShape">
                    <wps:wsp>
                      <wps:cNvCnPr/>
                      <wps:spPr>
                        <a:xfrm flipH="1">
                          <a:off x="0" y="0"/>
                          <a:ext cx="5889" cy="9607137"/>
                        </a:xfrm>
                        <a:prstGeom prst="line">
                          <a:avLst/>
                        </a:prstGeom>
                        <a:noFill/>
                        <a:ln w="6350" cap="flat" cmpd="sng" algn="ctr">
                          <a:solidFill>
                            <a:sysClr val="window" lastClr="FFFFFF">
                              <a:lumMod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9BB4C24" id="Straight Connector 1330001283" o:spid="_x0000_s1026" style="position:absolute;flip:x;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76.65pt,-8.1pt" to="1077.1pt,74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" strokecolor="#7f7f7f" strokeweight=".5pt">
                <v:stroke joinstyle="miter"/>
              </v:line>
            </w:pict>
          </mc:Fallback>
        </mc:AlternateContent>
      </w:r>
      <w:r w:rsidR="00B21991" w:rsidRPr="00FB15DB">
        <w:rPr>
          <w:rFonts w:eastAsia="Calibri"/>
        </w:rPr>
        <w:t xml:space="preserve"> </w:t>
      </w:r>
      <w:r w:rsidR="00B21991" w:rsidRPr="00FB15DB">
        <w:rPr>
          <w:rFonts w:eastAsia="Calibri"/>
          <w:noProof/>
        </w:rPr>
        <mc:AlternateContent>
          <mc:Choice Requires="wpg">
            <w:drawing>
              <wp:anchor distT="0" distB="0" distL="114300" distR="114300" simplePos="0" relativeHeight="251658282" behindDoc="0" locked="0" layoutInCell="1" allowOverlap="1" wp14:anchorId="7185AEB5" wp14:editId="1B1AB647">
                <wp:simplePos x="0" y="0"/>
                <wp:positionH relativeFrom="column">
                  <wp:posOffset>656103</wp:posOffset>
                </wp:positionH>
                <wp:positionV relativeFrom="paragraph">
                  <wp:posOffset>50484</wp:posOffset>
                </wp:positionV>
                <wp:extent cx="600390" cy="278764"/>
                <wp:effectExtent l="0" t="0" r="0" b="0"/>
                <wp:wrapNone/>
                <wp:docPr id="1330001133" name="Group 1330001133"/>
                <wp:cNvGraphicFramePr/>
                <a:graphic xmlns:a="http://schemas.openxmlformats.org/drawingml/2006/main">
                  <a:graphicData uri="http://schemas.microsoft.com/office/word/2010/wordprocessingGroup">
                    <wpg:wgp>
                      <wpg:cNvGrpSpPr/>
                      <wpg:grpSpPr>
                        <a:xfrm rot="5400000">
                          <a:off x="0" y="0"/>
                          <a:ext cx="600390" cy="278764"/>
                          <a:chOff x="2439231" y="699565"/>
                          <a:chExt cx="539998" cy="539999"/>
                        </a:xfrm>
                        <a:solidFill>
                          <a:sysClr val="window" lastClr="FFFFFF">
                            <a:lumMod val="65000"/>
                          </a:sysClr>
                        </a:solidFill>
                      </wpg:grpSpPr>
                      <wps:wsp>
                        <wps:cNvPr id="1330001137" name="Arrow: Right 1330001137"/>
                        <wps:cNvSpPr/>
                        <wps:spPr>
                          <a:xfrm>
                            <a:off x="2439231" y="699565"/>
                            <a:ext cx="539998" cy="539999"/>
                          </a:xfrm>
                          <a:prstGeom prst="rightArrow">
                            <a:avLst>
                              <a:gd name="adj1" fmla="val 60000"/>
                              <a:gd name="adj2" fmla="val 50000"/>
                            </a:avLst>
                          </a:prstGeom>
                          <a:grpFill/>
                          <a:ln>
                            <a:noFill/>
                          </a:ln>
                          <a:effectLst/>
                        </wps:spPr>
                        <wps:bodyPr/>
                      </wps:wsp>
                      <wps:wsp>
                        <wps:cNvPr id="1330001138" name="Arrow: Right 6"/>
                        <wps:cNvSpPr txBox="1"/>
                        <wps:spPr>
                          <a:xfrm>
                            <a:off x="2439231" y="807565"/>
                            <a:ext cx="377999" cy="323999"/>
                          </a:xfrm>
                          <a:prstGeom prst="rect">
                            <a:avLst/>
                          </a:prstGeom>
                          <a:grpFill/>
                          <a:ln>
                            <a:noFill/>
                          </a:ln>
                          <a:effectLst/>
                        </wps:spPr>
                        <wps:bodyPr spcFirstLastPara="0" vert="horz" wrap="square" lIns="0" tIns="0" rIns="0" bIns="0" numCol="1" spcCol="127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6359B2B6" id="Group 1330001133" o:spid="_x0000_s1026" style="position:absolute;margin-left:51.65pt;margin-top:4pt;width:47.25pt;height:21.95pt;rotation:90;z-index:251658282;mso-width-relative:margin;mso-height-relative:margin" coordorigin="24392,6995" coordsize="5399,5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">
                <v:shape id="Arrow: Right 1330001137" o:spid="_x0000_s1027" type="#_x0000_t13" style="position:absolute;left:24392;top:6995;width:5400;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" adj="10800,4320" filled="f" stroked="f"/>
                <v:shape id="Arrow: Right 6" o:spid="_x0000_s1028" type="#_x0000_t202" style="position:absolute;left:24392;top:8075;width:378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" filled="f" stroked="f">
                  <v:textbox inset="0,0,0,0"/>
                </v:shape>
              </v:group>
            </w:pict>
          </mc:Fallback>
        </mc:AlternateContent>
      </w:r>
    </w:p>
    <w:p w14:paraId="601E5129" w14:textId="1B8A00A7" w:rsidR="00B21991" w:rsidRPr="00FB15DB" w:rsidRDefault="00B21991" w:rsidP="00B21991">
      <w:pPr>
        <w:pStyle w:val="BodyText"/>
        <w:rPr>
          <w:rFonts w:eastAsia="Calibri"/>
        </w:rPr>
      </w:pPr>
    </w:p>
    <w:p w14:paraId="061C8D01" w14:textId="5F104CE8" w:rsidR="00B21991" w:rsidRPr="00FB15DB" w:rsidRDefault="00E05475" w:rsidP="00B21991">
      <w:pPr>
        <w:pStyle w:val="BodyText"/>
        <w:rPr>
          <w:rFonts w:eastAsia="Calibri"/>
        </w:rPr>
      </w:pPr>
      <w:r w:rsidRPr="00FB15DB">
        <w:rPr>
          <w:rFonts w:eastAsia="Calibri"/>
          <w:noProof/>
        </w:rPr>
        <mc:AlternateContent>
          <mc:Choice Requires="wps">
            <w:drawing>
              <wp:anchor distT="0" distB="0" distL="114300" distR="114300" simplePos="0" relativeHeight="251658275" behindDoc="0" locked="0" layoutInCell="1" allowOverlap="1" wp14:anchorId="1379C1CA" wp14:editId="67AF0B68">
                <wp:simplePos x="0" y="0"/>
                <wp:positionH relativeFrom="margin">
                  <wp:posOffset>-20843</wp:posOffset>
                </wp:positionH>
                <wp:positionV relativeFrom="paragraph">
                  <wp:posOffset>77127</wp:posOffset>
                </wp:positionV>
                <wp:extent cx="1955165" cy="8314125"/>
                <wp:effectExtent l="0" t="0" r="45085" b="10795"/>
                <wp:wrapNone/>
                <wp:docPr id="1330001140" name="Rectangle: Rounded Corners 1330001140"/>
                <wp:cNvGraphicFramePr/>
                <a:graphic xmlns:a="http://schemas.openxmlformats.org/drawingml/2006/main">
                  <a:graphicData uri="http://schemas.microsoft.com/office/word/2010/wordprocessingShape">
                    <wps:wsp>
                      <wps:cNvSpPr/>
                      <wps:spPr>
                        <a:xfrm>
                          <a:off x="0" y="0"/>
                          <a:ext cx="1955165" cy="8314125"/>
                        </a:xfrm>
                        <a:prstGeom prst="roundRect">
                          <a:avLst>
                            <a:gd name="adj" fmla="val 10000"/>
                          </a:avLst>
                        </a:prstGeom>
                        <a:solidFill>
                          <a:srgbClr val="FFFFFF">
                            <a:alpha val="85098"/>
                          </a:srgbClr>
                        </a:solidFill>
                        <a:ln w="12700" cap="flat" cmpd="sng" algn="ctr">
                          <a:solidFill>
                            <a:srgbClr val="00B2A9"/>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roundrect w14:anchorId="2F8753B8" id="Rectangle: Rounded Corners 1330001140" o:spid="_x0000_s1026" style="position:absolute;margin-left:-1.65pt;margin-top:6.05pt;width:153.95pt;height:654.65pt;z-index:2516582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655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" strokecolor="#00b2a9" strokeweight="1pt">
                <v:fill opacity="55769f"/>
                <v:stroke joinstyle="miter"/>
                <w10:wrap anchorx="margin"/>
              </v:roundrect>
            </w:pict>
          </mc:Fallback>
        </mc:AlternateContent>
      </w:r>
      <w:r w:rsidR="00046C2E" w:rsidRPr="00FB15DB">
        <w:rPr>
          <w:rFonts w:eastAsia="Calibri"/>
          <w:noProof/>
        </w:rPr>
        <mc:AlternateContent>
          <mc:Choice Requires="wps">
            <w:drawing>
              <wp:anchor distT="0" distB="0" distL="114300" distR="114300" simplePos="0" relativeHeight="251658280" behindDoc="0" locked="0" layoutInCell="1" allowOverlap="1" wp14:anchorId="0A306DC2" wp14:editId="033DC160">
                <wp:simplePos x="0" y="0"/>
                <wp:positionH relativeFrom="margin">
                  <wp:posOffset>19685</wp:posOffset>
                </wp:positionH>
                <wp:positionV relativeFrom="paragraph">
                  <wp:posOffset>81280</wp:posOffset>
                </wp:positionV>
                <wp:extent cx="1880870" cy="709684"/>
                <wp:effectExtent l="0" t="0" r="0" b="0"/>
                <wp:wrapNone/>
                <wp:docPr id="1330001141" name="Rectangle 1330001141"/>
                <wp:cNvGraphicFramePr/>
                <a:graphic xmlns:a="http://schemas.openxmlformats.org/drawingml/2006/main">
                  <a:graphicData uri="http://schemas.microsoft.com/office/word/2010/wordprocessingShape">
                    <wps:wsp>
                      <wps:cNvSpPr/>
                      <wps:spPr>
                        <a:xfrm>
                          <a:off x="0" y="0"/>
                          <a:ext cx="1880870" cy="709684"/>
                        </a:xfrm>
                        <a:prstGeom prst="rect">
                          <a:avLst/>
                        </a:prstGeom>
                      </wps:spPr>
                      <wps:txbx>
                        <w:txbxContent>
                          <w:p w14:paraId="27A70EDA" w14:textId="77777777" w:rsidR="00B21991" w:rsidRPr="00CB16F6" w:rsidRDefault="00B21991" w:rsidP="00B21991">
                            <w:pPr>
                              <w:jc w:val="center"/>
                              <w:textAlignment w:val="baseline"/>
                              <w:rPr>
                                <w:rFonts w:ascii="Arial" w:hAnsi="Arial"/>
                                <w:b/>
                                <w:bCs/>
                                <w:color w:val="00B2A9"/>
                                <w:kern w:val="24"/>
                              </w:rPr>
                            </w:pPr>
                            <w:r w:rsidRPr="00CB16F6">
                              <w:rPr>
                                <w:rFonts w:ascii="Arial" w:hAnsi="Arial"/>
                                <w:b/>
                                <w:bCs/>
                                <w:color w:val="00B2A9"/>
                                <w:kern w:val="24"/>
                              </w:rPr>
                              <w:t xml:space="preserve">Productivity </w:t>
                            </w:r>
                            <w:r w:rsidRPr="00CB16F6">
                              <w:rPr>
                                <w:rFonts w:ascii="Arial" w:hAnsi="Arial"/>
                                <w:color w:val="00B2A9"/>
                                <w:kern w:val="24"/>
                              </w:rPr>
                              <w:t xml:space="preserve">of ecosystem assets in </w:t>
                            </w:r>
                            <w:r w:rsidRPr="00144CF8">
                              <w:rPr>
                                <w:rFonts w:ascii="Arial" w:hAnsi="Arial"/>
                                <w:color w:val="00B2A9"/>
                                <w:kern w:val="24"/>
                              </w:rPr>
                              <w:t>Great Ocean Road</w:t>
                            </w:r>
                            <w:r>
                              <w:rPr>
                                <w:rFonts w:ascii="Arial" w:hAnsi="Arial"/>
                                <w:color w:val="00B2A9"/>
                                <w:kern w:val="24"/>
                              </w:rPr>
                              <w:t xml:space="preserve"> Coast and Parks</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0A306DC2" id="Rectangle 1330001141" o:spid="_x0000_s1042" style="position:absolute;margin-left:1.55pt;margin-top:6.4pt;width:148.1pt;height:55.9pt;z-index:251658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" filled="f" stroked="f">
                <v:textbox>
                  <w:txbxContent>
                    <w:p w14:paraId="27A70EDA" w14:textId="77777777" w:rsidR="00B21991" w:rsidRPr="00CB16F6" w:rsidRDefault="00B21991" w:rsidP="00B21991">
                      <w:pPr>
                        <w:jc w:val="center"/>
                        <w:textAlignment w:val="baseline"/>
                        <w:rPr>
                          <w:rFonts w:ascii="Arial" w:hAnsi="Arial"/>
                          <w:b/>
                          <w:bCs/>
                          <w:color w:val="00B2A9"/>
                          <w:kern w:val="24"/>
                        </w:rPr>
                      </w:pPr>
                      <w:r w:rsidRPr="00CB16F6">
                        <w:rPr>
                          <w:rFonts w:ascii="Arial" w:hAnsi="Arial"/>
                          <w:b/>
                          <w:bCs/>
                          <w:color w:val="00B2A9"/>
                          <w:kern w:val="24"/>
                        </w:rPr>
                        <w:t xml:space="preserve">Productivity </w:t>
                      </w:r>
                      <w:r w:rsidRPr="00CB16F6">
                        <w:rPr>
                          <w:rFonts w:ascii="Arial" w:hAnsi="Arial"/>
                          <w:color w:val="00B2A9"/>
                          <w:kern w:val="24"/>
                        </w:rPr>
                        <w:t xml:space="preserve">of ecosystem assets in </w:t>
                      </w:r>
                      <w:r w:rsidRPr="00144CF8">
                        <w:rPr>
                          <w:rFonts w:ascii="Arial" w:hAnsi="Arial"/>
                          <w:color w:val="00B2A9"/>
                          <w:kern w:val="24"/>
                        </w:rPr>
                        <w:t>Great Ocean Road</w:t>
                      </w:r>
                      <w:r>
                        <w:rPr>
                          <w:rFonts w:ascii="Arial" w:hAnsi="Arial"/>
                          <w:color w:val="00B2A9"/>
                          <w:kern w:val="24"/>
                        </w:rPr>
                        <w:t xml:space="preserve"> Coast and Parks</w:t>
                      </w:r>
                    </w:p>
                  </w:txbxContent>
                </v:textbox>
                <w10:wrap anchorx="margin"/>
              </v:rect>
            </w:pict>
          </mc:Fallback>
        </mc:AlternateContent>
      </w:r>
    </w:p>
    <w:p w14:paraId="105A238D" w14:textId="77777777" w:rsidR="00B21991" w:rsidRPr="00FB15DB" w:rsidRDefault="00B21991" w:rsidP="00B21991">
      <w:pPr>
        <w:pStyle w:val="BodyText"/>
        <w:rPr>
          <w:rFonts w:eastAsia="Calibri"/>
        </w:rPr>
      </w:pPr>
    </w:p>
    <w:p w14:paraId="6D1296EF" w14:textId="7DD7B6EF" w:rsidR="00B21991" w:rsidRPr="00FB15DB" w:rsidRDefault="00B21991" w:rsidP="00B21991">
      <w:pPr>
        <w:pStyle w:val="BodyText"/>
        <w:rPr>
          <w:rFonts w:eastAsia="Calibri"/>
        </w:rPr>
      </w:pPr>
    </w:p>
    <w:p w14:paraId="7D35504C" w14:textId="7E553F89" w:rsidR="00B21991" w:rsidRPr="00FB15DB" w:rsidRDefault="00B21991" w:rsidP="00B21991">
      <w:pPr>
        <w:pStyle w:val="BodyText"/>
        <w:rPr>
          <w:rFonts w:eastAsia="Calibri"/>
        </w:rPr>
      </w:pPr>
    </w:p>
    <w:p w14:paraId="01566F05" w14:textId="78995A78" w:rsidR="00B21991" w:rsidRPr="00FB15DB" w:rsidRDefault="00046C2E" w:rsidP="00B21991">
      <w:pPr>
        <w:pStyle w:val="BodyText"/>
        <w:rPr>
          <w:rFonts w:eastAsia="Calibri"/>
        </w:rPr>
      </w:pPr>
      <w:r>
        <w:rPr>
          <w:rFonts w:eastAsia="Calibri"/>
          <w:noProof/>
        </w:rPr>
        <mc:AlternateContent>
          <mc:Choice Requires="wps">
            <w:drawing>
              <wp:anchor distT="0" distB="0" distL="114300" distR="114300" simplePos="0" relativeHeight="251658283" behindDoc="0" locked="0" layoutInCell="1" allowOverlap="1" wp14:anchorId="6A3C5F30" wp14:editId="6ACF824E">
                <wp:simplePos x="0" y="0"/>
                <wp:positionH relativeFrom="margin">
                  <wp:posOffset>33655</wp:posOffset>
                </wp:positionH>
                <wp:positionV relativeFrom="paragraph">
                  <wp:posOffset>114935</wp:posOffset>
                </wp:positionV>
                <wp:extent cx="1849755" cy="1021976"/>
                <wp:effectExtent l="0" t="0" r="17145" b="26035"/>
                <wp:wrapNone/>
                <wp:docPr id="1330001066" name="Rectangle: Rounded Corners 1330001066"/>
                <wp:cNvGraphicFramePr/>
                <a:graphic xmlns:a="http://schemas.openxmlformats.org/drawingml/2006/main">
                  <a:graphicData uri="http://schemas.microsoft.com/office/word/2010/wordprocessingShape">
                    <wps:wsp>
                      <wps:cNvSpPr/>
                      <wps:spPr>
                        <a:xfrm>
                          <a:off x="0" y="0"/>
                          <a:ext cx="1849755" cy="1021976"/>
                        </a:xfrm>
                        <a:prstGeom prst="roundRect">
                          <a:avLst>
                            <a:gd name="adj" fmla="val 10000"/>
                          </a:avLst>
                        </a:prstGeom>
                        <a:solidFill>
                          <a:srgbClr val="00B2A9"/>
                        </a:solidFill>
                        <a:ln w="12700" cap="flat" cmpd="sng" algn="ctr">
                          <a:solidFill>
                            <a:sysClr val="window" lastClr="FFFFFF">
                              <a:hueOff val="0"/>
                              <a:satOff val="0"/>
                              <a:lumOff val="0"/>
                              <a:alphaOff val="0"/>
                            </a:sysClr>
                          </a:solidFill>
                          <a:prstDash val="solid"/>
                          <a:miter lim="800000"/>
                        </a:ln>
                        <a:effectLst/>
                      </wps:spPr>
                      <wps:txbx>
                        <w:txbxContent>
                          <w:p w14:paraId="402DB4DD" w14:textId="77777777" w:rsidR="00046C2E" w:rsidRPr="00CB16F6" w:rsidRDefault="00046C2E" w:rsidP="00046C2E">
                            <w:pPr>
                              <w:spacing w:after="109" w:line="273" w:lineRule="auto"/>
                              <w:jc w:val="center"/>
                              <w:textAlignment w:val="baseline"/>
                              <w:rPr>
                                <w:rFonts w:ascii="Arial" w:hAnsi="Arial"/>
                                <w:b/>
                                <w:bCs/>
                                <w:color w:val="FFFFFF"/>
                                <w:kern w:val="24"/>
                              </w:rPr>
                            </w:pPr>
                            <w:r w:rsidRPr="00CB16F6">
                              <w:rPr>
                                <w:rFonts w:ascii="Arial" w:hAnsi="Arial"/>
                                <w:b/>
                                <w:bCs/>
                                <w:color w:val="FFFFFF"/>
                                <w:kern w:val="24"/>
                              </w:rPr>
                              <w:t>Physical flow</w:t>
                            </w:r>
                          </w:p>
                          <w:p w14:paraId="34805622" w14:textId="77777777" w:rsidR="00046C2E" w:rsidRPr="00CB16F6" w:rsidRDefault="00046C2E" w:rsidP="00046C2E">
                            <w:pPr>
                              <w:spacing w:after="109" w:line="273" w:lineRule="auto"/>
                              <w:jc w:val="center"/>
                              <w:textAlignment w:val="baseline"/>
                              <w:rPr>
                                <w:rFonts w:ascii="Arial" w:hAnsi="Arial"/>
                                <w:color w:val="FFFFFF"/>
                                <w:kern w:val="24"/>
                              </w:rPr>
                            </w:pPr>
                            <w:r w:rsidRPr="00CB16F6">
                              <w:rPr>
                                <w:rFonts w:ascii="Arial" w:hAnsi="Arial"/>
                                <w:color w:val="FFFFFF"/>
                                <w:kern w:val="24"/>
                              </w:rPr>
                              <w:t>Measure the flow of ecosystem services to people</w:t>
                            </w:r>
                          </w:p>
                          <w:p w14:paraId="54DD9438" w14:textId="77777777" w:rsidR="00046C2E" w:rsidRDefault="00046C2E" w:rsidP="00046C2E">
                            <w:pPr>
                              <w:jc w:val="center"/>
                            </w:pPr>
                          </w:p>
                        </w:txbxContent>
                      </wps:txbx>
                      <wps:bodyPr>
                        <a:noAutofit/>
                      </wps:bodyPr>
                    </wps:wsp>
                  </a:graphicData>
                </a:graphic>
                <wp14:sizeRelV relativeFrom="margin">
                  <wp14:pctHeight>0</wp14:pctHeight>
                </wp14:sizeRelV>
              </wp:anchor>
            </w:drawing>
          </mc:Choice>
          <mc:Fallback>
            <w:pict>
              <v:roundrect w14:anchorId="6A3C5F30" id="Rectangle: Rounded Corners 1330001066" o:spid="_x0000_s1043" style="position:absolute;margin-left:2.65pt;margin-top:9.05pt;width:145.65pt;height:80.45pt;z-index:251658283;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arcsize="655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" fillcolor="#00b2a9" strokecolor="white" strokeweight="1pt">
                <v:stroke joinstyle="miter"/>
                <v:textbox>
                  <w:txbxContent>
                    <w:p w14:paraId="402DB4DD" w14:textId="77777777" w:rsidR="00046C2E" w:rsidRPr="00CB16F6" w:rsidRDefault="00046C2E" w:rsidP="00046C2E">
                      <w:pPr>
                        <w:spacing w:after="109" w:line="273" w:lineRule="auto"/>
                        <w:jc w:val="center"/>
                        <w:textAlignment w:val="baseline"/>
                        <w:rPr>
                          <w:rFonts w:ascii="Arial" w:hAnsi="Arial"/>
                          <w:b/>
                          <w:bCs/>
                          <w:color w:val="FFFFFF"/>
                          <w:kern w:val="24"/>
                        </w:rPr>
                      </w:pPr>
                      <w:r w:rsidRPr="00CB16F6">
                        <w:rPr>
                          <w:rFonts w:ascii="Arial" w:hAnsi="Arial"/>
                          <w:b/>
                          <w:bCs/>
                          <w:color w:val="FFFFFF"/>
                          <w:kern w:val="24"/>
                        </w:rPr>
                        <w:t>Physical flow</w:t>
                      </w:r>
                    </w:p>
                    <w:p w14:paraId="34805622" w14:textId="77777777" w:rsidR="00046C2E" w:rsidRPr="00CB16F6" w:rsidRDefault="00046C2E" w:rsidP="00046C2E">
                      <w:pPr>
                        <w:spacing w:after="109" w:line="273" w:lineRule="auto"/>
                        <w:jc w:val="center"/>
                        <w:textAlignment w:val="baseline"/>
                        <w:rPr>
                          <w:rFonts w:ascii="Arial" w:hAnsi="Arial"/>
                          <w:color w:val="FFFFFF"/>
                          <w:kern w:val="24"/>
                        </w:rPr>
                      </w:pPr>
                      <w:r w:rsidRPr="00CB16F6">
                        <w:rPr>
                          <w:rFonts w:ascii="Arial" w:hAnsi="Arial"/>
                          <w:color w:val="FFFFFF"/>
                          <w:kern w:val="24"/>
                        </w:rPr>
                        <w:t>Measure the flow of ecosystem services to people</w:t>
                      </w:r>
                    </w:p>
                    <w:p w14:paraId="54DD9438" w14:textId="77777777" w:rsidR="00046C2E" w:rsidRDefault="00046C2E" w:rsidP="00046C2E">
                      <w:pPr>
                        <w:jc w:val="center"/>
                      </w:pPr>
                    </w:p>
                  </w:txbxContent>
                </v:textbox>
                <w10:wrap anchorx="margin"/>
              </v:roundrect>
            </w:pict>
          </mc:Fallback>
        </mc:AlternateContent>
      </w:r>
      <w:r w:rsidR="00B21991" w:rsidRPr="00FB15DB">
        <w:rPr>
          <w:rFonts w:eastAsia="Calibri"/>
        </w:rPr>
        <w:t xml:space="preserve"> </w:t>
      </w:r>
    </w:p>
    <w:p w14:paraId="6BEDCC95" w14:textId="503E372F" w:rsidR="00B21991" w:rsidRPr="00FB15DB" w:rsidRDefault="00B21991" w:rsidP="00B21991">
      <w:pPr>
        <w:pStyle w:val="BodyText"/>
        <w:rPr>
          <w:rFonts w:eastAsia="Calibri"/>
        </w:rPr>
      </w:pPr>
    </w:p>
    <w:p w14:paraId="1CCE720F" w14:textId="6B6A4400" w:rsidR="00B21991" w:rsidRPr="00FB15DB" w:rsidRDefault="00B21991" w:rsidP="00B21991">
      <w:pPr>
        <w:pStyle w:val="BodyText"/>
        <w:rPr>
          <w:rFonts w:eastAsia="Calibri"/>
        </w:rPr>
      </w:pPr>
      <w:r w:rsidRPr="00FB15DB">
        <w:rPr>
          <w:rFonts w:eastAsia="Calibri"/>
          <w:noProof/>
        </w:rPr>
        <mc:AlternateContent>
          <mc:Choice Requires="wps">
            <w:drawing>
              <wp:anchor distT="0" distB="0" distL="114300" distR="114300" simplePos="0" relativeHeight="251658289" behindDoc="0" locked="0" layoutInCell="1" allowOverlap="1" wp14:anchorId="7AA0CE81" wp14:editId="3A5126DC">
                <wp:simplePos x="0" y="0"/>
                <wp:positionH relativeFrom="column">
                  <wp:posOffset>13077825</wp:posOffset>
                </wp:positionH>
                <wp:positionV relativeFrom="paragraph">
                  <wp:posOffset>67244</wp:posOffset>
                </wp:positionV>
                <wp:extent cx="659219" cy="10795"/>
                <wp:effectExtent l="0" t="0" r="26670" b="27305"/>
                <wp:wrapNone/>
                <wp:docPr id="1330001068" name="Straight Connector 1330001068"/>
                <wp:cNvGraphicFramePr/>
                <a:graphic xmlns:a="http://schemas.openxmlformats.org/drawingml/2006/main">
                  <a:graphicData uri="http://schemas.microsoft.com/office/word/2010/wordprocessingShape">
                    <wps:wsp>
                      <wps:cNvCnPr/>
                      <wps:spPr>
                        <a:xfrm>
                          <a:off x="0" y="0"/>
                          <a:ext cx="659219" cy="10795"/>
                        </a:xfrm>
                        <a:prstGeom prst="line">
                          <a:avLst/>
                        </a:prstGeom>
                        <a:noFill/>
                        <a:ln w="6350" cap="flat" cmpd="sng" algn="ctr">
                          <a:solidFill>
                            <a:sysClr val="window" lastClr="FFFFFF">
                              <a:lumMod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D917B09" id="Straight Connector 1330001068" o:spid="_x0000_s1026" style="position:absolute;z-index:251658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29.75pt,5.3pt" to="1081.65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" strokecolor="#7f7f7f" strokeweight=".5pt">
                <v:stroke joinstyle="miter"/>
              </v:line>
            </w:pict>
          </mc:Fallback>
        </mc:AlternateContent>
      </w:r>
    </w:p>
    <w:p w14:paraId="36FA671E" w14:textId="0D7C21CE" w:rsidR="00B21991" w:rsidRPr="00FB15DB" w:rsidRDefault="00B21991" w:rsidP="00B21991">
      <w:pPr>
        <w:pStyle w:val="BodyText"/>
        <w:rPr>
          <w:rFonts w:eastAsia="Calibri"/>
        </w:rPr>
      </w:pPr>
    </w:p>
    <w:p w14:paraId="3F52B02E" w14:textId="2E30A0E9" w:rsidR="00B21991" w:rsidRPr="00FB15DB" w:rsidRDefault="00F278A2" w:rsidP="00B21991">
      <w:pPr>
        <w:pStyle w:val="BodyText"/>
        <w:rPr>
          <w:rFonts w:eastAsia="Calibri"/>
        </w:rPr>
      </w:pPr>
      <w:r w:rsidRPr="00FB15DB">
        <w:rPr>
          <w:rFonts w:eastAsia="Calibri"/>
          <w:noProof/>
        </w:rPr>
        <mc:AlternateContent>
          <mc:Choice Requires="wps">
            <w:drawing>
              <wp:anchor distT="45720" distB="45720" distL="114300" distR="114300" simplePos="0" relativeHeight="251658303" behindDoc="0" locked="0" layoutInCell="1" allowOverlap="1" wp14:anchorId="3E38E9AF" wp14:editId="2B93525D">
                <wp:simplePos x="0" y="0"/>
                <wp:positionH relativeFrom="margin">
                  <wp:posOffset>9975850</wp:posOffset>
                </wp:positionH>
                <wp:positionV relativeFrom="paragraph">
                  <wp:posOffset>107315</wp:posOffset>
                </wp:positionV>
                <wp:extent cx="3122930" cy="3249930"/>
                <wp:effectExtent l="0" t="0" r="20320" b="26670"/>
                <wp:wrapSquare wrapText="bothSides"/>
                <wp:docPr id="1330001142" name="Text Box 1330001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2930" cy="3249930"/>
                        </a:xfrm>
                        <a:prstGeom prst="rect">
                          <a:avLst/>
                        </a:prstGeom>
                        <a:solidFill>
                          <a:srgbClr val="0070C0">
                            <a:lumMod val="20000"/>
                            <a:lumOff val="80000"/>
                          </a:srgbClr>
                        </a:solidFill>
                        <a:ln w="9525">
                          <a:solidFill>
                            <a:srgbClr val="0070C0"/>
                          </a:solidFill>
                          <a:miter lim="800000"/>
                          <a:headEnd/>
                          <a:tailEnd/>
                        </a:ln>
                      </wps:spPr>
                      <wps:txbx>
                        <w:txbxContent>
                          <w:p w14:paraId="0D116266" w14:textId="77777777" w:rsidR="00B21991" w:rsidRDefault="00B21991" w:rsidP="00BD53DA">
                            <w:pPr>
                              <w:pStyle w:val="ListBullet"/>
                            </w:pPr>
                            <w:r>
                              <w:t xml:space="preserve">Evidence </w:t>
                            </w:r>
                            <w:r w:rsidRPr="007E14CA">
                              <w:t>on the current physical quantities and values ($) of key ecosystem services</w:t>
                            </w:r>
                            <w:r>
                              <w:t xml:space="preserve"> produced and their distribution </w:t>
                            </w:r>
                          </w:p>
                          <w:p w14:paraId="52184C8D" w14:textId="77777777" w:rsidR="00B21991" w:rsidRDefault="00B21991" w:rsidP="00BD53DA">
                            <w:pPr>
                              <w:pStyle w:val="ListBullet"/>
                            </w:pPr>
                            <w:r>
                              <w:t>I</w:t>
                            </w:r>
                            <w:r w:rsidRPr="000E36BA">
                              <w:t>nput</w:t>
                            </w:r>
                            <w:r>
                              <w:t xml:space="preserve"> </w:t>
                            </w:r>
                            <w:r w:rsidRPr="000E36BA">
                              <w:t>to business case</w:t>
                            </w:r>
                            <w:r>
                              <w:t>s</w:t>
                            </w:r>
                            <w:r w:rsidRPr="000E36BA">
                              <w:t xml:space="preserve"> </w:t>
                            </w:r>
                            <w:r>
                              <w:t>seeking action and/or</w:t>
                            </w:r>
                            <w:r w:rsidRPr="000E36BA">
                              <w:t xml:space="preserve"> investment to maintain </w:t>
                            </w:r>
                            <w:r>
                              <w:t xml:space="preserve">ecosystem </w:t>
                            </w:r>
                            <w:r w:rsidRPr="000E36BA">
                              <w:t xml:space="preserve">extent and condition </w:t>
                            </w:r>
                          </w:p>
                          <w:p w14:paraId="1C2C433A" w14:textId="77777777" w:rsidR="00B21991" w:rsidRPr="00CF7219" w:rsidRDefault="00B21991" w:rsidP="00BD53DA">
                            <w:pPr>
                              <w:pStyle w:val="ListBullet"/>
                              <w:rPr>
                                <w:i/>
                                <w:iCs/>
                              </w:rPr>
                            </w:pPr>
                            <w:r w:rsidRPr="00CF7219">
                              <w:rPr>
                                <w:i/>
                                <w:iCs/>
                              </w:rPr>
                              <w:t xml:space="preserve">Monitoring and reporting on management effectiveness in </w:t>
                            </w:r>
                            <w:r>
                              <w:rPr>
                                <w:i/>
                                <w:iCs/>
                              </w:rPr>
                              <w:t>delivering</w:t>
                            </w:r>
                            <w:r w:rsidRPr="00CF7219">
                              <w:rPr>
                                <w:i/>
                                <w:iCs/>
                              </w:rPr>
                              <w:t xml:space="preserve"> ecosystem service flows</w:t>
                            </w:r>
                          </w:p>
                          <w:p w14:paraId="69C2A6D6" w14:textId="77777777" w:rsidR="00B21991" w:rsidRPr="00CF7219" w:rsidRDefault="00B21991" w:rsidP="00BD53DA">
                            <w:pPr>
                              <w:pStyle w:val="ListBullet"/>
                              <w:rPr>
                                <w:i/>
                                <w:iCs/>
                              </w:rPr>
                            </w:pPr>
                            <w:r w:rsidRPr="00CF7219">
                              <w:rPr>
                                <w:i/>
                                <w:iCs/>
                              </w:rPr>
                              <w:t xml:space="preserve">Assessing the potential magnitude and value of ecosystem service losses associated with future pressures and risks </w:t>
                            </w:r>
                          </w:p>
                          <w:p w14:paraId="425365C7" w14:textId="77777777" w:rsidR="00B21991" w:rsidRDefault="00B21991" w:rsidP="00BD53DA">
                            <w:pPr>
                              <w:pStyle w:val="ListBullet"/>
                              <w:rPr>
                                <w:i/>
                                <w:iCs/>
                              </w:rPr>
                            </w:pPr>
                            <w:r w:rsidRPr="00427D0F">
                              <w:rPr>
                                <w:i/>
                                <w:iCs/>
                              </w:rPr>
                              <w:t xml:space="preserve">Building the business case for investment to </w:t>
                            </w:r>
                            <w:r w:rsidRPr="00427D0F">
                              <w:rPr>
                                <w:i/>
                                <w:iCs/>
                                <w:u w:val="single"/>
                              </w:rPr>
                              <w:t>expand</w:t>
                            </w:r>
                            <w:r w:rsidRPr="00427D0F">
                              <w:rPr>
                                <w:i/>
                                <w:iCs/>
                              </w:rPr>
                              <w:t xml:space="preserve"> ecosystem assets in the region</w:t>
                            </w:r>
                          </w:p>
                          <w:p w14:paraId="4ED536A5" w14:textId="77777777" w:rsidR="00B21991" w:rsidRPr="00427D0F" w:rsidRDefault="00B21991" w:rsidP="00BD53DA">
                            <w:pPr>
                              <w:pStyle w:val="ListBullet"/>
                              <w:rPr>
                                <w:i/>
                                <w:iCs/>
                              </w:rPr>
                            </w:pPr>
                            <w:r>
                              <w:rPr>
                                <w:i/>
                                <w:iCs/>
                              </w:rPr>
                              <w:t>E</w:t>
                            </w:r>
                            <w:r w:rsidRPr="00D1109A">
                              <w:rPr>
                                <w:i/>
                                <w:iCs/>
                              </w:rPr>
                              <w:t>stimating the long-term (capitalised asset) value ($) of ecosystems by projecting future ecosystem service flows and values</w:t>
                            </w:r>
                            <w:r>
                              <w:rPr>
                                <w:i/>
                                <w:iCs/>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38E9AF" id="Text Box 1330001142" o:spid="_x0000_s1044" type="#_x0000_t202" style="position:absolute;margin-left:785.5pt;margin-top:8.45pt;width:245.9pt;height:255.9pt;z-index:25165830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" fillcolor="#bfe4ff" strokecolor="#0070c0">
                <v:textbox>
                  <w:txbxContent>
                    <w:p w14:paraId="0D116266" w14:textId="77777777" w:rsidR="00B21991" w:rsidRDefault="00B21991" w:rsidP="00BD53DA">
                      <w:pPr>
                        <w:pStyle w:val="ListBullet"/>
                      </w:pPr>
                      <w:r>
                        <w:t xml:space="preserve">Evidence </w:t>
                      </w:r>
                      <w:r w:rsidRPr="007E14CA">
                        <w:t>on the current physical quantities and values ($) of key ecosystem services</w:t>
                      </w:r>
                      <w:r>
                        <w:t xml:space="preserve"> produced and their distribution </w:t>
                      </w:r>
                    </w:p>
                    <w:p w14:paraId="52184C8D" w14:textId="77777777" w:rsidR="00B21991" w:rsidRDefault="00B21991" w:rsidP="00BD53DA">
                      <w:pPr>
                        <w:pStyle w:val="ListBullet"/>
                      </w:pPr>
                      <w:r>
                        <w:t>I</w:t>
                      </w:r>
                      <w:r w:rsidRPr="000E36BA">
                        <w:t>nput</w:t>
                      </w:r>
                      <w:r>
                        <w:t xml:space="preserve"> </w:t>
                      </w:r>
                      <w:r w:rsidRPr="000E36BA">
                        <w:t>to business case</w:t>
                      </w:r>
                      <w:r>
                        <w:t>s</w:t>
                      </w:r>
                      <w:r w:rsidRPr="000E36BA">
                        <w:t xml:space="preserve"> </w:t>
                      </w:r>
                      <w:r>
                        <w:t>seeking action and/or</w:t>
                      </w:r>
                      <w:r w:rsidRPr="000E36BA">
                        <w:t xml:space="preserve"> investment to maintain </w:t>
                      </w:r>
                      <w:r>
                        <w:t xml:space="preserve">ecosystem </w:t>
                      </w:r>
                      <w:r w:rsidRPr="000E36BA">
                        <w:t xml:space="preserve">extent and condition </w:t>
                      </w:r>
                    </w:p>
                    <w:p w14:paraId="1C2C433A" w14:textId="77777777" w:rsidR="00B21991" w:rsidRPr="00CF7219" w:rsidRDefault="00B21991" w:rsidP="00BD53DA">
                      <w:pPr>
                        <w:pStyle w:val="ListBullet"/>
                        <w:rPr>
                          <w:i/>
                          <w:iCs/>
                        </w:rPr>
                      </w:pPr>
                      <w:r w:rsidRPr="00CF7219">
                        <w:rPr>
                          <w:i/>
                          <w:iCs/>
                        </w:rPr>
                        <w:t xml:space="preserve">Monitoring and reporting on management effectiveness in </w:t>
                      </w:r>
                      <w:r>
                        <w:rPr>
                          <w:i/>
                          <w:iCs/>
                        </w:rPr>
                        <w:t>delivering</w:t>
                      </w:r>
                      <w:r w:rsidRPr="00CF7219">
                        <w:rPr>
                          <w:i/>
                          <w:iCs/>
                        </w:rPr>
                        <w:t xml:space="preserve"> ecosystem service flows</w:t>
                      </w:r>
                    </w:p>
                    <w:p w14:paraId="69C2A6D6" w14:textId="77777777" w:rsidR="00B21991" w:rsidRPr="00CF7219" w:rsidRDefault="00B21991" w:rsidP="00BD53DA">
                      <w:pPr>
                        <w:pStyle w:val="ListBullet"/>
                        <w:rPr>
                          <w:i/>
                          <w:iCs/>
                        </w:rPr>
                      </w:pPr>
                      <w:r w:rsidRPr="00CF7219">
                        <w:rPr>
                          <w:i/>
                          <w:iCs/>
                        </w:rPr>
                        <w:t xml:space="preserve">Assessing the potential magnitude and value of ecosystem service losses associated with future pressures and risks </w:t>
                      </w:r>
                    </w:p>
                    <w:p w14:paraId="425365C7" w14:textId="77777777" w:rsidR="00B21991" w:rsidRDefault="00B21991" w:rsidP="00BD53DA">
                      <w:pPr>
                        <w:pStyle w:val="ListBullet"/>
                        <w:rPr>
                          <w:i/>
                          <w:iCs/>
                        </w:rPr>
                      </w:pPr>
                      <w:r w:rsidRPr="00427D0F">
                        <w:rPr>
                          <w:i/>
                          <w:iCs/>
                        </w:rPr>
                        <w:t xml:space="preserve">Building the business case for investment to </w:t>
                      </w:r>
                      <w:r w:rsidRPr="00427D0F">
                        <w:rPr>
                          <w:i/>
                          <w:iCs/>
                          <w:u w:val="single"/>
                        </w:rPr>
                        <w:t>expand</w:t>
                      </w:r>
                      <w:r w:rsidRPr="00427D0F">
                        <w:rPr>
                          <w:i/>
                          <w:iCs/>
                        </w:rPr>
                        <w:t xml:space="preserve"> ecosystem assets in the region</w:t>
                      </w:r>
                    </w:p>
                    <w:p w14:paraId="4ED536A5" w14:textId="77777777" w:rsidR="00B21991" w:rsidRPr="00427D0F" w:rsidRDefault="00B21991" w:rsidP="00BD53DA">
                      <w:pPr>
                        <w:pStyle w:val="ListBullet"/>
                        <w:rPr>
                          <w:i/>
                          <w:iCs/>
                        </w:rPr>
                      </w:pPr>
                      <w:r>
                        <w:rPr>
                          <w:i/>
                          <w:iCs/>
                        </w:rPr>
                        <w:t>E</w:t>
                      </w:r>
                      <w:r w:rsidRPr="00D1109A">
                        <w:rPr>
                          <w:i/>
                          <w:iCs/>
                        </w:rPr>
                        <w:t>stimating the long-term (capitalised asset) value ($) of ecosystems by projecting future ecosystem service flows and values</w:t>
                      </w:r>
                      <w:r>
                        <w:rPr>
                          <w:i/>
                          <w:iCs/>
                        </w:rPr>
                        <w:t xml:space="preserve"> </w:t>
                      </w:r>
                    </w:p>
                  </w:txbxContent>
                </v:textbox>
                <w10:wrap type="square" anchorx="margin"/>
              </v:shape>
            </w:pict>
          </mc:Fallback>
        </mc:AlternateContent>
      </w:r>
    </w:p>
    <w:p w14:paraId="623DBD16" w14:textId="10076306" w:rsidR="00B21991" w:rsidRPr="00FB15DB" w:rsidRDefault="00B21991" w:rsidP="00B21991">
      <w:pPr>
        <w:pStyle w:val="BodyText"/>
        <w:rPr>
          <w:rFonts w:eastAsia="Calibri"/>
        </w:rPr>
      </w:pPr>
    </w:p>
    <w:p w14:paraId="758BCFCD" w14:textId="334B26BA" w:rsidR="00B21991" w:rsidRPr="00FB15DB" w:rsidRDefault="00B21991" w:rsidP="00B21991">
      <w:pPr>
        <w:pStyle w:val="BodyText"/>
        <w:rPr>
          <w:rFonts w:eastAsia="Calibri"/>
        </w:rPr>
      </w:pPr>
    </w:p>
    <w:p w14:paraId="0FAFF15F" w14:textId="560CFE5A" w:rsidR="00B21991" w:rsidRPr="00FB15DB" w:rsidRDefault="00B21991" w:rsidP="00B21991">
      <w:pPr>
        <w:pStyle w:val="BodyText"/>
        <w:rPr>
          <w:rFonts w:eastAsia="Calibri"/>
        </w:rPr>
      </w:pPr>
    </w:p>
    <w:p w14:paraId="6BCB93C3" w14:textId="796B2BB5" w:rsidR="00B21991" w:rsidRPr="00FB15DB" w:rsidRDefault="00B21991" w:rsidP="00B21991">
      <w:pPr>
        <w:pStyle w:val="BodyText"/>
        <w:rPr>
          <w:rFonts w:eastAsia="Calibri"/>
        </w:rPr>
      </w:pPr>
    </w:p>
    <w:p w14:paraId="7BF0A043" w14:textId="4B77A92D" w:rsidR="00B21991" w:rsidRPr="00FB15DB" w:rsidRDefault="00B21991" w:rsidP="00B21991">
      <w:pPr>
        <w:pStyle w:val="BodyText"/>
        <w:rPr>
          <w:rFonts w:eastAsia="Calibri"/>
        </w:rPr>
      </w:pPr>
    </w:p>
    <w:p w14:paraId="5941376E" w14:textId="1DB7F188" w:rsidR="00B21991" w:rsidRPr="00FB15DB" w:rsidRDefault="00B21991" w:rsidP="00B21991">
      <w:pPr>
        <w:pStyle w:val="BodyText"/>
        <w:rPr>
          <w:rFonts w:eastAsia="Calibri"/>
        </w:rPr>
      </w:pPr>
    </w:p>
    <w:p w14:paraId="35F85200" w14:textId="0267D653" w:rsidR="00B21991" w:rsidRPr="00FB15DB" w:rsidRDefault="00F278A2" w:rsidP="00B21991">
      <w:pPr>
        <w:pStyle w:val="BodyText"/>
        <w:rPr>
          <w:rFonts w:eastAsia="Calibri"/>
        </w:rPr>
      </w:pPr>
      <w:r w:rsidRPr="00FB15DB">
        <w:rPr>
          <w:rFonts w:eastAsia="Calibri"/>
          <w:noProof/>
        </w:rPr>
        <mc:AlternateContent>
          <mc:Choice Requires="wps">
            <w:drawing>
              <wp:anchor distT="0" distB="0" distL="114300" distR="114300" simplePos="0" relativeHeight="251658302" behindDoc="0" locked="0" layoutInCell="1" allowOverlap="1" wp14:anchorId="1A11E801" wp14:editId="43CD0706">
                <wp:simplePos x="0" y="0"/>
                <wp:positionH relativeFrom="margin">
                  <wp:posOffset>12914059</wp:posOffset>
                </wp:positionH>
                <wp:positionV relativeFrom="paragraph">
                  <wp:posOffset>102870</wp:posOffset>
                </wp:positionV>
                <wp:extent cx="749300" cy="6350"/>
                <wp:effectExtent l="0" t="0" r="31750" b="31750"/>
                <wp:wrapNone/>
                <wp:docPr id="67" name="Straight Connector 67"/>
                <wp:cNvGraphicFramePr/>
                <a:graphic xmlns:a="http://schemas.openxmlformats.org/drawingml/2006/main">
                  <a:graphicData uri="http://schemas.microsoft.com/office/word/2010/wordprocessingShape">
                    <wps:wsp>
                      <wps:cNvCnPr/>
                      <wps:spPr>
                        <a:xfrm flipV="1">
                          <a:off x="0" y="0"/>
                          <a:ext cx="749300" cy="6350"/>
                        </a:xfrm>
                        <a:prstGeom prst="line">
                          <a:avLst/>
                        </a:prstGeom>
                        <a:noFill/>
                        <a:ln w="6350" cap="flat" cmpd="sng" algn="ctr">
                          <a:solidFill>
                            <a:sysClr val="window" lastClr="FFFFFF">
                              <a:lumMod val="65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CC58C4E" id="Straight Connector 67" o:spid="_x0000_s1026" style="position:absolute;flip:y;z-index:2516583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016.85pt,8.1pt" to="1075.85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" strokecolor="#a6a6a6" strokeweight=".5pt">
                <v:stroke joinstyle="miter"/>
                <w10:wrap anchorx="margin"/>
              </v:line>
            </w:pict>
          </mc:Fallback>
        </mc:AlternateContent>
      </w:r>
    </w:p>
    <w:p w14:paraId="126E9814" w14:textId="47FC439B" w:rsidR="00B21991" w:rsidRPr="00FB15DB" w:rsidRDefault="00BD53DA" w:rsidP="00B21991">
      <w:pPr>
        <w:pStyle w:val="BodyText"/>
        <w:rPr>
          <w:rFonts w:eastAsia="Calibri"/>
        </w:rPr>
      </w:pPr>
      <w:r w:rsidRPr="00FB15DB">
        <w:rPr>
          <w:noProof/>
        </w:rPr>
        <w:drawing>
          <wp:anchor distT="0" distB="0" distL="114300" distR="114300" simplePos="0" relativeHeight="251658291" behindDoc="0" locked="0" layoutInCell="1" allowOverlap="1" wp14:anchorId="03CB3CDE" wp14:editId="47C7182F">
            <wp:simplePos x="0" y="0"/>
            <wp:positionH relativeFrom="margin">
              <wp:posOffset>2332990</wp:posOffset>
            </wp:positionH>
            <wp:positionV relativeFrom="paragraph">
              <wp:posOffset>232410</wp:posOffset>
            </wp:positionV>
            <wp:extent cx="7556500" cy="3740150"/>
            <wp:effectExtent l="0" t="0" r="6350" b="0"/>
            <wp:wrapSquare wrapText="bothSides"/>
            <wp:docPr id="1330001280" name="Picture 133000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email">
                      <a:extLst>
                        <a:ext uri="{28A0092B-C50C-407E-A947-70E740481C1C}">
                          <a14:useLocalDpi xmlns:a14="http://schemas.microsoft.com/office/drawing/2010/main"/>
                        </a:ext>
                      </a:extLst>
                    </a:blip>
                    <a:stretch>
                      <a:fillRect/>
                    </a:stretch>
                  </pic:blipFill>
                  <pic:spPr>
                    <a:xfrm>
                      <a:off x="0" y="0"/>
                      <a:ext cx="7556500" cy="3740150"/>
                    </a:xfrm>
                    <a:prstGeom prst="rect">
                      <a:avLst/>
                    </a:prstGeom>
                  </pic:spPr>
                </pic:pic>
              </a:graphicData>
            </a:graphic>
            <wp14:sizeRelH relativeFrom="margin">
              <wp14:pctWidth>0</wp14:pctWidth>
            </wp14:sizeRelH>
            <wp14:sizeRelV relativeFrom="margin">
              <wp14:pctHeight>0</wp14:pctHeight>
            </wp14:sizeRelV>
          </wp:anchor>
        </w:drawing>
      </w:r>
      <w:r w:rsidR="002F43BF" w:rsidRPr="00FB15DB">
        <w:rPr>
          <w:rFonts w:eastAsia="Calibri"/>
          <w:noProof/>
        </w:rPr>
        <mc:AlternateContent>
          <mc:Choice Requires="wps">
            <w:drawing>
              <wp:anchor distT="0" distB="0" distL="114300" distR="114300" simplePos="0" relativeHeight="251658284" behindDoc="0" locked="0" layoutInCell="1" allowOverlap="1" wp14:anchorId="74510218" wp14:editId="35C6D33D">
                <wp:simplePos x="0" y="0"/>
                <wp:positionH relativeFrom="column">
                  <wp:posOffset>-909638</wp:posOffset>
                </wp:positionH>
                <wp:positionV relativeFrom="paragraph">
                  <wp:posOffset>170498</wp:posOffset>
                </wp:positionV>
                <wp:extent cx="3742055" cy="276860"/>
                <wp:effectExtent l="0" t="952" r="0" b="0"/>
                <wp:wrapNone/>
                <wp:docPr id="1330001143" name="Arrow: Right 1330001143"/>
                <wp:cNvGraphicFramePr/>
                <a:graphic xmlns:a="http://schemas.openxmlformats.org/drawingml/2006/main">
                  <a:graphicData uri="http://schemas.microsoft.com/office/word/2010/wordprocessingShape">
                    <wps:wsp>
                      <wps:cNvSpPr/>
                      <wps:spPr>
                        <a:xfrm rot="5400000">
                          <a:off x="0" y="0"/>
                          <a:ext cx="3742055" cy="276860"/>
                        </a:xfrm>
                        <a:prstGeom prst="rightArrow">
                          <a:avLst>
                            <a:gd name="adj1" fmla="val 60000"/>
                            <a:gd name="adj2" fmla="val 50000"/>
                          </a:avLst>
                        </a:prstGeom>
                        <a:solidFill>
                          <a:sysClr val="window" lastClr="FFFFFF">
                            <a:lumMod val="65000"/>
                          </a:sysClr>
                        </a:solidFill>
                        <a:ln>
                          <a:noFill/>
                        </a:ln>
                        <a:effectLst/>
                      </wps:spPr>
                      <wps:bodyPr/>
                    </wps:wsp>
                  </a:graphicData>
                </a:graphic>
                <wp14:sizeRelH relativeFrom="margin">
                  <wp14:pctWidth>0</wp14:pctWidth>
                </wp14:sizeRelH>
                <wp14:sizeRelV relativeFrom="margin">
                  <wp14:pctHeight>0</wp14:pctHeight>
                </wp14:sizeRelV>
              </wp:anchor>
            </w:drawing>
          </mc:Choice>
          <mc:Fallback>
            <w:pict>
              <v:shape w14:anchorId="367A59AE" id="Arrow: Right 1330001143" o:spid="_x0000_s1026" type="#_x0000_t13" style="position:absolute;margin-left:-71.65pt;margin-top:13.45pt;width:294.65pt;height:21.8pt;rotation:90;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" adj="20801,4320" fillcolor="#a6a6a6" stroked="f"/>
            </w:pict>
          </mc:Fallback>
        </mc:AlternateContent>
      </w:r>
      <w:r w:rsidR="00B21991" w:rsidRPr="00FB15DB">
        <w:rPr>
          <w:rFonts w:eastAsia="Calibri"/>
        </w:rPr>
        <w:t xml:space="preserve"> </w:t>
      </w:r>
    </w:p>
    <w:p w14:paraId="37CCF515" w14:textId="267129DD" w:rsidR="00B21991" w:rsidRPr="00FB15DB" w:rsidRDefault="00B21991" w:rsidP="00B21991">
      <w:pPr>
        <w:pStyle w:val="BodyText"/>
      </w:pPr>
    </w:p>
    <w:p w14:paraId="4CE2FAD9" w14:textId="196A0972" w:rsidR="00B21991" w:rsidRPr="00FB15DB" w:rsidRDefault="00B21991" w:rsidP="00B21991">
      <w:pPr>
        <w:pStyle w:val="BodyText"/>
      </w:pPr>
    </w:p>
    <w:p w14:paraId="3ABE36F7" w14:textId="13F92678" w:rsidR="00B21991" w:rsidRPr="00FB15DB" w:rsidRDefault="002F43BF" w:rsidP="00B21991">
      <w:pPr>
        <w:pStyle w:val="BodyText"/>
      </w:pPr>
      <w:r>
        <w:rPr>
          <w:rFonts w:eastAsia="Calibri"/>
          <w:noProof/>
        </w:rPr>
        <mc:AlternateContent>
          <mc:Choice Requires="wps">
            <w:drawing>
              <wp:anchor distT="0" distB="0" distL="114300" distR="114300" simplePos="0" relativeHeight="251658285" behindDoc="0" locked="0" layoutInCell="1" allowOverlap="1" wp14:anchorId="2A861CEF" wp14:editId="27A28A07">
                <wp:simplePos x="0" y="0"/>
                <wp:positionH relativeFrom="column">
                  <wp:posOffset>31750</wp:posOffset>
                </wp:positionH>
                <wp:positionV relativeFrom="paragraph">
                  <wp:posOffset>1531620</wp:posOffset>
                </wp:positionV>
                <wp:extent cx="1853565" cy="856615"/>
                <wp:effectExtent l="0" t="0" r="13335" b="19685"/>
                <wp:wrapNone/>
                <wp:docPr id="1330001145" name="Rectangle: Rounded Corners 1330001145"/>
                <wp:cNvGraphicFramePr/>
                <a:graphic xmlns:a="http://schemas.openxmlformats.org/drawingml/2006/main">
                  <a:graphicData uri="http://schemas.microsoft.com/office/word/2010/wordprocessingShape">
                    <wps:wsp>
                      <wps:cNvSpPr/>
                      <wps:spPr>
                        <a:xfrm>
                          <a:off x="0" y="0"/>
                          <a:ext cx="1853565" cy="856615"/>
                        </a:xfrm>
                        <a:prstGeom prst="roundRect">
                          <a:avLst>
                            <a:gd name="adj" fmla="val 10000"/>
                          </a:avLst>
                        </a:prstGeom>
                        <a:solidFill>
                          <a:srgbClr val="00B2A9"/>
                        </a:solidFill>
                        <a:ln w="12700" cap="flat" cmpd="sng" algn="ctr">
                          <a:solidFill>
                            <a:sysClr val="window" lastClr="FFFFFF">
                              <a:hueOff val="0"/>
                              <a:satOff val="0"/>
                              <a:lumOff val="0"/>
                              <a:alphaOff val="0"/>
                            </a:sysClr>
                          </a:solidFill>
                          <a:prstDash val="solid"/>
                          <a:miter lim="800000"/>
                        </a:ln>
                        <a:effectLst/>
                      </wps:spPr>
                      <wps:txbx>
                        <w:txbxContent>
                          <w:p w14:paraId="359E5880" w14:textId="77777777" w:rsidR="002F43BF" w:rsidRPr="00CB16F6" w:rsidRDefault="002F43BF" w:rsidP="002F43BF">
                            <w:pPr>
                              <w:spacing w:after="109" w:line="273" w:lineRule="auto"/>
                              <w:jc w:val="center"/>
                              <w:textAlignment w:val="baseline"/>
                              <w:rPr>
                                <w:rFonts w:ascii="Arial" w:hAnsi="Arial"/>
                                <w:b/>
                                <w:bCs/>
                                <w:color w:val="FFFFFF"/>
                                <w:kern w:val="24"/>
                              </w:rPr>
                            </w:pPr>
                            <w:r w:rsidRPr="00CB16F6">
                              <w:rPr>
                                <w:rFonts w:ascii="Arial" w:hAnsi="Arial"/>
                                <w:b/>
                                <w:bCs/>
                                <w:color w:val="FFFFFF"/>
                                <w:kern w:val="24"/>
                              </w:rPr>
                              <w:t xml:space="preserve">Monetary flow </w:t>
                            </w:r>
                          </w:p>
                          <w:p w14:paraId="16B5F780" w14:textId="77777777" w:rsidR="002F43BF" w:rsidRPr="00CB16F6" w:rsidRDefault="002F43BF" w:rsidP="002F43BF">
                            <w:pPr>
                              <w:spacing w:after="109" w:line="273" w:lineRule="auto"/>
                              <w:jc w:val="center"/>
                              <w:textAlignment w:val="baseline"/>
                              <w:rPr>
                                <w:rFonts w:ascii="Arial" w:hAnsi="Arial"/>
                                <w:color w:val="FFFFFF"/>
                                <w:kern w:val="24"/>
                              </w:rPr>
                            </w:pPr>
                            <w:r w:rsidRPr="00CB16F6">
                              <w:rPr>
                                <w:rFonts w:ascii="Arial" w:hAnsi="Arial"/>
                                <w:color w:val="FFFFFF"/>
                                <w:kern w:val="24"/>
                              </w:rPr>
                              <w:t>Value ($) the benefits people receive</w:t>
                            </w:r>
                          </w:p>
                          <w:p w14:paraId="62BC30B6" w14:textId="77777777" w:rsidR="002F43BF" w:rsidRDefault="002F43BF" w:rsidP="002F43BF">
                            <w:pPr>
                              <w:jc w:val="center"/>
                            </w:pPr>
                          </w:p>
                        </w:txbxContent>
                      </wps:txbx>
                      <wps:bodyPr/>
                    </wps:wsp>
                  </a:graphicData>
                </a:graphic>
              </wp:anchor>
            </w:drawing>
          </mc:Choice>
          <mc:Fallback>
            <w:pict>
              <v:roundrect w14:anchorId="2A861CEF" id="Rectangle: Rounded Corners 1330001145" o:spid="_x0000_s1045" style="position:absolute;margin-left:2.5pt;margin-top:120.6pt;width:145.95pt;height:67.45pt;z-index:251658285;visibility:visible;mso-wrap-style:square;mso-wrap-distance-left:9pt;mso-wrap-distance-top:0;mso-wrap-distance-right:9pt;mso-wrap-distance-bottom:0;mso-position-horizontal:absolute;mso-position-horizontal-relative:text;mso-position-vertical:absolute;mso-position-vertical-relative:text;v-text-anchor:top" arcsize="655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" fillcolor="#00b2a9" strokecolor="white" strokeweight="1pt">
                <v:stroke joinstyle="miter"/>
                <v:textbox>
                  <w:txbxContent>
                    <w:p w14:paraId="359E5880" w14:textId="77777777" w:rsidR="002F43BF" w:rsidRPr="00CB16F6" w:rsidRDefault="002F43BF" w:rsidP="002F43BF">
                      <w:pPr>
                        <w:spacing w:after="109" w:line="273" w:lineRule="auto"/>
                        <w:jc w:val="center"/>
                        <w:textAlignment w:val="baseline"/>
                        <w:rPr>
                          <w:rFonts w:ascii="Arial" w:hAnsi="Arial"/>
                          <w:b/>
                          <w:bCs/>
                          <w:color w:val="FFFFFF"/>
                          <w:kern w:val="24"/>
                        </w:rPr>
                      </w:pPr>
                      <w:r w:rsidRPr="00CB16F6">
                        <w:rPr>
                          <w:rFonts w:ascii="Arial" w:hAnsi="Arial"/>
                          <w:b/>
                          <w:bCs/>
                          <w:color w:val="FFFFFF"/>
                          <w:kern w:val="24"/>
                        </w:rPr>
                        <w:t xml:space="preserve">Monetary flow </w:t>
                      </w:r>
                    </w:p>
                    <w:p w14:paraId="16B5F780" w14:textId="77777777" w:rsidR="002F43BF" w:rsidRPr="00CB16F6" w:rsidRDefault="002F43BF" w:rsidP="002F43BF">
                      <w:pPr>
                        <w:spacing w:after="109" w:line="273" w:lineRule="auto"/>
                        <w:jc w:val="center"/>
                        <w:textAlignment w:val="baseline"/>
                        <w:rPr>
                          <w:rFonts w:ascii="Arial" w:hAnsi="Arial"/>
                          <w:color w:val="FFFFFF"/>
                          <w:kern w:val="24"/>
                        </w:rPr>
                      </w:pPr>
                      <w:r w:rsidRPr="00CB16F6">
                        <w:rPr>
                          <w:rFonts w:ascii="Arial" w:hAnsi="Arial"/>
                          <w:color w:val="FFFFFF"/>
                          <w:kern w:val="24"/>
                        </w:rPr>
                        <w:t>Value ($) the benefits people receive</w:t>
                      </w:r>
                    </w:p>
                    <w:p w14:paraId="62BC30B6" w14:textId="77777777" w:rsidR="002F43BF" w:rsidRDefault="002F43BF" w:rsidP="002F43BF">
                      <w:pPr>
                        <w:jc w:val="center"/>
                      </w:pPr>
                    </w:p>
                  </w:txbxContent>
                </v:textbox>
              </v:roundrect>
            </w:pict>
          </mc:Fallback>
        </mc:AlternateContent>
      </w:r>
    </w:p>
    <w:p w14:paraId="2E4F7D4B" w14:textId="54F6A33A" w:rsidR="00B21991" w:rsidRPr="00FB15DB" w:rsidRDefault="00B21991" w:rsidP="00B21991">
      <w:pPr>
        <w:pStyle w:val="BodyText"/>
      </w:pPr>
    </w:p>
    <w:p w14:paraId="3A867EBD" w14:textId="508551EA" w:rsidR="00172E6A" w:rsidRDefault="00172E6A" w:rsidP="00B21991">
      <w:pPr>
        <w:pStyle w:val="BodyText"/>
      </w:pPr>
      <w:r>
        <w:br w:type="page"/>
      </w:r>
    </w:p>
    <w:p w14:paraId="7FFD1472" w14:textId="77777777" w:rsidR="00AD1681" w:rsidRDefault="00AD1681" w:rsidP="00172E6A">
      <w:pPr>
        <w:pStyle w:val="BodyText"/>
        <w:spacing w:before="6800"/>
        <w:sectPr w:rsidR="00AD1681" w:rsidSect="00E52A9A">
          <w:pgSz w:w="23811" w:h="16838" w:orient="landscape" w:code="8"/>
          <w:pgMar w:top="1134" w:right="1134" w:bottom="1134" w:left="1134" w:header="283" w:footer="283" w:gutter="0"/>
          <w:cols w:space="284"/>
          <w:docGrid w:linePitch="360"/>
        </w:sectPr>
      </w:pPr>
    </w:p>
    <w:p w14:paraId="5021CC61" w14:textId="29438E16" w:rsidR="00B21991" w:rsidRPr="00FB15DB" w:rsidRDefault="005C6C73" w:rsidP="005C6C73">
      <w:pPr>
        <w:pStyle w:val="BodyText"/>
        <w:spacing w:before="6400"/>
      </w:pPr>
      <w:r w:rsidRPr="00FB15DB">
        <w:rPr>
          <w:rFonts w:eastAsia="Calibri"/>
          <w:noProof/>
        </w:rPr>
        <w:lastRenderedPageBreak/>
        <mc:AlternateContent>
          <mc:Choice Requires="wps">
            <w:drawing>
              <wp:anchor distT="45720" distB="45720" distL="114300" distR="114300" simplePos="0" relativeHeight="251658296" behindDoc="0" locked="0" layoutInCell="1" allowOverlap="1" wp14:anchorId="0FAD7095" wp14:editId="44575222">
                <wp:simplePos x="0" y="0"/>
                <wp:positionH relativeFrom="margin">
                  <wp:posOffset>7306310</wp:posOffset>
                </wp:positionH>
                <wp:positionV relativeFrom="paragraph">
                  <wp:posOffset>2708910</wp:posOffset>
                </wp:positionV>
                <wp:extent cx="5586730" cy="457200"/>
                <wp:effectExtent l="0" t="0" r="13970" b="12700"/>
                <wp:wrapSquare wrapText="bothSides"/>
                <wp:docPr id="1330001298" name="Text Box 1330001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6730" cy="457200"/>
                        </a:xfrm>
                        <a:prstGeom prst="rect">
                          <a:avLst/>
                        </a:prstGeom>
                        <a:solidFill>
                          <a:srgbClr val="0070C0">
                            <a:lumMod val="20000"/>
                            <a:lumOff val="80000"/>
                          </a:srgbClr>
                        </a:solidFill>
                        <a:ln w="9525">
                          <a:solidFill>
                            <a:srgbClr val="0070C0"/>
                          </a:solidFill>
                          <a:miter lim="800000"/>
                          <a:headEnd/>
                          <a:tailEnd/>
                        </a:ln>
                      </wps:spPr>
                      <wps:txbx>
                        <w:txbxContent>
                          <w:p w14:paraId="1FD2AC37" w14:textId="77777777" w:rsidR="00B21991" w:rsidRPr="00C757D7" w:rsidRDefault="00B21991" w:rsidP="007F085C">
                            <w:pPr>
                              <w:pStyle w:val="ListBullet"/>
                            </w:pPr>
                            <w:r w:rsidRPr="00F02142">
                              <w:t xml:space="preserve">To acknowledge the values and goals that this Traditional Owner Group have for their lands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AD7095" id="Text Box 1330001298" o:spid="_x0000_s1046" type="#_x0000_t202" style="position:absolute;margin-left:575.3pt;margin-top:213.3pt;width:439.9pt;height:36pt;z-index:251658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" fillcolor="#bfe4ff" strokecolor="#0070c0">
                <v:textbox>
                  <w:txbxContent>
                    <w:p w14:paraId="1FD2AC37" w14:textId="77777777" w:rsidR="00B21991" w:rsidRPr="00C757D7" w:rsidRDefault="00B21991" w:rsidP="007F085C">
                      <w:pPr>
                        <w:pStyle w:val="ListBullet"/>
                      </w:pPr>
                      <w:r w:rsidRPr="00F02142">
                        <w:t xml:space="preserve">To acknowledge the values and goals that this Traditional Owner Group have for their lands </w:t>
                      </w:r>
                    </w:p>
                  </w:txbxContent>
                </v:textbox>
                <w10:wrap type="square" anchorx="margin"/>
              </v:shape>
            </w:pict>
          </mc:Fallback>
        </mc:AlternateContent>
      </w:r>
      <w:r>
        <w:rPr>
          <w:noProof/>
        </w:rPr>
        <mc:AlternateContent>
          <mc:Choice Requires="wpg">
            <w:drawing>
              <wp:anchor distT="0" distB="0" distL="114300" distR="114300" simplePos="0" relativeHeight="251658295" behindDoc="0" locked="0" layoutInCell="1" allowOverlap="1" wp14:anchorId="600B3EDC" wp14:editId="58C2CDA0">
                <wp:simplePos x="0" y="0"/>
                <wp:positionH relativeFrom="column">
                  <wp:posOffset>12893040</wp:posOffset>
                </wp:positionH>
                <wp:positionV relativeFrom="paragraph">
                  <wp:posOffset>1382395</wp:posOffset>
                </wp:positionV>
                <wp:extent cx="760730" cy="1638300"/>
                <wp:effectExtent l="0" t="0" r="13970" b="12700"/>
                <wp:wrapNone/>
                <wp:docPr id="1698259419" name="Group 1698259419"/>
                <wp:cNvGraphicFramePr/>
                <a:graphic xmlns:a="http://schemas.openxmlformats.org/drawingml/2006/main">
                  <a:graphicData uri="http://schemas.microsoft.com/office/word/2010/wordprocessingGroup">
                    <wpg:wgp>
                      <wpg:cNvGrpSpPr/>
                      <wpg:grpSpPr>
                        <a:xfrm>
                          <a:off x="0" y="0"/>
                          <a:ext cx="760730" cy="1638300"/>
                          <a:chOff x="0" y="0"/>
                          <a:chExt cx="761175" cy="1638547"/>
                        </a:xfrm>
                      </wpg:grpSpPr>
                      <wps:wsp>
                        <wps:cNvPr id="1330001301" name="Straight Connector 1330001301"/>
                        <wps:cNvCnPr/>
                        <wps:spPr>
                          <a:xfrm flipH="1">
                            <a:off x="749300" y="0"/>
                            <a:ext cx="11875" cy="1638547"/>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330001302" name="Straight Connector 1330001302"/>
                        <wps:cNvCnPr/>
                        <wps:spPr>
                          <a:xfrm>
                            <a:off x="0" y="1638300"/>
                            <a:ext cx="759460"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C9312D5" id="Group 1698259419" o:spid="_x0000_s1026" style="position:absolute;margin-left:1015.2pt;margin-top:108.85pt;width:59.9pt;height:129pt;z-index:251658295" coordsize="7611,16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">
                <v:line id="Straight Connector 1330001301" o:spid="_x0000_s1027" style="position:absolute;flip:x;visibility:visible;mso-wrap-style:square" from="7493,0" to="7611,16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" strokecolor="#7f7f7f [1612]"/>
                <v:line id="Straight Connector 1330001302" o:spid="_x0000_s1028" style="position:absolute;visibility:visible;mso-wrap-style:square" from="0,16383" to="7594,16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" strokecolor="#7f7f7f [1612]"/>
              </v:group>
            </w:pict>
          </mc:Fallback>
        </mc:AlternateContent>
      </w:r>
      <w:r w:rsidRPr="00190CC0">
        <w:rPr>
          <w:noProof/>
        </w:rPr>
        <w:drawing>
          <wp:anchor distT="0" distB="0" distL="114300" distR="114300" simplePos="0" relativeHeight="251658328" behindDoc="0" locked="0" layoutInCell="1" allowOverlap="1" wp14:anchorId="48312D51" wp14:editId="55CA2A56">
            <wp:simplePos x="0" y="0"/>
            <wp:positionH relativeFrom="column">
              <wp:posOffset>3051810</wp:posOffset>
            </wp:positionH>
            <wp:positionV relativeFrom="paragraph">
              <wp:posOffset>1555750</wp:posOffset>
            </wp:positionV>
            <wp:extent cx="3981450" cy="2812415"/>
            <wp:effectExtent l="0" t="0" r="6350" b="0"/>
            <wp:wrapSquare wrapText="bothSides"/>
            <wp:docPr id="1330001293" name="Picture 1330001293" descr="A beach with a body of water and hi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001293" name="Picture 1330001293" descr="A beach with a body of water and hills&#10;&#10;Description automatically generated"/>
                    <pic:cNvPicPr/>
                  </pic:nvPicPr>
                  <pic:blipFill>
                    <a:blip r:embed="rId63" cstate="email">
                      <a:extLst>
                        <a:ext uri="{28A0092B-C50C-407E-A947-70E740481C1C}">
                          <a14:useLocalDpi xmlns:a14="http://schemas.microsoft.com/office/drawing/2010/main"/>
                        </a:ext>
                      </a:extLst>
                    </a:blip>
                    <a:stretch>
                      <a:fillRect/>
                    </a:stretch>
                  </pic:blipFill>
                  <pic:spPr>
                    <a:xfrm>
                      <a:off x="0" y="0"/>
                      <a:ext cx="3981450" cy="281241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658327" behindDoc="0" locked="0" layoutInCell="1" allowOverlap="1" wp14:anchorId="01473B88" wp14:editId="0F088B06">
                <wp:simplePos x="0" y="0"/>
                <wp:positionH relativeFrom="column">
                  <wp:posOffset>423545</wp:posOffset>
                </wp:positionH>
                <wp:positionV relativeFrom="paragraph">
                  <wp:posOffset>219710</wp:posOffset>
                </wp:positionV>
                <wp:extent cx="9706610" cy="8337370"/>
                <wp:effectExtent l="0" t="0" r="0" b="6985"/>
                <wp:wrapNone/>
                <wp:docPr id="1708140513" name="Group 1708140513"/>
                <wp:cNvGraphicFramePr/>
                <a:graphic xmlns:a="http://schemas.openxmlformats.org/drawingml/2006/main">
                  <a:graphicData uri="http://schemas.microsoft.com/office/word/2010/wordprocessingGroup">
                    <wpg:wgp>
                      <wpg:cNvGrpSpPr/>
                      <wpg:grpSpPr>
                        <a:xfrm>
                          <a:off x="0" y="0"/>
                          <a:ext cx="9706610" cy="8337370"/>
                          <a:chOff x="0" y="0"/>
                          <a:chExt cx="9706610" cy="8337370"/>
                        </a:xfrm>
                      </wpg:grpSpPr>
                      <wpg:grpSp>
                        <wpg:cNvPr id="439805363" name="Group 1"/>
                        <wpg:cNvGrpSpPr/>
                        <wpg:grpSpPr>
                          <a:xfrm>
                            <a:off x="0" y="1333500"/>
                            <a:ext cx="2349500" cy="7003870"/>
                            <a:chOff x="0" y="0"/>
                            <a:chExt cx="2349500" cy="7003870"/>
                          </a:xfrm>
                        </wpg:grpSpPr>
                        <wps:wsp>
                          <wps:cNvPr id="1542692274" name="Rectangle: Rounded Corners 1330001289"/>
                          <wps:cNvSpPr/>
                          <wps:spPr>
                            <a:xfrm>
                              <a:off x="0" y="0"/>
                              <a:ext cx="2349500" cy="7003870"/>
                            </a:xfrm>
                            <a:prstGeom prst="roundRect">
                              <a:avLst>
                                <a:gd name="adj" fmla="val 10000"/>
                              </a:avLst>
                            </a:prstGeom>
                            <a:solidFill>
                              <a:sysClr val="window" lastClr="FFFFFF">
                                <a:lumMod val="85000"/>
                                <a:alpha val="85098"/>
                              </a:sysClr>
                            </a:solidFill>
                            <a:ln w="12700" cap="flat" cmpd="sng" algn="ctr">
                              <a:solidFill>
                                <a:sysClr val="window" lastClr="FFFFFF">
                                  <a:lumMod val="50000"/>
                                </a:sysClr>
                              </a:solidFill>
                              <a:prstDash val="solid"/>
                              <a:miter lim="800000"/>
                            </a:ln>
                            <a:effectLst/>
                          </wps:spPr>
                          <wps:bodyPr/>
                        </wps:wsp>
                        <wps:wsp>
                          <wps:cNvPr id="639632540" name="Rectangle: Rounded Corners 1330001291"/>
                          <wps:cNvSpPr/>
                          <wps:spPr>
                            <a:xfrm>
                              <a:off x="203200" y="228600"/>
                              <a:ext cx="1955165" cy="6571697"/>
                            </a:xfrm>
                            <a:prstGeom prst="roundRect">
                              <a:avLst>
                                <a:gd name="adj" fmla="val 10000"/>
                              </a:avLst>
                            </a:prstGeom>
                            <a:solidFill>
                              <a:srgbClr val="FFFFFF">
                                <a:alpha val="85098"/>
                              </a:srgbClr>
                            </a:solidFill>
                            <a:ln w="12700" cap="flat" cmpd="sng" algn="ctr">
                              <a:solidFill>
                                <a:srgbClr val="FF832F"/>
                              </a:solidFill>
                              <a:prstDash val="solid"/>
                              <a:miter lim="800000"/>
                            </a:ln>
                            <a:effectLst/>
                          </wps:spPr>
                          <wps:txbx>
                            <w:txbxContent>
                              <w:p w14:paraId="2EF36B27" w14:textId="0A151E33" w:rsidR="00F07C7C" w:rsidRDefault="00F07C7C" w:rsidP="00F07C7C">
                                <w:pPr>
                                  <w:spacing w:before="400" w:after="100" w:afterAutospacing="1" w:line="321" w:lineRule="auto"/>
                                  <w:jc w:val="center"/>
                                  <w:textAlignment w:val="baseline"/>
                                </w:pPr>
                                <w:r w:rsidRPr="002F0CA8">
                                  <w:rPr>
                                    <w:rFonts w:ascii="Arial" w:hAnsi="Arial"/>
                                    <w:b/>
                                    <w:bCs/>
                                    <w:color w:val="FF832F"/>
                                    <w:kern w:val="24"/>
                                  </w:rPr>
                                  <w:t xml:space="preserve">Case study: </w:t>
                                </w:r>
                                <w:r w:rsidRPr="002F0CA8">
                                  <w:rPr>
                                    <w:rFonts w:ascii="Arial" w:hAnsi="Arial"/>
                                    <w:color w:val="FF832F"/>
                                    <w:kern w:val="24"/>
                                  </w:rPr>
                                  <w:t>Capturing Traditional Owner living cultural values in an</w:t>
                                </w:r>
                                <w:r w:rsidRPr="002F0CA8">
                                  <w:rPr>
                                    <w:rFonts w:ascii="Arial" w:hAnsi="Arial"/>
                                    <w:b/>
                                    <w:bCs/>
                                    <w:color w:val="FF832F"/>
                                    <w:kern w:val="24"/>
                                  </w:rPr>
                                  <w:t xml:space="preserve"> </w:t>
                                </w:r>
                                <w:r w:rsidRPr="002F0CA8">
                                  <w:rPr>
                                    <w:rFonts w:ascii="Arial" w:hAnsi="Arial"/>
                                    <w:color w:val="FF832F"/>
                                    <w:kern w:val="24"/>
                                  </w:rPr>
                                  <w:t>ecosystem account</w:t>
                                </w:r>
                              </w:p>
                            </w:txbxContent>
                          </wps:txbx>
                          <wps:bodyPr/>
                        </wps:wsp>
                      </wpg:grpSp>
                      <wpg:grpSp>
                        <wpg:cNvPr id="1915809999" name="Group 1915809999"/>
                        <wpg:cNvGrpSpPr/>
                        <wpg:grpSpPr>
                          <a:xfrm>
                            <a:off x="12700" y="50800"/>
                            <a:ext cx="1853565" cy="985652"/>
                            <a:chOff x="3069565" y="-720172"/>
                            <a:chExt cx="1907998" cy="1439998"/>
                          </a:xfrm>
                          <a:solidFill>
                            <a:sysClr val="window" lastClr="FFFFFF">
                              <a:lumMod val="85000"/>
                            </a:sysClr>
                          </a:solidFill>
                        </wpg:grpSpPr>
                        <wps:wsp>
                          <wps:cNvPr id="878434694" name="Rectangle: Rounded Corners 1330001074"/>
                          <wps:cNvSpPr/>
                          <wps:spPr>
                            <a:xfrm>
                              <a:off x="3069565" y="-720172"/>
                              <a:ext cx="1907998" cy="1439998"/>
                            </a:xfrm>
                            <a:prstGeom prst="roundRect">
                              <a:avLst>
                                <a:gd name="adj" fmla="val 10000"/>
                              </a:avLst>
                            </a:prstGeom>
                            <a:grpFill/>
                            <a:ln w="12700" cap="flat" cmpd="sng" algn="ctr">
                              <a:solidFill>
                                <a:sysClr val="window" lastClr="FFFFFF">
                                  <a:lumMod val="50000"/>
                                </a:sysClr>
                              </a:solidFill>
                              <a:prstDash val="sysDash"/>
                              <a:miter lim="800000"/>
                            </a:ln>
                            <a:effectLst/>
                          </wps:spPr>
                          <wps:bodyPr/>
                        </wps:wsp>
                        <wps:wsp>
                          <wps:cNvPr id="801154910" name="Rectangle: Rounded Corners 16"/>
                          <wps:cNvSpPr txBox="1"/>
                          <wps:spPr>
                            <a:xfrm>
                              <a:off x="3109665" y="-599351"/>
                              <a:ext cx="1823646" cy="1190692"/>
                            </a:xfrm>
                            <a:prstGeom prst="rect">
                              <a:avLst/>
                            </a:prstGeom>
                            <a:grpFill/>
                            <a:ln>
                              <a:noFill/>
                              <a:prstDash val="sysDash"/>
                            </a:ln>
                            <a:effectLst/>
                          </wps:spPr>
                          <wps:txbx>
                            <w:txbxContent>
                              <w:p w14:paraId="60AF66B4" w14:textId="77777777" w:rsidR="00AD1681" w:rsidRPr="000F0079" w:rsidRDefault="00AD1681" w:rsidP="00AD1681">
                                <w:pPr>
                                  <w:spacing w:after="109" w:line="273" w:lineRule="auto"/>
                                  <w:jc w:val="center"/>
                                  <w:textAlignment w:val="baseline"/>
                                  <w:rPr>
                                    <w:rFonts w:ascii="Arial" w:hAnsi="Arial"/>
                                    <w:b/>
                                    <w:bCs/>
                                    <w:color w:val="808080"/>
                                    <w:kern w:val="24"/>
                                  </w:rPr>
                                </w:pPr>
                                <w:r w:rsidRPr="000F0079">
                                  <w:rPr>
                                    <w:rFonts w:ascii="Arial" w:hAnsi="Arial"/>
                                    <w:b/>
                                    <w:bCs/>
                                    <w:color w:val="808080"/>
                                    <w:kern w:val="24"/>
                                  </w:rPr>
                                  <w:t xml:space="preserve">Scoped out ecosystem services </w:t>
                                </w:r>
                                <w:r w:rsidRPr="00A470D8">
                                  <w:rPr>
                                    <w:rFonts w:ascii="Arial" w:hAnsi="Arial"/>
                                    <w:b/>
                                    <w:bCs/>
                                    <w:i/>
                                    <w:iCs/>
                                    <w:color w:val="808080"/>
                                    <w:kern w:val="24"/>
                                  </w:rPr>
                                  <w:t>(non-exhaustive)</w:t>
                                </w:r>
                              </w:p>
                              <w:p w14:paraId="4403F41D" w14:textId="77777777" w:rsidR="00AD1681" w:rsidRPr="000F0079" w:rsidRDefault="00AD1681" w:rsidP="00AD1681">
                                <w:pPr>
                                  <w:spacing w:after="109" w:line="273" w:lineRule="auto"/>
                                  <w:jc w:val="center"/>
                                  <w:textAlignment w:val="baseline"/>
                                  <w:rPr>
                                    <w:rFonts w:ascii="Arial" w:hAnsi="Arial"/>
                                    <w:i/>
                                    <w:iCs/>
                                    <w:color w:val="808080"/>
                                    <w:kern w:val="24"/>
                                  </w:rPr>
                                </w:pPr>
                                <w:r w:rsidRPr="000F0079">
                                  <w:rPr>
                                    <w:rFonts w:ascii="Arial" w:hAnsi="Arial"/>
                                    <w:i/>
                                    <w:iCs/>
                                    <w:color w:val="808080"/>
                                    <w:kern w:val="24"/>
                                  </w:rPr>
                                  <w:t>(For future assessment)</w:t>
                                </w:r>
                              </w:p>
                            </w:txbxContent>
                          </wps:txbx>
                          <wps:bodyPr spcFirstLastPara="0" vert="horz" wrap="square" lIns="60960" tIns="60960" rIns="60960" bIns="60960" numCol="1" spcCol="1270" anchor="t" anchorCtr="0">
                            <a:noAutofit/>
                          </wps:bodyPr>
                        </wps:wsp>
                      </wpg:grpSp>
                      <pic:pic xmlns:pic="http://schemas.openxmlformats.org/drawingml/2006/picture">
                        <pic:nvPicPr>
                          <pic:cNvPr id="1938306926" name="Picture 1938306926" descr="A white rectangular sign with black text&#10;&#10;Description automatically generated"/>
                          <pic:cNvPicPr>
                            <a:picLocks noChangeAspect="1"/>
                          </pic:cNvPicPr>
                        </pic:nvPicPr>
                        <pic:blipFill>
                          <a:blip r:embed="rId64" cstate="email">
                            <a:extLst>
                              <a:ext uri="{28A0092B-C50C-407E-A947-70E740481C1C}">
                                <a14:useLocalDpi xmlns:a14="http://schemas.microsoft.com/office/drawing/2010/main"/>
                              </a:ext>
                            </a:extLst>
                          </a:blip>
                          <a:stretch>
                            <a:fillRect/>
                          </a:stretch>
                        </pic:blipFill>
                        <pic:spPr>
                          <a:xfrm>
                            <a:off x="2451100" y="0"/>
                            <a:ext cx="7255510" cy="1163320"/>
                          </a:xfrm>
                          <a:prstGeom prst="rect">
                            <a:avLst/>
                          </a:prstGeom>
                        </pic:spPr>
                      </pic:pic>
                    </wpg:wgp>
                  </a:graphicData>
                </a:graphic>
              </wp:anchor>
            </w:drawing>
          </mc:Choice>
          <mc:Fallback>
            <w:pict>
              <v:group w14:anchorId="01473B88" id="Group 1708140513" o:spid="_x0000_s1047" style="position:absolute;margin-left:33.35pt;margin-top:17.3pt;width:764.3pt;height:656.5pt;z-index:251658327;mso-position-horizontal-relative:text;mso-position-vertical-relative:text" coordsize="97066,833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">
                <v:group id="Group 1" o:spid="_x0000_s1048" style="position:absolute;top:13335;width:23495;height:70038" coordsize="23495,70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">
                  <v:roundrect id="Rectangle: Rounded Corners 1330001289" o:spid="_x0000_s1049" style="position:absolute;width:23495;height:70038;visibility:visible;mso-wrap-style:square;v-text-anchor:top"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" fillcolor="#d9d9d9" strokecolor="#7f7f7f" strokeweight="1pt">
                    <v:fill opacity="55769f"/>
                    <v:stroke joinstyle="miter"/>
                  </v:roundrect>
                  <v:roundrect id="Rectangle: Rounded Corners 1330001291" o:spid="_x0000_s1050" style="position:absolute;left:2032;top:2286;width:19551;height:65716;visibility:visible;mso-wrap-style:square;v-text-anchor:top"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" strokecolor="#ff832f" strokeweight="1pt">
                    <v:fill opacity="55769f"/>
                    <v:stroke joinstyle="miter"/>
                    <v:textbox>
                      <w:txbxContent>
                        <w:p w14:paraId="2EF36B27" w14:textId="0A151E33" w:rsidR="00F07C7C" w:rsidRDefault="00F07C7C" w:rsidP="00F07C7C">
                          <w:pPr>
                            <w:spacing w:before="400" w:after="100" w:afterAutospacing="1" w:line="321" w:lineRule="auto"/>
                            <w:jc w:val="center"/>
                            <w:textAlignment w:val="baseline"/>
                          </w:pPr>
                          <w:r w:rsidRPr="002F0CA8">
                            <w:rPr>
                              <w:rFonts w:ascii="Arial" w:hAnsi="Arial"/>
                              <w:b/>
                              <w:bCs/>
                              <w:color w:val="FF832F"/>
                              <w:kern w:val="24"/>
                            </w:rPr>
                            <w:t xml:space="preserve">Case study: </w:t>
                          </w:r>
                          <w:r w:rsidRPr="002F0CA8">
                            <w:rPr>
                              <w:rFonts w:ascii="Arial" w:hAnsi="Arial"/>
                              <w:color w:val="FF832F"/>
                              <w:kern w:val="24"/>
                            </w:rPr>
                            <w:t>Capturing Traditional Owner living cultural values in an</w:t>
                          </w:r>
                          <w:r w:rsidRPr="002F0CA8">
                            <w:rPr>
                              <w:rFonts w:ascii="Arial" w:hAnsi="Arial"/>
                              <w:b/>
                              <w:bCs/>
                              <w:color w:val="FF832F"/>
                              <w:kern w:val="24"/>
                            </w:rPr>
                            <w:t xml:space="preserve"> </w:t>
                          </w:r>
                          <w:r w:rsidRPr="002F0CA8">
                            <w:rPr>
                              <w:rFonts w:ascii="Arial" w:hAnsi="Arial"/>
                              <w:color w:val="FF832F"/>
                              <w:kern w:val="24"/>
                            </w:rPr>
                            <w:t>ecosystem account</w:t>
                          </w:r>
                        </w:p>
                      </w:txbxContent>
                    </v:textbox>
                  </v:roundrect>
                </v:group>
                <v:group id="Group 1915809999" o:spid="_x0000_s1051" style="position:absolute;left:127;top:508;width:18535;height:9856" coordorigin="30695,-7201" coordsize="19079,14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">
                  <v:roundrect id="Rectangle: Rounded Corners 1330001074" o:spid="_x0000_s1052" style="position:absolute;left:30695;top:-7201;width:19080;height:14399;visibility:visible;mso-wrap-style:square;v-text-anchor:top"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" filled="f" strokecolor="#7f7f7f" strokeweight="1pt">
                    <v:stroke dashstyle="3 1" joinstyle="miter"/>
                  </v:roundrect>
                  <v:shape id="Rectangle: Rounded Corners 16" o:spid="_x0000_s1053" type="#_x0000_t202" style="position:absolute;left:31096;top:-5993;width:18237;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" filled="f" stroked="f">
                    <v:stroke dashstyle="3 1"/>
                    <v:textbox inset="4.8pt,4.8pt,4.8pt,4.8pt">
                      <w:txbxContent>
                        <w:p w14:paraId="60AF66B4" w14:textId="77777777" w:rsidR="00AD1681" w:rsidRPr="000F0079" w:rsidRDefault="00AD1681" w:rsidP="00AD1681">
                          <w:pPr>
                            <w:spacing w:after="109" w:line="273" w:lineRule="auto"/>
                            <w:jc w:val="center"/>
                            <w:textAlignment w:val="baseline"/>
                            <w:rPr>
                              <w:rFonts w:ascii="Arial" w:hAnsi="Arial"/>
                              <w:b/>
                              <w:bCs/>
                              <w:color w:val="808080"/>
                              <w:kern w:val="24"/>
                            </w:rPr>
                          </w:pPr>
                          <w:r w:rsidRPr="000F0079">
                            <w:rPr>
                              <w:rFonts w:ascii="Arial" w:hAnsi="Arial"/>
                              <w:b/>
                              <w:bCs/>
                              <w:color w:val="808080"/>
                              <w:kern w:val="24"/>
                            </w:rPr>
                            <w:t xml:space="preserve">Scoped out ecosystem services </w:t>
                          </w:r>
                          <w:r w:rsidRPr="00A470D8">
                            <w:rPr>
                              <w:rFonts w:ascii="Arial" w:hAnsi="Arial"/>
                              <w:b/>
                              <w:bCs/>
                              <w:i/>
                              <w:iCs/>
                              <w:color w:val="808080"/>
                              <w:kern w:val="24"/>
                            </w:rPr>
                            <w:t>(non-exhaustive)</w:t>
                          </w:r>
                        </w:p>
                        <w:p w14:paraId="4403F41D" w14:textId="77777777" w:rsidR="00AD1681" w:rsidRPr="000F0079" w:rsidRDefault="00AD1681" w:rsidP="00AD1681">
                          <w:pPr>
                            <w:spacing w:after="109" w:line="273" w:lineRule="auto"/>
                            <w:jc w:val="center"/>
                            <w:textAlignment w:val="baseline"/>
                            <w:rPr>
                              <w:rFonts w:ascii="Arial" w:hAnsi="Arial"/>
                              <w:i/>
                              <w:iCs/>
                              <w:color w:val="808080"/>
                              <w:kern w:val="24"/>
                            </w:rPr>
                          </w:pPr>
                          <w:r w:rsidRPr="000F0079">
                            <w:rPr>
                              <w:rFonts w:ascii="Arial" w:hAnsi="Arial"/>
                              <w:i/>
                              <w:iCs/>
                              <w:color w:val="808080"/>
                              <w:kern w:val="24"/>
                            </w:rPr>
                            <w:t>(For future assessment)</w:t>
                          </w:r>
                        </w:p>
                      </w:txbxContent>
                    </v:textbox>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38306926" o:spid="_x0000_s1054" type="#_x0000_t75" alt="A white rectangular sign with black text&#10;&#10;Description automatically generated" style="position:absolute;left:24511;width:72555;height:11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">
                  <v:imagedata r:id="rId65" o:title="A white rectangular sign with black text&#10;&#10;Description automatically generated"/>
                </v:shape>
              </v:group>
            </w:pict>
          </mc:Fallback>
        </mc:AlternateContent>
      </w:r>
    </w:p>
    <w:tbl>
      <w:tblPr>
        <w:tblStyle w:val="TableGrid"/>
        <w:tblpPr w:leftFromText="181" w:rightFromText="181" w:vertAnchor="page" w:horzAnchor="page" w:tblpX="5955" w:tblpY="8223"/>
        <w:tblOverlap w:val="never"/>
        <w:tblW w:w="0" w:type="auto"/>
        <w:tblLook w:val="04A0" w:firstRow="1" w:lastRow="0" w:firstColumn="1" w:lastColumn="0" w:noHBand="0" w:noVBand="1"/>
      </w:tblPr>
      <w:tblGrid>
        <w:gridCol w:w="4961"/>
        <w:gridCol w:w="1276"/>
        <w:gridCol w:w="2693"/>
        <w:gridCol w:w="2977"/>
        <w:gridCol w:w="1839"/>
      </w:tblGrid>
      <w:tr w:rsidR="005C6C73" w14:paraId="5C12EA65" w14:textId="77777777" w:rsidTr="005C6C7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1" w:type="dxa"/>
          </w:tcPr>
          <w:p w14:paraId="0ED2DF54" w14:textId="77777777" w:rsidR="005C6C73" w:rsidRDefault="005C6C73" w:rsidP="005C6C73">
            <w:pPr>
              <w:pStyle w:val="BodyText"/>
              <w:ind w:left="22" w:hanging="22"/>
            </w:pPr>
            <w:r>
              <w:t xml:space="preserve">Associated </w:t>
            </w:r>
            <w:proofErr w:type="spellStart"/>
            <w:r>
              <w:t>Wadawurrung</w:t>
            </w:r>
            <w:proofErr w:type="spellEnd"/>
            <w:r>
              <w:t xml:space="preserve"> Country Plan Indicator</w:t>
            </w:r>
          </w:p>
        </w:tc>
        <w:tc>
          <w:tcPr>
            <w:tcW w:w="1276" w:type="dxa"/>
          </w:tcPr>
          <w:p w14:paraId="4ACE4F17" w14:textId="77777777" w:rsidR="005C6C73" w:rsidRDefault="005C6C73" w:rsidP="005C6C73">
            <w:pPr>
              <w:pStyle w:val="BodyText"/>
              <w:cnfStyle w:val="100000000000" w:firstRow="1" w:lastRow="0" w:firstColumn="0" w:lastColumn="0" w:oddVBand="0" w:evenVBand="0" w:oddHBand="0" w:evenHBand="0" w:firstRowFirstColumn="0" w:firstRowLastColumn="0" w:lastRowFirstColumn="0" w:lastRowLastColumn="0"/>
            </w:pPr>
            <w:r>
              <w:t>Year</w:t>
            </w:r>
          </w:p>
        </w:tc>
        <w:tc>
          <w:tcPr>
            <w:tcW w:w="2693" w:type="dxa"/>
          </w:tcPr>
          <w:p w14:paraId="67BCFA52" w14:textId="77777777" w:rsidR="005C6C73" w:rsidRDefault="005C6C73" w:rsidP="005C6C73">
            <w:pPr>
              <w:pStyle w:val="BodyText"/>
              <w:cnfStyle w:val="100000000000" w:firstRow="1" w:lastRow="0" w:firstColumn="0" w:lastColumn="0" w:oddVBand="0" w:evenVBand="0" w:oddHBand="0" w:evenHBand="0" w:firstRowFirstColumn="0" w:firstRowLastColumn="0" w:lastRowFirstColumn="0" w:lastRowLastColumn="0"/>
            </w:pPr>
            <w:r>
              <w:t>Metric</w:t>
            </w:r>
          </w:p>
        </w:tc>
        <w:tc>
          <w:tcPr>
            <w:tcW w:w="2977" w:type="dxa"/>
          </w:tcPr>
          <w:p w14:paraId="57DC1B3E" w14:textId="77777777" w:rsidR="005C6C73" w:rsidRDefault="005C6C73" w:rsidP="005C6C73">
            <w:pPr>
              <w:pStyle w:val="BodyText"/>
              <w:cnfStyle w:val="100000000000" w:firstRow="1" w:lastRow="0" w:firstColumn="0" w:lastColumn="0" w:oddVBand="0" w:evenVBand="0" w:oddHBand="0" w:evenHBand="0" w:firstRowFirstColumn="0" w:firstRowLastColumn="0" w:lastRowFirstColumn="0" w:lastRowLastColumn="0"/>
            </w:pPr>
            <w:r>
              <w:t xml:space="preserve">Extent / </w:t>
            </w:r>
            <w:proofErr w:type="spellStart"/>
            <w:r>
              <w:t>Conidation</w:t>
            </w:r>
            <w:proofErr w:type="spellEnd"/>
            <w:r>
              <w:t xml:space="preserve"> Score</w:t>
            </w:r>
          </w:p>
        </w:tc>
        <w:tc>
          <w:tcPr>
            <w:tcW w:w="1839" w:type="dxa"/>
          </w:tcPr>
          <w:p w14:paraId="320DF23D" w14:textId="77777777" w:rsidR="005C6C73" w:rsidRDefault="005C6C73" w:rsidP="005C6C73">
            <w:pPr>
              <w:pStyle w:val="BodyText"/>
              <w:cnfStyle w:val="100000000000" w:firstRow="1" w:lastRow="0" w:firstColumn="0" w:lastColumn="0" w:oddVBand="0" w:evenVBand="0" w:oddHBand="0" w:evenHBand="0" w:firstRowFirstColumn="0" w:firstRowLastColumn="0" w:lastRowFirstColumn="0" w:lastRowLastColumn="0"/>
            </w:pPr>
            <w:r>
              <w:t>Uncertainty</w:t>
            </w:r>
          </w:p>
        </w:tc>
      </w:tr>
      <w:tr w:rsidR="005C6C73" w14:paraId="70C3B52F" w14:textId="77777777" w:rsidTr="005C6C73">
        <w:tc>
          <w:tcPr>
            <w:cnfStyle w:val="001000000000" w:firstRow="0" w:lastRow="0" w:firstColumn="1" w:lastColumn="0" w:oddVBand="0" w:evenVBand="0" w:oddHBand="0" w:evenHBand="0" w:firstRowFirstColumn="0" w:firstRowLastColumn="0" w:lastRowFirstColumn="0" w:lastRowLastColumn="0"/>
            <w:tcW w:w="4961" w:type="dxa"/>
            <w:shd w:val="clear" w:color="auto" w:fill="201547" w:themeFill="text2"/>
          </w:tcPr>
          <w:p w14:paraId="5CB71588" w14:textId="77777777" w:rsidR="005C6C73" w:rsidRPr="00AD1681" w:rsidRDefault="005C6C73" w:rsidP="005C6C73">
            <w:pPr>
              <w:pStyle w:val="BodyText"/>
              <w:rPr>
                <w:b/>
                <w:bCs/>
                <w:color w:val="FFFFFF" w:themeColor="background1"/>
              </w:rPr>
            </w:pPr>
            <w:r w:rsidRPr="00AD1681">
              <w:rPr>
                <w:b/>
                <w:bCs/>
                <w:color w:val="FFFFFF" w:themeColor="background1"/>
              </w:rPr>
              <w:t>Waterways, Rivers, Estuaries and Wetlands</w:t>
            </w:r>
          </w:p>
        </w:tc>
        <w:tc>
          <w:tcPr>
            <w:tcW w:w="1276" w:type="dxa"/>
            <w:shd w:val="clear" w:color="auto" w:fill="201547" w:themeFill="text2"/>
          </w:tcPr>
          <w:p w14:paraId="76C1F15F" w14:textId="77777777" w:rsidR="005C6C73" w:rsidRPr="00AD1681" w:rsidRDefault="005C6C73" w:rsidP="005C6C73">
            <w:pPr>
              <w:pStyle w:val="BodyText"/>
              <w:cnfStyle w:val="000000000000" w:firstRow="0" w:lastRow="0" w:firstColumn="0" w:lastColumn="0" w:oddVBand="0" w:evenVBand="0" w:oddHBand="0" w:evenHBand="0" w:firstRowFirstColumn="0" w:firstRowLastColumn="0" w:lastRowFirstColumn="0" w:lastRowLastColumn="0"/>
              <w:rPr>
                <w:b/>
                <w:bCs/>
                <w:color w:val="FFFFFF" w:themeColor="background1"/>
              </w:rPr>
            </w:pPr>
          </w:p>
        </w:tc>
        <w:tc>
          <w:tcPr>
            <w:tcW w:w="2693" w:type="dxa"/>
            <w:shd w:val="clear" w:color="auto" w:fill="201547" w:themeFill="text2"/>
          </w:tcPr>
          <w:p w14:paraId="0955CA18" w14:textId="77777777" w:rsidR="005C6C73" w:rsidRPr="00AD1681" w:rsidRDefault="005C6C73" w:rsidP="005C6C73">
            <w:pPr>
              <w:pStyle w:val="BodyText"/>
              <w:cnfStyle w:val="000000000000" w:firstRow="0" w:lastRow="0" w:firstColumn="0" w:lastColumn="0" w:oddVBand="0" w:evenVBand="0" w:oddHBand="0" w:evenHBand="0" w:firstRowFirstColumn="0" w:firstRowLastColumn="0" w:lastRowFirstColumn="0" w:lastRowLastColumn="0"/>
              <w:rPr>
                <w:b/>
                <w:bCs/>
                <w:color w:val="FFFFFF" w:themeColor="background1"/>
              </w:rPr>
            </w:pPr>
          </w:p>
        </w:tc>
        <w:tc>
          <w:tcPr>
            <w:tcW w:w="2977" w:type="dxa"/>
            <w:shd w:val="clear" w:color="auto" w:fill="201547" w:themeFill="text2"/>
          </w:tcPr>
          <w:p w14:paraId="3B36A282" w14:textId="77777777" w:rsidR="005C6C73" w:rsidRPr="00AD1681" w:rsidRDefault="005C6C73" w:rsidP="005C6C73">
            <w:pPr>
              <w:pStyle w:val="BodyText"/>
              <w:cnfStyle w:val="000000000000" w:firstRow="0" w:lastRow="0" w:firstColumn="0" w:lastColumn="0" w:oddVBand="0" w:evenVBand="0" w:oddHBand="0" w:evenHBand="0" w:firstRowFirstColumn="0" w:firstRowLastColumn="0" w:lastRowFirstColumn="0" w:lastRowLastColumn="0"/>
              <w:rPr>
                <w:b/>
                <w:bCs/>
                <w:color w:val="FFFFFF" w:themeColor="background1"/>
              </w:rPr>
            </w:pPr>
          </w:p>
        </w:tc>
        <w:tc>
          <w:tcPr>
            <w:tcW w:w="1839" w:type="dxa"/>
            <w:shd w:val="clear" w:color="auto" w:fill="201547" w:themeFill="text2"/>
          </w:tcPr>
          <w:p w14:paraId="3A051A03" w14:textId="77777777" w:rsidR="005C6C73" w:rsidRPr="00AD1681" w:rsidRDefault="005C6C73" w:rsidP="005C6C73">
            <w:pPr>
              <w:pStyle w:val="BodyText"/>
              <w:cnfStyle w:val="000000000000" w:firstRow="0" w:lastRow="0" w:firstColumn="0" w:lastColumn="0" w:oddVBand="0" w:evenVBand="0" w:oddHBand="0" w:evenHBand="0" w:firstRowFirstColumn="0" w:firstRowLastColumn="0" w:lastRowFirstColumn="0" w:lastRowLastColumn="0"/>
              <w:rPr>
                <w:b/>
                <w:bCs/>
                <w:color w:val="FFFFFF" w:themeColor="background1"/>
              </w:rPr>
            </w:pPr>
          </w:p>
        </w:tc>
      </w:tr>
      <w:tr w:rsidR="005C6C73" w14:paraId="132E7969" w14:textId="77777777" w:rsidTr="005C6C73">
        <w:tc>
          <w:tcPr>
            <w:cnfStyle w:val="001000000000" w:firstRow="0" w:lastRow="0" w:firstColumn="1" w:lastColumn="0" w:oddVBand="0" w:evenVBand="0" w:oddHBand="0" w:evenHBand="0" w:firstRowFirstColumn="0" w:firstRowLastColumn="0" w:lastRowFirstColumn="0" w:lastRowLastColumn="0"/>
            <w:tcW w:w="4961" w:type="dxa"/>
          </w:tcPr>
          <w:p w14:paraId="1F0AD2F3" w14:textId="77777777" w:rsidR="005C6C73" w:rsidRDefault="005C6C73" w:rsidP="005C6C73">
            <w:pPr>
              <w:pStyle w:val="BodyText"/>
            </w:pPr>
            <w:r>
              <w:t>Water Quality</w:t>
            </w:r>
          </w:p>
        </w:tc>
        <w:tc>
          <w:tcPr>
            <w:tcW w:w="1276" w:type="dxa"/>
          </w:tcPr>
          <w:p w14:paraId="7D4B65F4" w14:textId="77777777" w:rsidR="005C6C73" w:rsidRDefault="005C6C73" w:rsidP="005C6C73">
            <w:pPr>
              <w:pStyle w:val="BodyText"/>
              <w:cnfStyle w:val="000000000000" w:firstRow="0" w:lastRow="0" w:firstColumn="0" w:lastColumn="0" w:oddVBand="0" w:evenVBand="0" w:oddHBand="0" w:evenHBand="0" w:firstRowFirstColumn="0" w:firstRowLastColumn="0" w:lastRowFirstColumn="0" w:lastRowLastColumn="0"/>
            </w:pPr>
            <w:r>
              <w:t>2021</w:t>
            </w:r>
          </w:p>
        </w:tc>
        <w:tc>
          <w:tcPr>
            <w:tcW w:w="2693" w:type="dxa"/>
          </w:tcPr>
          <w:p w14:paraId="50932BE3" w14:textId="77777777" w:rsidR="005C6C73" w:rsidRDefault="005C6C73" w:rsidP="005C6C73">
            <w:pPr>
              <w:pStyle w:val="BodyText"/>
              <w:cnfStyle w:val="000000000000" w:firstRow="0" w:lastRow="0" w:firstColumn="0" w:lastColumn="0" w:oddVBand="0" w:evenVBand="0" w:oddHBand="0" w:evenHBand="0" w:firstRowFirstColumn="0" w:firstRowLastColumn="0" w:lastRowFirstColumn="0" w:lastRowLastColumn="0"/>
            </w:pPr>
            <w:r>
              <w:t>Score 0-50</w:t>
            </w:r>
          </w:p>
        </w:tc>
        <w:tc>
          <w:tcPr>
            <w:tcW w:w="2977" w:type="dxa"/>
          </w:tcPr>
          <w:p w14:paraId="39079309" w14:textId="77777777" w:rsidR="005C6C73" w:rsidRDefault="005C6C73" w:rsidP="005C6C73">
            <w:pPr>
              <w:pStyle w:val="BodyText"/>
              <w:cnfStyle w:val="000000000000" w:firstRow="0" w:lastRow="0" w:firstColumn="0" w:lastColumn="0" w:oddVBand="0" w:evenVBand="0" w:oddHBand="0" w:evenHBand="0" w:firstRowFirstColumn="0" w:firstRowLastColumn="0" w:lastRowFirstColumn="0" w:lastRowLastColumn="0"/>
            </w:pPr>
            <w:r>
              <w:t>29 (poor)</w:t>
            </w:r>
          </w:p>
        </w:tc>
        <w:tc>
          <w:tcPr>
            <w:tcW w:w="1839" w:type="dxa"/>
          </w:tcPr>
          <w:p w14:paraId="72A08580" w14:textId="77777777" w:rsidR="005C6C73" w:rsidRDefault="005C6C73" w:rsidP="005C6C73">
            <w:pPr>
              <w:pStyle w:val="BodyText"/>
              <w:cnfStyle w:val="000000000000" w:firstRow="0" w:lastRow="0" w:firstColumn="0" w:lastColumn="0" w:oddVBand="0" w:evenVBand="0" w:oddHBand="0" w:evenHBand="0" w:firstRowFirstColumn="0" w:firstRowLastColumn="0" w:lastRowFirstColumn="0" w:lastRowLastColumn="0"/>
            </w:pPr>
            <w:r>
              <w:t>Medium</w:t>
            </w:r>
          </w:p>
        </w:tc>
      </w:tr>
      <w:tr w:rsidR="005C6C73" w14:paraId="013AF6C3" w14:textId="77777777" w:rsidTr="005C6C73">
        <w:tc>
          <w:tcPr>
            <w:cnfStyle w:val="001000000000" w:firstRow="0" w:lastRow="0" w:firstColumn="1" w:lastColumn="0" w:oddVBand="0" w:evenVBand="0" w:oddHBand="0" w:evenHBand="0" w:firstRowFirstColumn="0" w:firstRowLastColumn="0" w:lastRowFirstColumn="0" w:lastRowLastColumn="0"/>
            <w:tcW w:w="4961" w:type="dxa"/>
            <w:shd w:val="clear" w:color="auto" w:fill="201547" w:themeFill="text2"/>
          </w:tcPr>
          <w:p w14:paraId="78F478FF" w14:textId="77777777" w:rsidR="005C6C73" w:rsidRPr="00AD1681" w:rsidRDefault="005C6C73" w:rsidP="005C6C73">
            <w:pPr>
              <w:pStyle w:val="BodyText"/>
              <w:rPr>
                <w:b/>
                <w:bCs/>
                <w:color w:val="FFFFFF" w:themeColor="background1"/>
              </w:rPr>
            </w:pPr>
            <w:r>
              <w:rPr>
                <w:b/>
                <w:bCs/>
                <w:color w:val="FFFFFF" w:themeColor="background1"/>
              </w:rPr>
              <w:t>Inland Country</w:t>
            </w:r>
          </w:p>
        </w:tc>
        <w:tc>
          <w:tcPr>
            <w:tcW w:w="1276" w:type="dxa"/>
            <w:shd w:val="clear" w:color="auto" w:fill="201547" w:themeFill="text2"/>
          </w:tcPr>
          <w:p w14:paraId="55D2D642" w14:textId="77777777" w:rsidR="005C6C73" w:rsidRPr="00AD1681" w:rsidRDefault="005C6C73" w:rsidP="005C6C73">
            <w:pPr>
              <w:pStyle w:val="BodyText"/>
              <w:cnfStyle w:val="000000000000" w:firstRow="0" w:lastRow="0" w:firstColumn="0" w:lastColumn="0" w:oddVBand="0" w:evenVBand="0" w:oddHBand="0" w:evenHBand="0" w:firstRowFirstColumn="0" w:firstRowLastColumn="0" w:lastRowFirstColumn="0" w:lastRowLastColumn="0"/>
              <w:rPr>
                <w:b/>
                <w:bCs/>
                <w:color w:val="FFFFFF" w:themeColor="background1"/>
              </w:rPr>
            </w:pPr>
          </w:p>
        </w:tc>
        <w:tc>
          <w:tcPr>
            <w:tcW w:w="2693" w:type="dxa"/>
            <w:shd w:val="clear" w:color="auto" w:fill="201547" w:themeFill="text2"/>
          </w:tcPr>
          <w:p w14:paraId="147272FA" w14:textId="77777777" w:rsidR="005C6C73" w:rsidRPr="00AD1681" w:rsidRDefault="005C6C73" w:rsidP="005C6C73">
            <w:pPr>
              <w:pStyle w:val="BodyText"/>
              <w:cnfStyle w:val="000000000000" w:firstRow="0" w:lastRow="0" w:firstColumn="0" w:lastColumn="0" w:oddVBand="0" w:evenVBand="0" w:oddHBand="0" w:evenHBand="0" w:firstRowFirstColumn="0" w:firstRowLastColumn="0" w:lastRowFirstColumn="0" w:lastRowLastColumn="0"/>
              <w:rPr>
                <w:b/>
                <w:bCs/>
                <w:color w:val="FFFFFF" w:themeColor="background1"/>
              </w:rPr>
            </w:pPr>
          </w:p>
        </w:tc>
        <w:tc>
          <w:tcPr>
            <w:tcW w:w="2977" w:type="dxa"/>
            <w:shd w:val="clear" w:color="auto" w:fill="201547" w:themeFill="text2"/>
          </w:tcPr>
          <w:p w14:paraId="05B1A1DD" w14:textId="77777777" w:rsidR="005C6C73" w:rsidRPr="00AD1681" w:rsidRDefault="005C6C73" w:rsidP="005C6C73">
            <w:pPr>
              <w:pStyle w:val="BodyText"/>
              <w:cnfStyle w:val="000000000000" w:firstRow="0" w:lastRow="0" w:firstColumn="0" w:lastColumn="0" w:oddVBand="0" w:evenVBand="0" w:oddHBand="0" w:evenHBand="0" w:firstRowFirstColumn="0" w:firstRowLastColumn="0" w:lastRowFirstColumn="0" w:lastRowLastColumn="0"/>
              <w:rPr>
                <w:b/>
                <w:bCs/>
                <w:color w:val="FFFFFF" w:themeColor="background1"/>
              </w:rPr>
            </w:pPr>
          </w:p>
        </w:tc>
        <w:tc>
          <w:tcPr>
            <w:tcW w:w="1839" w:type="dxa"/>
            <w:shd w:val="clear" w:color="auto" w:fill="201547" w:themeFill="text2"/>
          </w:tcPr>
          <w:p w14:paraId="0A9B41E0" w14:textId="77777777" w:rsidR="005C6C73" w:rsidRPr="00AD1681" w:rsidRDefault="005C6C73" w:rsidP="005C6C73">
            <w:pPr>
              <w:pStyle w:val="BodyText"/>
              <w:cnfStyle w:val="000000000000" w:firstRow="0" w:lastRow="0" w:firstColumn="0" w:lastColumn="0" w:oddVBand="0" w:evenVBand="0" w:oddHBand="0" w:evenHBand="0" w:firstRowFirstColumn="0" w:firstRowLastColumn="0" w:lastRowFirstColumn="0" w:lastRowLastColumn="0"/>
              <w:rPr>
                <w:b/>
                <w:bCs/>
                <w:color w:val="FFFFFF" w:themeColor="background1"/>
              </w:rPr>
            </w:pPr>
          </w:p>
        </w:tc>
      </w:tr>
      <w:tr w:rsidR="005C6C73" w14:paraId="4C8F90A7" w14:textId="77777777" w:rsidTr="005C6C73">
        <w:tc>
          <w:tcPr>
            <w:cnfStyle w:val="001000000000" w:firstRow="0" w:lastRow="0" w:firstColumn="1" w:lastColumn="0" w:oddVBand="0" w:evenVBand="0" w:oddHBand="0" w:evenHBand="0" w:firstRowFirstColumn="0" w:firstRowLastColumn="0" w:lastRowFirstColumn="0" w:lastRowLastColumn="0"/>
            <w:tcW w:w="4961" w:type="dxa"/>
            <w:tcBorders>
              <w:bottom w:val="single" w:sz="4" w:space="0" w:color="auto"/>
            </w:tcBorders>
          </w:tcPr>
          <w:p w14:paraId="4E1935C9" w14:textId="77777777" w:rsidR="005C6C73" w:rsidRDefault="005C6C73" w:rsidP="005C6C73">
            <w:pPr>
              <w:pStyle w:val="BodyText"/>
            </w:pPr>
            <w:r>
              <w:t>Extent of volcanic grasslands</w:t>
            </w:r>
          </w:p>
        </w:tc>
        <w:tc>
          <w:tcPr>
            <w:tcW w:w="1276" w:type="dxa"/>
            <w:tcBorders>
              <w:bottom w:val="single" w:sz="4" w:space="0" w:color="auto"/>
            </w:tcBorders>
          </w:tcPr>
          <w:p w14:paraId="38313A89" w14:textId="77777777" w:rsidR="005C6C73" w:rsidRDefault="005C6C73" w:rsidP="005C6C73">
            <w:pPr>
              <w:pStyle w:val="BodyText"/>
              <w:cnfStyle w:val="000000000000" w:firstRow="0" w:lastRow="0" w:firstColumn="0" w:lastColumn="0" w:oddVBand="0" w:evenVBand="0" w:oddHBand="0" w:evenHBand="0" w:firstRowFirstColumn="0" w:firstRowLastColumn="0" w:lastRowFirstColumn="0" w:lastRowLastColumn="0"/>
            </w:pPr>
            <w:r>
              <w:t>2019</w:t>
            </w:r>
          </w:p>
        </w:tc>
        <w:tc>
          <w:tcPr>
            <w:tcW w:w="2693" w:type="dxa"/>
          </w:tcPr>
          <w:p w14:paraId="539F68E5" w14:textId="77777777" w:rsidR="005C6C73" w:rsidRDefault="005C6C73" w:rsidP="005C6C73">
            <w:pPr>
              <w:pStyle w:val="BodyText"/>
              <w:cnfStyle w:val="000000000000" w:firstRow="0" w:lastRow="0" w:firstColumn="0" w:lastColumn="0" w:oddVBand="0" w:evenVBand="0" w:oddHBand="0" w:evenHBand="0" w:firstRowFirstColumn="0" w:firstRowLastColumn="0" w:lastRowFirstColumn="0" w:lastRowLastColumn="0"/>
            </w:pPr>
            <w:r>
              <w:t>Hectares</w:t>
            </w:r>
          </w:p>
        </w:tc>
        <w:tc>
          <w:tcPr>
            <w:tcW w:w="2977" w:type="dxa"/>
          </w:tcPr>
          <w:p w14:paraId="2587EBD7" w14:textId="77777777" w:rsidR="005C6C73" w:rsidRDefault="005C6C73" w:rsidP="005C6C73">
            <w:pPr>
              <w:pStyle w:val="BodyText"/>
              <w:cnfStyle w:val="000000000000" w:firstRow="0" w:lastRow="0" w:firstColumn="0" w:lastColumn="0" w:oddVBand="0" w:evenVBand="0" w:oddHBand="0" w:evenHBand="0" w:firstRowFirstColumn="0" w:firstRowLastColumn="0" w:lastRowFirstColumn="0" w:lastRowLastColumn="0"/>
            </w:pPr>
            <w:r>
              <w:t>0</w:t>
            </w:r>
          </w:p>
        </w:tc>
        <w:tc>
          <w:tcPr>
            <w:tcW w:w="1839" w:type="dxa"/>
          </w:tcPr>
          <w:p w14:paraId="6A6F57FE" w14:textId="77777777" w:rsidR="005C6C73" w:rsidRDefault="005C6C73" w:rsidP="005C6C73">
            <w:pPr>
              <w:pStyle w:val="BodyText"/>
              <w:cnfStyle w:val="000000000000" w:firstRow="0" w:lastRow="0" w:firstColumn="0" w:lastColumn="0" w:oddVBand="0" w:evenVBand="0" w:oddHBand="0" w:evenHBand="0" w:firstRowFirstColumn="0" w:firstRowLastColumn="0" w:lastRowFirstColumn="0" w:lastRowLastColumn="0"/>
            </w:pPr>
            <w:r>
              <w:t>Medium</w:t>
            </w:r>
          </w:p>
        </w:tc>
      </w:tr>
      <w:tr w:rsidR="005C6C73" w14:paraId="108B2FDE" w14:textId="77777777" w:rsidTr="005C6C73">
        <w:tc>
          <w:tcPr>
            <w:cnfStyle w:val="001000000000" w:firstRow="0" w:lastRow="0" w:firstColumn="1" w:lastColumn="0" w:oddVBand="0" w:evenVBand="0" w:oddHBand="0" w:evenHBand="0" w:firstRowFirstColumn="0" w:firstRowLastColumn="0" w:lastRowFirstColumn="0" w:lastRowLastColumn="0"/>
            <w:tcW w:w="4961" w:type="dxa"/>
            <w:tcBorders>
              <w:bottom w:val="nil"/>
            </w:tcBorders>
          </w:tcPr>
          <w:p w14:paraId="3AAD274B" w14:textId="77777777" w:rsidR="005C6C73" w:rsidRDefault="005C6C73" w:rsidP="005C6C73">
            <w:pPr>
              <w:pStyle w:val="BodyText"/>
            </w:pPr>
            <w:r>
              <w:t>Age classes of woodlands</w:t>
            </w:r>
          </w:p>
        </w:tc>
        <w:tc>
          <w:tcPr>
            <w:tcW w:w="1276" w:type="dxa"/>
            <w:tcBorders>
              <w:bottom w:val="nil"/>
            </w:tcBorders>
          </w:tcPr>
          <w:p w14:paraId="1FC92CCF" w14:textId="77777777" w:rsidR="005C6C73" w:rsidRDefault="005C6C73" w:rsidP="005C6C73">
            <w:pPr>
              <w:pStyle w:val="BodyText"/>
              <w:cnfStyle w:val="000000000000" w:firstRow="0" w:lastRow="0" w:firstColumn="0" w:lastColumn="0" w:oddVBand="0" w:evenVBand="0" w:oddHBand="0" w:evenHBand="0" w:firstRowFirstColumn="0" w:firstRowLastColumn="0" w:lastRowFirstColumn="0" w:lastRowLastColumn="0"/>
            </w:pPr>
            <w:r>
              <w:t>2021</w:t>
            </w:r>
          </w:p>
        </w:tc>
        <w:tc>
          <w:tcPr>
            <w:tcW w:w="2693" w:type="dxa"/>
          </w:tcPr>
          <w:p w14:paraId="03C8BC66" w14:textId="77777777" w:rsidR="005C6C73" w:rsidRDefault="005C6C73" w:rsidP="005C6C73">
            <w:pPr>
              <w:pStyle w:val="BodyText"/>
              <w:cnfStyle w:val="000000000000" w:firstRow="0" w:lastRow="0" w:firstColumn="0" w:lastColumn="0" w:oddVBand="0" w:evenVBand="0" w:oddHBand="0" w:evenHBand="0" w:firstRowFirstColumn="0" w:firstRowLastColumn="0" w:lastRowFirstColumn="0" w:lastRowLastColumn="0"/>
            </w:pPr>
            <w:r>
              <w:t>% forest late mature</w:t>
            </w:r>
          </w:p>
        </w:tc>
        <w:tc>
          <w:tcPr>
            <w:tcW w:w="2977" w:type="dxa"/>
          </w:tcPr>
          <w:p w14:paraId="46F03533" w14:textId="77777777" w:rsidR="005C6C73" w:rsidRDefault="005C6C73" w:rsidP="005C6C73">
            <w:pPr>
              <w:pStyle w:val="BodyText"/>
              <w:cnfStyle w:val="000000000000" w:firstRow="0" w:lastRow="0" w:firstColumn="0" w:lastColumn="0" w:oddVBand="0" w:evenVBand="0" w:oddHBand="0" w:evenHBand="0" w:firstRowFirstColumn="0" w:firstRowLastColumn="0" w:lastRowFirstColumn="0" w:lastRowLastColumn="0"/>
            </w:pPr>
            <w:r>
              <w:t>47.8%</w:t>
            </w:r>
          </w:p>
        </w:tc>
        <w:tc>
          <w:tcPr>
            <w:tcW w:w="1839" w:type="dxa"/>
          </w:tcPr>
          <w:p w14:paraId="0835BC73" w14:textId="77777777" w:rsidR="005C6C73" w:rsidRDefault="005C6C73" w:rsidP="005C6C73">
            <w:pPr>
              <w:pStyle w:val="BodyText"/>
              <w:cnfStyle w:val="000000000000" w:firstRow="0" w:lastRow="0" w:firstColumn="0" w:lastColumn="0" w:oddVBand="0" w:evenVBand="0" w:oddHBand="0" w:evenHBand="0" w:firstRowFirstColumn="0" w:firstRowLastColumn="0" w:lastRowFirstColumn="0" w:lastRowLastColumn="0"/>
            </w:pPr>
            <w:r>
              <w:t>Low</w:t>
            </w:r>
          </w:p>
        </w:tc>
      </w:tr>
      <w:tr w:rsidR="005C6C73" w14:paraId="6A038A1D" w14:textId="77777777" w:rsidTr="005C6C73">
        <w:tc>
          <w:tcPr>
            <w:cnfStyle w:val="001000000000" w:firstRow="0" w:lastRow="0" w:firstColumn="1" w:lastColumn="0" w:oddVBand="0" w:evenVBand="0" w:oddHBand="0" w:evenHBand="0" w:firstRowFirstColumn="0" w:firstRowLastColumn="0" w:lastRowFirstColumn="0" w:lastRowLastColumn="0"/>
            <w:tcW w:w="4961" w:type="dxa"/>
            <w:tcBorders>
              <w:top w:val="nil"/>
              <w:bottom w:val="nil"/>
            </w:tcBorders>
          </w:tcPr>
          <w:p w14:paraId="46B811F1" w14:textId="77777777" w:rsidR="005C6C73" w:rsidRDefault="005C6C73" w:rsidP="005C6C73">
            <w:pPr>
              <w:pStyle w:val="BodyText"/>
            </w:pPr>
          </w:p>
        </w:tc>
        <w:tc>
          <w:tcPr>
            <w:tcW w:w="1276" w:type="dxa"/>
            <w:tcBorders>
              <w:top w:val="nil"/>
              <w:bottom w:val="nil"/>
            </w:tcBorders>
          </w:tcPr>
          <w:p w14:paraId="1E953088" w14:textId="77777777" w:rsidR="005C6C73" w:rsidRDefault="005C6C73" w:rsidP="005C6C73">
            <w:pPr>
              <w:pStyle w:val="BodyText"/>
              <w:cnfStyle w:val="000000000000" w:firstRow="0" w:lastRow="0" w:firstColumn="0" w:lastColumn="0" w:oddVBand="0" w:evenVBand="0" w:oddHBand="0" w:evenHBand="0" w:firstRowFirstColumn="0" w:firstRowLastColumn="0" w:lastRowFirstColumn="0" w:lastRowLastColumn="0"/>
            </w:pPr>
          </w:p>
        </w:tc>
        <w:tc>
          <w:tcPr>
            <w:tcW w:w="2693" w:type="dxa"/>
          </w:tcPr>
          <w:p w14:paraId="5C738D0C" w14:textId="77777777" w:rsidR="005C6C73" w:rsidRDefault="005C6C73" w:rsidP="005C6C73">
            <w:pPr>
              <w:pStyle w:val="BodyText"/>
              <w:cnfStyle w:val="000000000000" w:firstRow="0" w:lastRow="0" w:firstColumn="0" w:lastColumn="0" w:oddVBand="0" w:evenVBand="0" w:oddHBand="0" w:evenHBand="0" w:firstRowFirstColumn="0" w:firstRowLastColumn="0" w:lastRowFirstColumn="0" w:lastRowLastColumn="0"/>
            </w:pPr>
            <w:r>
              <w:t>% forest mature</w:t>
            </w:r>
          </w:p>
        </w:tc>
        <w:tc>
          <w:tcPr>
            <w:tcW w:w="2977" w:type="dxa"/>
          </w:tcPr>
          <w:p w14:paraId="57F6F5AD" w14:textId="77777777" w:rsidR="005C6C73" w:rsidRDefault="005C6C73" w:rsidP="005C6C73">
            <w:pPr>
              <w:pStyle w:val="BodyText"/>
              <w:cnfStyle w:val="000000000000" w:firstRow="0" w:lastRow="0" w:firstColumn="0" w:lastColumn="0" w:oddVBand="0" w:evenVBand="0" w:oddHBand="0" w:evenHBand="0" w:firstRowFirstColumn="0" w:firstRowLastColumn="0" w:lastRowFirstColumn="0" w:lastRowLastColumn="0"/>
            </w:pPr>
            <w:r>
              <w:t>22.1%</w:t>
            </w:r>
          </w:p>
        </w:tc>
        <w:tc>
          <w:tcPr>
            <w:tcW w:w="1839" w:type="dxa"/>
          </w:tcPr>
          <w:p w14:paraId="383BD267" w14:textId="77777777" w:rsidR="005C6C73" w:rsidRDefault="005C6C73" w:rsidP="005C6C73">
            <w:pPr>
              <w:pStyle w:val="BodyText"/>
              <w:cnfStyle w:val="000000000000" w:firstRow="0" w:lastRow="0" w:firstColumn="0" w:lastColumn="0" w:oddVBand="0" w:evenVBand="0" w:oddHBand="0" w:evenHBand="0" w:firstRowFirstColumn="0" w:firstRowLastColumn="0" w:lastRowFirstColumn="0" w:lastRowLastColumn="0"/>
            </w:pPr>
            <w:r w:rsidRPr="00F0590C">
              <w:t>Low</w:t>
            </w:r>
          </w:p>
        </w:tc>
      </w:tr>
      <w:tr w:rsidR="005C6C73" w14:paraId="5F3876D8" w14:textId="77777777" w:rsidTr="005C6C73">
        <w:tc>
          <w:tcPr>
            <w:cnfStyle w:val="001000000000" w:firstRow="0" w:lastRow="0" w:firstColumn="1" w:lastColumn="0" w:oddVBand="0" w:evenVBand="0" w:oddHBand="0" w:evenHBand="0" w:firstRowFirstColumn="0" w:firstRowLastColumn="0" w:lastRowFirstColumn="0" w:lastRowLastColumn="0"/>
            <w:tcW w:w="4961" w:type="dxa"/>
            <w:tcBorders>
              <w:top w:val="nil"/>
              <w:bottom w:val="nil"/>
            </w:tcBorders>
          </w:tcPr>
          <w:p w14:paraId="24D66C6E" w14:textId="77777777" w:rsidR="005C6C73" w:rsidRDefault="005C6C73" w:rsidP="005C6C73">
            <w:pPr>
              <w:pStyle w:val="BodyText"/>
            </w:pPr>
          </w:p>
        </w:tc>
        <w:tc>
          <w:tcPr>
            <w:tcW w:w="1276" w:type="dxa"/>
            <w:tcBorders>
              <w:top w:val="nil"/>
              <w:bottom w:val="nil"/>
            </w:tcBorders>
          </w:tcPr>
          <w:p w14:paraId="510A6F08" w14:textId="77777777" w:rsidR="005C6C73" w:rsidRDefault="005C6C73" w:rsidP="005C6C73">
            <w:pPr>
              <w:pStyle w:val="BodyText"/>
              <w:cnfStyle w:val="000000000000" w:firstRow="0" w:lastRow="0" w:firstColumn="0" w:lastColumn="0" w:oddVBand="0" w:evenVBand="0" w:oddHBand="0" w:evenHBand="0" w:firstRowFirstColumn="0" w:firstRowLastColumn="0" w:lastRowFirstColumn="0" w:lastRowLastColumn="0"/>
            </w:pPr>
          </w:p>
        </w:tc>
        <w:tc>
          <w:tcPr>
            <w:tcW w:w="2693" w:type="dxa"/>
          </w:tcPr>
          <w:p w14:paraId="18527328" w14:textId="77777777" w:rsidR="005C6C73" w:rsidRDefault="005C6C73" w:rsidP="005C6C73">
            <w:pPr>
              <w:pStyle w:val="BodyText"/>
              <w:cnfStyle w:val="000000000000" w:firstRow="0" w:lastRow="0" w:firstColumn="0" w:lastColumn="0" w:oddVBand="0" w:evenVBand="0" w:oddHBand="0" w:evenHBand="0" w:firstRowFirstColumn="0" w:firstRowLastColumn="0" w:lastRowFirstColumn="0" w:lastRowLastColumn="0"/>
            </w:pPr>
            <w:r>
              <w:t>% forest regenerating</w:t>
            </w:r>
          </w:p>
        </w:tc>
        <w:tc>
          <w:tcPr>
            <w:tcW w:w="2977" w:type="dxa"/>
          </w:tcPr>
          <w:p w14:paraId="2E187291" w14:textId="77777777" w:rsidR="005C6C73" w:rsidRDefault="005C6C73" w:rsidP="005C6C73">
            <w:pPr>
              <w:pStyle w:val="BodyText"/>
              <w:cnfStyle w:val="000000000000" w:firstRow="0" w:lastRow="0" w:firstColumn="0" w:lastColumn="0" w:oddVBand="0" w:evenVBand="0" w:oddHBand="0" w:evenHBand="0" w:firstRowFirstColumn="0" w:firstRowLastColumn="0" w:lastRowFirstColumn="0" w:lastRowLastColumn="0"/>
            </w:pPr>
            <w:r>
              <w:t>0.3%</w:t>
            </w:r>
          </w:p>
        </w:tc>
        <w:tc>
          <w:tcPr>
            <w:tcW w:w="1839" w:type="dxa"/>
          </w:tcPr>
          <w:p w14:paraId="7AEFDE84" w14:textId="77777777" w:rsidR="005C6C73" w:rsidRDefault="005C6C73" w:rsidP="005C6C73">
            <w:pPr>
              <w:pStyle w:val="BodyText"/>
              <w:cnfStyle w:val="000000000000" w:firstRow="0" w:lastRow="0" w:firstColumn="0" w:lastColumn="0" w:oddVBand="0" w:evenVBand="0" w:oddHBand="0" w:evenHBand="0" w:firstRowFirstColumn="0" w:firstRowLastColumn="0" w:lastRowFirstColumn="0" w:lastRowLastColumn="0"/>
            </w:pPr>
            <w:r w:rsidRPr="00F0590C">
              <w:t>Low</w:t>
            </w:r>
          </w:p>
        </w:tc>
      </w:tr>
      <w:tr w:rsidR="005C6C73" w14:paraId="7A6B9EF9" w14:textId="77777777" w:rsidTr="005C6C73">
        <w:tc>
          <w:tcPr>
            <w:cnfStyle w:val="001000000000" w:firstRow="0" w:lastRow="0" w:firstColumn="1" w:lastColumn="0" w:oddVBand="0" w:evenVBand="0" w:oddHBand="0" w:evenHBand="0" w:firstRowFirstColumn="0" w:firstRowLastColumn="0" w:lastRowFirstColumn="0" w:lastRowLastColumn="0"/>
            <w:tcW w:w="4961" w:type="dxa"/>
            <w:tcBorders>
              <w:top w:val="nil"/>
              <w:bottom w:val="nil"/>
            </w:tcBorders>
          </w:tcPr>
          <w:p w14:paraId="14343747" w14:textId="77777777" w:rsidR="005C6C73" w:rsidRDefault="005C6C73" w:rsidP="005C6C73">
            <w:pPr>
              <w:pStyle w:val="BodyText"/>
            </w:pPr>
          </w:p>
        </w:tc>
        <w:tc>
          <w:tcPr>
            <w:tcW w:w="1276" w:type="dxa"/>
            <w:tcBorders>
              <w:top w:val="nil"/>
              <w:bottom w:val="nil"/>
            </w:tcBorders>
          </w:tcPr>
          <w:p w14:paraId="32396D78" w14:textId="77777777" w:rsidR="005C6C73" w:rsidRDefault="005C6C73" w:rsidP="005C6C73">
            <w:pPr>
              <w:pStyle w:val="BodyText"/>
              <w:cnfStyle w:val="000000000000" w:firstRow="0" w:lastRow="0" w:firstColumn="0" w:lastColumn="0" w:oddVBand="0" w:evenVBand="0" w:oddHBand="0" w:evenHBand="0" w:firstRowFirstColumn="0" w:firstRowLastColumn="0" w:lastRowFirstColumn="0" w:lastRowLastColumn="0"/>
            </w:pPr>
          </w:p>
        </w:tc>
        <w:tc>
          <w:tcPr>
            <w:tcW w:w="2693" w:type="dxa"/>
          </w:tcPr>
          <w:p w14:paraId="602963CB" w14:textId="77777777" w:rsidR="005C6C73" w:rsidRDefault="005C6C73" w:rsidP="005C6C73">
            <w:pPr>
              <w:pStyle w:val="BodyText"/>
              <w:cnfStyle w:val="000000000000" w:firstRow="0" w:lastRow="0" w:firstColumn="0" w:lastColumn="0" w:oddVBand="0" w:evenVBand="0" w:oddHBand="0" w:evenHBand="0" w:firstRowFirstColumn="0" w:firstRowLastColumn="0" w:lastRowFirstColumn="0" w:lastRowLastColumn="0"/>
            </w:pPr>
            <w:r>
              <w:t>% forest regrowth</w:t>
            </w:r>
          </w:p>
        </w:tc>
        <w:tc>
          <w:tcPr>
            <w:tcW w:w="2977" w:type="dxa"/>
          </w:tcPr>
          <w:p w14:paraId="2EE63C5D" w14:textId="77777777" w:rsidR="005C6C73" w:rsidRDefault="005C6C73" w:rsidP="005C6C73">
            <w:pPr>
              <w:pStyle w:val="BodyText"/>
              <w:cnfStyle w:val="000000000000" w:firstRow="0" w:lastRow="0" w:firstColumn="0" w:lastColumn="0" w:oddVBand="0" w:evenVBand="0" w:oddHBand="0" w:evenHBand="0" w:firstRowFirstColumn="0" w:firstRowLastColumn="0" w:lastRowFirstColumn="0" w:lastRowLastColumn="0"/>
            </w:pPr>
            <w:r>
              <w:t>0.9%</w:t>
            </w:r>
          </w:p>
        </w:tc>
        <w:tc>
          <w:tcPr>
            <w:tcW w:w="1839" w:type="dxa"/>
          </w:tcPr>
          <w:p w14:paraId="51A6788D" w14:textId="77777777" w:rsidR="005C6C73" w:rsidRDefault="005C6C73" w:rsidP="005C6C73">
            <w:pPr>
              <w:pStyle w:val="BodyText"/>
              <w:cnfStyle w:val="000000000000" w:firstRow="0" w:lastRow="0" w:firstColumn="0" w:lastColumn="0" w:oddVBand="0" w:evenVBand="0" w:oddHBand="0" w:evenHBand="0" w:firstRowFirstColumn="0" w:firstRowLastColumn="0" w:lastRowFirstColumn="0" w:lastRowLastColumn="0"/>
            </w:pPr>
            <w:r w:rsidRPr="00F0590C">
              <w:t>Low</w:t>
            </w:r>
          </w:p>
        </w:tc>
      </w:tr>
      <w:tr w:rsidR="005C6C73" w14:paraId="27A594BD" w14:textId="77777777" w:rsidTr="005C6C73">
        <w:tc>
          <w:tcPr>
            <w:cnfStyle w:val="001000000000" w:firstRow="0" w:lastRow="0" w:firstColumn="1" w:lastColumn="0" w:oddVBand="0" w:evenVBand="0" w:oddHBand="0" w:evenHBand="0" w:firstRowFirstColumn="0" w:firstRowLastColumn="0" w:lastRowFirstColumn="0" w:lastRowLastColumn="0"/>
            <w:tcW w:w="4961" w:type="dxa"/>
            <w:tcBorders>
              <w:top w:val="nil"/>
              <w:bottom w:val="nil"/>
            </w:tcBorders>
          </w:tcPr>
          <w:p w14:paraId="0DBEA9ED" w14:textId="77777777" w:rsidR="005C6C73" w:rsidRDefault="005C6C73" w:rsidP="005C6C73">
            <w:pPr>
              <w:pStyle w:val="BodyText"/>
            </w:pPr>
          </w:p>
        </w:tc>
        <w:tc>
          <w:tcPr>
            <w:tcW w:w="1276" w:type="dxa"/>
            <w:tcBorders>
              <w:top w:val="nil"/>
              <w:bottom w:val="nil"/>
            </w:tcBorders>
          </w:tcPr>
          <w:p w14:paraId="66899920" w14:textId="77777777" w:rsidR="005C6C73" w:rsidRDefault="005C6C73" w:rsidP="005C6C73">
            <w:pPr>
              <w:pStyle w:val="BodyText"/>
              <w:cnfStyle w:val="000000000000" w:firstRow="0" w:lastRow="0" w:firstColumn="0" w:lastColumn="0" w:oddVBand="0" w:evenVBand="0" w:oddHBand="0" w:evenHBand="0" w:firstRowFirstColumn="0" w:firstRowLastColumn="0" w:lastRowFirstColumn="0" w:lastRowLastColumn="0"/>
            </w:pPr>
          </w:p>
        </w:tc>
        <w:tc>
          <w:tcPr>
            <w:tcW w:w="2693" w:type="dxa"/>
          </w:tcPr>
          <w:p w14:paraId="47C44B06" w14:textId="77777777" w:rsidR="005C6C73" w:rsidRDefault="005C6C73" w:rsidP="005C6C73">
            <w:pPr>
              <w:pStyle w:val="BodyText"/>
              <w:cnfStyle w:val="000000000000" w:firstRow="0" w:lastRow="0" w:firstColumn="0" w:lastColumn="0" w:oddVBand="0" w:evenVBand="0" w:oddHBand="0" w:evenHBand="0" w:firstRowFirstColumn="0" w:firstRowLastColumn="0" w:lastRowFirstColumn="0" w:lastRowLastColumn="0"/>
            </w:pPr>
            <w:r>
              <w:t>% forest senescent</w:t>
            </w:r>
          </w:p>
        </w:tc>
        <w:tc>
          <w:tcPr>
            <w:tcW w:w="2977" w:type="dxa"/>
          </w:tcPr>
          <w:p w14:paraId="507EFC52" w14:textId="77777777" w:rsidR="005C6C73" w:rsidRDefault="005C6C73" w:rsidP="005C6C73">
            <w:pPr>
              <w:pStyle w:val="BodyText"/>
              <w:cnfStyle w:val="000000000000" w:firstRow="0" w:lastRow="0" w:firstColumn="0" w:lastColumn="0" w:oddVBand="0" w:evenVBand="0" w:oddHBand="0" w:evenHBand="0" w:firstRowFirstColumn="0" w:firstRowLastColumn="0" w:lastRowFirstColumn="0" w:lastRowLastColumn="0"/>
            </w:pPr>
            <w:r>
              <w:t>27.2%</w:t>
            </w:r>
          </w:p>
        </w:tc>
        <w:tc>
          <w:tcPr>
            <w:tcW w:w="1839" w:type="dxa"/>
          </w:tcPr>
          <w:p w14:paraId="32A2B925" w14:textId="77777777" w:rsidR="005C6C73" w:rsidRDefault="005C6C73" w:rsidP="005C6C73">
            <w:pPr>
              <w:pStyle w:val="BodyText"/>
              <w:cnfStyle w:val="000000000000" w:firstRow="0" w:lastRow="0" w:firstColumn="0" w:lastColumn="0" w:oddVBand="0" w:evenVBand="0" w:oddHBand="0" w:evenHBand="0" w:firstRowFirstColumn="0" w:firstRowLastColumn="0" w:lastRowFirstColumn="0" w:lastRowLastColumn="0"/>
            </w:pPr>
            <w:r w:rsidRPr="00F0590C">
              <w:t>Low</w:t>
            </w:r>
          </w:p>
        </w:tc>
      </w:tr>
      <w:tr w:rsidR="005C6C73" w14:paraId="0BC20DDA" w14:textId="77777777" w:rsidTr="005C6C73">
        <w:tc>
          <w:tcPr>
            <w:cnfStyle w:val="001000000000" w:firstRow="0" w:lastRow="0" w:firstColumn="1" w:lastColumn="0" w:oddVBand="0" w:evenVBand="0" w:oddHBand="0" w:evenHBand="0" w:firstRowFirstColumn="0" w:firstRowLastColumn="0" w:lastRowFirstColumn="0" w:lastRowLastColumn="0"/>
            <w:tcW w:w="4961" w:type="dxa"/>
            <w:tcBorders>
              <w:top w:val="nil"/>
            </w:tcBorders>
          </w:tcPr>
          <w:p w14:paraId="1647D767" w14:textId="77777777" w:rsidR="005C6C73" w:rsidRDefault="005C6C73" w:rsidP="005C6C73">
            <w:pPr>
              <w:pStyle w:val="BodyText"/>
            </w:pPr>
          </w:p>
        </w:tc>
        <w:tc>
          <w:tcPr>
            <w:tcW w:w="1276" w:type="dxa"/>
            <w:tcBorders>
              <w:top w:val="nil"/>
            </w:tcBorders>
          </w:tcPr>
          <w:p w14:paraId="5D1F3B7F" w14:textId="77777777" w:rsidR="005C6C73" w:rsidRDefault="005C6C73" w:rsidP="005C6C73">
            <w:pPr>
              <w:pStyle w:val="BodyText"/>
              <w:cnfStyle w:val="000000000000" w:firstRow="0" w:lastRow="0" w:firstColumn="0" w:lastColumn="0" w:oddVBand="0" w:evenVBand="0" w:oddHBand="0" w:evenHBand="0" w:firstRowFirstColumn="0" w:firstRowLastColumn="0" w:lastRowFirstColumn="0" w:lastRowLastColumn="0"/>
            </w:pPr>
          </w:p>
        </w:tc>
        <w:tc>
          <w:tcPr>
            <w:tcW w:w="2693" w:type="dxa"/>
          </w:tcPr>
          <w:p w14:paraId="123A5001" w14:textId="77777777" w:rsidR="005C6C73" w:rsidRDefault="005C6C73" w:rsidP="005C6C73">
            <w:pPr>
              <w:pStyle w:val="BodyText"/>
              <w:cnfStyle w:val="000000000000" w:firstRow="0" w:lastRow="0" w:firstColumn="0" w:lastColumn="0" w:oddVBand="0" w:evenVBand="0" w:oddHBand="0" w:evenHBand="0" w:firstRowFirstColumn="0" w:firstRowLastColumn="0" w:lastRowFirstColumn="0" w:lastRowLastColumn="0"/>
            </w:pPr>
            <w:r>
              <w:t>% forest uneven-aged</w:t>
            </w:r>
          </w:p>
        </w:tc>
        <w:tc>
          <w:tcPr>
            <w:tcW w:w="2977" w:type="dxa"/>
          </w:tcPr>
          <w:p w14:paraId="621BFA2C" w14:textId="77777777" w:rsidR="005C6C73" w:rsidRDefault="005C6C73" w:rsidP="005C6C73">
            <w:pPr>
              <w:pStyle w:val="BodyText"/>
              <w:cnfStyle w:val="000000000000" w:firstRow="0" w:lastRow="0" w:firstColumn="0" w:lastColumn="0" w:oddVBand="0" w:evenVBand="0" w:oddHBand="0" w:evenHBand="0" w:firstRowFirstColumn="0" w:firstRowLastColumn="0" w:lastRowFirstColumn="0" w:lastRowLastColumn="0"/>
            </w:pPr>
            <w:r>
              <w:t>1.7%</w:t>
            </w:r>
          </w:p>
        </w:tc>
        <w:tc>
          <w:tcPr>
            <w:tcW w:w="1839" w:type="dxa"/>
          </w:tcPr>
          <w:p w14:paraId="66595295" w14:textId="77777777" w:rsidR="005C6C73" w:rsidRDefault="005C6C73" w:rsidP="005C6C73">
            <w:pPr>
              <w:pStyle w:val="BodyText"/>
              <w:cnfStyle w:val="000000000000" w:firstRow="0" w:lastRow="0" w:firstColumn="0" w:lastColumn="0" w:oddVBand="0" w:evenVBand="0" w:oddHBand="0" w:evenHBand="0" w:firstRowFirstColumn="0" w:firstRowLastColumn="0" w:lastRowFirstColumn="0" w:lastRowLastColumn="0"/>
            </w:pPr>
            <w:r w:rsidRPr="00F0590C">
              <w:t>Low</w:t>
            </w:r>
          </w:p>
        </w:tc>
      </w:tr>
      <w:tr w:rsidR="005C6C73" w14:paraId="42C0EC91" w14:textId="77777777" w:rsidTr="005C6C73">
        <w:tc>
          <w:tcPr>
            <w:cnfStyle w:val="001000000000" w:firstRow="0" w:lastRow="0" w:firstColumn="1" w:lastColumn="0" w:oddVBand="0" w:evenVBand="0" w:oddHBand="0" w:evenHBand="0" w:firstRowFirstColumn="0" w:firstRowLastColumn="0" w:lastRowFirstColumn="0" w:lastRowLastColumn="0"/>
            <w:tcW w:w="4961" w:type="dxa"/>
            <w:shd w:val="clear" w:color="auto" w:fill="201547" w:themeFill="text2"/>
          </w:tcPr>
          <w:p w14:paraId="2E9A1101" w14:textId="77777777" w:rsidR="005C6C73" w:rsidRPr="00AD1681" w:rsidRDefault="005C6C73" w:rsidP="005C6C73">
            <w:pPr>
              <w:pStyle w:val="BodyText"/>
              <w:rPr>
                <w:b/>
                <w:bCs/>
                <w:color w:val="FFFFFF" w:themeColor="background1"/>
              </w:rPr>
            </w:pPr>
            <w:r>
              <w:rPr>
                <w:b/>
                <w:bCs/>
                <w:color w:val="FFFFFF" w:themeColor="background1"/>
              </w:rPr>
              <w:t>Coastal Country</w:t>
            </w:r>
          </w:p>
        </w:tc>
        <w:tc>
          <w:tcPr>
            <w:tcW w:w="1276" w:type="dxa"/>
            <w:shd w:val="clear" w:color="auto" w:fill="201547" w:themeFill="text2"/>
          </w:tcPr>
          <w:p w14:paraId="678B1EAA" w14:textId="77777777" w:rsidR="005C6C73" w:rsidRPr="00AD1681" w:rsidRDefault="005C6C73" w:rsidP="005C6C73">
            <w:pPr>
              <w:pStyle w:val="BodyText"/>
              <w:cnfStyle w:val="000000000000" w:firstRow="0" w:lastRow="0" w:firstColumn="0" w:lastColumn="0" w:oddVBand="0" w:evenVBand="0" w:oddHBand="0" w:evenHBand="0" w:firstRowFirstColumn="0" w:firstRowLastColumn="0" w:lastRowFirstColumn="0" w:lastRowLastColumn="0"/>
              <w:rPr>
                <w:b/>
                <w:bCs/>
                <w:color w:val="FFFFFF" w:themeColor="background1"/>
              </w:rPr>
            </w:pPr>
          </w:p>
        </w:tc>
        <w:tc>
          <w:tcPr>
            <w:tcW w:w="2693" w:type="dxa"/>
            <w:shd w:val="clear" w:color="auto" w:fill="201547" w:themeFill="text2"/>
          </w:tcPr>
          <w:p w14:paraId="5F244EA6" w14:textId="77777777" w:rsidR="005C6C73" w:rsidRPr="00AD1681" w:rsidRDefault="005C6C73" w:rsidP="005C6C73">
            <w:pPr>
              <w:pStyle w:val="BodyText"/>
              <w:cnfStyle w:val="000000000000" w:firstRow="0" w:lastRow="0" w:firstColumn="0" w:lastColumn="0" w:oddVBand="0" w:evenVBand="0" w:oddHBand="0" w:evenHBand="0" w:firstRowFirstColumn="0" w:firstRowLastColumn="0" w:lastRowFirstColumn="0" w:lastRowLastColumn="0"/>
              <w:rPr>
                <w:b/>
                <w:bCs/>
                <w:color w:val="FFFFFF" w:themeColor="background1"/>
              </w:rPr>
            </w:pPr>
          </w:p>
        </w:tc>
        <w:tc>
          <w:tcPr>
            <w:tcW w:w="2977" w:type="dxa"/>
            <w:shd w:val="clear" w:color="auto" w:fill="201547" w:themeFill="text2"/>
          </w:tcPr>
          <w:p w14:paraId="0EEA2FEB" w14:textId="77777777" w:rsidR="005C6C73" w:rsidRPr="00AD1681" w:rsidRDefault="005C6C73" w:rsidP="005C6C73">
            <w:pPr>
              <w:pStyle w:val="BodyText"/>
              <w:cnfStyle w:val="000000000000" w:firstRow="0" w:lastRow="0" w:firstColumn="0" w:lastColumn="0" w:oddVBand="0" w:evenVBand="0" w:oddHBand="0" w:evenHBand="0" w:firstRowFirstColumn="0" w:firstRowLastColumn="0" w:lastRowFirstColumn="0" w:lastRowLastColumn="0"/>
              <w:rPr>
                <w:b/>
                <w:bCs/>
                <w:color w:val="FFFFFF" w:themeColor="background1"/>
              </w:rPr>
            </w:pPr>
          </w:p>
        </w:tc>
        <w:tc>
          <w:tcPr>
            <w:tcW w:w="1839" w:type="dxa"/>
            <w:shd w:val="clear" w:color="auto" w:fill="201547" w:themeFill="text2"/>
          </w:tcPr>
          <w:p w14:paraId="493CF647" w14:textId="77777777" w:rsidR="005C6C73" w:rsidRPr="00AD1681" w:rsidRDefault="005C6C73" w:rsidP="005C6C73">
            <w:pPr>
              <w:pStyle w:val="BodyText"/>
              <w:cnfStyle w:val="000000000000" w:firstRow="0" w:lastRow="0" w:firstColumn="0" w:lastColumn="0" w:oddVBand="0" w:evenVBand="0" w:oddHBand="0" w:evenHBand="0" w:firstRowFirstColumn="0" w:firstRowLastColumn="0" w:lastRowFirstColumn="0" w:lastRowLastColumn="0"/>
              <w:rPr>
                <w:b/>
                <w:bCs/>
                <w:color w:val="FFFFFF" w:themeColor="background1"/>
              </w:rPr>
            </w:pPr>
          </w:p>
        </w:tc>
      </w:tr>
      <w:tr w:rsidR="005C6C73" w14:paraId="41E40E2D" w14:textId="77777777" w:rsidTr="005C6C73">
        <w:tc>
          <w:tcPr>
            <w:cnfStyle w:val="001000000000" w:firstRow="0" w:lastRow="0" w:firstColumn="1" w:lastColumn="0" w:oddVBand="0" w:evenVBand="0" w:oddHBand="0" w:evenHBand="0" w:firstRowFirstColumn="0" w:firstRowLastColumn="0" w:lastRowFirstColumn="0" w:lastRowLastColumn="0"/>
            <w:tcW w:w="4961" w:type="dxa"/>
          </w:tcPr>
          <w:p w14:paraId="7E404A4B" w14:textId="77777777" w:rsidR="005C6C73" w:rsidRDefault="005C6C73" w:rsidP="005C6C73">
            <w:pPr>
              <w:pStyle w:val="BodyText"/>
            </w:pPr>
            <w:r>
              <w:t>Extent of ironbark</w:t>
            </w:r>
          </w:p>
        </w:tc>
        <w:tc>
          <w:tcPr>
            <w:tcW w:w="1276" w:type="dxa"/>
          </w:tcPr>
          <w:p w14:paraId="036F145D" w14:textId="77777777" w:rsidR="005C6C73" w:rsidRDefault="005C6C73" w:rsidP="005C6C73">
            <w:pPr>
              <w:pStyle w:val="BodyText"/>
              <w:cnfStyle w:val="000000000000" w:firstRow="0" w:lastRow="0" w:firstColumn="0" w:lastColumn="0" w:oddVBand="0" w:evenVBand="0" w:oddHBand="0" w:evenHBand="0" w:firstRowFirstColumn="0" w:firstRowLastColumn="0" w:lastRowFirstColumn="0" w:lastRowLastColumn="0"/>
            </w:pPr>
            <w:r>
              <w:t>2019</w:t>
            </w:r>
          </w:p>
        </w:tc>
        <w:tc>
          <w:tcPr>
            <w:tcW w:w="2693" w:type="dxa"/>
          </w:tcPr>
          <w:p w14:paraId="576CE3AA" w14:textId="77777777" w:rsidR="005C6C73" w:rsidRDefault="005C6C73" w:rsidP="005C6C73">
            <w:pPr>
              <w:pStyle w:val="BodyText"/>
              <w:cnfStyle w:val="000000000000" w:firstRow="0" w:lastRow="0" w:firstColumn="0" w:lastColumn="0" w:oddVBand="0" w:evenVBand="0" w:oddHBand="0" w:evenHBand="0" w:firstRowFirstColumn="0" w:firstRowLastColumn="0" w:lastRowFirstColumn="0" w:lastRowLastColumn="0"/>
            </w:pPr>
            <w:r w:rsidRPr="00155F66">
              <w:t>Hectares</w:t>
            </w:r>
          </w:p>
        </w:tc>
        <w:tc>
          <w:tcPr>
            <w:tcW w:w="2977" w:type="dxa"/>
          </w:tcPr>
          <w:p w14:paraId="0766CD39" w14:textId="77777777" w:rsidR="005C6C73" w:rsidRDefault="005C6C73" w:rsidP="005C6C73">
            <w:pPr>
              <w:pStyle w:val="BodyText"/>
              <w:cnfStyle w:val="000000000000" w:firstRow="0" w:lastRow="0" w:firstColumn="0" w:lastColumn="0" w:oddVBand="0" w:evenVBand="0" w:oddHBand="0" w:evenHBand="0" w:firstRowFirstColumn="0" w:firstRowLastColumn="0" w:lastRowFirstColumn="0" w:lastRowLastColumn="0"/>
            </w:pPr>
            <w:r>
              <w:t>0</w:t>
            </w:r>
          </w:p>
        </w:tc>
        <w:tc>
          <w:tcPr>
            <w:tcW w:w="1839" w:type="dxa"/>
          </w:tcPr>
          <w:p w14:paraId="0DDBBCBB" w14:textId="77777777" w:rsidR="005C6C73" w:rsidRDefault="005C6C73" w:rsidP="005C6C73">
            <w:pPr>
              <w:pStyle w:val="BodyText"/>
              <w:cnfStyle w:val="000000000000" w:firstRow="0" w:lastRow="0" w:firstColumn="0" w:lastColumn="0" w:oddVBand="0" w:evenVBand="0" w:oddHBand="0" w:evenHBand="0" w:firstRowFirstColumn="0" w:firstRowLastColumn="0" w:lastRowFirstColumn="0" w:lastRowLastColumn="0"/>
            </w:pPr>
            <w:r>
              <w:t>Medium</w:t>
            </w:r>
          </w:p>
        </w:tc>
      </w:tr>
      <w:tr w:rsidR="005C6C73" w14:paraId="1B85B1A6" w14:textId="77777777" w:rsidTr="005C6C73">
        <w:tc>
          <w:tcPr>
            <w:cnfStyle w:val="001000000000" w:firstRow="0" w:lastRow="0" w:firstColumn="1" w:lastColumn="0" w:oddVBand="0" w:evenVBand="0" w:oddHBand="0" w:evenHBand="0" w:firstRowFirstColumn="0" w:firstRowLastColumn="0" w:lastRowFirstColumn="0" w:lastRowLastColumn="0"/>
            <w:tcW w:w="4961" w:type="dxa"/>
          </w:tcPr>
          <w:p w14:paraId="6500AFAF" w14:textId="77777777" w:rsidR="005C6C73" w:rsidRDefault="005C6C73" w:rsidP="005C6C73">
            <w:pPr>
              <w:pStyle w:val="BodyText"/>
            </w:pPr>
            <w:r>
              <w:t>Extent of heathlands</w:t>
            </w:r>
          </w:p>
        </w:tc>
        <w:tc>
          <w:tcPr>
            <w:tcW w:w="1276" w:type="dxa"/>
          </w:tcPr>
          <w:p w14:paraId="6660B685" w14:textId="77777777" w:rsidR="005C6C73" w:rsidRDefault="005C6C73" w:rsidP="005C6C73">
            <w:pPr>
              <w:pStyle w:val="BodyText"/>
              <w:cnfStyle w:val="000000000000" w:firstRow="0" w:lastRow="0" w:firstColumn="0" w:lastColumn="0" w:oddVBand="0" w:evenVBand="0" w:oddHBand="0" w:evenHBand="0" w:firstRowFirstColumn="0" w:firstRowLastColumn="0" w:lastRowFirstColumn="0" w:lastRowLastColumn="0"/>
            </w:pPr>
            <w:r>
              <w:t>2019</w:t>
            </w:r>
          </w:p>
        </w:tc>
        <w:tc>
          <w:tcPr>
            <w:tcW w:w="2693" w:type="dxa"/>
          </w:tcPr>
          <w:p w14:paraId="27470660" w14:textId="77777777" w:rsidR="005C6C73" w:rsidRDefault="005C6C73" w:rsidP="005C6C73">
            <w:pPr>
              <w:pStyle w:val="BodyText"/>
              <w:cnfStyle w:val="000000000000" w:firstRow="0" w:lastRow="0" w:firstColumn="0" w:lastColumn="0" w:oddVBand="0" w:evenVBand="0" w:oddHBand="0" w:evenHBand="0" w:firstRowFirstColumn="0" w:firstRowLastColumn="0" w:lastRowFirstColumn="0" w:lastRowLastColumn="0"/>
            </w:pPr>
            <w:r w:rsidRPr="00155F66">
              <w:t>Hectares</w:t>
            </w:r>
          </w:p>
        </w:tc>
        <w:tc>
          <w:tcPr>
            <w:tcW w:w="2977" w:type="dxa"/>
          </w:tcPr>
          <w:p w14:paraId="6ACC6697" w14:textId="77777777" w:rsidR="005C6C73" w:rsidRDefault="005C6C73" w:rsidP="005C6C73">
            <w:pPr>
              <w:pStyle w:val="BodyText"/>
              <w:cnfStyle w:val="000000000000" w:firstRow="0" w:lastRow="0" w:firstColumn="0" w:lastColumn="0" w:oddVBand="0" w:evenVBand="0" w:oddHBand="0" w:evenHBand="0" w:firstRowFirstColumn="0" w:firstRowLastColumn="0" w:lastRowFirstColumn="0" w:lastRowLastColumn="0"/>
            </w:pPr>
            <w:r>
              <w:t>149</w:t>
            </w:r>
          </w:p>
        </w:tc>
        <w:tc>
          <w:tcPr>
            <w:tcW w:w="1839" w:type="dxa"/>
          </w:tcPr>
          <w:p w14:paraId="3E88A744" w14:textId="77777777" w:rsidR="005C6C73" w:rsidRDefault="005C6C73" w:rsidP="005C6C73">
            <w:pPr>
              <w:pStyle w:val="BodyText"/>
              <w:cnfStyle w:val="000000000000" w:firstRow="0" w:lastRow="0" w:firstColumn="0" w:lastColumn="0" w:oddVBand="0" w:evenVBand="0" w:oddHBand="0" w:evenHBand="0" w:firstRowFirstColumn="0" w:firstRowLastColumn="0" w:lastRowFirstColumn="0" w:lastRowLastColumn="0"/>
            </w:pPr>
            <w:r w:rsidRPr="00833920">
              <w:t>Medium</w:t>
            </w:r>
          </w:p>
        </w:tc>
      </w:tr>
      <w:tr w:rsidR="005C6C73" w14:paraId="05F564E3" w14:textId="77777777" w:rsidTr="005C6C73">
        <w:tc>
          <w:tcPr>
            <w:cnfStyle w:val="001000000000" w:firstRow="0" w:lastRow="0" w:firstColumn="1" w:lastColumn="0" w:oddVBand="0" w:evenVBand="0" w:oddHBand="0" w:evenHBand="0" w:firstRowFirstColumn="0" w:firstRowLastColumn="0" w:lastRowFirstColumn="0" w:lastRowLastColumn="0"/>
            <w:tcW w:w="4961" w:type="dxa"/>
            <w:shd w:val="clear" w:color="auto" w:fill="201547" w:themeFill="text2"/>
          </w:tcPr>
          <w:p w14:paraId="72FCEDE4" w14:textId="77777777" w:rsidR="005C6C73" w:rsidRPr="00AD1681" w:rsidRDefault="005C6C73" w:rsidP="005C6C73">
            <w:pPr>
              <w:pStyle w:val="BodyText"/>
              <w:rPr>
                <w:b/>
                <w:bCs/>
                <w:color w:val="FFFFFF" w:themeColor="background1"/>
              </w:rPr>
            </w:pPr>
            <w:r>
              <w:rPr>
                <w:b/>
                <w:bCs/>
                <w:color w:val="FFFFFF" w:themeColor="background1"/>
              </w:rPr>
              <w:t>Native Animals</w:t>
            </w:r>
          </w:p>
        </w:tc>
        <w:tc>
          <w:tcPr>
            <w:tcW w:w="1276" w:type="dxa"/>
            <w:shd w:val="clear" w:color="auto" w:fill="201547" w:themeFill="text2"/>
          </w:tcPr>
          <w:p w14:paraId="6C3F33B2" w14:textId="77777777" w:rsidR="005C6C73" w:rsidRPr="00AD1681" w:rsidRDefault="005C6C73" w:rsidP="005C6C73">
            <w:pPr>
              <w:pStyle w:val="BodyText"/>
              <w:cnfStyle w:val="000000000000" w:firstRow="0" w:lastRow="0" w:firstColumn="0" w:lastColumn="0" w:oddVBand="0" w:evenVBand="0" w:oddHBand="0" w:evenHBand="0" w:firstRowFirstColumn="0" w:firstRowLastColumn="0" w:lastRowFirstColumn="0" w:lastRowLastColumn="0"/>
              <w:rPr>
                <w:b/>
                <w:bCs/>
                <w:color w:val="FFFFFF" w:themeColor="background1"/>
              </w:rPr>
            </w:pPr>
          </w:p>
        </w:tc>
        <w:tc>
          <w:tcPr>
            <w:tcW w:w="2693" w:type="dxa"/>
            <w:shd w:val="clear" w:color="auto" w:fill="201547" w:themeFill="text2"/>
          </w:tcPr>
          <w:p w14:paraId="4FAF14D8" w14:textId="77777777" w:rsidR="005C6C73" w:rsidRPr="00AD1681" w:rsidRDefault="005C6C73" w:rsidP="005C6C73">
            <w:pPr>
              <w:pStyle w:val="BodyText"/>
              <w:cnfStyle w:val="000000000000" w:firstRow="0" w:lastRow="0" w:firstColumn="0" w:lastColumn="0" w:oddVBand="0" w:evenVBand="0" w:oddHBand="0" w:evenHBand="0" w:firstRowFirstColumn="0" w:firstRowLastColumn="0" w:lastRowFirstColumn="0" w:lastRowLastColumn="0"/>
              <w:rPr>
                <w:b/>
                <w:bCs/>
                <w:color w:val="FFFFFF" w:themeColor="background1"/>
              </w:rPr>
            </w:pPr>
          </w:p>
        </w:tc>
        <w:tc>
          <w:tcPr>
            <w:tcW w:w="2977" w:type="dxa"/>
            <w:shd w:val="clear" w:color="auto" w:fill="201547" w:themeFill="text2"/>
          </w:tcPr>
          <w:p w14:paraId="0ABF92F1" w14:textId="77777777" w:rsidR="005C6C73" w:rsidRPr="00AD1681" w:rsidRDefault="005C6C73" w:rsidP="005C6C73">
            <w:pPr>
              <w:pStyle w:val="BodyText"/>
              <w:cnfStyle w:val="000000000000" w:firstRow="0" w:lastRow="0" w:firstColumn="0" w:lastColumn="0" w:oddVBand="0" w:evenVBand="0" w:oddHBand="0" w:evenHBand="0" w:firstRowFirstColumn="0" w:firstRowLastColumn="0" w:lastRowFirstColumn="0" w:lastRowLastColumn="0"/>
              <w:rPr>
                <w:b/>
                <w:bCs/>
                <w:color w:val="FFFFFF" w:themeColor="background1"/>
              </w:rPr>
            </w:pPr>
          </w:p>
        </w:tc>
        <w:tc>
          <w:tcPr>
            <w:tcW w:w="1839" w:type="dxa"/>
            <w:shd w:val="clear" w:color="auto" w:fill="201547" w:themeFill="text2"/>
          </w:tcPr>
          <w:p w14:paraId="7274CD50" w14:textId="77777777" w:rsidR="005C6C73" w:rsidRPr="00AD1681" w:rsidRDefault="005C6C73" w:rsidP="005C6C73">
            <w:pPr>
              <w:pStyle w:val="BodyText"/>
              <w:cnfStyle w:val="000000000000" w:firstRow="0" w:lastRow="0" w:firstColumn="0" w:lastColumn="0" w:oddVBand="0" w:evenVBand="0" w:oddHBand="0" w:evenHBand="0" w:firstRowFirstColumn="0" w:firstRowLastColumn="0" w:lastRowFirstColumn="0" w:lastRowLastColumn="0"/>
              <w:rPr>
                <w:b/>
                <w:bCs/>
                <w:color w:val="FFFFFF" w:themeColor="background1"/>
              </w:rPr>
            </w:pPr>
          </w:p>
        </w:tc>
      </w:tr>
      <w:tr w:rsidR="005C6C73" w14:paraId="0FCEF3F6" w14:textId="77777777" w:rsidTr="005C6C73">
        <w:tc>
          <w:tcPr>
            <w:cnfStyle w:val="001000000000" w:firstRow="0" w:lastRow="0" w:firstColumn="1" w:lastColumn="0" w:oddVBand="0" w:evenVBand="0" w:oddHBand="0" w:evenHBand="0" w:firstRowFirstColumn="0" w:firstRowLastColumn="0" w:lastRowFirstColumn="0" w:lastRowLastColumn="0"/>
            <w:tcW w:w="4961" w:type="dxa"/>
          </w:tcPr>
          <w:p w14:paraId="322BFE74" w14:textId="77777777" w:rsidR="005C6C73" w:rsidRDefault="005C6C73" w:rsidP="005C6C73">
            <w:pPr>
              <w:pStyle w:val="BodyText"/>
            </w:pPr>
            <w:r>
              <w:t>Numbers of threatened species</w:t>
            </w:r>
          </w:p>
        </w:tc>
        <w:tc>
          <w:tcPr>
            <w:tcW w:w="1276" w:type="dxa"/>
          </w:tcPr>
          <w:p w14:paraId="5CCD8580" w14:textId="77777777" w:rsidR="005C6C73" w:rsidRDefault="005C6C73" w:rsidP="005C6C73">
            <w:pPr>
              <w:pStyle w:val="BodyText"/>
              <w:cnfStyle w:val="000000000000" w:firstRow="0" w:lastRow="0" w:firstColumn="0" w:lastColumn="0" w:oddVBand="0" w:evenVBand="0" w:oddHBand="0" w:evenHBand="0" w:firstRowFirstColumn="0" w:firstRowLastColumn="0" w:lastRowFirstColumn="0" w:lastRowLastColumn="0"/>
            </w:pPr>
            <w:r>
              <w:t>2021</w:t>
            </w:r>
          </w:p>
        </w:tc>
        <w:tc>
          <w:tcPr>
            <w:tcW w:w="2693" w:type="dxa"/>
          </w:tcPr>
          <w:p w14:paraId="538765C7" w14:textId="77777777" w:rsidR="005C6C73" w:rsidRDefault="005C6C73" w:rsidP="005C6C73">
            <w:pPr>
              <w:pStyle w:val="BodyText"/>
              <w:cnfStyle w:val="000000000000" w:firstRow="0" w:lastRow="0" w:firstColumn="0" w:lastColumn="0" w:oddVBand="0" w:evenVBand="0" w:oddHBand="0" w:evenHBand="0" w:firstRowFirstColumn="0" w:firstRowLastColumn="0" w:lastRowFirstColumn="0" w:lastRowLastColumn="0"/>
            </w:pPr>
            <w:r>
              <w:t>Species count</w:t>
            </w:r>
          </w:p>
        </w:tc>
        <w:tc>
          <w:tcPr>
            <w:tcW w:w="2977" w:type="dxa"/>
          </w:tcPr>
          <w:p w14:paraId="0C585AD0" w14:textId="77777777" w:rsidR="005C6C73" w:rsidRDefault="005C6C73" w:rsidP="005C6C73">
            <w:pPr>
              <w:pStyle w:val="BodyText"/>
              <w:cnfStyle w:val="000000000000" w:firstRow="0" w:lastRow="0" w:firstColumn="0" w:lastColumn="0" w:oddVBand="0" w:evenVBand="0" w:oddHBand="0" w:evenHBand="0" w:firstRowFirstColumn="0" w:firstRowLastColumn="0" w:lastRowFirstColumn="0" w:lastRowLastColumn="0"/>
            </w:pPr>
            <w:r>
              <w:t>48</w:t>
            </w:r>
          </w:p>
        </w:tc>
        <w:tc>
          <w:tcPr>
            <w:tcW w:w="1839" w:type="dxa"/>
          </w:tcPr>
          <w:p w14:paraId="34A09709" w14:textId="77777777" w:rsidR="005C6C73" w:rsidRDefault="005C6C73" w:rsidP="005C6C73">
            <w:pPr>
              <w:pStyle w:val="BodyText"/>
              <w:cnfStyle w:val="000000000000" w:firstRow="0" w:lastRow="0" w:firstColumn="0" w:lastColumn="0" w:oddVBand="0" w:evenVBand="0" w:oddHBand="0" w:evenHBand="0" w:firstRowFirstColumn="0" w:firstRowLastColumn="0" w:lastRowFirstColumn="0" w:lastRowLastColumn="0"/>
            </w:pPr>
            <w:r w:rsidRPr="00833920">
              <w:t>Medium</w:t>
            </w:r>
          </w:p>
        </w:tc>
      </w:tr>
    </w:tbl>
    <w:p w14:paraId="3F7A9FEB" w14:textId="5A320767" w:rsidR="005C6C73" w:rsidRDefault="005C6C73" w:rsidP="00B21991">
      <w:pPr>
        <w:pStyle w:val="BodyText"/>
      </w:pPr>
    </w:p>
    <w:p w14:paraId="54B8DFFE" w14:textId="7282A6B6" w:rsidR="00B21991" w:rsidRPr="00FB15DB" w:rsidRDefault="00B21991" w:rsidP="00B21991">
      <w:pPr>
        <w:pStyle w:val="BodyText"/>
        <w:sectPr w:rsidR="00B21991" w:rsidRPr="00FB15DB" w:rsidSect="00E52A9A">
          <w:pgSz w:w="23811" w:h="16838" w:orient="landscape" w:code="8"/>
          <w:pgMar w:top="1134" w:right="1134" w:bottom="1134" w:left="1134" w:header="283" w:footer="283" w:gutter="0"/>
          <w:cols w:space="284"/>
          <w:docGrid w:linePitch="360"/>
        </w:sectPr>
      </w:pPr>
    </w:p>
    <w:p w14:paraId="3AD8E5A4" w14:textId="77777777" w:rsidR="006749AC" w:rsidRPr="00FB15DB" w:rsidRDefault="006749AC" w:rsidP="0004232F">
      <w:pPr>
        <w:pStyle w:val="Heading1"/>
        <w:numPr>
          <w:ilvl w:val="0"/>
          <w:numId w:val="0"/>
        </w:numPr>
      </w:pPr>
      <w:bookmarkStart w:id="75" w:name="_Toc98854644"/>
      <w:bookmarkStart w:id="76" w:name="_Toc163547018"/>
      <w:r w:rsidRPr="00FB15DB">
        <w:lastRenderedPageBreak/>
        <w:t>Executive Summary</w:t>
      </w:r>
      <w:bookmarkEnd w:id="75"/>
      <w:bookmarkEnd w:id="76"/>
      <w:r w:rsidRPr="00FB15DB">
        <w:t xml:space="preserve"> </w:t>
      </w:r>
    </w:p>
    <w:p w14:paraId="2DEE8FCF" w14:textId="77777777" w:rsidR="006749AC" w:rsidRPr="00FB15DB" w:rsidRDefault="006749AC" w:rsidP="00B21991">
      <w:pPr>
        <w:pStyle w:val="TableTextLeft"/>
      </w:pPr>
      <w:r w:rsidRPr="00FB15DB">
        <w:t xml:space="preserve">The Great Ocean Road captures some of Victoria’s most beautiful and rugged coastline, including national tourism attractions such as the Twelve Apostles. This key environmental and economic asset is under threat from increasing levels of tourism and erosion. </w:t>
      </w:r>
    </w:p>
    <w:p w14:paraId="340FB9C3" w14:textId="77777777" w:rsidR="006749AC" w:rsidRPr="00FB15DB" w:rsidRDefault="006749AC" w:rsidP="00585A38">
      <w:pPr>
        <w:pStyle w:val="BodyText"/>
      </w:pPr>
      <w:r w:rsidRPr="00FB15DB">
        <w:t>In 2018, the Victorian Government released a Great Ocean Road Action Plan which set out a commitment to protect the iconic coasts, parks and scenic landscapes along the road through the creation of a new Great Ocean Road Coast and Parks Authority. Included within this action plan was a commitment to develop an environmental-economic account for the Great Ocean Road Coast and Parks that would provide the new Authority with an evidence base to inform its strategy, planning and investment decisions.</w:t>
      </w:r>
    </w:p>
    <w:p w14:paraId="5A564534" w14:textId="77777777" w:rsidR="006749AC" w:rsidRPr="00FB15DB" w:rsidRDefault="006749AC" w:rsidP="00585A38">
      <w:pPr>
        <w:pStyle w:val="BodyText"/>
      </w:pPr>
      <w:r w:rsidRPr="00FB15DB">
        <w:t xml:space="preserve">Ecosystem accounts are a type of environmental-economic account (EEA) that take stock of current ecosystem assets – in terms of their extent, location, and condition – and quantify and value the flow of ecosystem services that these assets generate for people, who enjoy benefits from them. Figure S1 sets out the ecosystem accounting framework. For the purpose of this work, reference will be made to the Great Ocean Road Coast and Parks Environmental-Economic Account (GORCAP EEA). </w:t>
      </w:r>
    </w:p>
    <w:p w14:paraId="2096C4F9" w14:textId="1EB526B4" w:rsidR="00483D33" w:rsidRDefault="006749AC" w:rsidP="00483D33">
      <w:pPr>
        <w:pStyle w:val="Caption"/>
      </w:pPr>
      <w:r w:rsidRPr="00FB15DB">
        <w:t>Figure S1. Environmental-Economic Accounts - Ecosystem Accounting framework</w:t>
      </w:r>
    </w:p>
    <w:p w14:paraId="670C6A4A" w14:textId="7F69A329" w:rsidR="00274DEE" w:rsidRPr="00274DEE" w:rsidRDefault="000A70AB" w:rsidP="00274DEE">
      <w:pPr>
        <w:pStyle w:val="BodyText"/>
      </w:pPr>
      <w:r w:rsidRPr="00FB15DB">
        <w:rPr>
          <w:noProof/>
        </w:rPr>
        <w:drawing>
          <wp:inline distT="0" distB="0" distL="0" distR="0" wp14:anchorId="12A553EF" wp14:editId="4EC8F915">
            <wp:extent cx="6120765" cy="1818049"/>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email">
                      <a:extLst>
                        <a:ext uri="{28A0092B-C50C-407E-A947-70E740481C1C}">
                          <a14:useLocalDpi xmlns:a14="http://schemas.microsoft.com/office/drawing/2010/main"/>
                        </a:ext>
                      </a:extLst>
                    </a:blip>
                    <a:srcRect/>
                    <a:stretch/>
                  </pic:blipFill>
                  <pic:spPr bwMode="auto">
                    <a:xfrm>
                      <a:off x="0" y="0"/>
                      <a:ext cx="6120765" cy="1818049"/>
                    </a:xfrm>
                    <a:prstGeom prst="rect">
                      <a:avLst/>
                    </a:prstGeom>
                    <a:ln>
                      <a:noFill/>
                    </a:ln>
                    <a:extLst>
                      <a:ext uri="{53640926-AAD7-44D8-BBD7-CCE9431645EC}">
                        <a14:shadowObscured xmlns:a14="http://schemas.microsoft.com/office/drawing/2010/main"/>
                      </a:ext>
                    </a:extLst>
                  </pic:spPr>
                </pic:pic>
              </a:graphicData>
            </a:graphic>
          </wp:inline>
        </w:drawing>
      </w:r>
    </w:p>
    <w:p w14:paraId="51703B4E" w14:textId="77777777" w:rsidR="006749AC" w:rsidRPr="00FB15DB" w:rsidRDefault="006749AC" w:rsidP="00585A38">
      <w:pPr>
        <w:pStyle w:val="BodyText"/>
      </w:pPr>
      <w:r w:rsidRPr="00FB15DB">
        <w:t>This environmental-economic account for the Great Ocean Road Coast and Parks shows that the ecosystems within the GORCAP EEA boundary are important for threatened flora and fauna and deliver a range of ecosystem services that provide significant socio-economic value to society.</w:t>
      </w:r>
    </w:p>
    <w:p w14:paraId="59A01293" w14:textId="77777777" w:rsidR="006749AC" w:rsidRPr="00FB15DB" w:rsidRDefault="006749AC" w:rsidP="00585A38">
      <w:pPr>
        <w:pStyle w:val="BodyText"/>
      </w:pPr>
      <w:r w:rsidRPr="00FB15DB">
        <w:t xml:space="preserve">The methodological approach to GORCAP EEA development was agreed with the project steering group following the study teams’ review of economic assessments of coastal, marine and protected area assets globally, international guidance on environmental-economic accounting as well as existing data for the GORCAP EEA region. </w:t>
      </w:r>
    </w:p>
    <w:p w14:paraId="6CF5792D" w14:textId="77777777" w:rsidR="006749AC" w:rsidRPr="00FB15DB" w:rsidRDefault="006749AC" w:rsidP="00585A38">
      <w:pPr>
        <w:pStyle w:val="BodyText"/>
      </w:pPr>
      <w:r w:rsidRPr="00FB15DB">
        <w:t>Environmental-economic accounts are typically developed iteratively, with initial accounts focusing on priority areas that are subsequently expanded and refined over time. This GORCAP EEA has made use of the best available information at the time of the study. Given that no data has been collected specifically for the study region or for the purpose of developing an EEA, justifiable assumptions have been adopted based on data (where possible) or expert judgement in order to align readily available information with the GORCAP EEA boundary and with the principles of SEEA as best as possible. Based on this approach and the uncertainties associated with this, the results should be interpreted as indicative order or magnitude estimates that provide a proof-of-concept GORCAP EEA and a basis for future work to refine and expand the accounts to provide useful evidence on the status and productivity of ecosystem assets in the region.</w:t>
      </w:r>
    </w:p>
    <w:p w14:paraId="2036A325" w14:textId="77777777" w:rsidR="006749AC" w:rsidRPr="00FB15DB" w:rsidRDefault="006749AC" w:rsidP="00585A38">
      <w:pPr>
        <w:pStyle w:val="BodyText"/>
      </w:pPr>
      <w:r w:rsidRPr="00FB15DB">
        <w:t>The account has been developed for 2019 on the basis that this is the most recent year for which most of the necessary information exists (including the latest ecosystem extent data in Victoria) and ensures that the account is not skewed by the impact of COVID-19. Information for 2019 has been used where possible and where 2019 data is not available it is taken from the years 2015 to 2021 (some condition data precedes this but is presented for completeness). The account could therefore be more accurately described as being representative of ecosystem status and productivity over the period 2015 to 2021.</w:t>
      </w:r>
    </w:p>
    <w:p w14:paraId="6B1D7637" w14:textId="77777777" w:rsidR="006749AC" w:rsidRPr="00FB15DB" w:rsidRDefault="006749AC" w:rsidP="00585A38">
      <w:pPr>
        <w:pStyle w:val="BodyText"/>
      </w:pPr>
      <w:r w:rsidRPr="00FB15DB">
        <w:t xml:space="preserve">The translation of Country for the Great Ocean Road Coast and Parks environmental-economic account is demonstrated through the use of a case study for </w:t>
      </w:r>
      <w:proofErr w:type="spellStart"/>
      <w:r w:rsidRPr="00FB15DB">
        <w:t>Wadawurrung</w:t>
      </w:r>
      <w:proofErr w:type="spellEnd"/>
      <w:r w:rsidRPr="00FB15DB">
        <w:t xml:space="preserve"> Country, following discussions the </w:t>
      </w:r>
      <w:proofErr w:type="spellStart"/>
      <w:r w:rsidRPr="00FB15DB">
        <w:t>Wadawurrung</w:t>
      </w:r>
      <w:proofErr w:type="spellEnd"/>
      <w:r w:rsidRPr="00FB15DB">
        <w:t xml:space="preserve"> Traditional Owners Aboriginal Corporation (WTOAC). Exploration of the synergies between the WTOAC Country Plan and the environmental-economic account for the Great Ocean Road Coast and </w:t>
      </w:r>
      <w:r w:rsidRPr="00FB15DB">
        <w:lastRenderedPageBreak/>
        <w:t xml:space="preserve">Parks shows that there is the potential to capture most of the indicators in the </w:t>
      </w:r>
      <w:proofErr w:type="spellStart"/>
      <w:r w:rsidRPr="00FB15DB">
        <w:t>Wadawurrung</w:t>
      </w:r>
      <w:proofErr w:type="spellEnd"/>
      <w:r w:rsidRPr="00FB15DB">
        <w:t xml:space="preserve"> Country Plan, within the existing structure of the GORCAP EEA. This would enable the GORCAP EEA to appropriately acknowledge the values and goals that  WTOAC have for their lands. Furthermore, a handful of indicators within the Country Plan are already captured in the GORCAP EEA including water quality, extent of volcanic grasslands, ironbark and heathlands, numbers of native animals, forest age and threatened species.</w:t>
      </w:r>
    </w:p>
    <w:p w14:paraId="7A734918" w14:textId="77777777" w:rsidR="006749AC" w:rsidRPr="00FB15DB" w:rsidRDefault="006749AC" w:rsidP="00585A38">
      <w:pPr>
        <w:pStyle w:val="BodyText"/>
      </w:pPr>
      <w:r w:rsidRPr="00FB15DB">
        <w:t xml:space="preserve">The GORCAP EEA region </w:t>
      </w:r>
      <w:proofErr w:type="gramStart"/>
      <w:r w:rsidRPr="00FB15DB">
        <w:t>consists mostly</w:t>
      </w:r>
      <w:proofErr w:type="gramEnd"/>
      <w:r w:rsidRPr="00FB15DB">
        <w:t xml:space="preserve"> (64 per cent) of marine ecosystems (on Crown land). Forest areas make up the largest terrestrial ecosystem type (18 per cent), whilst farmland (14 per cent) also occupies a significant area (refer to Table S1 for the headline extent account). The spatial distribution of the asset extent within the Great Ocean Road Coast and Parks EEA area is defined by the outer perimeter of the Great Ocean Road Coast and Parks area (Figure S2). This means that the GORCAP EEA will capture land under the management of the GORCPA as well as non-GORCAPA managed land.</w:t>
      </w:r>
    </w:p>
    <w:p w14:paraId="33C821BE" w14:textId="77777777" w:rsidR="006749AC" w:rsidRPr="00FB15DB" w:rsidRDefault="006749AC" w:rsidP="00585A38">
      <w:pPr>
        <w:pStyle w:val="BodyText"/>
      </w:pPr>
      <w:r w:rsidRPr="00FB15DB">
        <w:t>Key insights from the information compiled in the ecosystem condition account (refer to Table S2 for headline condition account) are:</w:t>
      </w:r>
    </w:p>
    <w:p w14:paraId="1FC351F6" w14:textId="77777777" w:rsidR="006749AC" w:rsidRPr="00FB15DB" w:rsidRDefault="006749AC" w:rsidP="00585A38">
      <w:pPr>
        <w:pStyle w:val="ListBullet"/>
      </w:pPr>
      <w:r w:rsidRPr="00FB15DB">
        <w:t>The GORCAP EEA region provides important habitat for threatened species, with 89 species of threatened flora and 70 species of threatened fauna.</w:t>
      </w:r>
    </w:p>
    <w:p w14:paraId="232C1F57" w14:textId="77777777" w:rsidR="006749AC" w:rsidRPr="00FB15DB" w:rsidRDefault="006749AC" w:rsidP="00585A38">
      <w:pPr>
        <w:pStyle w:val="ListBullet"/>
      </w:pPr>
      <w:r w:rsidRPr="00FB15DB">
        <w:t xml:space="preserve">The average native vegetation condition score within the GORCAP EEA region is 45 (on a scale of 1 to 100).  Within the GORCAP EEA region, the GORCAPA area native vegetation score averages 73 whilst the non-GORCAPA areas native vegetation score averages 29. </w:t>
      </w:r>
    </w:p>
    <w:p w14:paraId="6EBAFF54" w14:textId="77777777" w:rsidR="006749AC" w:rsidRPr="00FB15DB" w:rsidRDefault="006749AC" w:rsidP="00585A38">
      <w:pPr>
        <w:pStyle w:val="ListBullet"/>
      </w:pPr>
      <w:r w:rsidRPr="00FB15DB">
        <w:t xml:space="preserve">The average habitat importance for threatened species score within the GORCAP EEA region is 63 (on a scale of 1 to 100).  Within the GORCAP EEA region, the GORCAPA area habitat importance for threatened species score averages 77 whilst the non-GORCAPA area score averages 54. </w:t>
      </w:r>
    </w:p>
    <w:p w14:paraId="16E23899" w14:textId="77777777" w:rsidR="006749AC" w:rsidRPr="00FB15DB" w:rsidRDefault="006749AC" w:rsidP="00585A38">
      <w:pPr>
        <w:pStyle w:val="ListBullet"/>
      </w:pPr>
      <w:r w:rsidRPr="00FB15DB">
        <w:t>There is a significant volume of abalone biomass (32,000 tonnes) in the GORCAP EEA region, which represents 39 per cent of the total abalone biomass within Victoria.</w:t>
      </w:r>
    </w:p>
    <w:p w14:paraId="7FA1FB74" w14:textId="77777777" w:rsidR="006749AC" w:rsidRPr="00FB15DB" w:rsidRDefault="006749AC" w:rsidP="00585A38">
      <w:pPr>
        <w:pStyle w:val="ListBullet"/>
      </w:pPr>
      <w:r w:rsidRPr="00FB15DB">
        <w:t>41,215 hectares (21 percent) of the GORCAP EEA region is at high or very high susceptibility of landslip. 3,849 hectares (2 percent) of the GORCAP EEA is susceptible to coastal acid sulphate soils.</w:t>
      </w:r>
    </w:p>
    <w:p w14:paraId="043881FD" w14:textId="77777777" w:rsidR="006749AC" w:rsidRPr="00FB15DB" w:rsidRDefault="006749AC" w:rsidP="00585A38">
      <w:pPr>
        <w:pStyle w:val="ListBullet"/>
      </w:pPr>
      <w:r w:rsidRPr="00FB15DB">
        <w:t>Stream and estuary condition within the GORCAP EEA region is captured through index scores of 34 and 31 respectively (out of 50).</w:t>
      </w:r>
    </w:p>
    <w:p w14:paraId="06DF694E" w14:textId="77777777" w:rsidR="006749AC" w:rsidRPr="00FB15DB" w:rsidRDefault="006749AC" w:rsidP="00585A38">
      <w:pPr>
        <w:pStyle w:val="ListBullet"/>
      </w:pPr>
      <w:r w:rsidRPr="00FB15DB">
        <w:t>There is a significant volume of carbon stored in the GORCAP EEA region totalling 35.5 million tonnes of carbon dioxide equivalent.</w:t>
      </w:r>
    </w:p>
    <w:p w14:paraId="43D79720" w14:textId="77777777" w:rsidR="006749AC" w:rsidRPr="00FB15DB" w:rsidRDefault="006749AC" w:rsidP="00585A38">
      <w:pPr>
        <w:pStyle w:val="ListBullet"/>
      </w:pPr>
      <w:r w:rsidRPr="00FB15DB">
        <w:t xml:space="preserve">Views from the road of the Great Ocean Road are mostly (87 percent) outside of the GORCAPA region. </w:t>
      </w:r>
    </w:p>
    <w:p w14:paraId="40CD6C89" w14:textId="77777777" w:rsidR="006749AC" w:rsidRPr="00FB15DB" w:rsidRDefault="006749AC" w:rsidP="00585A38">
      <w:pPr>
        <w:pStyle w:val="ListBullet"/>
      </w:pPr>
      <w:r w:rsidRPr="00FB15DB">
        <w:t xml:space="preserve">There are a large number (165) of assets of non-Indigenous historic cultural heritage within GORCAP EEA region, including 34 shipwrecks which support recreation and tourism visits. </w:t>
      </w:r>
    </w:p>
    <w:p w14:paraId="23C9894E" w14:textId="77777777" w:rsidR="006749AC" w:rsidRPr="00FB15DB" w:rsidRDefault="006749AC" w:rsidP="00585A38">
      <w:pPr>
        <w:pStyle w:val="ListBullet"/>
      </w:pPr>
      <w:r w:rsidRPr="00FB15DB">
        <w:t>The existence of the ecosystems within the GORCAP EEA region is highly valued by society as demonstrated by the 40,000 hectares of national parks and nature/conservation reserves and the significant number of people (over 1,300) participating in community stewardship.</w:t>
      </w:r>
    </w:p>
    <w:p w14:paraId="05A53E65" w14:textId="77777777" w:rsidR="006749AC" w:rsidRPr="00FB15DB" w:rsidRDefault="006749AC" w:rsidP="00585A38">
      <w:pPr>
        <w:pStyle w:val="ListBullet"/>
      </w:pPr>
      <w:r w:rsidRPr="00FB15DB">
        <w:t>There are 7 piers/jetties within the GORCAP EEA region, approximately 239 km of walking tracks and 69 km of mountain bike tracks and bike paths which are important in supporting the recreational experience of visitors to the region.</w:t>
      </w:r>
    </w:p>
    <w:p w14:paraId="2F575FFD" w14:textId="77777777" w:rsidR="006749AC" w:rsidRPr="00FB15DB" w:rsidRDefault="006749AC" w:rsidP="003137F4">
      <w:pPr>
        <w:pStyle w:val="BodyText12ptBefore"/>
      </w:pPr>
      <w:r w:rsidRPr="00FB15DB">
        <w:t>Key insights from the information compiled in the flow accounts include (refer to Table S3 for the headline physical and monetary values estimated for each ecosystem service):</w:t>
      </w:r>
    </w:p>
    <w:p w14:paraId="460A48B3" w14:textId="77777777" w:rsidR="006749AC" w:rsidRPr="00FB15DB" w:rsidRDefault="006749AC" w:rsidP="00A25ED7">
      <w:pPr>
        <w:pStyle w:val="ListBullet"/>
      </w:pPr>
      <w:r w:rsidRPr="00FB15DB">
        <w:t>Recreation and tourism is estimated to be the most highly valued ecosystem service based on the number of visits to the LGA’s of the GORCAP EEA region of 3.9 million per year in 2019 including domestic daytrip (2.1 million), domestic overnight (1.6 million) and international (0.2 million). Around half of these visits are estimated to be to the Surf Coast (1.8 million). Approximately 375,000 of these visits are estimated to be “active visits” that meet certain physical activity guidelines (and therefore provide a health benefit).</w:t>
      </w:r>
      <w:r w:rsidRPr="00FB15DB">
        <w:rPr>
          <w:vertAlign w:val="superscript"/>
        </w:rPr>
        <w:footnoteReference w:id="2"/>
      </w:r>
      <w:r w:rsidRPr="00FB15DB">
        <w:t xml:space="preserve">  The economic value of recreation and tourism in the GORCAP EEA region is estimated at between $61 million a year and $560 million a year in 2019. The lower bound is based on the </w:t>
      </w:r>
      <w:r w:rsidRPr="00FB15DB">
        <w:lastRenderedPageBreak/>
        <w:t>estimated contribution of ecosystems within the region to Gross Value Added (GVA) in 2019 which benefits industry. The upper bound is based on the estimated:</w:t>
      </w:r>
    </w:p>
    <w:p w14:paraId="1393C210" w14:textId="77777777" w:rsidR="006749AC" w:rsidRPr="00FB15DB" w:rsidRDefault="006749AC" w:rsidP="000035CB">
      <w:pPr>
        <w:pStyle w:val="ListBullet2"/>
        <w:numPr>
          <w:ilvl w:val="1"/>
          <w:numId w:val="21"/>
        </w:numPr>
      </w:pPr>
      <w:r w:rsidRPr="00FB15DB">
        <w:t>Welfare value (based on travel cost) of recreation within the GORCAP EEA region of $514 million in 2019 which benefits households (a proportion of this is captured by industry as GVA).</w:t>
      </w:r>
    </w:p>
    <w:p w14:paraId="26889AC8" w14:textId="77777777" w:rsidR="006749AC" w:rsidRPr="00FB15DB" w:rsidRDefault="006749AC" w:rsidP="000035CB">
      <w:pPr>
        <w:pStyle w:val="ListBullet2"/>
        <w:numPr>
          <w:ilvl w:val="1"/>
          <w:numId w:val="21"/>
        </w:numPr>
      </w:pPr>
      <w:r w:rsidRPr="00FB15DB">
        <w:t>Improved productivity of the Australian labour force from “active visits” by domestic visitors of $39 million in 2019 benefits Australian industry.</w:t>
      </w:r>
    </w:p>
    <w:p w14:paraId="61A6C29F" w14:textId="77777777" w:rsidR="006749AC" w:rsidRPr="00FB15DB" w:rsidRDefault="006749AC" w:rsidP="000035CB">
      <w:pPr>
        <w:pStyle w:val="ListBullet2"/>
        <w:numPr>
          <w:ilvl w:val="1"/>
          <w:numId w:val="21"/>
        </w:numPr>
      </w:pPr>
      <w:r w:rsidRPr="00FB15DB">
        <w:t>Avoided medical costs to Australian households and government of $7 million in 2019 from “active visits” by domestic visitors, $5 million of which is estimated savings to the government and $2 million to households.</w:t>
      </w:r>
    </w:p>
    <w:p w14:paraId="5585310A" w14:textId="77777777" w:rsidR="006749AC" w:rsidRPr="00FB15DB" w:rsidRDefault="006749AC" w:rsidP="00D66847">
      <w:pPr>
        <w:pStyle w:val="ListBullet"/>
      </w:pPr>
      <w:r w:rsidRPr="00FB15DB">
        <w:t>Global climate regulation service is estimated based on avoided release of carbon stocks which total 35.5 million tCO</w:t>
      </w:r>
      <w:r w:rsidRPr="00FB15DB">
        <w:rPr>
          <w:vertAlign w:val="subscript"/>
        </w:rPr>
        <w:t>2</w:t>
      </w:r>
      <w:r w:rsidRPr="00FB15DB">
        <w:t>e in the GORCAP EEA area, with the mapped distribution of this service showing that the stock is most heavily concentrated in the region’s forests (24 million tCO</w:t>
      </w:r>
      <w:r w:rsidRPr="00FB15DB">
        <w:rPr>
          <w:vertAlign w:val="subscript"/>
        </w:rPr>
        <w:t>2</w:t>
      </w:r>
      <w:r w:rsidRPr="00FB15DB">
        <w:t>e). This ecosystem service is valued at between $63 million per year based on the avoided cost of greenhouse gas abatement or offset measures and $182 million per year based on the avoided damages to society (social cost of carbon).</w:t>
      </w:r>
    </w:p>
    <w:p w14:paraId="71B74052" w14:textId="77777777" w:rsidR="006749AC" w:rsidRPr="00FB15DB" w:rsidRDefault="006749AC" w:rsidP="00D66847">
      <w:pPr>
        <w:pStyle w:val="ListBullet"/>
      </w:pPr>
      <w:r w:rsidRPr="00FB15DB">
        <w:t xml:space="preserve">Coastal protection ecosystem service is mapped across the GORCAP EEA region. The estimated magnitude of exposure reduction is uncertain as it is based on a bio-physical modelling approach using global data and assumptions that is more suited to State/national level analysis. However, the analysis is useful because it suggests that coastal wetland (saltmarsh, seagrass and mangrove) ecosystems reduce hazard exposure to storm surges and sea level rise to varying degrees along most (239 kilometres) of the GORCAP EEA region coastline. The monetary value of this ecosystem service based on replacement cost of built infrastructure providing equivalent exposure reduction is between $3 million per year and $10 million per year or $51 million and $205 million in total over a 40 year period. This is assumed to directly benefit the government on the basis that it would fall to the public sector to provide the replacement built infrastructure in the absence of this ecosystem service (as it is a public good). </w:t>
      </w:r>
    </w:p>
    <w:p w14:paraId="1E2B7504" w14:textId="77777777" w:rsidR="006749AC" w:rsidRPr="00FB15DB" w:rsidRDefault="006749AC" w:rsidP="00D66847">
      <w:pPr>
        <w:pStyle w:val="ListBullet"/>
      </w:pPr>
      <w:r w:rsidRPr="00FB15DB">
        <w:t>Educational visits supported by the ecosystems of the GORCAP EEA region are estimated to total 33,000 in 2019 with high confidence, with key hotspots being mapped across the region including Anglesea (11,270 visitors), Torquay (6,854 visitors), and Warrnambool (4,646 visitors). The monetary value of these visits should be viewed as a lower bound as it is based on expenditures ($0.6 million per year) and the contribution of ecosystems to education and training GVA ($2.9 million per year) and not the true economic value of educational benefits associated with these trips including improved learning and life skills, mental health benefits and environmental awareness.</w:t>
      </w:r>
    </w:p>
    <w:p w14:paraId="0434CB3C" w14:textId="77777777" w:rsidR="006749AC" w:rsidRPr="00FB15DB" w:rsidRDefault="006749AC" w:rsidP="00D66847">
      <w:pPr>
        <w:pStyle w:val="ListBullet"/>
      </w:pPr>
      <w:r w:rsidRPr="00FB15DB">
        <w:t xml:space="preserve">The biomass for food estimate is driven mainly by agricultural farming, with an estimated </w:t>
      </w:r>
      <w:r w:rsidRPr="00FB15DB">
        <w:rPr>
          <w:rFonts w:eastAsia="Calibri"/>
        </w:rPr>
        <w:t>28,000 tonnes of arable output (crops and hay) and approximately 160,000 livestock valued at around $11 million a year based on a resource rent (i.e., isolating the contribution of the ecosystem from other inputs such as labour and machinery)</w:t>
      </w:r>
      <w:r w:rsidRPr="00FB15DB">
        <w:t xml:space="preserve">. Whilst this production occurs on non-GORCAPA land, the distribution of farmland suggests that the Authority could consider if there is a link between primary production (i.e., agricultural production) and the quality of water bodies (i.e., due to potential diffuse pollution) in the GORCAP EEA which score 34 on the stream index and 31 on the estuaries index out of 50. </w:t>
      </w:r>
      <w:r w:rsidRPr="00FB15DB">
        <w:rPr>
          <w:rFonts w:eastAsia="Calibri"/>
        </w:rPr>
        <w:t>The reef habitats of the GORCAP EEA, which are on Crown land, support an estimated 269 tonnes of abalone harvesting in the GORCAP EEA region valued at approximately $0.3 million a year based on resource rent, which is expected to be an underestimate because the reef habitats within the GORCAP EEA region are important larval sources for abalone to the east of the region.</w:t>
      </w:r>
    </w:p>
    <w:p w14:paraId="786579C9" w14:textId="77777777" w:rsidR="006749AC" w:rsidRPr="00FB15DB" w:rsidRDefault="006749AC" w:rsidP="00D66847">
      <w:pPr>
        <w:pStyle w:val="ListBullet"/>
      </w:pPr>
      <w:r w:rsidRPr="00FB15DB">
        <w:t>Biomass for timber is estimated to be low production (33,000 m</w:t>
      </w:r>
      <w:r w:rsidRPr="00FB15DB">
        <w:rPr>
          <w:vertAlign w:val="superscript"/>
        </w:rPr>
        <w:t xml:space="preserve">3  </w:t>
      </w:r>
      <w:r w:rsidRPr="00FB15DB">
        <w:t xml:space="preserve">per year) and resource rent value ($0.25 million per year) and is all on non-Crown land, apart from a small area (14 hectares) of plantation that is perpetually leased </w:t>
      </w:r>
      <w:r w:rsidRPr="00FB15DB">
        <w:rPr>
          <w:rFonts w:eastAsia="Calibri"/>
        </w:rPr>
        <w:t>and which produces approximately 250</w:t>
      </w:r>
      <w:r w:rsidRPr="00FB15DB">
        <w:t xml:space="preserve"> m</w:t>
      </w:r>
      <w:r w:rsidRPr="00FB15DB">
        <w:rPr>
          <w:vertAlign w:val="superscript"/>
        </w:rPr>
        <w:t xml:space="preserve">3 </w:t>
      </w:r>
      <w:r w:rsidRPr="00FB15DB">
        <w:t xml:space="preserve">per year. </w:t>
      </w:r>
    </w:p>
    <w:p w14:paraId="67FE0EAD" w14:textId="77777777" w:rsidR="006749AC" w:rsidRPr="00FB15DB" w:rsidRDefault="006749AC" w:rsidP="003137F4">
      <w:pPr>
        <w:pStyle w:val="BodyText12ptBefore"/>
      </w:pPr>
      <w:r w:rsidRPr="00FB15DB">
        <w:t>Table S4 shows the aggregated supply and use table which captures the “supply” of ecosystem services from ecosystem assets owned by different economic units (Crown vs non-Crown where possible) and “used” by other economic units / beneficiaries. Key insights from the information compiled in the supply and use account are:</w:t>
      </w:r>
    </w:p>
    <w:p w14:paraId="1885EA07" w14:textId="77777777" w:rsidR="006749AC" w:rsidRPr="00FB15DB" w:rsidRDefault="006749AC" w:rsidP="00D66847">
      <w:pPr>
        <w:pStyle w:val="ListBullet"/>
      </w:pPr>
      <w:r w:rsidRPr="00FB15DB">
        <w:t>There are significant estimated benefits provided to households (over $500 million a year), government (approximately $10 million a year) and industry (over $100 million a year).</w:t>
      </w:r>
    </w:p>
    <w:p w14:paraId="646FC696" w14:textId="77777777" w:rsidR="006749AC" w:rsidRPr="00FB15DB" w:rsidRDefault="006749AC" w:rsidP="00D66847">
      <w:pPr>
        <w:pStyle w:val="ListBullet"/>
      </w:pPr>
      <w:r w:rsidRPr="00FB15DB">
        <w:lastRenderedPageBreak/>
        <w:t xml:space="preserve">These benefits originate from both Crown and non-Crown land, with this split provided where this is possible (this is not possible for recreation and education as it has not been possible to tie the delivery of these ecosystem services to specific ecosystems / land areas with the current data available). </w:t>
      </w:r>
    </w:p>
    <w:p w14:paraId="2F22639A" w14:textId="77777777" w:rsidR="006749AC" w:rsidRPr="00FB15DB" w:rsidRDefault="006749AC" w:rsidP="00D66847">
      <w:pPr>
        <w:pStyle w:val="ListBullet"/>
      </w:pPr>
      <w:r w:rsidRPr="00FB15DB">
        <w:t>Households directly benefit from global climate regulation and recreation (welfare and avoided health costs). Government directly benefits from coastal protection and recreation (avoided health costs). Industry directly  benefits from timber, food, recreation (productivity gains and GVA) and education (expenditure / GVA). (There are also indirect benefits of these ecosystem services that flow across these “users”).</w:t>
      </w:r>
    </w:p>
    <w:p w14:paraId="5553CF21" w14:textId="77777777" w:rsidR="006749AC" w:rsidRPr="00FB15DB" w:rsidRDefault="006749AC" w:rsidP="003137F4">
      <w:pPr>
        <w:pStyle w:val="BodyText12ptBefore"/>
      </w:pPr>
      <w:r w:rsidRPr="00FB15DB">
        <w:t>The uncertainty ratings (scale of 1 (low) to 9 (high)) are shown as a guide for future work to refine the analysis that’s been undertaken for this initial GORCAP EEA and improve its robustness for decision making. The remainder of this concluding section sets out suggested next steps to refine and expand the GORCAP EEA in order to further its practical use to inform decision making within the region.</w:t>
      </w:r>
    </w:p>
    <w:p w14:paraId="28696425" w14:textId="380FBF4D" w:rsidR="00B22A11" w:rsidRPr="00E262DF" w:rsidRDefault="006749AC" w:rsidP="00B22F84">
      <w:pPr>
        <w:pStyle w:val="Caption"/>
      </w:pPr>
      <w:r w:rsidRPr="00E262DF">
        <w:t>Table S1. Headline extent account for GORCAP EEA in 2019</w:t>
      </w:r>
      <w:r w:rsidR="00E262DF" w:rsidRPr="00E262DF">
        <w:t>.</w:t>
      </w:r>
    </w:p>
    <w:tbl>
      <w:tblPr>
        <w:tblStyle w:val="TableGrid"/>
        <w:tblW w:w="5000" w:type="pct"/>
        <w:tblLook w:val="04A0" w:firstRow="1" w:lastRow="0" w:firstColumn="1" w:lastColumn="0" w:noHBand="0" w:noVBand="1"/>
      </w:tblPr>
      <w:tblGrid>
        <w:gridCol w:w="1599"/>
        <w:gridCol w:w="2845"/>
        <w:gridCol w:w="2230"/>
        <w:gridCol w:w="1444"/>
        <w:gridCol w:w="1521"/>
      </w:tblGrid>
      <w:tr w:rsidR="00B22A11" w:rsidRPr="00834389" w14:paraId="11192B87" w14:textId="77777777" w:rsidTr="006669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5" w:type="pct"/>
            <w:gridSpan w:val="2"/>
          </w:tcPr>
          <w:p w14:paraId="6E339CA8" w14:textId="77777777" w:rsidR="00B22A11" w:rsidRPr="00834389" w:rsidRDefault="00B22A11" w:rsidP="00666947">
            <w:pPr>
              <w:pStyle w:val="TableTextLeft"/>
            </w:pPr>
            <w:r w:rsidRPr="00834389">
              <w:rPr>
                <w:b/>
              </w:rPr>
              <w:t>Asset stock characteristic</w:t>
            </w:r>
          </w:p>
        </w:tc>
        <w:tc>
          <w:tcPr>
            <w:tcW w:w="1157" w:type="pct"/>
          </w:tcPr>
          <w:p w14:paraId="4D0DC23B" w14:textId="77777777" w:rsidR="00B22A11" w:rsidRPr="00834389" w:rsidRDefault="00B22A11" w:rsidP="00666947">
            <w:pPr>
              <w:pStyle w:val="TableTextLeft"/>
              <w:cnfStyle w:val="100000000000" w:firstRow="1" w:lastRow="0" w:firstColumn="0" w:lastColumn="0" w:oddVBand="0" w:evenVBand="0" w:oddHBand="0" w:evenHBand="0" w:firstRowFirstColumn="0" w:firstRowLastColumn="0" w:lastRowFirstColumn="0" w:lastRowLastColumn="0"/>
            </w:pPr>
            <w:r w:rsidRPr="00834389">
              <w:rPr>
                <w:b/>
              </w:rPr>
              <w:t>Estimate</w:t>
            </w:r>
          </w:p>
        </w:tc>
        <w:tc>
          <w:tcPr>
            <w:tcW w:w="749" w:type="pct"/>
          </w:tcPr>
          <w:p w14:paraId="23E12C2C" w14:textId="77777777" w:rsidR="00B22A11" w:rsidRPr="00834389" w:rsidRDefault="00B22A11" w:rsidP="00666947">
            <w:pPr>
              <w:pStyle w:val="TableTextLeft"/>
              <w:cnfStyle w:val="100000000000" w:firstRow="1" w:lastRow="0" w:firstColumn="0" w:lastColumn="0" w:oddVBand="0" w:evenVBand="0" w:oddHBand="0" w:evenHBand="0" w:firstRowFirstColumn="0" w:firstRowLastColumn="0" w:lastRowFirstColumn="0" w:lastRowLastColumn="0"/>
            </w:pPr>
            <w:r w:rsidRPr="00834389">
              <w:rPr>
                <w:b/>
              </w:rPr>
              <w:t>Metric</w:t>
            </w:r>
          </w:p>
        </w:tc>
        <w:tc>
          <w:tcPr>
            <w:tcW w:w="789" w:type="pct"/>
          </w:tcPr>
          <w:p w14:paraId="10686C8E" w14:textId="77777777" w:rsidR="00B22A11" w:rsidRPr="00834389" w:rsidRDefault="00B22A11" w:rsidP="00666947">
            <w:pPr>
              <w:pStyle w:val="TableTextLeft"/>
              <w:cnfStyle w:val="100000000000" w:firstRow="1" w:lastRow="0" w:firstColumn="0" w:lastColumn="0" w:oddVBand="0" w:evenVBand="0" w:oddHBand="0" w:evenHBand="0" w:firstRowFirstColumn="0" w:firstRowLastColumn="0" w:lastRowFirstColumn="0" w:lastRowLastColumn="0"/>
              <w:rPr>
                <w:b/>
              </w:rPr>
            </w:pPr>
            <w:r w:rsidRPr="00834389">
              <w:rPr>
                <w:b/>
              </w:rPr>
              <w:t>Uncertainty</w:t>
            </w:r>
          </w:p>
        </w:tc>
      </w:tr>
      <w:tr w:rsidR="00B22A11" w:rsidRPr="00834389" w14:paraId="0167A4CF" w14:textId="77777777" w:rsidTr="00666947">
        <w:tc>
          <w:tcPr>
            <w:cnfStyle w:val="001000000000" w:firstRow="0" w:lastRow="0" w:firstColumn="1" w:lastColumn="0" w:oddVBand="0" w:evenVBand="0" w:oddHBand="0" w:evenHBand="0" w:firstRowFirstColumn="0" w:firstRowLastColumn="0" w:lastRowFirstColumn="0" w:lastRowLastColumn="0"/>
            <w:tcW w:w="829" w:type="pct"/>
            <w:vMerge w:val="restart"/>
          </w:tcPr>
          <w:p w14:paraId="0DA78667" w14:textId="77777777" w:rsidR="00B22A11" w:rsidRPr="00834389" w:rsidRDefault="00B22A11" w:rsidP="00666947">
            <w:pPr>
              <w:pStyle w:val="TableTextLeft"/>
            </w:pPr>
            <w:r w:rsidRPr="00834389">
              <w:rPr>
                <w:b/>
              </w:rPr>
              <w:t>Broad asset extent</w:t>
            </w:r>
          </w:p>
        </w:tc>
        <w:tc>
          <w:tcPr>
            <w:tcW w:w="1476" w:type="pct"/>
          </w:tcPr>
          <w:p w14:paraId="6EDBE546" w14:textId="77777777" w:rsidR="00B22A11" w:rsidRPr="00834389" w:rsidRDefault="00B22A11" w:rsidP="00666947">
            <w:pPr>
              <w:pStyle w:val="TableTextLeft"/>
              <w:cnfStyle w:val="000000000000" w:firstRow="0" w:lastRow="0" w:firstColumn="0" w:lastColumn="0" w:oddVBand="0" w:evenVBand="0" w:oddHBand="0" w:evenHBand="0" w:firstRowFirstColumn="0" w:firstRowLastColumn="0" w:lastRowFirstColumn="0" w:lastRowLastColumn="0"/>
            </w:pPr>
            <w:r w:rsidRPr="00834389">
              <w:t>Marine</w:t>
            </w:r>
          </w:p>
        </w:tc>
        <w:tc>
          <w:tcPr>
            <w:tcW w:w="1157" w:type="pct"/>
          </w:tcPr>
          <w:p w14:paraId="04F78FB1" w14:textId="77777777" w:rsidR="00B22A11" w:rsidRPr="00834389" w:rsidRDefault="00B22A11" w:rsidP="00666947">
            <w:pPr>
              <w:pStyle w:val="TableTextLeft"/>
              <w:cnfStyle w:val="000000000000" w:firstRow="0" w:lastRow="0" w:firstColumn="0" w:lastColumn="0" w:oddVBand="0" w:evenVBand="0" w:oddHBand="0" w:evenHBand="0" w:firstRowFirstColumn="0" w:firstRowLastColumn="0" w:lastRowFirstColumn="0" w:lastRowLastColumn="0"/>
            </w:pPr>
            <w:r w:rsidRPr="00834389">
              <w:t>128,268</w:t>
            </w:r>
          </w:p>
        </w:tc>
        <w:tc>
          <w:tcPr>
            <w:tcW w:w="749" w:type="pct"/>
            <w:vMerge w:val="restart"/>
          </w:tcPr>
          <w:p w14:paraId="28502416" w14:textId="77777777" w:rsidR="00B22A11" w:rsidRPr="00834389" w:rsidRDefault="00B22A11" w:rsidP="00666947">
            <w:pPr>
              <w:pStyle w:val="TableTextLeft"/>
              <w:cnfStyle w:val="000000000000" w:firstRow="0" w:lastRow="0" w:firstColumn="0" w:lastColumn="0" w:oddVBand="0" w:evenVBand="0" w:oddHBand="0" w:evenHBand="0" w:firstRowFirstColumn="0" w:firstRowLastColumn="0" w:lastRowFirstColumn="0" w:lastRowLastColumn="0"/>
            </w:pPr>
            <w:r w:rsidRPr="00834389">
              <w:t>Hectares</w:t>
            </w:r>
          </w:p>
        </w:tc>
        <w:tc>
          <w:tcPr>
            <w:tcW w:w="789" w:type="pct"/>
            <w:vMerge w:val="restart"/>
          </w:tcPr>
          <w:p w14:paraId="25852EF8" w14:textId="77777777" w:rsidR="00B22A11" w:rsidRPr="00834389" w:rsidRDefault="00B22A11" w:rsidP="00666947">
            <w:pPr>
              <w:pStyle w:val="TableTextLeft"/>
              <w:cnfStyle w:val="000000000000" w:firstRow="0" w:lastRow="0" w:firstColumn="0" w:lastColumn="0" w:oddVBand="0" w:evenVBand="0" w:oddHBand="0" w:evenHBand="0" w:firstRowFirstColumn="0" w:firstRowLastColumn="0" w:lastRowFirstColumn="0" w:lastRowLastColumn="0"/>
            </w:pPr>
            <w:r w:rsidRPr="00834389">
              <w:t>Medium</w:t>
            </w:r>
          </w:p>
        </w:tc>
      </w:tr>
      <w:tr w:rsidR="00B22A11" w:rsidRPr="00834389" w14:paraId="0E042667" w14:textId="77777777" w:rsidTr="00666947">
        <w:tc>
          <w:tcPr>
            <w:cnfStyle w:val="001000000000" w:firstRow="0" w:lastRow="0" w:firstColumn="1" w:lastColumn="0" w:oddVBand="0" w:evenVBand="0" w:oddHBand="0" w:evenHBand="0" w:firstRowFirstColumn="0" w:firstRowLastColumn="0" w:lastRowFirstColumn="0" w:lastRowLastColumn="0"/>
            <w:tcW w:w="829" w:type="pct"/>
            <w:vMerge/>
          </w:tcPr>
          <w:p w14:paraId="002A3BF8" w14:textId="77777777" w:rsidR="00B22A11" w:rsidRPr="00834389" w:rsidRDefault="00B22A11" w:rsidP="00666947">
            <w:pPr>
              <w:pStyle w:val="TableTextLeft"/>
            </w:pPr>
          </w:p>
        </w:tc>
        <w:tc>
          <w:tcPr>
            <w:tcW w:w="1476" w:type="pct"/>
          </w:tcPr>
          <w:p w14:paraId="6F4B575C" w14:textId="77777777" w:rsidR="00B22A11" w:rsidRPr="00834389" w:rsidRDefault="00B22A11" w:rsidP="00666947">
            <w:pPr>
              <w:pStyle w:val="TableTextLeft"/>
              <w:cnfStyle w:val="000000000000" w:firstRow="0" w:lastRow="0" w:firstColumn="0" w:lastColumn="0" w:oddVBand="0" w:evenVBand="0" w:oddHBand="0" w:evenHBand="0" w:firstRowFirstColumn="0" w:firstRowLastColumn="0" w:lastRowFirstColumn="0" w:lastRowLastColumn="0"/>
            </w:pPr>
            <w:r w:rsidRPr="00834389">
              <w:t>Alpine</w:t>
            </w:r>
          </w:p>
        </w:tc>
        <w:tc>
          <w:tcPr>
            <w:tcW w:w="1157" w:type="pct"/>
          </w:tcPr>
          <w:p w14:paraId="38634797" w14:textId="77777777" w:rsidR="00B22A11" w:rsidRPr="00834389" w:rsidRDefault="00B22A11" w:rsidP="00666947">
            <w:pPr>
              <w:pStyle w:val="TableTextLeft"/>
              <w:cnfStyle w:val="000000000000" w:firstRow="0" w:lastRow="0" w:firstColumn="0" w:lastColumn="0" w:oddVBand="0" w:evenVBand="0" w:oddHBand="0" w:evenHBand="0" w:firstRowFirstColumn="0" w:firstRowLastColumn="0" w:lastRowFirstColumn="0" w:lastRowLastColumn="0"/>
            </w:pPr>
            <w:r w:rsidRPr="00834389">
              <w:t>0</w:t>
            </w:r>
          </w:p>
        </w:tc>
        <w:tc>
          <w:tcPr>
            <w:tcW w:w="749" w:type="pct"/>
            <w:vMerge/>
          </w:tcPr>
          <w:p w14:paraId="53BE2DDE" w14:textId="77777777" w:rsidR="00B22A11" w:rsidRPr="00834389" w:rsidRDefault="00B22A11"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789" w:type="pct"/>
            <w:vMerge/>
          </w:tcPr>
          <w:p w14:paraId="41F27876" w14:textId="77777777" w:rsidR="00B22A11" w:rsidRPr="00834389" w:rsidRDefault="00B22A11"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B22A11" w:rsidRPr="00834389" w14:paraId="28FF55A9" w14:textId="77777777" w:rsidTr="00666947">
        <w:tc>
          <w:tcPr>
            <w:cnfStyle w:val="001000000000" w:firstRow="0" w:lastRow="0" w:firstColumn="1" w:lastColumn="0" w:oddVBand="0" w:evenVBand="0" w:oddHBand="0" w:evenHBand="0" w:firstRowFirstColumn="0" w:firstRowLastColumn="0" w:lastRowFirstColumn="0" w:lastRowLastColumn="0"/>
            <w:tcW w:w="829" w:type="pct"/>
            <w:vMerge/>
          </w:tcPr>
          <w:p w14:paraId="50420799" w14:textId="77777777" w:rsidR="00B22A11" w:rsidRPr="00834389" w:rsidRDefault="00B22A11" w:rsidP="00666947">
            <w:pPr>
              <w:pStyle w:val="TableTextLeft"/>
            </w:pPr>
          </w:p>
        </w:tc>
        <w:tc>
          <w:tcPr>
            <w:tcW w:w="1476" w:type="pct"/>
          </w:tcPr>
          <w:p w14:paraId="102A4BAE" w14:textId="77777777" w:rsidR="00B22A11" w:rsidRPr="00834389" w:rsidRDefault="00B22A11" w:rsidP="00666947">
            <w:pPr>
              <w:pStyle w:val="TableTextLeft"/>
              <w:cnfStyle w:val="000000000000" w:firstRow="0" w:lastRow="0" w:firstColumn="0" w:lastColumn="0" w:oddVBand="0" w:evenVBand="0" w:oddHBand="0" w:evenHBand="0" w:firstRowFirstColumn="0" w:firstRowLastColumn="0" w:lastRowFirstColumn="0" w:lastRowLastColumn="0"/>
            </w:pPr>
            <w:r w:rsidRPr="00834389">
              <w:t>Shrubland</w:t>
            </w:r>
          </w:p>
        </w:tc>
        <w:tc>
          <w:tcPr>
            <w:tcW w:w="1157" w:type="pct"/>
          </w:tcPr>
          <w:p w14:paraId="41A6168C" w14:textId="77777777" w:rsidR="00B22A11" w:rsidRPr="00834389" w:rsidRDefault="00B22A11" w:rsidP="00666947">
            <w:pPr>
              <w:pStyle w:val="TableTextLeft"/>
              <w:cnfStyle w:val="000000000000" w:firstRow="0" w:lastRow="0" w:firstColumn="0" w:lastColumn="0" w:oddVBand="0" w:evenVBand="0" w:oddHBand="0" w:evenHBand="0" w:firstRowFirstColumn="0" w:firstRowLastColumn="0" w:lastRowFirstColumn="0" w:lastRowLastColumn="0"/>
            </w:pPr>
            <w:r w:rsidRPr="00834389">
              <w:t>947</w:t>
            </w:r>
          </w:p>
        </w:tc>
        <w:tc>
          <w:tcPr>
            <w:tcW w:w="749" w:type="pct"/>
            <w:vMerge/>
          </w:tcPr>
          <w:p w14:paraId="1BBBC583" w14:textId="77777777" w:rsidR="00B22A11" w:rsidRPr="00834389" w:rsidRDefault="00B22A11"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789" w:type="pct"/>
            <w:vMerge/>
          </w:tcPr>
          <w:p w14:paraId="0D950577" w14:textId="77777777" w:rsidR="00B22A11" w:rsidRPr="00834389" w:rsidRDefault="00B22A11"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B22A11" w:rsidRPr="00834389" w:rsidDel="004723B6" w14:paraId="064E5296" w14:textId="77777777" w:rsidTr="00666947">
        <w:tc>
          <w:tcPr>
            <w:cnfStyle w:val="001000000000" w:firstRow="0" w:lastRow="0" w:firstColumn="1" w:lastColumn="0" w:oddVBand="0" w:evenVBand="0" w:oddHBand="0" w:evenHBand="0" w:firstRowFirstColumn="0" w:firstRowLastColumn="0" w:lastRowFirstColumn="0" w:lastRowLastColumn="0"/>
            <w:tcW w:w="829" w:type="pct"/>
            <w:vMerge/>
          </w:tcPr>
          <w:p w14:paraId="66860D68" w14:textId="77777777" w:rsidR="00B22A11" w:rsidRPr="00834389" w:rsidRDefault="00B22A11" w:rsidP="00666947">
            <w:pPr>
              <w:pStyle w:val="TableTextLeft"/>
            </w:pPr>
          </w:p>
        </w:tc>
        <w:tc>
          <w:tcPr>
            <w:tcW w:w="1476" w:type="pct"/>
          </w:tcPr>
          <w:p w14:paraId="3FBD46E4" w14:textId="77777777" w:rsidR="00B22A11" w:rsidRPr="00834389" w:rsidRDefault="00B22A11" w:rsidP="00666947">
            <w:pPr>
              <w:pStyle w:val="TableTextLeft"/>
              <w:cnfStyle w:val="000000000000" w:firstRow="0" w:lastRow="0" w:firstColumn="0" w:lastColumn="0" w:oddVBand="0" w:evenVBand="0" w:oddHBand="0" w:evenHBand="0" w:firstRowFirstColumn="0" w:firstRowLastColumn="0" w:lastRowFirstColumn="0" w:lastRowLastColumn="0"/>
            </w:pPr>
            <w:r w:rsidRPr="00834389">
              <w:t>Grassland</w:t>
            </w:r>
          </w:p>
        </w:tc>
        <w:tc>
          <w:tcPr>
            <w:tcW w:w="1157" w:type="pct"/>
          </w:tcPr>
          <w:p w14:paraId="5B55792F" w14:textId="77777777" w:rsidR="00B22A11" w:rsidRPr="00834389" w:rsidDel="004723B6" w:rsidRDefault="00B22A11" w:rsidP="00666947">
            <w:pPr>
              <w:pStyle w:val="TableTextLeft"/>
              <w:cnfStyle w:val="000000000000" w:firstRow="0" w:lastRow="0" w:firstColumn="0" w:lastColumn="0" w:oddVBand="0" w:evenVBand="0" w:oddHBand="0" w:evenHBand="0" w:firstRowFirstColumn="0" w:firstRowLastColumn="0" w:lastRowFirstColumn="0" w:lastRowLastColumn="0"/>
            </w:pPr>
            <w:r w:rsidRPr="00834389">
              <w:t>843</w:t>
            </w:r>
          </w:p>
        </w:tc>
        <w:tc>
          <w:tcPr>
            <w:tcW w:w="749" w:type="pct"/>
            <w:vMerge/>
          </w:tcPr>
          <w:p w14:paraId="7916F08A" w14:textId="77777777" w:rsidR="00B22A11" w:rsidRPr="00834389" w:rsidRDefault="00B22A11"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789" w:type="pct"/>
            <w:vMerge/>
          </w:tcPr>
          <w:p w14:paraId="0016D0A1" w14:textId="77777777" w:rsidR="00B22A11" w:rsidRPr="00834389" w:rsidRDefault="00B22A11"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B22A11" w:rsidRPr="00834389" w14:paraId="0FA81036" w14:textId="77777777" w:rsidTr="00666947">
        <w:tc>
          <w:tcPr>
            <w:cnfStyle w:val="001000000000" w:firstRow="0" w:lastRow="0" w:firstColumn="1" w:lastColumn="0" w:oddVBand="0" w:evenVBand="0" w:oddHBand="0" w:evenHBand="0" w:firstRowFirstColumn="0" w:firstRowLastColumn="0" w:lastRowFirstColumn="0" w:lastRowLastColumn="0"/>
            <w:tcW w:w="829" w:type="pct"/>
            <w:vMerge/>
          </w:tcPr>
          <w:p w14:paraId="05C2EA69" w14:textId="77777777" w:rsidR="00B22A11" w:rsidRPr="00834389" w:rsidRDefault="00B22A11" w:rsidP="00666947">
            <w:pPr>
              <w:pStyle w:val="TableTextLeft"/>
            </w:pPr>
          </w:p>
        </w:tc>
        <w:tc>
          <w:tcPr>
            <w:tcW w:w="1476" w:type="pct"/>
          </w:tcPr>
          <w:p w14:paraId="21A77BD5" w14:textId="77777777" w:rsidR="00B22A11" w:rsidRPr="00834389" w:rsidRDefault="00B22A11" w:rsidP="00666947">
            <w:pPr>
              <w:pStyle w:val="TableTextLeft"/>
              <w:cnfStyle w:val="000000000000" w:firstRow="0" w:lastRow="0" w:firstColumn="0" w:lastColumn="0" w:oddVBand="0" w:evenVBand="0" w:oddHBand="0" w:evenHBand="0" w:firstRowFirstColumn="0" w:firstRowLastColumn="0" w:lastRowFirstColumn="0" w:lastRowLastColumn="0"/>
            </w:pPr>
            <w:r w:rsidRPr="00834389">
              <w:t>Forest / woodland</w:t>
            </w:r>
          </w:p>
        </w:tc>
        <w:tc>
          <w:tcPr>
            <w:tcW w:w="1157" w:type="pct"/>
          </w:tcPr>
          <w:p w14:paraId="314658D0" w14:textId="77777777" w:rsidR="00B22A11" w:rsidRPr="00834389" w:rsidRDefault="00B22A11" w:rsidP="00666947">
            <w:pPr>
              <w:pStyle w:val="TableTextLeft"/>
              <w:cnfStyle w:val="000000000000" w:firstRow="0" w:lastRow="0" w:firstColumn="0" w:lastColumn="0" w:oddVBand="0" w:evenVBand="0" w:oddHBand="0" w:evenHBand="0" w:firstRowFirstColumn="0" w:firstRowLastColumn="0" w:lastRowFirstColumn="0" w:lastRowLastColumn="0"/>
            </w:pPr>
            <w:r w:rsidRPr="00834389">
              <w:t>35,659</w:t>
            </w:r>
          </w:p>
        </w:tc>
        <w:tc>
          <w:tcPr>
            <w:tcW w:w="749" w:type="pct"/>
            <w:vMerge/>
          </w:tcPr>
          <w:p w14:paraId="72CA014C" w14:textId="77777777" w:rsidR="00B22A11" w:rsidRPr="00834389" w:rsidRDefault="00B22A11"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789" w:type="pct"/>
            <w:vMerge/>
          </w:tcPr>
          <w:p w14:paraId="4AA0A35D" w14:textId="77777777" w:rsidR="00B22A11" w:rsidRPr="00834389" w:rsidRDefault="00B22A11"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B22A11" w:rsidRPr="00834389" w14:paraId="07B93800" w14:textId="77777777" w:rsidTr="00666947">
        <w:tc>
          <w:tcPr>
            <w:cnfStyle w:val="001000000000" w:firstRow="0" w:lastRow="0" w:firstColumn="1" w:lastColumn="0" w:oddVBand="0" w:evenVBand="0" w:oddHBand="0" w:evenHBand="0" w:firstRowFirstColumn="0" w:firstRowLastColumn="0" w:lastRowFirstColumn="0" w:lastRowLastColumn="0"/>
            <w:tcW w:w="829" w:type="pct"/>
            <w:vMerge/>
          </w:tcPr>
          <w:p w14:paraId="3D82B0E6" w14:textId="77777777" w:rsidR="00B22A11" w:rsidRPr="00834389" w:rsidRDefault="00B22A11" w:rsidP="00666947">
            <w:pPr>
              <w:pStyle w:val="TableTextLeft"/>
            </w:pPr>
          </w:p>
        </w:tc>
        <w:tc>
          <w:tcPr>
            <w:tcW w:w="1476" w:type="pct"/>
          </w:tcPr>
          <w:p w14:paraId="59C933C1" w14:textId="77777777" w:rsidR="00B22A11" w:rsidRPr="00834389" w:rsidRDefault="00B22A11" w:rsidP="00666947">
            <w:pPr>
              <w:pStyle w:val="TableTextLeft"/>
              <w:cnfStyle w:val="000000000000" w:firstRow="0" w:lastRow="0" w:firstColumn="0" w:lastColumn="0" w:oddVBand="0" w:evenVBand="0" w:oddHBand="0" w:evenHBand="0" w:firstRowFirstColumn="0" w:firstRowLastColumn="0" w:lastRowFirstColumn="0" w:lastRowLastColumn="0"/>
            </w:pPr>
            <w:r w:rsidRPr="00834389">
              <w:t>Coastal margins</w:t>
            </w:r>
          </w:p>
        </w:tc>
        <w:tc>
          <w:tcPr>
            <w:tcW w:w="1157" w:type="pct"/>
          </w:tcPr>
          <w:p w14:paraId="16D368E7" w14:textId="77777777" w:rsidR="00B22A11" w:rsidRPr="00834389" w:rsidRDefault="00B22A11" w:rsidP="00666947">
            <w:pPr>
              <w:pStyle w:val="TableTextLeft"/>
              <w:cnfStyle w:val="000000000000" w:firstRow="0" w:lastRow="0" w:firstColumn="0" w:lastColumn="0" w:oddVBand="0" w:evenVBand="0" w:oddHBand="0" w:evenHBand="0" w:firstRowFirstColumn="0" w:firstRowLastColumn="0" w:lastRowFirstColumn="0" w:lastRowLastColumn="0"/>
            </w:pPr>
            <w:r w:rsidRPr="00834389">
              <w:t>1,466</w:t>
            </w:r>
          </w:p>
        </w:tc>
        <w:tc>
          <w:tcPr>
            <w:tcW w:w="749" w:type="pct"/>
            <w:vMerge/>
          </w:tcPr>
          <w:p w14:paraId="476C2E13" w14:textId="77777777" w:rsidR="00B22A11" w:rsidRPr="00834389" w:rsidRDefault="00B22A11"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789" w:type="pct"/>
            <w:vMerge/>
          </w:tcPr>
          <w:p w14:paraId="1C3065AC" w14:textId="77777777" w:rsidR="00B22A11" w:rsidRPr="00834389" w:rsidRDefault="00B22A11"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B22A11" w:rsidRPr="00834389" w14:paraId="61B8B525" w14:textId="77777777" w:rsidTr="00666947">
        <w:tc>
          <w:tcPr>
            <w:cnfStyle w:val="001000000000" w:firstRow="0" w:lastRow="0" w:firstColumn="1" w:lastColumn="0" w:oddVBand="0" w:evenVBand="0" w:oddHBand="0" w:evenHBand="0" w:firstRowFirstColumn="0" w:firstRowLastColumn="0" w:lastRowFirstColumn="0" w:lastRowLastColumn="0"/>
            <w:tcW w:w="829" w:type="pct"/>
            <w:vMerge/>
          </w:tcPr>
          <w:p w14:paraId="67A61A89" w14:textId="77777777" w:rsidR="00B22A11" w:rsidRPr="00834389" w:rsidRDefault="00B22A11" w:rsidP="00666947">
            <w:pPr>
              <w:pStyle w:val="TableTextLeft"/>
            </w:pPr>
          </w:p>
        </w:tc>
        <w:tc>
          <w:tcPr>
            <w:tcW w:w="1476" w:type="pct"/>
          </w:tcPr>
          <w:p w14:paraId="6A54DEFF" w14:textId="77777777" w:rsidR="00B22A11" w:rsidRPr="00834389" w:rsidRDefault="00B22A11" w:rsidP="00666947">
            <w:pPr>
              <w:pStyle w:val="TableTextLeft"/>
              <w:cnfStyle w:val="000000000000" w:firstRow="0" w:lastRow="0" w:firstColumn="0" w:lastColumn="0" w:oddVBand="0" w:evenVBand="0" w:oddHBand="0" w:evenHBand="0" w:firstRowFirstColumn="0" w:firstRowLastColumn="0" w:lastRowFirstColumn="0" w:lastRowLastColumn="0"/>
            </w:pPr>
            <w:r w:rsidRPr="00834389">
              <w:t>Farmland</w:t>
            </w:r>
          </w:p>
        </w:tc>
        <w:tc>
          <w:tcPr>
            <w:tcW w:w="1157" w:type="pct"/>
          </w:tcPr>
          <w:p w14:paraId="54FBC5AF" w14:textId="77777777" w:rsidR="00B22A11" w:rsidRPr="00834389" w:rsidRDefault="00B22A11" w:rsidP="00666947">
            <w:pPr>
              <w:pStyle w:val="TableTextLeft"/>
              <w:cnfStyle w:val="000000000000" w:firstRow="0" w:lastRow="0" w:firstColumn="0" w:lastColumn="0" w:oddVBand="0" w:evenVBand="0" w:oddHBand="0" w:evenHBand="0" w:firstRowFirstColumn="0" w:firstRowLastColumn="0" w:lastRowFirstColumn="0" w:lastRowLastColumn="0"/>
            </w:pPr>
            <w:r w:rsidRPr="00834389">
              <w:t>27,394</w:t>
            </w:r>
          </w:p>
        </w:tc>
        <w:tc>
          <w:tcPr>
            <w:tcW w:w="749" w:type="pct"/>
            <w:vMerge/>
          </w:tcPr>
          <w:p w14:paraId="59DBBDBD" w14:textId="77777777" w:rsidR="00B22A11" w:rsidRPr="00834389" w:rsidRDefault="00B22A11"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789" w:type="pct"/>
            <w:vMerge/>
          </w:tcPr>
          <w:p w14:paraId="5E0ADC77" w14:textId="77777777" w:rsidR="00B22A11" w:rsidRPr="00834389" w:rsidRDefault="00B22A11"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B22A11" w:rsidRPr="00834389" w14:paraId="6D6802C1" w14:textId="77777777" w:rsidTr="00666947">
        <w:tc>
          <w:tcPr>
            <w:cnfStyle w:val="001000000000" w:firstRow="0" w:lastRow="0" w:firstColumn="1" w:lastColumn="0" w:oddVBand="0" w:evenVBand="0" w:oddHBand="0" w:evenHBand="0" w:firstRowFirstColumn="0" w:firstRowLastColumn="0" w:lastRowFirstColumn="0" w:lastRowLastColumn="0"/>
            <w:tcW w:w="829" w:type="pct"/>
            <w:vMerge/>
          </w:tcPr>
          <w:p w14:paraId="060A2636" w14:textId="77777777" w:rsidR="00B22A11" w:rsidRPr="00834389" w:rsidRDefault="00B22A11" w:rsidP="00666947">
            <w:pPr>
              <w:pStyle w:val="TableTextLeft"/>
            </w:pPr>
          </w:p>
        </w:tc>
        <w:tc>
          <w:tcPr>
            <w:tcW w:w="1476" w:type="pct"/>
          </w:tcPr>
          <w:p w14:paraId="4E6889F5" w14:textId="77777777" w:rsidR="00B22A11" w:rsidRPr="00834389" w:rsidRDefault="00B22A11" w:rsidP="00666947">
            <w:pPr>
              <w:pStyle w:val="TableTextLeft"/>
              <w:cnfStyle w:val="000000000000" w:firstRow="0" w:lastRow="0" w:firstColumn="0" w:lastColumn="0" w:oddVBand="0" w:evenVBand="0" w:oddHBand="0" w:evenHBand="0" w:firstRowFirstColumn="0" w:firstRowLastColumn="0" w:lastRowFirstColumn="0" w:lastRowLastColumn="0"/>
            </w:pPr>
            <w:r w:rsidRPr="00834389">
              <w:t>Freshwater and wetland</w:t>
            </w:r>
          </w:p>
        </w:tc>
        <w:tc>
          <w:tcPr>
            <w:tcW w:w="1157" w:type="pct"/>
          </w:tcPr>
          <w:p w14:paraId="1B815984" w14:textId="77777777" w:rsidR="00B22A11" w:rsidRPr="00834389" w:rsidRDefault="00B22A11" w:rsidP="00666947">
            <w:pPr>
              <w:pStyle w:val="TableTextLeft"/>
              <w:cnfStyle w:val="000000000000" w:firstRow="0" w:lastRow="0" w:firstColumn="0" w:lastColumn="0" w:oddVBand="0" w:evenVBand="0" w:oddHBand="0" w:evenHBand="0" w:firstRowFirstColumn="0" w:firstRowLastColumn="0" w:lastRowFirstColumn="0" w:lastRowLastColumn="0"/>
            </w:pPr>
            <w:r w:rsidRPr="00834389">
              <w:t>2,171</w:t>
            </w:r>
          </w:p>
        </w:tc>
        <w:tc>
          <w:tcPr>
            <w:tcW w:w="749" w:type="pct"/>
            <w:vMerge/>
          </w:tcPr>
          <w:p w14:paraId="4C53EACE" w14:textId="77777777" w:rsidR="00B22A11" w:rsidRPr="00834389" w:rsidRDefault="00B22A11"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789" w:type="pct"/>
            <w:vMerge/>
          </w:tcPr>
          <w:p w14:paraId="4A63B01C" w14:textId="77777777" w:rsidR="00B22A11" w:rsidRPr="00834389" w:rsidRDefault="00B22A11"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B22A11" w:rsidRPr="00834389" w14:paraId="6E97A270" w14:textId="77777777" w:rsidTr="00666947">
        <w:tc>
          <w:tcPr>
            <w:cnfStyle w:val="001000000000" w:firstRow="0" w:lastRow="0" w:firstColumn="1" w:lastColumn="0" w:oddVBand="0" w:evenVBand="0" w:oddHBand="0" w:evenHBand="0" w:firstRowFirstColumn="0" w:firstRowLastColumn="0" w:lastRowFirstColumn="0" w:lastRowLastColumn="0"/>
            <w:tcW w:w="829" w:type="pct"/>
            <w:vMerge/>
          </w:tcPr>
          <w:p w14:paraId="4A3E851F" w14:textId="77777777" w:rsidR="00B22A11" w:rsidRPr="00834389" w:rsidRDefault="00B22A11" w:rsidP="00666947">
            <w:pPr>
              <w:pStyle w:val="TableTextLeft"/>
            </w:pPr>
          </w:p>
        </w:tc>
        <w:tc>
          <w:tcPr>
            <w:tcW w:w="1476" w:type="pct"/>
          </w:tcPr>
          <w:p w14:paraId="5B85DC63" w14:textId="77777777" w:rsidR="00B22A11" w:rsidRPr="00834389" w:rsidRDefault="00B22A11" w:rsidP="00666947">
            <w:pPr>
              <w:pStyle w:val="TableTextLeft"/>
              <w:cnfStyle w:val="000000000000" w:firstRow="0" w:lastRow="0" w:firstColumn="0" w:lastColumn="0" w:oddVBand="0" w:evenVBand="0" w:oddHBand="0" w:evenHBand="0" w:firstRowFirstColumn="0" w:firstRowLastColumn="0" w:lastRowFirstColumn="0" w:lastRowLastColumn="0"/>
            </w:pPr>
            <w:r w:rsidRPr="00834389">
              <w:t>Urban</w:t>
            </w:r>
          </w:p>
        </w:tc>
        <w:tc>
          <w:tcPr>
            <w:tcW w:w="1157" w:type="pct"/>
          </w:tcPr>
          <w:p w14:paraId="3964B1E9" w14:textId="77777777" w:rsidR="00B22A11" w:rsidRPr="00834389" w:rsidRDefault="00B22A11" w:rsidP="00666947">
            <w:pPr>
              <w:pStyle w:val="TableTextLeft"/>
              <w:cnfStyle w:val="000000000000" w:firstRow="0" w:lastRow="0" w:firstColumn="0" w:lastColumn="0" w:oddVBand="0" w:evenVBand="0" w:oddHBand="0" w:evenHBand="0" w:firstRowFirstColumn="0" w:firstRowLastColumn="0" w:lastRowFirstColumn="0" w:lastRowLastColumn="0"/>
            </w:pPr>
            <w:r w:rsidRPr="00834389">
              <w:t>3,128</w:t>
            </w:r>
          </w:p>
        </w:tc>
        <w:tc>
          <w:tcPr>
            <w:tcW w:w="749" w:type="pct"/>
            <w:vMerge/>
          </w:tcPr>
          <w:p w14:paraId="6709F95B" w14:textId="77777777" w:rsidR="00B22A11" w:rsidRPr="00834389" w:rsidRDefault="00B22A11"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789" w:type="pct"/>
            <w:vMerge/>
          </w:tcPr>
          <w:p w14:paraId="04AFFD5E" w14:textId="77777777" w:rsidR="00B22A11" w:rsidRPr="00834389" w:rsidRDefault="00B22A11"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B22A11" w:rsidRPr="00834389" w14:paraId="3AA7E71E" w14:textId="77777777" w:rsidTr="00E85B64">
        <w:tc>
          <w:tcPr>
            <w:cnfStyle w:val="001000000000" w:firstRow="0" w:lastRow="0" w:firstColumn="1" w:lastColumn="0" w:oddVBand="0" w:evenVBand="0" w:oddHBand="0" w:evenHBand="0" w:firstRowFirstColumn="0" w:firstRowLastColumn="0" w:lastRowFirstColumn="0" w:lastRowLastColumn="0"/>
            <w:tcW w:w="829" w:type="pct"/>
            <w:vMerge/>
          </w:tcPr>
          <w:p w14:paraId="4A3F91BB" w14:textId="77777777" w:rsidR="00B22A11" w:rsidRPr="00834389" w:rsidRDefault="00B22A11" w:rsidP="00666947">
            <w:pPr>
              <w:pStyle w:val="TableTextLeft"/>
            </w:pPr>
          </w:p>
        </w:tc>
        <w:tc>
          <w:tcPr>
            <w:tcW w:w="1476" w:type="pct"/>
            <w:shd w:val="clear" w:color="auto" w:fill="CCDBEA" w:themeFill="background2"/>
          </w:tcPr>
          <w:p w14:paraId="03C69445" w14:textId="77777777" w:rsidR="00B22A11" w:rsidRPr="00834389" w:rsidRDefault="00B22A11" w:rsidP="00666947">
            <w:pPr>
              <w:pStyle w:val="TableTextLeft"/>
              <w:cnfStyle w:val="000000000000" w:firstRow="0" w:lastRow="0" w:firstColumn="0" w:lastColumn="0" w:oddVBand="0" w:evenVBand="0" w:oddHBand="0" w:evenHBand="0" w:firstRowFirstColumn="0" w:firstRowLastColumn="0" w:lastRowFirstColumn="0" w:lastRowLastColumn="0"/>
            </w:pPr>
            <w:r w:rsidRPr="00834389">
              <w:rPr>
                <w:b/>
              </w:rPr>
              <w:t>Total</w:t>
            </w:r>
          </w:p>
        </w:tc>
        <w:tc>
          <w:tcPr>
            <w:tcW w:w="1157" w:type="pct"/>
            <w:shd w:val="clear" w:color="auto" w:fill="CCDBEA" w:themeFill="background2"/>
          </w:tcPr>
          <w:p w14:paraId="7432CCAB" w14:textId="77777777" w:rsidR="00B22A11" w:rsidRPr="00834389" w:rsidRDefault="00B22A11" w:rsidP="00666947">
            <w:pPr>
              <w:pStyle w:val="TableTextLeft"/>
              <w:cnfStyle w:val="000000000000" w:firstRow="0" w:lastRow="0" w:firstColumn="0" w:lastColumn="0" w:oddVBand="0" w:evenVBand="0" w:oddHBand="0" w:evenHBand="0" w:firstRowFirstColumn="0" w:firstRowLastColumn="0" w:lastRowFirstColumn="0" w:lastRowLastColumn="0"/>
            </w:pPr>
            <w:r w:rsidRPr="00834389">
              <w:rPr>
                <w:b/>
              </w:rPr>
              <w:t>199,307</w:t>
            </w:r>
          </w:p>
        </w:tc>
        <w:tc>
          <w:tcPr>
            <w:tcW w:w="749" w:type="pct"/>
            <w:vMerge/>
          </w:tcPr>
          <w:p w14:paraId="5BE29F66" w14:textId="77777777" w:rsidR="00B22A11" w:rsidRPr="00834389" w:rsidRDefault="00B22A11"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789" w:type="pct"/>
            <w:vMerge/>
          </w:tcPr>
          <w:p w14:paraId="2009FFD2" w14:textId="77777777" w:rsidR="00B22A11" w:rsidRPr="00834389" w:rsidRDefault="00B22A11" w:rsidP="00666947">
            <w:pPr>
              <w:pStyle w:val="TableTextLeft"/>
              <w:cnfStyle w:val="000000000000" w:firstRow="0" w:lastRow="0" w:firstColumn="0" w:lastColumn="0" w:oddVBand="0" w:evenVBand="0" w:oddHBand="0" w:evenHBand="0" w:firstRowFirstColumn="0" w:firstRowLastColumn="0" w:lastRowFirstColumn="0" w:lastRowLastColumn="0"/>
            </w:pPr>
          </w:p>
        </w:tc>
      </w:tr>
    </w:tbl>
    <w:p w14:paraId="565A3CD8" w14:textId="77777777" w:rsidR="00B22A11" w:rsidRPr="00834389" w:rsidRDefault="00B22A11" w:rsidP="00B22A11">
      <w:pPr>
        <w:pStyle w:val="BodyText"/>
      </w:pPr>
    </w:p>
    <w:p w14:paraId="4EEEC15C" w14:textId="77777777" w:rsidR="00B21991" w:rsidRPr="00FB15DB" w:rsidRDefault="00B21991" w:rsidP="00B21991">
      <w:pPr>
        <w:pStyle w:val="Heading2"/>
        <w:numPr>
          <w:ilvl w:val="0"/>
          <w:numId w:val="0"/>
        </w:numPr>
        <w:sectPr w:rsidR="00B21991" w:rsidRPr="00FB15DB" w:rsidSect="00E52A9A">
          <w:headerReference w:type="even" r:id="rId67"/>
          <w:headerReference w:type="default" r:id="rId68"/>
          <w:footerReference w:type="even" r:id="rId69"/>
          <w:footerReference w:type="default" r:id="rId70"/>
          <w:pgSz w:w="11907" w:h="16840" w:code="9"/>
          <w:pgMar w:top="1134" w:right="1134" w:bottom="1134" w:left="1134" w:header="283" w:footer="283" w:gutter="0"/>
          <w:cols w:space="284"/>
          <w:docGrid w:linePitch="360"/>
        </w:sectPr>
      </w:pPr>
    </w:p>
    <w:p w14:paraId="6918AFE6" w14:textId="5D98EC09" w:rsidR="00244272" w:rsidRPr="00244272" w:rsidRDefault="00244272" w:rsidP="00B22F84">
      <w:pPr>
        <w:pStyle w:val="Caption"/>
      </w:pPr>
      <w:r w:rsidRPr="00244272">
        <w:lastRenderedPageBreak/>
        <w:t>Figure S2. Spatial distribution of ecosystem assets across the GORCAP EEA in 2019 (DELWP, 2020)</w:t>
      </w:r>
    </w:p>
    <w:p w14:paraId="732105F5" w14:textId="77777777" w:rsidR="00244272" w:rsidRPr="00FB15DB" w:rsidRDefault="00244272" w:rsidP="00B21991">
      <w:pPr>
        <w:pStyle w:val="TableTextLeft"/>
        <w:rPr>
          <w:b/>
        </w:rPr>
      </w:pPr>
      <w:r w:rsidRPr="00FB15DB">
        <w:rPr>
          <w:noProof/>
        </w:rPr>
        <mc:AlternateContent>
          <mc:Choice Requires="wps">
            <w:drawing>
              <wp:anchor distT="45720" distB="45720" distL="114300" distR="114300" simplePos="0" relativeHeight="251658304" behindDoc="0" locked="0" layoutInCell="1" allowOverlap="1" wp14:anchorId="0911B428" wp14:editId="4DCB83D0">
                <wp:simplePos x="0" y="0"/>
                <wp:positionH relativeFrom="column">
                  <wp:posOffset>752848</wp:posOffset>
                </wp:positionH>
                <wp:positionV relativeFrom="paragraph">
                  <wp:posOffset>3334647</wp:posOffset>
                </wp:positionV>
                <wp:extent cx="1581150" cy="1404620"/>
                <wp:effectExtent l="0" t="0" r="0" b="3175"/>
                <wp:wrapNone/>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1404620"/>
                        </a:xfrm>
                        <a:prstGeom prst="rect">
                          <a:avLst/>
                        </a:prstGeom>
                        <a:solidFill>
                          <a:schemeClr val="bg1"/>
                        </a:solidFill>
                        <a:ln w="9525">
                          <a:noFill/>
                          <a:miter lim="800000"/>
                          <a:headEnd/>
                          <a:tailEnd/>
                        </a:ln>
                      </wps:spPr>
                      <wps:txbx>
                        <w:txbxContent>
                          <w:p w14:paraId="6B8F0751" w14:textId="77777777" w:rsidR="00244272" w:rsidRPr="00165BAD" w:rsidRDefault="00244272" w:rsidP="00B21991">
                            <w:pPr>
                              <w:rPr>
                                <w:b/>
                                <w:bCs/>
                                <w:sz w:val="24"/>
                                <w:szCs w:val="24"/>
                              </w:rPr>
                            </w:pPr>
                            <w:r w:rsidRPr="00165BAD">
                              <w:rPr>
                                <w:b/>
                                <w:bCs/>
                                <w:sz w:val="24"/>
                                <w:szCs w:val="24"/>
                              </w:rPr>
                              <w:t>GORCAP EEA area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911B428" id="Text Box 217" o:spid="_x0000_s1055" type="#_x0000_t202" style="position:absolute;margin-left:59.3pt;margin-top:262.55pt;width:124.5pt;height:110.6pt;z-index:251658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" fillcolor="white [3212]" stroked="f">
                <v:textbox style="mso-fit-shape-to-text:t">
                  <w:txbxContent>
                    <w:p w14:paraId="6B8F0751" w14:textId="77777777" w:rsidR="00244272" w:rsidRPr="00165BAD" w:rsidRDefault="00244272" w:rsidP="00B21991">
                      <w:pPr>
                        <w:rPr>
                          <w:b/>
                          <w:bCs/>
                          <w:sz w:val="24"/>
                          <w:szCs w:val="24"/>
                        </w:rPr>
                      </w:pPr>
                      <w:r w:rsidRPr="00165BAD">
                        <w:rPr>
                          <w:b/>
                          <w:bCs/>
                          <w:sz w:val="24"/>
                          <w:szCs w:val="24"/>
                        </w:rPr>
                        <w:t>GORCAP EEA area</w:t>
                      </w:r>
                    </w:p>
                  </w:txbxContent>
                </v:textbox>
              </v:shape>
            </w:pict>
          </mc:Fallback>
        </mc:AlternateContent>
      </w:r>
      <w:r w:rsidRPr="00FB15DB">
        <w:rPr>
          <w:noProof/>
        </w:rPr>
        <w:drawing>
          <wp:inline distT="0" distB="0" distL="0" distR="0" wp14:anchorId="35BD4900" wp14:editId="4AAC4B13">
            <wp:extent cx="13684508" cy="6719759"/>
            <wp:effectExtent l="0" t="0" r="0" b="5080"/>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Picture 617"/>
                    <pic:cNvPicPr/>
                  </pic:nvPicPr>
                  <pic:blipFill>
                    <a:blip r:embed="rId71" cstate="email">
                      <a:extLst>
                        <a:ext uri="{28A0092B-C50C-407E-A947-70E740481C1C}">
                          <a14:useLocalDpi xmlns:a14="http://schemas.microsoft.com/office/drawing/2010/main"/>
                        </a:ext>
                      </a:extLst>
                    </a:blip>
                    <a:stretch>
                      <a:fillRect/>
                    </a:stretch>
                  </pic:blipFill>
                  <pic:spPr>
                    <a:xfrm>
                      <a:off x="0" y="0"/>
                      <a:ext cx="13684508" cy="6719759"/>
                    </a:xfrm>
                    <a:prstGeom prst="rect">
                      <a:avLst/>
                    </a:prstGeom>
                  </pic:spPr>
                </pic:pic>
              </a:graphicData>
            </a:graphic>
          </wp:inline>
        </w:drawing>
      </w:r>
    </w:p>
    <w:p w14:paraId="4DF9F004" w14:textId="77777777" w:rsidR="00980069" w:rsidRDefault="00980069" w:rsidP="00E85B64">
      <w:pPr>
        <w:pStyle w:val="Caption"/>
      </w:pPr>
      <w:r>
        <w:br w:type="page"/>
      </w:r>
    </w:p>
    <w:p w14:paraId="435AB846" w14:textId="43EBF3EF" w:rsidR="00E85B64" w:rsidRPr="00FB15DB" w:rsidRDefault="00E85B64" w:rsidP="00E85B64">
      <w:pPr>
        <w:pStyle w:val="Caption"/>
      </w:pPr>
      <w:r w:rsidRPr="00980069">
        <w:lastRenderedPageBreak/>
        <w:t>Table S2. Headline condition account for GORCAP EEA</w:t>
      </w:r>
    </w:p>
    <w:tbl>
      <w:tblPr>
        <w:tblStyle w:val="TableGrid"/>
        <w:tblW w:w="0" w:type="auto"/>
        <w:tblInd w:w="-10" w:type="dxa"/>
        <w:tblBorders>
          <w:top w:val="single" w:sz="4" w:space="0" w:color="201547" w:themeColor="text2"/>
          <w:bottom w:val="single" w:sz="4" w:space="0" w:color="201547" w:themeColor="text2"/>
          <w:insideH w:val="single" w:sz="4" w:space="0" w:color="201547" w:themeColor="text2"/>
        </w:tblBorders>
        <w:tblLook w:val="04A0" w:firstRow="1" w:lastRow="0" w:firstColumn="1" w:lastColumn="0" w:noHBand="0" w:noVBand="1"/>
      </w:tblPr>
      <w:tblGrid>
        <w:gridCol w:w="490"/>
        <w:gridCol w:w="2797"/>
        <w:gridCol w:w="2069"/>
        <w:gridCol w:w="3705"/>
        <w:gridCol w:w="1260"/>
        <w:gridCol w:w="2179"/>
        <w:gridCol w:w="727"/>
        <w:gridCol w:w="2281"/>
        <w:gridCol w:w="1588"/>
        <w:gridCol w:w="1249"/>
        <w:gridCol w:w="1881"/>
        <w:gridCol w:w="1327"/>
      </w:tblGrid>
      <w:tr w:rsidR="00980069" w:rsidRPr="00B90535" w14:paraId="07C4BD3C" w14:textId="77777777" w:rsidTr="00980069">
        <w:trPr>
          <w:cnfStyle w:val="100000000000" w:firstRow="1" w:lastRow="0" w:firstColumn="0" w:lastColumn="0" w:oddVBand="0" w:evenVBand="0" w:oddHBand="0" w:evenHBand="0" w:firstRowFirstColumn="0" w:firstRowLastColumn="0" w:lastRowFirstColumn="0" w:lastRowLastColumn="0"/>
          <w:trHeight w:val="118"/>
          <w:tblHeader/>
        </w:trPr>
        <w:tc>
          <w:tcPr>
            <w:cnfStyle w:val="001000000000" w:firstRow="0" w:lastRow="0" w:firstColumn="1" w:lastColumn="0" w:oddVBand="0" w:evenVBand="0" w:oddHBand="0" w:evenHBand="0" w:firstRowFirstColumn="0" w:firstRowLastColumn="0" w:lastRowFirstColumn="0" w:lastRowLastColumn="0"/>
            <w:tcW w:w="0" w:type="auto"/>
            <w:gridSpan w:val="2"/>
            <w:vMerge w:val="restart"/>
          </w:tcPr>
          <w:p w14:paraId="420B7E5F" w14:textId="77777777" w:rsidR="00980069" w:rsidRPr="00C555C7" w:rsidRDefault="00980069" w:rsidP="00980069">
            <w:pPr>
              <w:pStyle w:val="TableHeadingLeft"/>
            </w:pPr>
            <w:r w:rsidRPr="00C555C7">
              <w:t>Condition category</w:t>
            </w:r>
            <w:r>
              <w:t xml:space="preserve"> / </w:t>
            </w:r>
            <w:r w:rsidRPr="00C555C7">
              <w:t xml:space="preserve">Indicator </w:t>
            </w:r>
          </w:p>
        </w:tc>
        <w:tc>
          <w:tcPr>
            <w:tcW w:w="0" w:type="auto"/>
            <w:vMerge w:val="restart"/>
          </w:tcPr>
          <w:p w14:paraId="4DFBC785" w14:textId="77777777" w:rsidR="00980069" w:rsidRPr="00C555C7" w:rsidRDefault="00980069" w:rsidP="00980069">
            <w:pPr>
              <w:pStyle w:val="TableHeadingLeft"/>
              <w:cnfStyle w:val="100000000000" w:firstRow="1" w:lastRow="0" w:firstColumn="0" w:lastColumn="0" w:oddVBand="0" w:evenVBand="0" w:oddHBand="0" w:evenHBand="0" w:firstRowFirstColumn="0" w:firstRowLastColumn="0" w:lastRowFirstColumn="0" w:lastRowLastColumn="0"/>
            </w:pPr>
            <w:r w:rsidRPr="00C555C7">
              <w:t xml:space="preserve">Ecosystem </w:t>
            </w:r>
          </w:p>
        </w:tc>
        <w:tc>
          <w:tcPr>
            <w:tcW w:w="0" w:type="auto"/>
            <w:vMerge w:val="restart"/>
          </w:tcPr>
          <w:p w14:paraId="4F221E52" w14:textId="77777777" w:rsidR="00980069" w:rsidRPr="00C555C7" w:rsidRDefault="00980069" w:rsidP="00980069">
            <w:pPr>
              <w:pStyle w:val="TableHeadingLeft"/>
              <w:cnfStyle w:val="100000000000" w:firstRow="1" w:lastRow="0" w:firstColumn="0" w:lastColumn="0" w:oddVBand="0" w:evenVBand="0" w:oddHBand="0" w:evenHBand="0" w:firstRowFirstColumn="0" w:firstRowLastColumn="0" w:lastRowFirstColumn="0" w:lastRowLastColumn="0"/>
            </w:pPr>
            <w:r w:rsidRPr="00C555C7">
              <w:t>Primary ecosystem service being supported</w:t>
            </w:r>
          </w:p>
        </w:tc>
        <w:tc>
          <w:tcPr>
            <w:tcW w:w="0" w:type="auto"/>
            <w:vMerge w:val="restart"/>
          </w:tcPr>
          <w:p w14:paraId="6AF203EE" w14:textId="77777777" w:rsidR="00980069" w:rsidRPr="00B90535" w:rsidRDefault="00980069" w:rsidP="00980069">
            <w:pPr>
              <w:pStyle w:val="TableHeadingLeft"/>
              <w:cnfStyle w:val="100000000000" w:firstRow="1" w:lastRow="0" w:firstColumn="0" w:lastColumn="0" w:oddVBand="0" w:evenVBand="0" w:oddHBand="0" w:evenHBand="0" w:firstRowFirstColumn="0" w:firstRowLastColumn="0" w:lastRowFirstColumn="0" w:lastRowLastColumn="0"/>
            </w:pPr>
            <w:r w:rsidRPr="00B90535">
              <w:t>Resolution</w:t>
            </w:r>
          </w:p>
        </w:tc>
        <w:tc>
          <w:tcPr>
            <w:tcW w:w="0" w:type="auto"/>
            <w:vMerge w:val="restart"/>
          </w:tcPr>
          <w:p w14:paraId="618DC0FD" w14:textId="77777777" w:rsidR="00980069" w:rsidRPr="00B90535" w:rsidRDefault="00980069" w:rsidP="00980069">
            <w:pPr>
              <w:pStyle w:val="TableHeadingLeft"/>
              <w:cnfStyle w:val="100000000000" w:firstRow="1" w:lastRow="0" w:firstColumn="0" w:lastColumn="0" w:oddVBand="0" w:evenVBand="0" w:oddHBand="0" w:evenHBand="0" w:firstRowFirstColumn="0" w:firstRowLastColumn="0" w:lastRowFirstColumn="0" w:lastRowLastColumn="0"/>
            </w:pPr>
            <w:r w:rsidRPr="00B90535">
              <w:t>Source</w:t>
            </w:r>
          </w:p>
        </w:tc>
        <w:tc>
          <w:tcPr>
            <w:tcW w:w="0" w:type="auto"/>
            <w:vMerge w:val="restart"/>
          </w:tcPr>
          <w:p w14:paraId="16318999" w14:textId="77777777" w:rsidR="00980069" w:rsidRPr="00B90535" w:rsidRDefault="00980069" w:rsidP="00980069">
            <w:pPr>
              <w:pStyle w:val="TableHeadingLeft"/>
              <w:cnfStyle w:val="100000000000" w:firstRow="1" w:lastRow="0" w:firstColumn="0" w:lastColumn="0" w:oddVBand="0" w:evenVBand="0" w:oddHBand="0" w:evenHBand="0" w:firstRowFirstColumn="0" w:firstRowLastColumn="0" w:lastRowFirstColumn="0" w:lastRowLastColumn="0"/>
            </w:pPr>
            <w:r w:rsidRPr="00B90535">
              <w:t>Year</w:t>
            </w:r>
          </w:p>
        </w:tc>
        <w:tc>
          <w:tcPr>
            <w:tcW w:w="0" w:type="auto"/>
            <w:vMerge w:val="restart"/>
          </w:tcPr>
          <w:p w14:paraId="05786457" w14:textId="77777777" w:rsidR="00980069" w:rsidRPr="00B90535" w:rsidRDefault="00980069" w:rsidP="00980069">
            <w:pPr>
              <w:pStyle w:val="TableHeadingLeft"/>
              <w:cnfStyle w:val="100000000000" w:firstRow="1" w:lastRow="0" w:firstColumn="0" w:lastColumn="0" w:oddVBand="0" w:evenVBand="0" w:oddHBand="0" w:evenHBand="0" w:firstRowFirstColumn="0" w:firstRowLastColumn="0" w:lastRowFirstColumn="0" w:lastRowLastColumn="0"/>
            </w:pPr>
            <w:r w:rsidRPr="00B90535">
              <w:t>Metric</w:t>
            </w:r>
          </w:p>
        </w:tc>
        <w:tc>
          <w:tcPr>
            <w:tcW w:w="0" w:type="auto"/>
            <w:gridSpan w:val="3"/>
            <w:tcBorders>
              <w:bottom w:val="single" w:sz="4" w:space="0" w:color="FFFFFF" w:themeColor="background1"/>
            </w:tcBorders>
          </w:tcPr>
          <w:p w14:paraId="76AE0218" w14:textId="77777777" w:rsidR="00980069" w:rsidRPr="00B90535" w:rsidRDefault="00980069" w:rsidP="00980069">
            <w:pPr>
              <w:pStyle w:val="TableHeadingLeft"/>
              <w:cnfStyle w:val="100000000000" w:firstRow="1" w:lastRow="0" w:firstColumn="0" w:lastColumn="0" w:oddVBand="0" w:evenVBand="0" w:oddHBand="0" w:evenHBand="0" w:firstRowFirstColumn="0" w:firstRowLastColumn="0" w:lastRowFirstColumn="0" w:lastRowLastColumn="0"/>
            </w:pPr>
            <w:r>
              <w:t>Condition Score</w:t>
            </w:r>
          </w:p>
        </w:tc>
        <w:tc>
          <w:tcPr>
            <w:tcW w:w="0" w:type="auto"/>
            <w:vMerge w:val="restart"/>
          </w:tcPr>
          <w:p w14:paraId="0C933E2B" w14:textId="77777777" w:rsidR="00980069" w:rsidRPr="00B90535" w:rsidRDefault="00980069" w:rsidP="00980069">
            <w:pPr>
              <w:pStyle w:val="TableHeadingLeft"/>
              <w:cnfStyle w:val="100000000000" w:firstRow="1" w:lastRow="0" w:firstColumn="0" w:lastColumn="0" w:oddVBand="0" w:evenVBand="0" w:oddHBand="0" w:evenHBand="0" w:firstRowFirstColumn="0" w:firstRowLastColumn="0" w:lastRowFirstColumn="0" w:lastRowLastColumn="0"/>
            </w:pPr>
            <w:r w:rsidRPr="00EA0279">
              <w:t>Uncertainty</w:t>
            </w:r>
          </w:p>
        </w:tc>
      </w:tr>
      <w:tr w:rsidR="00980069" w:rsidRPr="004A4AE2" w14:paraId="1E7D01D5" w14:textId="77777777" w:rsidTr="00980069">
        <w:trPr>
          <w:cnfStyle w:val="100000000000" w:firstRow="1" w:lastRow="0" w:firstColumn="0" w:lastColumn="0" w:oddVBand="0" w:evenVBand="0" w:oddHBand="0" w:evenHBand="0" w:firstRowFirstColumn="0" w:firstRowLastColumn="0" w:lastRowFirstColumn="0" w:lastRowLastColumn="0"/>
          <w:trHeight w:val="118"/>
          <w:tblHeader/>
        </w:trPr>
        <w:tc>
          <w:tcPr>
            <w:cnfStyle w:val="001000000000" w:firstRow="0" w:lastRow="0" w:firstColumn="1" w:lastColumn="0" w:oddVBand="0" w:evenVBand="0" w:oddHBand="0" w:evenHBand="0" w:firstRowFirstColumn="0" w:firstRowLastColumn="0" w:lastRowFirstColumn="0" w:lastRowLastColumn="0"/>
            <w:tcW w:w="0" w:type="auto"/>
            <w:gridSpan w:val="2"/>
            <w:vMerge/>
          </w:tcPr>
          <w:p w14:paraId="219C5076" w14:textId="77777777" w:rsidR="00980069" w:rsidRPr="00C555C7" w:rsidRDefault="00980069" w:rsidP="00980069">
            <w:pPr>
              <w:pStyle w:val="TableHeadingLeft"/>
            </w:pPr>
          </w:p>
        </w:tc>
        <w:tc>
          <w:tcPr>
            <w:tcW w:w="0" w:type="auto"/>
            <w:vMerge/>
          </w:tcPr>
          <w:p w14:paraId="04C7720C" w14:textId="77777777" w:rsidR="00980069" w:rsidRPr="00C555C7" w:rsidRDefault="00980069" w:rsidP="00980069">
            <w:pPr>
              <w:pStyle w:val="TableHeadingLeft"/>
              <w:cnfStyle w:val="100000000000" w:firstRow="1" w:lastRow="0" w:firstColumn="0" w:lastColumn="0" w:oddVBand="0" w:evenVBand="0" w:oddHBand="0" w:evenHBand="0" w:firstRowFirstColumn="0" w:firstRowLastColumn="0" w:lastRowFirstColumn="0" w:lastRowLastColumn="0"/>
            </w:pPr>
          </w:p>
        </w:tc>
        <w:tc>
          <w:tcPr>
            <w:tcW w:w="0" w:type="auto"/>
            <w:vMerge/>
          </w:tcPr>
          <w:p w14:paraId="726EEC28" w14:textId="77777777" w:rsidR="00980069" w:rsidRPr="00C555C7" w:rsidRDefault="00980069" w:rsidP="00980069">
            <w:pPr>
              <w:pStyle w:val="TableHeadingLeft"/>
              <w:cnfStyle w:val="100000000000" w:firstRow="1" w:lastRow="0" w:firstColumn="0" w:lastColumn="0" w:oddVBand="0" w:evenVBand="0" w:oddHBand="0" w:evenHBand="0" w:firstRowFirstColumn="0" w:firstRowLastColumn="0" w:lastRowFirstColumn="0" w:lastRowLastColumn="0"/>
            </w:pPr>
          </w:p>
        </w:tc>
        <w:tc>
          <w:tcPr>
            <w:tcW w:w="0" w:type="auto"/>
            <w:vMerge/>
          </w:tcPr>
          <w:p w14:paraId="2466A468" w14:textId="77777777" w:rsidR="00980069" w:rsidRPr="00B90535" w:rsidRDefault="00980069" w:rsidP="00980069">
            <w:pPr>
              <w:pStyle w:val="TableHeadingLeft"/>
              <w:cnfStyle w:val="100000000000" w:firstRow="1" w:lastRow="0" w:firstColumn="0" w:lastColumn="0" w:oddVBand="0" w:evenVBand="0" w:oddHBand="0" w:evenHBand="0" w:firstRowFirstColumn="0" w:firstRowLastColumn="0" w:lastRowFirstColumn="0" w:lastRowLastColumn="0"/>
            </w:pPr>
          </w:p>
        </w:tc>
        <w:tc>
          <w:tcPr>
            <w:tcW w:w="0" w:type="auto"/>
            <w:vMerge/>
          </w:tcPr>
          <w:p w14:paraId="10BDF696" w14:textId="77777777" w:rsidR="00980069" w:rsidRPr="00B90535" w:rsidRDefault="00980069" w:rsidP="00980069">
            <w:pPr>
              <w:pStyle w:val="TableHeadingLeft"/>
              <w:cnfStyle w:val="100000000000" w:firstRow="1" w:lastRow="0" w:firstColumn="0" w:lastColumn="0" w:oddVBand="0" w:evenVBand="0" w:oddHBand="0" w:evenHBand="0" w:firstRowFirstColumn="0" w:firstRowLastColumn="0" w:lastRowFirstColumn="0" w:lastRowLastColumn="0"/>
            </w:pPr>
          </w:p>
        </w:tc>
        <w:tc>
          <w:tcPr>
            <w:tcW w:w="0" w:type="auto"/>
            <w:vMerge/>
          </w:tcPr>
          <w:p w14:paraId="62A992EF" w14:textId="77777777" w:rsidR="00980069" w:rsidRPr="00B90535" w:rsidRDefault="00980069" w:rsidP="00980069">
            <w:pPr>
              <w:pStyle w:val="TableHeadingLeft"/>
              <w:cnfStyle w:val="100000000000" w:firstRow="1" w:lastRow="0" w:firstColumn="0" w:lastColumn="0" w:oddVBand="0" w:evenVBand="0" w:oddHBand="0" w:evenHBand="0" w:firstRowFirstColumn="0" w:firstRowLastColumn="0" w:lastRowFirstColumn="0" w:lastRowLastColumn="0"/>
            </w:pPr>
          </w:p>
        </w:tc>
        <w:tc>
          <w:tcPr>
            <w:tcW w:w="0" w:type="auto"/>
            <w:vMerge/>
          </w:tcPr>
          <w:p w14:paraId="1E76CEBE" w14:textId="77777777" w:rsidR="00980069" w:rsidRPr="00B90535" w:rsidRDefault="00980069" w:rsidP="00980069">
            <w:pPr>
              <w:pStyle w:val="TableHeadingLeft"/>
              <w:cnfStyle w:val="100000000000" w:firstRow="1" w:lastRow="0" w:firstColumn="0" w:lastColumn="0" w:oddVBand="0" w:evenVBand="0" w:oddHBand="0" w:evenHBand="0" w:firstRowFirstColumn="0" w:firstRowLastColumn="0" w:lastRowFirstColumn="0" w:lastRowLastColumn="0"/>
            </w:pPr>
          </w:p>
        </w:tc>
        <w:tc>
          <w:tcPr>
            <w:tcW w:w="0" w:type="auto"/>
            <w:tcBorders>
              <w:top w:val="single" w:sz="4" w:space="0" w:color="FFFFFF" w:themeColor="background1"/>
            </w:tcBorders>
          </w:tcPr>
          <w:p w14:paraId="4EE6026C" w14:textId="77777777" w:rsidR="00980069" w:rsidRPr="002F0471" w:rsidRDefault="00980069" w:rsidP="00980069">
            <w:pPr>
              <w:pStyle w:val="TableHeadingLeft"/>
              <w:cnfStyle w:val="100000000000" w:firstRow="1" w:lastRow="0" w:firstColumn="0" w:lastColumn="0" w:oddVBand="0" w:evenVBand="0" w:oddHBand="0" w:evenHBand="0" w:firstRowFirstColumn="0" w:firstRowLastColumn="0" w:lastRowFirstColumn="0" w:lastRowLastColumn="0"/>
              <w:rPr>
                <w:bCs/>
                <w:i/>
                <w:iCs/>
              </w:rPr>
            </w:pPr>
            <w:r w:rsidRPr="002F0471">
              <w:rPr>
                <w:bCs/>
                <w:i/>
                <w:iCs/>
              </w:rPr>
              <w:t>Non-GORCAPA</w:t>
            </w:r>
          </w:p>
        </w:tc>
        <w:tc>
          <w:tcPr>
            <w:tcW w:w="0" w:type="auto"/>
            <w:tcBorders>
              <w:top w:val="single" w:sz="4" w:space="0" w:color="FFFFFF" w:themeColor="background1"/>
            </w:tcBorders>
          </w:tcPr>
          <w:p w14:paraId="68F7DA4D" w14:textId="77777777" w:rsidR="00980069" w:rsidRPr="002F0471" w:rsidRDefault="00980069" w:rsidP="00980069">
            <w:pPr>
              <w:pStyle w:val="TableHeadingLeft"/>
              <w:cnfStyle w:val="100000000000" w:firstRow="1" w:lastRow="0" w:firstColumn="0" w:lastColumn="0" w:oddVBand="0" w:evenVBand="0" w:oddHBand="0" w:evenHBand="0" w:firstRowFirstColumn="0" w:firstRowLastColumn="0" w:lastRowFirstColumn="0" w:lastRowLastColumn="0"/>
              <w:rPr>
                <w:bCs/>
                <w:i/>
                <w:iCs/>
              </w:rPr>
            </w:pPr>
            <w:r w:rsidRPr="002F0471">
              <w:rPr>
                <w:bCs/>
                <w:i/>
                <w:iCs/>
              </w:rPr>
              <w:t>GORCAP</w:t>
            </w:r>
            <w:r>
              <w:rPr>
                <w:bCs/>
                <w:i/>
                <w:iCs/>
              </w:rPr>
              <w:t>A</w:t>
            </w:r>
          </w:p>
        </w:tc>
        <w:tc>
          <w:tcPr>
            <w:tcW w:w="0" w:type="auto"/>
            <w:tcBorders>
              <w:top w:val="single" w:sz="4" w:space="0" w:color="FFFFFF" w:themeColor="background1"/>
            </w:tcBorders>
          </w:tcPr>
          <w:p w14:paraId="077E997D" w14:textId="77777777" w:rsidR="00980069" w:rsidRPr="002F0471" w:rsidRDefault="00980069" w:rsidP="00980069">
            <w:pPr>
              <w:pStyle w:val="TableHeadingLeft"/>
              <w:cnfStyle w:val="100000000000" w:firstRow="1" w:lastRow="0" w:firstColumn="0" w:lastColumn="0" w:oddVBand="0" w:evenVBand="0" w:oddHBand="0" w:evenHBand="0" w:firstRowFirstColumn="0" w:firstRowLastColumn="0" w:lastRowFirstColumn="0" w:lastRowLastColumn="0"/>
              <w:rPr>
                <w:bCs/>
                <w:i/>
                <w:iCs/>
              </w:rPr>
            </w:pPr>
            <w:r w:rsidRPr="002F0471">
              <w:rPr>
                <w:bCs/>
                <w:i/>
                <w:iCs/>
              </w:rPr>
              <w:t>Total GORCAP EEA</w:t>
            </w:r>
          </w:p>
        </w:tc>
        <w:tc>
          <w:tcPr>
            <w:tcW w:w="0" w:type="auto"/>
            <w:vMerge/>
          </w:tcPr>
          <w:p w14:paraId="1ED2F7E6" w14:textId="77777777" w:rsidR="00980069" w:rsidRPr="004A4AE2" w:rsidRDefault="00980069" w:rsidP="00980069">
            <w:pPr>
              <w:pStyle w:val="TableHeadingLeft"/>
              <w:cnfStyle w:val="100000000000" w:firstRow="1" w:lastRow="0" w:firstColumn="0" w:lastColumn="0" w:oddVBand="0" w:evenVBand="0" w:oddHBand="0" w:evenHBand="0" w:firstRowFirstColumn="0" w:firstRowLastColumn="0" w:lastRowFirstColumn="0" w:lastRowLastColumn="0"/>
              <w:rPr>
                <w:bCs/>
              </w:rPr>
            </w:pPr>
          </w:p>
        </w:tc>
      </w:tr>
      <w:tr w:rsidR="00980069" w:rsidRPr="003036D9" w14:paraId="428434FC" w14:textId="77777777" w:rsidTr="00980069">
        <w:trPr>
          <w:trHeight w:val="118"/>
        </w:trPr>
        <w:tc>
          <w:tcPr>
            <w:cnfStyle w:val="001000000000" w:firstRow="0" w:lastRow="0" w:firstColumn="1" w:lastColumn="0" w:oddVBand="0" w:evenVBand="0" w:oddHBand="0" w:evenHBand="0" w:firstRowFirstColumn="0" w:firstRowLastColumn="0" w:lastRowFirstColumn="0" w:lastRowLastColumn="0"/>
            <w:tcW w:w="0" w:type="auto"/>
            <w:gridSpan w:val="11"/>
            <w:shd w:val="clear" w:color="auto" w:fill="201547" w:themeFill="text2"/>
          </w:tcPr>
          <w:p w14:paraId="3CBC0299" w14:textId="77777777" w:rsidR="00980069" w:rsidRPr="003036D9" w:rsidRDefault="00980069" w:rsidP="00980069">
            <w:pPr>
              <w:pStyle w:val="TableTextLeftBold"/>
            </w:pPr>
            <w:r w:rsidRPr="00C42A44">
              <w:t xml:space="preserve">Ecological condition - </w:t>
            </w:r>
            <w:r>
              <w:t>Biodiversity</w:t>
            </w:r>
          </w:p>
        </w:tc>
        <w:tc>
          <w:tcPr>
            <w:tcW w:w="0" w:type="auto"/>
            <w:shd w:val="clear" w:color="auto" w:fill="201547" w:themeFill="text2"/>
          </w:tcPr>
          <w:p w14:paraId="13BC8698" w14:textId="77777777" w:rsidR="00980069" w:rsidRPr="00C42A44" w:rsidRDefault="00980069" w:rsidP="00980069">
            <w:pPr>
              <w:pStyle w:val="TableHeadingLeft"/>
              <w:cnfStyle w:val="000000000000" w:firstRow="0" w:lastRow="0" w:firstColumn="0" w:lastColumn="0" w:oddVBand="0" w:evenVBand="0" w:oddHBand="0" w:evenHBand="0" w:firstRowFirstColumn="0" w:firstRowLastColumn="0" w:lastRowFirstColumn="0" w:lastRowLastColumn="0"/>
              <w:rPr>
                <w:i/>
                <w:iCs/>
              </w:rPr>
            </w:pPr>
          </w:p>
        </w:tc>
      </w:tr>
      <w:tr w:rsidR="00980069" w:rsidRPr="0060742E" w14:paraId="1BEC8D51" w14:textId="77777777" w:rsidTr="00980069">
        <w:trPr>
          <w:trHeight w:val="118"/>
        </w:trPr>
        <w:tc>
          <w:tcPr>
            <w:cnfStyle w:val="001000000000" w:firstRow="0" w:lastRow="0" w:firstColumn="1" w:lastColumn="0" w:oddVBand="0" w:evenVBand="0" w:oddHBand="0" w:evenHBand="0" w:firstRowFirstColumn="0" w:firstRowLastColumn="0" w:lastRowFirstColumn="0" w:lastRowLastColumn="0"/>
            <w:tcW w:w="0" w:type="auto"/>
            <w:gridSpan w:val="2"/>
          </w:tcPr>
          <w:p w14:paraId="64F17120" w14:textId="77777777" w:rsidR="00980069" w:rsidRPr="009539D6" w:rsidRDefault="00980069" w:rsidP="00980069">
            <w:pPr>
              <w:pStyle w:val="TableTextLeft"/>
            </w:pPr>
            <w:r w:rsidRPr="009539D6">
              <w:t>Native vegetation condition</w:t>
            </w:r>
          </w:p>
        </w:tc>
        <w:tc>
          <w:tcPr>
            <w:tcW w:w="0" w:type="auto"/>
            <w:shd w:val="clear" w:color="auto" w:fill="FFFFFF" w:themeFill="background1"/>
          </w:tcPr>
          <w:p w14:paraId="1D8DC0B4"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9539D6">
              <w:t>Terrestrial</w:t>
            </w:r>
          </w:p>
        </w:tc>
        <w:tc>
          <w:tcPr>
            <w:tcW w:w="0" w:type="auto"/>
            <w:shd w:val="clear" w:color="auto" w:fill="FFFFFF" w:themeFill="background1"/>
          </w:tcPr>
          <w:p w14:paraId="62267854"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9539D6">
              <w:t>Existence / option value</w:t>
            </w:r>
          </w:p>
        </w:tc>
        <w:tc>
          <w:tcPr>
            <w:tcW w:w="0" w:type="auto"/>
            <w:shd w:val="clear" w:color="auto" w:fill="FFFFFF" w:themeFill="background1"/>
          </w:tcPr>
          <w:p w14:paraId="78E31E88"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9539D6">
              <w:rPr>
                <w:color w:val="000000"/>
              </w:rPr>
              <w:t>75m grid</w:t>
            </w:r>
          </w:p>
        </w:tc>
        <w:tc>
          <w:tcPr>
            <w:tcW w:w="0" w:type="auto"/>
            <w:shd w:val="clear" w:color="auto" w:fill="FFFFFF" w:themeFill="background1"/>
          </w:tcPr>
          <w:p w14:paraId="3C173673"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9539D6">
              <w:rPr>
                <w:color w:val="000000"/>
              </w:rPr>
              <w:t>DELWP (2017)</w:t>
            </w:r>
          </w:p>
        </w:tc>
        <w:tc>
          <w:tcPr>
            <w:tcW w:w="0" w:type="auto"/>
            <w:shd w:val="clear" w:color="auto" w:fill="FFFFFF" w:themeFill="background1"/>
          </w:tcPr>
          <w:p w14:paraId="6190BAF5"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9539D6">
              <w:rPr>
                <w:color w:val="000000"/>
              </w:rPr>
              <w:t>2017</w:t>
            </w:r>
          </w:p>
        </w:tc>
        <w:tc>
          <w:tcPr>
            <w:tcW w:w="0" w:type="auto"/>
            <w:shd w:val="clear" w:color="auto" w:fill="FFFFFF" w:themeFill="background1"/>
          </w:tcPr>
          <w:p w14:paraId="08613966"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9539D6">
              <w:rPr>
                <w:color w:val="000000"/>
              </w:rPr>
              <w:t>Score 1 -100</w:t>
            </w:r>
          </w:p>
        </w:tc>
        <w:tc>
          <w:tcPr>
            <w:tcW w:w="0" w:type="auto"/>
            <w:shd w:val="clear" w:color="auto" w:fill="FFFFFF" w:themeFill="background1"/>
          </w:tcPr>
          <w:p w14:paraId="14E3C337"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9539D6">
              <w:rPr>
                <w:color w:val="000000"/>
              </w:rPr>
              <w:t>29</w:t>
            </w:r>
          </w:p>
        </w:tc>
        <w:tc>
          <w:tcPr>
            <w:tcW w:w="0" w:type="auto"/>
            <w:shd w:val="clear" w:color="auto" w:fill="FFFFFF" w:themeFill="background1"/>
          </w:tcPr>
          <w:p w14:paraId="00C4E190"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9539D6">
              <w:rPr>
                <w:color w:val="000000"/>
              </w:rPr>
              <w:t>73</w:t>
            </w:r>
          </w:p>
        </w:tc>
        <w:tc>
          <w:tcPr>
            <w:tcW w:w="0" w:type="auto"/>
            <w:shd w:val="clear" w:color="auto" w:fill="FFFFFF" w:themeFill="background1"/>
          </w:tcPr>
          <w:p w14:paraId="1C0DF6DB"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9539D6">
              <w:rPr>
                <w:color w:val="000000"/>
              </w:rPr>
              <w:t>45</w:t>
            </w:r>
          </w:p>
        </w:tc>
        <w:tc>
          <w:tcPr>
            <w:tcW w:w="0" w:type="auto"/>
            <w:shd w:val="clear" w:color="auto" w:fill="FFFFFF" w:themeFill="background1"/>
          </w:tcPr>
          <w:p w14:paraId="5EC3E31C"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9539D6">
              <w:rPr>
                <w:color w:val="000000"/>
              </w:rPr>
              <w:t>Medium</w:t>
            </w:r>
          </w:p>
        </w:tc>
      </w:tr>
      <w:tr w:rsidR="00980069" w:rsidRPr="0060742E" w14:paraId="544330A9" w14:textId="77777777" w:rsidTr="00980069">
        <w:trPr>
          <w:trHeight w:val="159"/>
        </w:trPr>
        <w:tc>
          <w:tcPr>
            <w:cnfStyle w:val="001000000000" w:firstRow="0" w:lastRow="0" w:firstColumn="1" w:lastColumn="0" w:oddVBand="0" w:evenVBand="0" w:oddHBand="0" w:evenHBand="0" w:firstRowFirstColumn="0" w:firstRowLastColumn="0" w:lastRowFirstColumn="0" w:lastRowLastColumn="0"/>
            <w:tcW w:w="0" w:type="auto"/>
            <w:gridSpan w:val="2"/>
          </w:tcPr>
          <w:p w14:paraId="5CF61A04" w14:textId="77777777" w:rsidR="00980069" w:rsidRPr="009539D6" w:rsidRDefault="00980069" w:rsidP="00980069">
            <w:pPr>
              <w:pStyle w:val="TableTextLeft"/>
            </w:pPr>
            <w:r w:rsidRPr="009539D6">
              <w:t>Habitat importance-threatened species</w:t>
            </w:r>
          </w:p>
        </w:tc>
        <w:tc>
          <w:tcPr>
            <w:tcW w:w="0" w:type="auto"/>
            <w:shd w:val="clear" w:color="auto" w:fill="FFFFFF" w:themeFill="background1"/>
          </w:tcPr>
          <w:p w14:paraId="6850F121"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9539D6">
              <w:t>Terrestrial</w:t>
            </w:r>
          </w:p>
        </w:tc>
        <w:tc>
          <w:tcPr>
            <w:tcW w:w="0" w:type="auto"/>
            <w:shd w:val="clear" w:color="auto" w:fill="FFFFFF" w:themeFill="background1"/>
          </w:tcPr>
          <w:p w14:paraId="043F6B7D"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9539D6">
              <w:t>Existence / option value</w:t>
            </w:r>
          </w:p>
        </w:tc>
        <w:tc>
          <w:tcPr>
            <w:tcW w:w="0" w:type="auto"/>
            <w:shd w:val="clear" w:color="auto" w:fill="FFFFFF" w:themeFill="background1"/>
          </w:tcPr>
          <w:p w14:paraId="100B4E7D"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9539D6">
              <w:rPr>
                <w:color w:val="000000"/>
              </w:rPr>
              <w:t>225m grid</w:t>
            </w:r>
          </w:p>
        </w:tc>
        <w:tc>
          <w:tcPr>
            <w:tcW w:w="0" w:type="auto"/>
            <w:shd w:val="clear" w:color="auto" w:fill="FFFFFF" w:themeFill="background1"/>
          </w:tcPr>
          <w:p w14:paraId="1CCECE1B"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9539D6">
              <w:rPr>
                <w:color w:val="000000"/>
              </w:rPr>
              <w:t>DELWP (2016c)</w:t>
            </w:r>
          </w:p>
        </w:tc>
        <w:tc>
          <w:tcPr>
            <w:tcW w:w="0" w:type="auto"/>
            <w:shd w:val="clear" w:color="auto" w:fill="FFFFFF" w:themeFill="background1"/>
          </w:tcPr>
          <w:p w14:paraId="44C59A3B"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9539D6">
              <w:rPr>
                <w:color w:val="000000"/>
              </w:rPr>
              <w:t>2016</w:t>
            </w:r>
          </w:p>
        </w:tc>
        <w:tc>
          <w:tcPr>
            <w:tcW w:w="0" w:type="auto"/>
            <w:shd w:val="clear" w:color="auto" w:fill="FFFFFF" w:themeFill="background1"/>
          </w:tcPr>
          <w:p w14:paraId="6BBA9AA7"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9539D6">
              <w:rPr>
                <w:color w:val="000000"/>
              </w:rPr>
              <w:t>Score 1-100</w:t>
            </w:r>
          </w:p>
        </w:tc>
        <w:tc>
          <w:tcPr>
            <w:tcW w:w="0" w:type="auto"/>
            <w:shd w:val="clear" w:color="auto" w:fill="FFFFFF" w:themeFill="background1"/>
          </w:tcPr>
          <w:p w14:paraId="70CBF4F9"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9539D6">
              <w:rPr>
                <w:color w:val="000000"/>
              </w:rPr>
              <w:t>54</w:t>
            </w:r>
          </w:p>
        </w:tc>
        <w:tc>
          <w:tcPr>
            <w:tcW w:w="0" w:type="auto"/>
            <w:shd w:val="clear" w:color="auto" w:fill="FFFFFF" w:themeFill="background1"/>
          </w:tcPr>
          <w:p w14:paraId="5B81DB7B"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9539D6">
              <w:rPr>
                <w:color w:val="000000"/>
              </w:rPr>
              <w:t>77</w:t>
            </w:r>
          </w:p>
        </w:tc>
        <w:tc>
          <w:tcPr>
            <w:tcW w:w="0" w:type="auto"/>
            <w:shd w:val="clear" w:color="auto" w:fill="FFFFFF" w:themeFill="background1"/>
          </w:tcPr>
          <w:p w14:paraId="1FCDF499"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9539D6">
              <w:rPr>
                <w:color w:val="000000"/>
              </w:rPr>
              <w:t>63</w:t>
            </w:r>
          </w:p>
        </w:tc>
        <w:tc>
          <w:tcPr>
            <w:tcW w:w="0" w:type="auto"/>
            <w:shd w:val="clear" w:color="auto" w:fill="FFFFFF" w:themeFill="background1"/>
          </w:tcPr>
          <w:p w14:paraId="3B2D4F2C"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9539D6">
              <w:rPr>
                <w:color w:val="000000"/>
              </w:rPr>
              <w:t>Medium</w:t>
            </w:r>
          </w:p>
        </w:tc>
      </w:tr>
      <w:tr w:rsidR="00980069" w:rsidRPr="0060742E" w14:paraId="5A7925B0" w14:textId="77777777" w:rsidTr="00980069">
        <w:trPr>
          <w:trHeight w:val="159"/>
        </w:trPr>
        <w:tc>
          <w:tcPr>
            <w:cnfStyle w:val="001000000000" w:firstRow="0" w:lastRow="0" w:firstColumn="1" w:lastColumn="0" w:oddVBand="0" w:evenVBand="0" w:oddHBand="0" w:evenHBand="0" w:firstRowFirstColumn="0" w:firstRowLastColumn="0" w:lastRowFirstColumn="0" w:lastRowLastColumn="0"/>
            <w:tcW w:w="0" w:type="auto"/>
            <w:gridSpan w:val="2"/>
          </w:tcPr>
          <w:p w14:paraId="30AEAFE4" w14:textId="77777777" w:rsidR="00980069" w:rsidRPr="009539D6" w:rsidRDefault="00980069" w:rsidP="00980069">
            <w:pPr>
              <w:pStyle w:val="TableTextLeft"/>
            </w:pPr>
            <w:r w:rsidRPr="009539D6">
              <w:t>Threatened flora</w:t>
            </w:r>
          </w:p>
        </w:tc>
        <w:tc>
          <w:tcPr>
            <w:tcW w:w="0" w:type="auto"/>
            <w:shd w:val="clear" w:color="auto" w:fill="FFFFFF" w:themeFill="background1"/>
          </w:tcPr>
          <w:p w14:paraId="389E9844"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9539D6">
              <w:t>Terrestrial</w:t>
            </w:r>
          </w:p>
        </w:tc>
        <w:tc>
          <w:tcPr>
            <w:tcW w:w="0" w:type="auto"/>
            <w:shd w:val="clear" w:color="auto" w:fill="FFFFFF" w:themeFill="background1"/>
          </w:tcPr>
          <w:p w14:paraId="37444BC2"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9539D6">
              <w:t>Existence / option value</w:t>
            </w:r>
          </w:p>
        </w:tc>
        <w:tc>
          <w:tcPr>
            <w:tcW w:w="0" w:type="auto"/>
            <w:shd w:val="clear" w:color="auto" w:fill="FFFFFF" w:themeFill="background1"/>
          </w:tcPr>
          <w:p w14:paraId="521B3043"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9539D6">
              <w:rPr>
                <w:color w:val="000000"/>
              </w:rPr>
              <w:t>Point data</w:t>
            </w:r>
          </w:p>
        </w:tc>
        <w:tc>
          <w:tcPr>
            <w:tcW w:w="0" w:type="auto"/>
            <w:shd w:val="clear" w:color="auto" w:fill="FFFFFF" w:themeFill="background1"/>
          </w:tcPr>
          <w:p w14:paraId="78174B8F"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9539D6">
              <w:rPr>
                <w:color w:val="000000"/>
              </w:rPr>
              <w:t>DELWP (2021)</w:t>
            </w:r>
          </w:p>
        </w:tc>
        <w:tc>
          <w:tcPr>
            <w:tcW w:w="0" w:type="auto"/>
            <w:shd w:val="clear" w:color="auto" w:fill="FFFFFF" w:themeFill="background1"/>
          </w:tcPr>
          <w:p w14:paraId="30BAA942"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9539D6">
              <w:rPr>
                <w:color w:val="000000"/>
              </w:rPr>
              <w:t>2021</w:t>
            </w:r>
          </w:p>
        </w:tc>
        <w:tc>
          <w:tcPr>
            <w:tcW w:w="0" w:type="auto"/>
            <w:shd w:val="clear" w:color="auto" w:fill="FFFFFF" w:themeFill="background1"/>
          </w:tcPr>
          <w:p w14:paraId="03FC09A5"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9539D6">
              <w:rPr>
                <w:color w:val="000000"/>
              </w:rPr>
              <w:t>Species count</w:t>
            </w:r>
          </w:p>
        </w:tc>
        <w:tc>
          <w:tcPr>
            <w:tcW w:w="0" w:type="auto"/>
            <w:shd w:val="clear" w:color="auto" w:fill="FFFFFF" w:themeFill="background1"/>
          </w:tcPr>
          <w:p w14:paraId="770AA90C"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9539D6">
              <w:rPr>
                <w:color w:val="000000"/>
              </w:rPr>
              <w:t>63</w:t>
            </w:r>
          </w:p>
        </w:tc>
        <w:tc>
          <w:tcPr>
            <w:tcW w:w="0" w:type="auto"/>
            <w:shd w:val="clear" w:color="auto" w:fill="FFFFFF" w:themeFill="background1"/>
          </w:tcPr>
          <w:p w14:paraId="6F0434B5"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9539D6">
              <w:rPr>
                <w:color w:val="000000"/>
              </w:rPr>
              <w:t>72</w:t>
            </w:r>
          </w:p>
        </w:tc>
        <w:tc>
          <w:tcPr>
            <w:tcW w:w="0" w:type="auto"/>
            <w:shd w:val="clear" w:color="auto" w:fill="FFFFFF" w:themeFill="background1"/>
          </w:tcPr>
          <w:p w14:paraId="0F66EDA2"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9539D6">
              <w:rPr>
                <w:color w:val="000000"/>
              </w:rPr>
              <w:t>89</w:t>
            </w:r>
          </w:p>
        </w:tc>
        <w:tc>
          <w:tcPr>
            <w:tcW w:w="0" w:type="auto"/>
            <w:shd w:val="clear" w:color="auto" w:fill="FFFFFF" w:themeFill="background1"/>
          </w:tcPr>
          <w:p w14:paraId="7AB70649"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9539D6">
              <w:rPr>
                <w:color w:val="000000"/>
              </w:rPr>
              <w:t>Medium</w:t>
            </w:r>
          </w:p>
        </w:tc>
      </w:tr>
      <w:tr w:rsidR="00980069" w:rsidRPr="0060742E" w14:paraId="0CCA8FC6" w14:textId="77777777" w:rsidTr="00980069">
        <w:trPr>
          <w:trHeight w:val="159"/>
        </w:trPr>
        <w:tc>
          <w:tcPr>
            <w:cnfStyle w:val="001000000000" w:firstRow="0" w:lastRow="0" w:firstColumn="1" w:lastColumn="0" w:oddVBand="0" w:evenVBand="0" w:oddHBand="0" w:evenHBand="0" w:firstRowFirstColumn="0" w:firstRowLastColumn="0" w:lastRowFirstColumn="0" w:lastRowLastColumn="0"/>
            <w:tcW w:w="0" w:type="auto"/>
            <w:gridSpan w:val="2"/>
          </w:tcPr>
          <w:p w14:paraId="74A7C4D9" w14:textId="77777777" w:rsidR="00980069" w:rsidRPr="009539D6" w:rsidRDefault="00980069" w:rsidP="00980069">
            <w:pPr>
              <w:pStyle w:val="TableTextLeft"/>
            </w:pPr>
            <w:r w:rsidRPr="009539D6">
              <w:t>Threatened fauna</w:t>
            </w:r>
          </w:p>
        </w:tc>
        <w:tc>
          <w:tcPr>
            <w:tcW w:w="0" w:type="auto"/>
            <w:shd w:val="clear" w:color="auto" w:fill="FFFFFF" w:themeFill="background1"/>
          </w:tcPr>
          <w:p w14:paraId="6337B8F5"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9539D6">
              <w:t>All</w:t>
            </w:r>
          </w:p>
        </w:tc>
        <w:tc>
          <w:tcPr>
            <w:tcW w:w="0" w:type="auto"/>
            <w:shd w:val="clear" w:color="auto" w:fill="FFFFFF" w:themeFill="background1"/>
          </w:tcPr>
          <w:p w14:paraId="6BBF8011"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9539D6">
              <w:t>Existence / option value</w:t>
            </w:r>
          </w:p>
        </w:tc>
        <w:tc>
          <w:tcPr>
            <w:tcW w:w="0" w:type="auto"/>
            <w:shd w:val="clear" w:color="auto" w:fill="FFFFFF" w:themeFill="background1"/>
          </w:tcPr>
          <w:p w14:paraId="2CA1100D"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9539D6">
              <w:rPr>
                <w:color w:val="000000"/>
              </w:rPr>
              <w:t>Point data</w:t>
            </w:r>
          </w:p>
        </w:tc>
        <w:tc>
          <w:tcPr>
            <w:tcW w:w="0" w:type="auto"/>
            <w:shd w:val="clear" w:color="auto" w:fill="FFFFFF" w:themeFill="background1"/>
          </w:tcPr>
          <w:p w14:paraId="39F19093"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9539D6">
              <w:rPr>
                <w:color w:val="000000"/>
              </w:rPr>
              <w:t>DELWP (2021)</w:t>
            </w:r>
          </w:p>
        </w:tc>
        <w:tc>
          <w:tcPr>
            <w:tcW w:w="0" w:type="auto"/>
            <w:shd w:val="clear" w:color="auto" w:fill="FFFFFF" w:themeFill="background1"/>
          </w:tcPr>
          <w:p w14:paraId="034426AE"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9539D6">
              <w:rPr>
                <w:color w:val="000000"/>
              </w:rPr>
              <w:t>2021</w:t>
            </w:r>
          </w:p>
        </w:tc>
        <w:tc>
          <w:tcPr>
            <w:tcW w:w="0" w:type="auto"/>
            <w:shd w:val="clear" w:color="auto" w:fill="FFFFFF" w:themeFill="background1"/>
          </w:tcPr>
          <w:p w14:paraId="688C9B6E"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9539D6">
              <w:rPr>
                <w:color w:val="000000"/>
              </w:rPr>
              <w:t>Species count</w:t>
            </w:r>
          </w:p>
        </w:tc>
        <w:tc>
          <w:tcPr>
            <w:tcW w:w="0" w:type="auto"/>
            <w:shd w:val="clear" w:color="auto" w:fill="FFFFFF" w:themeFill="background1"/>
          </w:tcPr>
          <w:p w14:paraId="7533A9F8"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9539D6">
              <w:rPr>
                <w:color w:val="000000"/>
              </w:rPr>
              <w:t>53</w:t>
            </w:r>
          </w:p>
        </w:tc>
        <w:tc>
          <w:tcPr>
            <w:tcW w:w="0" w:type="auto"/>
            <w:shd w:val="clear" w:color="auto" w:fill="FFFFFF" w:themeFill="background1"/>
          </w:tcPr>
          <w:p w14:paraId="5A0C8C39"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9539D6">
              <w:rPr>
                <w:color w:val="000000"/>
              </w:rPr>
              <w:t>64</w:t>
            </w:r>
          </w:p>
        </w:tc>
        <w:tc>
          <w:tcPr>
            <w:tcW w:w="0" w:type="auto"/>
            <w:shd w:val="clear" w:color="auto" w:fill="FFFFFF" w:themeFill="background1"/>
          </w:tcPr>
          <w:p w14:paraId="2E6C4D96"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9539D6">
              <w:rPr>
                <w:color w:val="000000"/>
              </w:rPr>
              <w:t>70</w:t>
            </w:r>
          </w:p>
        </w:tc>
        <w:tc>
          <w:tcPr>
            <w:tcW w:w="0" w:type="auto"/>
            <w:shd w:val="clear" w:color="auto" w:fill="FFFFFF" w:themeFill="background1"/>
          </w:tcPr>
          <w:p w14:paraId="0BE93608"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9539D6">
              <w:rPr>
                <w:color w:val="000000"/>
              </w:rPr>
              <w:t>Medium</w:t>
            </w:r>
          </w:p>
        </w:tc>
      </w:tr>
      <w:tr w:rsidR="00980069" w:rsidRPr="0060742E" w14:paraId="72B1DCB5" w14:textId="77777777" w:rsidTr="00980069">
        <w:trPr>
          <w:trHeight w:val="159"/>
        </w:trPr>
        <w:tc>
          <w:tcPr>
            <w:cnfStyle w:val="001000000000" w:firstRow="0" w:lastRow="0" w:firstColumn="1" w:lastColumn="0" w:oddVBand="0" w:evenVBand="0" w:oddHBand="0" w:evenHBand="0" w:firstRowFirstColumn="0" w:firstRowLastColumn="0" w:lastRowFirstColumn="0" w:lastRowLastColumn="0"/>
            <w:tcW w:w="0" w:type="auto"/>
            <w:gridSpan w:val="2"/>
            <w:vMerge w:val="restart"/>
          </w:tcPr>
          <w:p w14:paraId="51FA619D" w14:textId="77777777" w:rsidR="00980069" w:rsidRPr="009539D6" w:rsidRDefault="00980069" w:rsidP="00980069">
            <w:pPr>
              <w:pStyle w:val="TableTextLeft"/>
            </w:pPr>
            <w:r w:rsidRPr="009539D6">
              <w:t xml:space="preserve">Forest </w:t>
            </w:r>
            <w:proofErr w:type="spellStart"/>
            <w:r w:rsidRPr="009539D6">
              <w:t>age</w:t>
            </w:r>
            <w:r w:rsidRPr="009539D6">
              <w:rPr>
                <w:vertAlign w:val="superscript"/>
              </w:rPr>
              <w:t>e</w:t>
            </w:r>
            <w:proofErr w:type="spellEnd"/>
          </w:p>
        </w:tc>
        <w:tc>
          <w:tcPr>
            <w:tcW w:w="0" w:type="auto"/>
            <w:vMerge w:val="restart"/>
            <w:shd w:val="clear" w:color="auto" w:fill="FFFFFF" w:themeFill="background1"/>
          </w:tcPr>
          <w:p w14:paraId="0D7FB734"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9539D6">
              <w:t>Terrestrial</w:t>
            </w:r>
          </w:p>
        </w:tc>
        <w:tc>
          <w:tcPr>
            <w:tcW w:w="0" w:type="auto"/>
            <w:vMerge w:val="restart"/>
            <w:shd w:val="clear" w:color="auto" w:fill="FFFFFF" w:themeFill="background1"/>
          </w:tcPr>
          <w:p w14:paraId="77A40055"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9539D6">
              <w:t>Existence / option value</w:t>
            </w:r>
          </w:p>
        </w:tc>
        <w:tc>
          <w:tcPr>
            <w:tcW w:w="0" w:type="auto"/>
            <w:vMerge w:val="restart"/>
            <w:shd w:val="clear" w:color="auto" w:fill="FFFFFF" w:themeFill="background1"/>
          </w:tcPr>
          <w:p w14:paraId="69ADB0CA"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9539D6">
              <w:rPr>
                <w:color w:val="000000"/>
              </w:rPr>
              <w:t>1:25k</w:t>
            </w:r>
          </w:p>
        </w:tc>
        <w:tc>
          <w:tcPr>
            <w:tcW w:w="0" w:type="auto"/>
            <w:vMerge w:val="restart"/>
            <w:shd w:val="clear" w:color="auto" w:fill="FFFFFF" w:themeFill="background1"/>
          </w:tcPr>
          <w:p w14:paraId="47643596"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9539D6">
              <w:rPr>
                <w:color w:val="000000"/>
              </w:rPr>
              <w:t>DELWP (2021d)</w:t>
            </w:r>
          </w:p>
        </w:tc>
        <w:tc>
          <w:tcPr>
            <w:tcW w:w="0" w:type="auto"/>
            <w:vMerge w:val="restart"/>
            <w:shd w:val="clear" w:color="auto" w:fill="FFFFFF" w:themeFill="background1"/>
          </w:tcPr>
          <w:p w14:paraId="6A688D29"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9539D6">
              <w:rPr>
                <w:color w:val="000000"/>
              </w:rPr>
              <w:t>2021</w:t>
            </w:r>
          </w:p>
        </w:tc>
        <w:tc>
          <w:tcPr>
            <w:tcW w:w="0" w:type="auto"/>
            <w:shd w:val="clear" w:color="auto" w:fill="FFFFFF" w:themeFill="background1"/>
          </w:tcPr>
          <w:p w14:paraId="47FC5DA6"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9539D6">
              <w:rPr>
                <w:color w:val="000000"/>
              </w:rPr>
              <w:t>% Late Mature</w:t>
            </w:r>
          </w:p>
        </w:tc>
        <w:tc>
          <w:tcPr>
            <w:tcW w:w="0" w:type="auto"/>
            <w:shd w:val="clear" w:color="auto" w:fill="FFFFFF" w:themeFill="background1"/>
          </w:tcPr>
          <w:p w14:paraId="37A17788"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9539D6">
              <w:rPr>
                <w:color w:val="000000"/>
              </w:rPr>
              <w:t>-</w:t>
            </w:r>
          </w:p>
        </w:tc>
        <w:tc>
          <w:tcPr>
            <w:tcW w:w="0" w:type="auto"/>
            <w:shd w:val="clear" w:color="auto" w:fill="FFFFFF" w:themeFill="background1"/>
          </w:tcPr>
          <w:p w14:paraId="48736829"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9539D6">
              <w:rPr>
                <w:color w:val="000000"/>
              </w:rPr>
              <w:t>-</w:t>
            </w:r>
          </w:p>
        </w:tc>
        <w:tc>
          <w:tcPr>
            <w:tcW w:w="0" w:type="auto"/>
            <w:shd w:val="clear" w:color="auto" w:fill="FFFFFF" w:themeFill="background1"/>
          </w:tcPr>
          <w:p w14:paraId="0E6FB8E0"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9539D6">
              <w:rPr>
                <w:color w:val="000000"/>
              </w:rPr>
              <w:t>31.6%</w:t>
            </w:r>
          </w:p>
        </w:tc>
        <w:tc>
          <w:tcPr>
            <w:tcW w:w="0" w:type="auto"/>
            <w:shd w:val="clear" w:color="auto" w:fill="FFFFFF" w:themeFill="background1"/>
          </w:tcPr>
          <w:p w14:paraId="6F1423E4"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9539D6">
              <w:rPr>
                <w:color w:val="000000"/>
              </w:rPr>
              <w:t>Low</w:t>
            </w:r>
          </w:p>
        </w:tc>
      </w:tr>
      <w:tr w:rsidR="00980069" w:rsidRPr="0060742E" w14:paraId="7776FBFF" w14:textId="77777777" w:rsidTr="00980069">
        <w:trPr>
          <w:trHeight w:val="159"/>
        </w:trPr>
        <w:tc>
          <w:tcPr>
            <w:cnfStyle w:val="001000000000" w:firstRow="0" w:lastRow="0" w:firstColumn="1" w:lastColumn="0" w:oddVBand="0" w:evenVBand="0" w:oddHBand="0" w:evenHBand="0" w:firstRowFirstColumn="0" w:firstRowLastColumn="0" w:lastRowFirstColumn="0" w:lastRowLastColumn="0"/>
            <w:tcW w:w="0" w:type="auto"/>
            <w:gridSpan w:val="2"/>
            <w:vMerge/>
          </w:tcPr>
          <w:p w14:paraId="2C6D07C3" w14:textId="77777777" w:rsidR="00980069" w:rsidRPr="009539D6" w:rsidRDefault="00980069" w:rsidP="00980069">
            <w:pPr>
              <w:pStyle w:val="TableTextLeft"/>
            </w:pPr>
          </w:p>
        </w:tc>
        <w:tc>
          <w:tcPr>
            <w:tcW w:w="0" w:type="auto"/>
            <w:vMerge/>
            <w:shd w:val="clear" w:color="auto" w:fill="FFFFFF" w:themeFill="background1"/>
          </w:tcPr>
          <w:p w14:paraId="6DCF8EFE"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shd w:val="clear" w:color="auto" w:fill="FFFFFF" w:themeFill="background1"/>
          </w:tcPr>
          <w:p w14:paraId="4EAD873B"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shd w:val="clear" w:color="auto" w:fill="FFFFFF" w:themeFill="background1"/>
          </w:tcPr>
          <w:p w14:paraId="7229BDEB"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p>
        </w:tc>
        <w:tc>
          <w:tcPr>
            <w:tcW w:w="0" w:type="auto"/>
            <w:vMerge/>
            <w:shd w:val="clear" w:color="auto" w:fill="FFFFFF" w:themeFill="background1"/>
          </w:tcPr>
          <w:p w14:paraId="4667D842"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p>
        </w:tc>
        <w:tc>
          <w:tcPr>
            <w:tcW w:w="0" w:type="auto"/>
            <w:vMerge/>
            <w:shd w:val="clear" w:color="auto" w:fill="FFFFFF" w:themeFill="background1"/>
          </w:tcPr>
          <w:p w14:paraId="18E0276F"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p>
        </w:tc>
        <w:tc>
          <w:tcPr>
            <w:tcW w:w="0" w:type="auto"/>
            <w:shd w:val="clear" w:color="auto" w:fill="FFFFFF" w:themeFill="background1"/>
          </w:tcPr>
          <w:p w14:paraId="6A557D6D"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9539D6">
              <w:rPr>
                <w:color w:val="000000"/>
              </w:rPr>
              <w:t>% Mature</w:t>
            </w:r>
          </w:p>
        </w:tc>
        <w:tc>
          <w:tcPr>
            <w:tcW w:w="0" w:type="auto"/>
            <w:shd w:val="clear" w:color="auto" w:fill="FFFFFF" w:themeFill="background1"/>
          </w:tcPr>
          <w:p w14:paraId="6CB9AFF6"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9539D6">
              <w:rPr>
                <w:color w:val="000000"/>
              </w:rPr>
              <w:t>-</w:t>
            </w:r>
          </w:p>
        </w:tc>
        <w:tc>
          <w:tcPr>
            <w:tcW w:w="0" w:type="auto"/>
            <w:shd w:val="clear" w:color="auto" w:fill="FFFFFF" w:themeFill="background1"/>
          </w:tcPr>
          <w:p w14:paraId="2AA069C1"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9539D6">
              <w:rPr>
                <w:color w:val="000000"/>
              </w:rPr>
              <w:t>-</w:t>
            </w:r>
          </w:p>
        </w:tc>
        <w:tc>
          <w:tcPr>
            <w:tcW w:w="0" w:type="auto"/>
            <w:shd w:val="clear" w:color="auto" w:fill="FFFFFF" w:themeFill="background1"/>
          </w:tcPr>
          <w:p w14:paraId="6705CE7A"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9539D6">
              <w:rPr>
                <w:color w:val="000000"/>
              </w:rPr>
              <w:t>22.8%</w:t>
            </w:r>
          </w:p>
        </w:tc>
        <w:tc>
          <w:tcPr>
            <w:tcW w:w="0" w:type="auto"/>
            <w:shd w:val="clear" w:color="auto" w:fill="FFFFFF" w:themeFill="background1"/>
          </w:tcPr>
          <w:p w14:paraId="64CF1574"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9539D6">
              <w:rPr>
                <w:color w:val="000000"/>
              </w:rPr>
              <w:t>Low</w:t>
            </w:r>
          </w:p>
        </w:tc>
      </w:tr>
      <w:tr w:rsidR="00980069" w:rsidRPr="0060742E" w14:paraId="25501735" w14:textId="77777777" w:rsidTr="00980069">
        <w:trPr>
          <w:trHeight w:val="159"/>
        </w:trPr>
        <w:tc>
          <w:tcPr>
            <w:cnfStyle w:val="001000000000" w:firstRow="0" w:lastRow="0" w:firstColumn="1" w:lastColumn="0" w:oddVBand="0" w:evenVBand="0" w:oddHBand="0" w:evenHBand="0" w:firstRowFirstColumn="0" w:firstRowLastColumn="0" w:lastRowFirstColumn="0" w:lastRowLastColumn="0"/>
            <w:tcW w:w="0" w:type="auto"/>
            <w:gridSpan w:val="2"/>
            <w:vMerge/>
          </w:tcPr>
          <w:p w14:paraId="2AAE6551" w14:textId="77777777" w:rsidR="00980069" w:rsidRPr="009539D6" w:rsidRDefault="00980069" w:rsidP="00980069">
            <w:pPr>
              <w:pStyle w:val="TableTextLeft"/>
            </w:pPr>
          </w:p>
        </w:tc>
        <w:tc>
          <w:tcPr>
            <w:tcW w:w="0" w:type="auto"/>
            <w:vMerge/>
            <w:shd w:val="clear" w:color="auto" w:fill="FFFFFF" w:themeFill="background1"/>
          </w:tcPr>
          <w:p w14:paraId="7F719BAE"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shd w:val="clear" w:color="auto" w:fill="FFFFFF" w:themeFill="background1"/>
          </w:tcPr>
          <w:p w14:paraId="446E5873"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shd w:val="clear" w:color="auto" w:fill="FFFFFF" w:themeFill="background1"/>
          </w:tcPr>
          <w:p w14:paraId="5843FF61"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p>
        </w:tc>
        <w:tc>
          <w:tcPr>
            <w:tcW w:w="0" w:type="auto"/>
            <w:vMerge/>
            <w:shd w:val="clear" w:color="auto" w:fill="FFFFFF" w:themeFill="background1"/>
          </w:tcPr>
          <w:p w14:paraId="43A910A4"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p>
        </w:tc>
        <w:tc>
          <w:tcPr>
            <w:tcW w:w="0" w:type="auto"/>
            <w:vMerge/>
            <w:shd w:val="clear" w:color="auto" w:fill="FFFFFF" w:themeFill="background1"/>
          </w:tcPr>
          <w:p w14:paraId="47F04CB4"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p>
        </w:tc>
        <w:tc>
          <w:tcPr>
            <w:tcW w:w="0" w:type="auto"/>
            <w:shd w:val="clear" w:color="auto" w:fill="FFFFFF" w:themeFill="background1"/>
          </w:tcPr>
          <w:p w14:paraId="68BB6929"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9539D6">
              <w:rPr>
                <w:color w:val="000000"/>
              </w:rPr>
              <w:t>% Regenerating</w:t>
            </w:r>
          </w:p>
        </w:tc>
        <w:tc>
          <w:tcPr>
            <w:tcW w:w="0" w:type="auto"/>
            <w:shd w:val="clear" w:color="auto" w:fill="FFFFFF" w:themeFill="background1"/>
          </w:tcPr>
          <w:p w14:paraId="78BE2694"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9539D6">
              <w:rPr>
                <w:color w:val="000000"/>
              </w:rPr>
              <w:t>-</w:t>
            </w:r>
          </w:p>
        </w:tc>
        <w:tc>
          <w:tcPr>
            <w:tcW w:w="0" w:type="auto"/>
            <w:shd w:val="clear" w:color="auto" w:fill="FFFFFF" w:themeFill="background1"/>
          </w:tcPr>
          <w:p w14:paraId="31DAF00E"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9539D6">
              <w:rPr>
                <w:color w:val="000000"/>
              </w:rPr>
              <w:t>-</w:t>
            </w:r>
          </w:p>
        </w:tc>
        <w:tc>
          <w:tcPr>
            <w:tcW w:w="0" w:type="auto"/>
            <w:shd w:val="clear" w:color="auto" w:fill="FFFFFF" w:themeFill="background1"/>
          </w:tcPr>
          <w:p w14:paraId="37381F54"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9539D6">
              <w:rPr>
                <w:color w:val="000000"/>
              </w:rPr>
              <w:t>0.1%</w:t>
            </w:r>
          </w:p>
        </w:tc>
        <w:tc>
          <w:tcPr>
            <w:tcW w:w="0" w:type="auto"/>
            <w:shd w:val="clear" w:color="auto" w:fill="FFFFFF" w:themeFill="background1"/>
          </w:tcPr>
          <w:p w14:paraId="7F16B5F9"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9539D6">
              <w:rPr>
                <w:color w:val="000000"/>
              </w:rPr>
              <w:t>Low</w:t>
            </w:r>
          </w:p>
        </w:tc>
      </w:tr>
      <w:tr w:rsidR="00980069" w:rsidRPr="0060742E" w14:paraId="3673F5E4" w14:textId="77777777" w:rsidTr="00980069">
        <w:trPr>
          <w:trHeight w:val="159"/>
        </w:trPr>
        <w:tc>
          <w:tcPr>
            <w:cnfStyle w:val="001000000000" w:firstRow="0" w:lastRow="0" w:firstColumn="1" w:lastColumn="0" w:oddVBand="0" w:evenVBand="0" w:oddHBand="0" w:evenHBand="0" w:firstRowFirstColumn="0" w:firstRowLastColumn="0" w:lastRowFirstColumn="0" w:lastRowLastColumn="0"/>
            <w:tcW w:w="0" w:type="auto"/>
            <w:gridSpan w:val="2"/>
            <w:vMerge/>
          </w:tcPr>
          <w:p w14:paraId="0C970893" w14:textId="77777777" w:rsidR="00980069" w:rsidRPr="009539D6" w:rsidRDefault="00980069" w:rsidP="00980069">
            <w:pPr>
              <w:pStyle w:val="TableTextLeft"/>
            </w:pPr>
          </w:p>
        </w:tc>
        <w:tc>
          <w:tcPr>
            <w:tcW w:w="0" w:type="auto"/>
            <w:vMerge/>
            <w:shd w:val="clear" w:color="auto" w:fill="FFFFFF" w:themeFill="background1"/>
          </w:tcPr>
          <w:p w14:paraId="1930AB59"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shd w:val="clear" w:color="auto" w:fill="FFFFFF" w:themeFill="background1"/>
          </w:tcPr>
          <w:p w14:paraId="7B2A34CB"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shd w:val="clear" w:color="auto" w:fill="FFFFFF" w:themeFill="background1"/>
          </w:tcPr>
          <w:p w14:paraId="1D384A2E"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p>
        </w:tc>
        <w:tc>
          <w:tcPr>
            <w:tcW w:w="0" w:type="auto"/>
            <w:vMerge/>
            <w:shd w:val="clear" w:color="auto" w:fill="FFFFFF" w:themeFill="background1"/>
          </w:tcPr>
          <w:p w14:paraId="138298E9"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p>
        </w:tc>
        <w:tc>
          <w:tcPr>
            <w:tcW w:w="0" w:type="auto"/>
            <w:vMerge/>
            <w:shd w:val="clear" w:color="auto" w:fill="FFFFFF" w:themeFill="background1"/>
          </w:tcPr>
          <w:p w14:paraId="1430E017"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p>
        </w:tc>
        <w:tc>
          <w:tcPr>
            <w:tcW w:w="0" w:type="auto"/>
            <w:shd w:val="clear" w:color="auto" w:fill="FFFFFF" w:themeFill="background1"/>
          </w:tcPr>
          <w:p w14:paraId="321183BC"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9539D6">
              <w:rPr>
                <w:color w:val="000000"/>
              </w:rPr>
              <w:t>% Regrowth</w:t>
            </w:r>
          </w:p>
        </w:tc>
        <w:tc>
          <w:tcPr>
            <w:tcW w:w="0" w:type="auto"/>
            <w:shd w:val="clear" w:color="auto" w:fill="FFFFFF" w:themeFill="background1"/>
          </w:tcPr>
          <w:p w14:paraId="64F791AC"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9539D6">
              <w:rPr>
                <w:color w:val="000000"/>
              </w:rPr>
              <w:t>-</w:t>
            </w:r>
          </w:p>
        </w:tc>
        <w:tc>
          <w:tcPr>
            <w:tcW w:w="0" w:type="auto"/>
            <w:shd w:val="clear" w:color="auto" w:fill="FFFFFF" w:themeFill="background1"/>
          </w:tcPr>
          <w:p w14:paraId="089C4D2D"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9539D6">
              <w:rPr>
                <w:color w:val="000000"/>
              </w:rPr>
              <w:t>-</w:t>
            </w:r>
          </w:p>
        </w:tc>
        <w:tc>
          <w:tcPr>
            <w:tcW w:w="0" w:type="auto"/>
            <w:shd w:val="clear" w:color="auto" w:fill="FFFFFF" w:themeFill="background1"/>
          </w:tcPr>
          <w:p w14:paraId="6F497B15"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9539D6">
              <w:rPr>
                <w:color w:val="000000"/>
              </w:rPr>
              <w:t>2.6%</w:t>
            </w:r>
          </w:p>
        </w:tc>
        <w:tc>
          <w:tcPr>
            <w:tcW w:w="0" w:type="auto"/>
            <w:shd w:val="clear" w:color="auto" w:fill="FFFFFF" w:themeFill="background1"/>
          </w:tcPr>
          <w:p w14:paraId="7103B642"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9539D6">
              <w:rPr>
                <w:color w:val="000000"/>
              </w:rPr>
              <w:t>Low</w:t>
            </w:r>
          </w:p>
        </w:tc>
      </w:tr>
      <w:tr w:rsidR="00980069" w:rsidRPr="0060742E" w14:paraId="5960CDB6" w14:textId="77777777" w:rsidTr="00980069">
        <w:trPr>
          <w:trHeight w:val="159"/>
        </w:trPr>
        <w:tc>
          <w:tcPr>
            <w:cnfStyle w:val="001000000000" w:firstRow="0" w:lastRow="0" w:firstColumn="1" w:lastColumn="0" w:oddVBand="0" w:evenVBand="0" w:oddHBand="0" w:evenHBand="0" w:firstRowFirstColumn="0" w:firstRowLastColumn="0" w:lastRowFirstColumn="0" w:lastRowLastColumn="0"/>
            <w:tcW w:w="0" w:type="auto"/>
            <w:gridSpan w:val="2"/>
            <w:vMerge/>
          </w:tcPr>
          <w:p w14:paraId="19AD05AB" w14:textId="77777777" w:rsidR="00980069" w:rsidRPr="009539D6" w:rsidRDefault="00980069" w:rsidP="00980069">
            <w:pPr>
              <w:pStyle w:val="TableTextLeft"/>
            </w:pPr>
          </w:p>
        </w:tc>
        <w:tc>
          <w:tcPr>
            <w:tcW w:w="0" w:type="auto"/>
            <w:vMerge/>
            <w:shd w:val="clear" w:color="auto" w:fill="FFFFFF" w:themeFill="background1"/>
          </w:tcPr>
          <w:p w14:paraId="1DBF42CC"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shd w:val="clear" w:color="auto" w:fill="FFFFFF" w:themeFill="background1"/>
          </w:tcPr>
          <w:p w14:paraId="4D723F23"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shd w:val="clear" w:color="auto" w:fill="FFFFFF" w:themeFill="background1"/>
          </w:tcPr>
          <w:p w14:paraId="32ECEFF1"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p>
        </w:tc>
        <w:tc>
          <w:tcPr>
            <w:tcW w:w="0" w:type="auto"/>
            <w:vMerge/>
            <w:shd w:val="clear" w:color="auto" w:fill="FFFFFF" w:themeFill="background1"/>
          </w:tcPr>
          <w:p w14:paraId="46BDBC4E"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p>
        </w:tc>
        <w:tc>
          <w:tcPr>
            <w:tcW w:w="0" w:type="auto"/>
            <w:vMerge/>
            <w:shd w:val="clear" w:color="auto" w:fill="FFFFFF" w:themeFill="background1"/>
          </w:tcPr>
          <w:p w14:paraId="77EDC84F"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p>
        </w:tc>
        <w:tc>
          <w:tcPr>
            <w:tcW w:w="0" w:type="auto"/>
            <w:shd w:val="clear" w:color="auto" w:fill="FFFFFF" w:themeFill="background1"/>
          </w:tcPr>
          <w:p w14:paraId="782A85F1"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9539D6">
              <w:rPr>
                <w:color w:val="000000"/>
              </w:rPr>
              <w:t>% Senescent</w:t>
            </w:r>
          </w:p>
        </w:tc>
        <w:tc>
          <w:tcPr>
            <w:tcW w:w="0" w:type="auto"/>
            <w:shd w:val="clear" w:color="auto" w:fill="FFFFFF" w:themeFill="background1"/>
          </w:tcPr>
          <w:p w14:paraId="12616983"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9539D6">
              <w:rPr>
                <w:color w:val="000000"/>
              </w:rPr>
              <w:t>-</w:t>
            </w:r>
          </w:p>
        </w:tc>
        <w:tc>
          <w:tcPr>
            <w:tcW w:w="0" w:type="auto"/>
            <w:shd w:val="clear" w:color="auto" w:fill="FFFFFF" w:themeFill="background1"/>
          </w:tcPr>
          <w:p w14:paraId="3E197CEA"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9539D6">
              <w:rPr>
                <w:color w:val="000000"/>
              </w:rPr>
              <w:t>-</w:t>
            </w:r>
          </w:p>
        </w:tc>
        <w:tc>
          <w:tcPr>
            <w:tcW w:w="0" w:type="auto"/>
            <w:shd w:val="clear" w:color="auto" w:fill="FFFFFF" w:themeFill="background1"/>
          </w:tcPr>
          <w:p w14:paraId="72D9EAEE"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9539D6">
              <w:rPr>
                <w:color w:val="000000"/>
              </w:rPr>
              <w:t>23.1%</w:t>
            </w:r>
          </w:p>
        </w:tc>
        <w:tc>
          <w:tcPr>
            <w:tcW w:w="0" w:type="auto"/>
            <w:shd w:val="clear" w:color="auto" w:fill="FFFFFF" w:themeFill="background1"/>
          </w:tcPr>
          <w:p w14:paraId="2D16A911"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9539D6">
              <w:rPr>
                <w:color w:val="000000"/>
              </w:rPr>
              <w:t>Low</w:t>
            </w:r>
          </w:p>
        </w:tc>
      </w:tr>
      <w:tr w:rsidR="00980069" w:rsidRPr="0060742E" w14:paraId="62DB6638" w14:textId="77777777" w:rsidTr="00980069">
        <w:trPr>
          <w:trHeight w:val="159"/>
        </w:trPr>
        <w:tc>
          <w:tcPr>
            <w:cnfStyle w:val="001000000000" w:firstRow="0" w:lastRow="0" w:firstColumn="1" w:lastColumn="0" w:oddVBand="0" w:evenVBand="0" w:oddHBand="0" w:evenHBand="0" w:firstRowFirstColumn="0" w:firstRowLastColumn="0" w:lastRowFirstColumn="0" w:lastRowLastColumn="0"/>
            <w:tcW w:w="0" w:type="auto"/>
            <w:gridSpan w:val="2"/>
            <w:vMerge/>
          </w:tcPr>
          <w:p w14:paraId="71C0A577" w14:textId="77777777" w:rsidR="00980069" w:rsidRPr="009539D6" w:rsidRDefault="00980069" w:rsidP="00980069">
            <w:pPr>
              <w:pStyle w:val="TableTextLeft"/>
            </w:pPr>
          </w:p>
        </w:tc>
        <w:tc>
          <w:tcPr>
            <w:tcW w:w="0" w:type="auto"/>
            <w:vMerge/>
            <w:shd w:val="clear" w:color="auto" w:fill="FFFFFF" w:themeFill="background1"/>
          </w:tcPr>
          <w:p w14:paraId="0698CB15"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shd w:val="clear" w:color="auto" w:fill="FFFFFF" w:themeFill="background1"/>
          </w:tcPr>
          <w:p w14:paraId="2EB39A0E"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shd w:val="clear" w:color="auto" w:fill="FFFFFF" w:themeFill="background1"/>
          </w:tcPr>
          <w:p w14:paraId="3B29D21E"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p>
        </w:tc>
        <w:tc>
          <w:tcPr>
            <w:tcW w:w="0" w:type="auto"/>
            <w:vMerge/>
            <w:shd w:val="clear" w:color="auto" w:fill="FFFFFF" w:themeFill="background1"/>
          </w:tcPr>
          <w:p w14:paraId="4E6EAA3B"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p>
        </w:tc>
        <w:tc>
          <w:tcPr>
            <w:tcW w:w="0" w:type="auto"/>
            <w:vMerge/>
            <w:shd w:val="clear" w:color="auto" w:fill="FFFFFF" w:themeFill="background1"/>
          </w:tcPr>
          <w:p w14:paraId="06857167"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p>
        </w:tc>
        <w:tc>
          <w:tcPr>
            <w:tcW w:w="0" w:type="auto"/>
            <w:shd w:val="clear" w:color="auto" w:fill="FFFFFF" w:themeFill="background1"/>
          </w:tcPr>
          <w:p w14:paraId="485C3956"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9539D6">
              <w:rPr>
                <w:color w:val="000000"/>
              </w:rPr>
              <w:t>% Uneven</w:t>
            </w:r>
            <w:r>
              <w:rPr>
                <w:color w:val="000000"/>
              </w:rPr>
              <w:t>-</w:t>
            </w:r>
            <w:r w:rsidRPr="009539D6">
              <w:rPr>
                <w:color w:val="000000"/>
              </w:rPr>
              <w:t>aged</w:t>
            </w:r>
          </w:p>
        </w:tc>
        <w:tc>
          <w:tcPr>
            <w:tcW w:w="0" w:type="auto"/>
            <w:shd w:val="clear" w:color="auto" w:fill="FFFFFF" w:themeFill="background1"/>
          </w:tcPr>
          <w:p w14:paraId="15106592"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9539D6">
              <w:rPr>
                <w:color w:val="000000"/>
              </w:rPr>
              <w:t>-</w:t>
            </w:r>
          </w:p>
        </w:tc>
        <w:tc>
          <w:tcPr>
            <w:tcW w:w="0" w:type="auto"/>
            <w:shd w:val="clear" w:color="auto" w:fill="FFFFFF" w:themeFill="background1"/>
          </w:tcPr>
          <w:p w14:paraId="311556E6"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9539D6">
              <w:rPr>
                <w:color w:val="000000"/>
              </w:rPr>
              <w:t>-</w:t>
            </w:r>
          </w:p>
        </w:tc>
        <w:tc>
          <w:tcPr>
            <w:tcW w:w="0" w:type="auto"/>
            <w:shd w:val="clear" w:color="auto" w:fill="FFFFFF" w:themeFill="background1"/>
          </w:tcPr>
          <w:p w14:paraId="1AB38CA0"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9539D6">
              <w:rPr>
                <w:color w:val="000000"/>
              </w:rPr>
              <w:t>19.9%</w:t>
            </w:r>
          </w:p>
        </w:tc>
        <w:tc>
          <w:tcPr>
            <w:tcW w:w="0" w:type="auto"/>
            <w:shd w:val="clear" w:color="auto" w:fill="FFFFFF" w:themeFill="background1"/>
          </w:tcPr>
          <w:p w14:paraId="75268C25"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9539D6">
              <w:rPr>
                <w:color w:val="000000"/>
              </w:rPr>
              <w:t>Low</w:t>
            </w:r>
          </w:p>
        </w:tc>
      </w:tr>
      <w:tr w:rsidR="00980069" w:rsidRPr="0060742E" w14:paraId="18A113A2" w14:textId="77777777" w:rsidTr="00980069">
        <w:trPr>
          <w:trHeight w:val="310"/>
        </w:trPr>
        <w:tc>
          <w:tcPr>
            <w:cnfStyle w:val="001000000000" w:firstRow="0" w:lastRow="0" w:firstColumn="1" w:lastColumn="0" w:oddVBand="0" w:evenVBand="0" w:oddHBand="0" w:evenHBand="0" w:firstRowFirstColumn="0" w:firstRowLastColumn="0" w:lastRowFirstColumn="0" w:lastRowLastColumn="0"/>
            <w:tcW w:w="0" w:type="auto"/>
            <w:gridSpan w:val="2"/>
            <w:vMerge w:val="restart"/>
          </w:tcPr>
          <w:p w14:paraId="4D7EE280" w14:textId="0EDAEFC3" w:rsidR="00980069" w:rsidRPr="009539D6" w:rsidRDefault="00980069" w:rsidP="00E547F8">
            <w:pPr>
              <w:pStyle w:val="TableTextLeft"/>
            </w:pPr>
            <w:r w:rsidRPr="009539D6">
              <w:t xml:space="preserve">Above </w:t>
            </w:r>
            <w:r>
              <w:t>g</w:t>
            </w:r>
            <w:r w:rsidRPr="009539D6">
              <w:t xml:space="preserve">round </w:t>
            </w:r>
            <w:r>
              <w:t>v</w:t>
            </w:r>
            <w:r w:rsidRPr="009539D6">
              <w:t xml:space="preserve">egetation </w:t>
            </w:r>
            <w:proofErr w:type="spellStart"/>
            <w:r w:rsidRPr="009539D6">
              <w:t>biomass</w:t>
            </w:r>
            <w:r w:rsidRPr="009539D6">
              <w:rPr>
                <w:vertAlign w:val="superscript"/>
              </w:rPr>
              <w:t>a</w:t>
            </w:r>
            <w:proofErr w:type="spellEnd"/>
          </w:p>
        </w:tc>
        <w:tc>
          <w:tcPr>
            <w:tcW w:w="0" w:type="auto"/>
            <w:vMerge w:val="restart"/>
            <w:shd w:val="clear" w:color="auto" w:fill="FFFFFF" w:themeFill="background1"/>
          </w:tcPr>
          <w:p w14:paraId="17C435F9"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9539D6">
              <w:t>Terrestrial</w:t>
            </w:r>
          </w:p>
          <w:p w14:paraId="5D575364"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val="restart"/>
            <w:shd w:val="clear" w:color="auto" w:fill="FFFFFF" w:themeFill="background1"/>
          </w:tcPr>
          <w:p w14:paraId="7A271D88"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9539D6">
              <w:t>Timber/Global Climate Reg</w:t>
            </w:r>
          </w:p>
        </w:tc>
        <w:tc>
          <w:tcPr>
            <w:tcW w:w="0" w:type="auto"/>
            <w:vMerge w:val="restart"/>
            <w:shd w:val="clear" w:color="auto" w:fill="FFFFFF" w:themeFill="background1"/>
          </w:tcPr>
          <w:p w14:paraId="49A4F46D"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9539D6">
              <w:rPr>
                <w:color w:val="000000"/>
              </w:rPr>
              <w:t>30m grid</w:t>
            </w:r>
          </w:p>
          <w:p w14:paraId="5841C367"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p>
        </w:tc>
        <w:tc>
          <w:tcPr>
            <w:tcW w:w="0" w:type="auto"/>
            <w:vMerge w:val="restart"/>
            <w:shd w:val="clear" w:color="auto" w:fill="FFFFFF" w:themeFill="background1"/>
          </w:tcPr>
          <w:p w14:paraId="6DF21D08"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9539D6">
              <w:rPr>
                <w:color w:val="000000"/>
              </w:rPr>
              <w:t>DELWP (2018b)</w:t>
            </w:r>
          </w:p>
          <w:p w14:paraId="7C50BB35"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p>
        </w:tc>
        <w:tc>
          <w:tcPr>
            <w:tcW w:w="0" w:type="auto"/>
            <w:vMerge w:val="restart"/>
            <w:shd w:val="clear" w:color="auto" w:fill="FFFFFF" w:themeFill="background1"/>
          </w:tcPr>
          <w:p w14:paraId="402AD179"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9539D6">
              <w:rPr>
                <w:color w:val="000000"/>
              </w:rPr>
              <w:t>2017</w:t>
            </w:r>
          </w:p>
          <w:p w14:paraId="45B2D41E"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p>
        </w:tc>
        <w:tc>
          <w:tcPr>
            <w:tcW w:w="0" w:type="auto"/>
            <w:shd w:val="clear" w:color="auto" w:fill="FFFFFF" w:themeFill="background1"/>
          </w:tcPr>
          <w:p w14:paraId="78804F79"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9539D6">
              <w:rPr>
                <w:color w:val="000000"/>
              </w:rPr>
              <w:t>Tonnes/Ha (forested)</w:t>
            </w:r>
          </w:p>
        </w:tc>
        <w:tc>
          <w:tcPr>
            <w:tcW w:w="0" w:type="auto"/>
            <w:shd w:val="clear" w:color="auto" w:fill="FFFFFF" w:themeFill="background1"/>
          </w:tcPr>
          <w:p w14:paraId="6D75C738"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9539D6">
              <w:rPr>
                <w:color w:val="000000"/>
              </w:rPr>
              <w:t>-</w:t>
            </w:r>
          </w:p>
        </w:tc>
        <w:tc>
          <w:tcPr>
            <w:tcW w:w="0" w:type="auto"/>
            <w:shd w:val="clear" w:color="auto" w:fill="FFFFFF" w:themeFill="background1"/>
          </w:tcPr>
          <w:p w14:paraId="5A68AFB2"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9539D6">
              <w:rPr>
                <w:color w:val="000000"/>
              </w:rPr>
              <w:t>-</w:t>
            </w:r>
          </w:p>
        </w:tc>
        <w:tc>
          <w:tcPr>
            <w:tcW w:w="0" w:type="auto"/>
            <w:shd w:val="clear" w:color="auto" w:fill="FFFFFF" w:themeFill="background1"/>
          </w:tcPr>
          <w:p w14:paraId="7D291F58"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9539D6">
              <w:rPr>
                <w:color w:val="000000"/>
              </w:rPr>
              <w:t>490</w:t>
            </w:r>
          </w:p>
        </w:tc>
        <w:tc>
          <w:tcPr>
            <w:tcW w:w="0" w:type="auto"/>
            <w:shd w:val="clear" w:color="auto" w:fill="FFFFFF" w:themeFill="background1"/>
          </w:tcPr>
          <w:p w14:paraId="2DA47173"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9539D6">
              <w:rPr>
                <w:color w:val="000000"/>
              </w:rPr>
              <w:t>Low</w:t>
            </w:r>
          </w:p>
        </w:tc>
      </w:tr>
      <w:tr w:rsidR="00980069" w:rsidRPr="0060742E" w14:paraId="17899287" w14:textId="77777777" w:rsidTr="00980069">
        <w:trPr>
          <w:trHeight w:val="159"/>
        </w:trPr>
        <w:tc>
          <w:tcPr>
            <w:cnfStyle w:val="001000000000" w:firstRow="0" w:lastRow="0" w:firstColumn="1" w:lastColumn="0" w:oddVBand="0" w:evenVBand="0" w:oddHBand="0" w:evenHBand="0" w:firstRowFirstColumn="0" w:firstRowLastColumn="0" w:lastRowFirstColumn="0" w:lastRowLastColumn="0"/>
            <w:tcW w:w="0" w:type="auto"/>
            <w:gridSpan w:val="2"/>
            <w:vMerge/>
          </w:tcPr>
          <w:p w14:paraId="767AF2EF" w14:textId="77777777" w:rsidR="00980069" w:rsidRPr="009539D6" w:rsidRDefault="00980069" w:rsidP="00980069">
            <w:pPr>
              <w:pStyle w:val="TableTextLeft"/>
            </w:pPr>
          </w:p>
        </w:tc>
        <w:tc>
          <w:tcPr>
            <w:tcW w:w="0" w:type="auto"/>
            <w:vMerge/>
            <w:shd w:val="clear" w:color="auto" w:fill="FFFFFF" w:themeFill="background1"/>
          </w:tcPr>
          <w:p w14:paraId="65C6A6CB"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shd w:val="clear" w:color="auto" w:fill="FFFFFF" w:themeFill="background1"/>
          </w:tcPr>
          <w:p w14:paraId="10F9B036"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shd w:val="clear" w:color="auto" w:fill="FFFFFF" w:themeFill="background1"/>
          </w:tcPr>
          <w:p w14:paraId="55E9C1C3"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shd w:val="clear" w:color="auto" w:fill="FFFFFF" w:themeFill="background1"/>
          </w:tcPr>
          <w:p w14:paraId="03BB2DE2"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shd w:val="clear" w:color="auto" w:fill="FFFFFF" w:themeFill="background1"/>
          </w:tcPr>
          <w:p w14:paraId="3EDBFAFD"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p>
        </w:tc>
        <w:tc>
          <w:tcPr>
            <w:tcW w:w="0" w:type="auto"/>
            <w:shd w:val="clear" w:color="auto" w:fill="FFFFFF" w:themeFill="background1"/>
          </w:tcPr>
          <w:p w14:paraId="1838851E"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9539D6">
              <w:rPr>
                <w:color w:val="000000"/>
              </w:rPr>
              <w:t>Tonnes/Ha (non- forested)</w:t>
            </w:r>
          </w:p>
        </w:tc>
        <w:tc>
          <w:tcPr>
            <w:tcW w:w="0" w:type="auto"/>
            <w:shd w:val="clear" w:color="auto" w:fill="FFFFFF" w:themeFill="background1"/>
          </w:tcPr>
          <w:p w14:paraId="4B579522"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vertAlign w:val="superscript"/>
              </w:rPr>
            </w:pPr>
            <w:r w:rsidRPr="009539D6">
              <w:rPr>
                <w:color w:val="000000"/>
              </w:rPr>
              <w:t>-</w:t>
            </w:r>
          </w:p>
        </w:tc>
        <w:tc>
          <w:tcPr>
            <w:tcW w:w="0" w:type="auto"/>
            <w:shd w:val="clear" w:color="auto" w:fill="FFFFFF" w:themeFill="background1"/>
          </w:tcPr>
          <w:p w14:paraId="7A010CE5"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9539D6">
              <w:rPr>
                <w:color w:val="000000"/>
              </w:rPr>
              <w:t>-</w:t>
            </w:r>
          </w:p>
        </w:tc>
        <w:tc>
          <w:tcPr>
            <w:tcW w:w="0" w:type="auto"/>
            <w:shd w:val="clear" w:color="auto" w:fill="FFFFFF" w:themeFill="background1"/>
          </w:tcPr>
          <w:p w14:paraId="15589B57"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9539D6">
              <w:rPr>
                <w:color w:val="000000"/>
              </w:rPr>
              <w:t>227</w:t>
            </w:r>
          </w:p>
        </w:tc>
        <w:tc>
          <w:tcPr>
            <w:tcW w:w="0" w:type="auto"/>
            <w:shd w:val="clear" w:color="auto" w:fill="FFFFFF" w:themeFill="background1"/>
          </w:tcPr>
          <w:p w14:paraId="034C0C89" w14:textId="77777777" w:rsidR="00980069" w:rsidRPr="009539D6"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9539D6">
              <w:rPr>
                <w:color w:val="000000"/>
              </w:rPr>
              <w:t>Low</w:t>
            </w:r>
          </w:p>
        </w:tc>
      </w:tr>
      <w:tr w:rsidR="00980069" w:rsidRPr="0060742E" w14:paraId="5587F24C" w14:textId="77777777" w:rsidTr="00980069">
        <w:trPr>
          <w:trHeight w:val="159"/>
        </w:trPr>
        <w:tc>
          <w:tcPr>
            <w:cnfStyle w:val="001000000000" w:firstRow="0" w:lastRow="0" w:firstColumn="1" w:lastColumn="0" w:oddVBand="0" w:evenVBand="0" w:oddHBand="0" w:evenHBand="0" w:firstRowFirstColumn="0" w:firstRowLastColumn="0" w:lastRowFirstColumn="0" w:lastRowLastColumn="0"/>
            <w:tcW w:w="0" w:type="auto"/>
            <w:gridSpan w:val="2"/>
            <w:vMerge w:val="restart"/>
          </w:tcPr>
          <w:p w14:paraId="13C705B6" w14:textId="77777777" w:rsidR="00980069" w:rsidRPr="000F0D93" w:rsidRDefault="00980069" w:rsidP="00980069">
            <w:pPr>
              <w:pStyle w:val="TableTextLeft"/>
            </w:pPr>
            <w:r w:rsidRPr="000F0D93">
              <w:t xml:space="preserve">Abalone biomass </w:t>
            </w:r>
          </w:p>
        </w:tc>
        <w:tc>
          <w:tcPr>
            <w:tcW w:w="0" w:type="auto"/>
            <w:vMerge w:val="restart"/>
            <w:shd w:val="clear" w:color="auto" w:fill="FFFFFF" w:themeFill="background1"/>
          </w:tcPr>
          <w:p w14:paraId="5532D83B" w14:textId="77777777" w:rsidR="00980069" w:rsidRPr="000F0D93"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sidRPr="000F0D93">
              <w:t>Marine/Coastal Margin</w:t>
            </w:r>
          </w:p>
        </w:tc>
        <w:tc>
          <w:tcPr>
            <w:tcW w:w="0" w:type="auto"/>
            <w:vMerge w:val="restart"/>
            <w:shd w:val="clear" w:color="auto" w:fill="FFFFFF" w:themeFill="background1"/>
          </w:tcPr>
          <w:p w14:paraId="1A9E235B" w14:textId="77777777" w:rsidR="00980069" w:rsidRPr="0060742E"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60742E">
              <w:t>Food</w:t>
            </w:r>
          </w:p>
        </w:tc>
        <w:tc>
          <w:tcPr>
            <w:tcW w:w="0" w:type="auto"/>
            <w:vMerge w:val="restart"/>
            <w:shd w:val="clear" w:color="auto" w:fill="FFFFFF" w:themeFill="background1"/>
          </w:tcPr>
          <w:p w14:paraId="3FBF1E52" w14:textId="77777777" w:rsidR="00980069" w:rsidRPr="0060742E"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C4493F">
              <w:t>30m grid</w:t>
            </w:r>
          </w:p>
        </w:tc>
        <w:tc>
          <w:tcPr>
            <w:tcW w:w="0" w:type="auto"/>
            <w:vMerge w:val="restart"/>
            <w:shd w:val="clear" w:color="auto" w:fill="FFFFFF" w:themeFill="background1"/>
          </w:tcPr>
          <w:p w14:paraId="21FAF579" w14:textId="77777777" w:rsidR="00980069" w:rsidRPr="0060742E"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proofErr w:type="spellStart"/>
            <w:r w:rsidRPr="00862806">
              <w:t>Ierodiaconou</w:t>
            </w:r>
            <w:proofErr w:type="spellEnd"/>
            <w:r w:rsidRPr="00862806">
              <w:t xml:space="preserve"> et al</w:t>
            </w:r>
            <w:r>
              <w:t xml:space="preserve"> (2018)</w:t>
            </w:r>
            <w:r w:rsidRPr="00862806">
              <w:t xml:space="preserve"> </w:t>
            </w:r>
          </w:p>
        </w:tc>
        <w:tc>
          <w:tcPr>
            <w:tcW w:w="0" w:type="auto"/>
            <w:vMerge w:val="restart"/>
            <w:shd w:val="clear" w:color="auto" w:fill="FFFFFF" w:themeFill="background1"/>
          </w:tcPr>
          <w:p w14:paraId="33A7F9F3" w14:textId="77777777" w:rsidR="00980069" w:rsidRPr="0060742E"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t>2018</w:t>
            </w:r>
          </w:p>
        </w:tc>
        <w:tc>
          <w:tcPr>
            <w:tcW w:w="0" w:type="auto"/>
            <w:shd w:val="clear" w:color="auto" w:fill="FFFFFF" w:themeFill="background1"/>
          </w:tcPr>
          <w:p w14:paraId="4E2CB4B2" w14:textId="77777777" w:rsidR="00980069" w:rsidRPr="0060742E"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t>Tonnes</w:t>
            </w:r>
          </w:p>
        </w:tc>
        <w:tc>
          <w:tcPr>
            <w:tcW w:w="0" w:type="auto"/>
            <w:shd w:val="clear" w:color="auto" w:fill="FFFFFF" w:themeFill="background1"/>
          </w:tcPr>
          <w:p w14:paraId="241CED34" w14:textId="77777777" w:rsidR="00980069" w:rsidRPr="0060742E"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t>-</w:t>
            </w:r>
          </w:p>
        </w:tc>
        <w:tc>
          <w:tcPr>
            <w:tcW w:w="0" w:type="auto"/>
            <w:shd w:val="clear" w:color="auto" w:fill="FFFFFF" w:themeFill="background1"/>
          </w:tcPr>
          <w:p w14:paraId="04C4A3E2" w14:textId="77777777" w:rsidR="00980069" w:rsidRPr="0060742E"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t>-</w:t>
            </w:r>
          </w:p>
        </w:tc>
        <w:tc>
          <w:tcPr>
            <w:tcW w:w="0" w:type="auto"/>
            <w:shd w:val="clear" w:color="auto" w:fill="FFFFFF" w:themeFill="background1"/>
          </w:tcPr>
          <w:p w14:paraId="06CFCD3A" w14:textId="77777777" w:rsidR="00980069" w:rsidRPr="0060742E"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t>32,000</w:t>
            </w:r>
          </w:p>
        </w:tc>
        <w:tc>
          <w:tcPr>
            <w:tcW w:w="0" w:type="auto"/>
            <w:shd w:val="clear" w:color="auto" w:fill="FFFFFF" w:themeFill="background1"/>
          </w:tcPr>
          <w:p w14:paraId="6D00DF6B" w14:textId="77777777" w:rsidR="00980069" w:rsidRPr="0034052D"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t>Medium</w:t>
            </w:r>
          </w:p>
        </w:tc>
      </w:tr>
      <w:tr w:rsidR="00980069" w:rsidRPr="00F456A2" w14:paraId="41D46D77" w14:textId="77777777" w:rsidTr="00980069">
        <w:trPr>
          <w:trHeight w:val="159"/>
        </w:trPr>
        <w:tc>
          <w:tcPr>
            <w:cnfStyle w:val="001000000000" w:firstRow="0" w:lastRow="0" w:firstColumn="1" w:lastColumn="0" w:oddVBand="0" w:evenVBand="0" w:oddHBand="0" w:evenHBand="0" w:firstRowFirstColumn="0" w:firstRowLastColumn="0" w:lastRowFirstColumn="0" w:lastRowLastColumn="0"/>
            <w:tcW w:w="0" w:type="auto"/>
            <w:gridSpan w:val="2"/>
            <w:vMerge/>
          </w:tcPr>
          <w:p w14:paraId="5B673323" w14:textId="77777777" w:rsidR="00980069" w:rsidRPr="000F0D93" w:rsidRDefault="00980069" w:rsidP="00980069">
            <w:pPr>
              <w:pStyle w:val="TableTextLeft"/>
            </w:pPr>
          </w:p>
        </w:tc>
        <w:tc>
          <w:tcPr>
            <w:tcW w:w="0" w:type="auto"/>
            <w:vMerge/>
            <w:shd w:val="clear" w:color="auto" w:fill="FFFFFF" w:themeFill="background1"/>
          </w:tcPr>
          <w:p w14:paraId="2121A447" w14:textId="77777777" w:rsidR="00980069" w:rsidRPr="000F0D93"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shd w:val="clear" w:color="auto" w:fill="FFFFFF" w:themeFill="background1"/>
          </w:tcPr>
          <w:p w14:paraId="22A7F41D" w14:textId="77777777" w:rsidR="00980069" w:rsidRPr="0060742E"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shd w:val="clear" w:color="auto" w:fill="FFFFFF" w:themeFill="background1"/>
          </w:tcPr>
          <w:p w14:paraId="204CB87B" w14:textId="77777777" w:rsidR="00980069" w:rsidRPr="00C4493F"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shd w:val="clear" w:color="auto" w:fill="FFFFFF" w:themeFill="background1"/>
          </w:tcPr>
          <w:p w14:paraId="3A4E0626" w14:textId="77777777" w:rsidR="00980069" w:rsidRPr="00862806"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shd w:val="clear" w:color="auto" w:fill="FFFFFF" w:themeFill="background1"/>
          </w:tcPr>
          <w:p w14:paraId="5E4EB3DF" w14:textId="77777777" w:rsidR="00980069"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p>
        </w:tc>
        <w:tc>
          <w:tcPr>
            <w:tcW w:w="0" w:type="auto"/>
            <w:shd w:val="clear" w:color="auto" w:fill="FFFFFF" w:themeFill="background1"/>
          </w:tcPr>
          <w:p w14:paraId="0C576A93" w14:textId="77777777" w:rsidR="00980069" w:rsidRPr="00F456A2"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F456A2">
              <w:t>% Victoria total</w:t>
            </w:r>
          </w:p>
        </w:tc>
        <w:tc>
          <w:tcPr>
            <w:tcW w:w="0" w:type="auto"/>
            <w:shd w:val="clear" w:color="auto" w:fill="FFFFFF" w:themeFill="background1"/>
          </w:tcPr>
          <w:p w14:paraId="10A046D9" w14:textId="77777777" w:rsidR="00980069" w:rsidRPr="00F456A2"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F456A2">
              <w:t>-</w:t>
            </w:r>
          </w:p>
        </w:tc>
        <w:tc>
          <w:tcPr>
            <w:tcW w:w="0" w:type="auto"/>
            <w:shd w:val="clear" w:color="auto" w:fill="FFFFFF" w:themeFill="background1"/>
          </w:tcPr>
          <w:p w14:paraId="6FCAA435" w14:textId="77777777" w:rsidR="00980069" w:rsidRPr="00F456A2"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F456A2">
              <w:t>-</w:t>
            </w:r>
          </w:p>
        </w:tc>
        <w:tc>
          <w:tcPr>
            <w:tcW w:w="0" w:type="auto"/>
            <w:shd w:val="clear" w:color="auto" w:fill="FFFFFF" w:themeFill="background1"/>
          </w:tcPr>
          <w:p w14:paraId="4C0A79FE" w14:textId="77777777" w:rsidR="00980069" w:rsidRPr="00F456A2"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F456A2">
              <w:t>39</w:t>
            </w:r>
          </w:p>
        </w:tc>
        <w:tc>
          <w:tcPr>
            <w:tcW w:w="0" w:type="auto"/>
            <w:shd w:val="clear" w:color="auto" w:fill="FFFFFF" w:themeFill="background1"/>
          </w:tcPr>
          <w:p w14:paraId="48F6DEF6" w14:textId="77777777" w:rsidR="00980069" w:rsidRPr="0034052D"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t>Medium</w:t>
            </w:r>
          </w:p>
        </w:tc>
      </w:tr>
      <w:tr w:rsidR="00980069" w:rsidRPr="00C42A44" w14:paraId="27AB490B" w14:textId="77777777" w:rsidTr="00980069">
        <w:trPr>
          <w:trHeight w:val="159"/>
        </w:trPr>
        <w:tc>
          <w:tcPr>
            <w:cnfStyle w:val="001000000000" w:firstRow="0" w:lastRow="0" w:firstColumn="1" w:lastColumn="0" w:oddVBand="0" w:evenVBand="0" w:oddHBand="0" w:evenHBand="0" w:firstRowFirstColumn="0" w:firstRowLastColumn="0" w:lastRowFirstColumn="0" w:lastRowLastColumn="0"/>
            <w:tcW w:w="0" w:type="auto"/>
            <w:gridSpan w:val="10"/>
            <w:shd w:val="clear" w:color="auto" w:fill="201547" w:themeFill="text2"/>
          </w:tcPr>
          <w:p w14:paraId="0D784FDE" w14:textId="77777777" w:rsidR="00980069" w:rsidRPr="00C42A44" w:rsidRDefault="00980069" w:rsidP="00980069">
            <w:pPr>
              <w:pStyle w:val="TableTextLeftBold"/>
            </w:pPr>
            <w:r w:rsidRPr="00C42A44">
              <w:t xml:space="preserve">Ecological condition </w:t>
            </w:r>
            <w:r>
              <w:t>–</w:t>
            </w:r>
            <w:r w:rsidRPr="00C42A44">
              <w:t xml:space="preserve"> Soil</w:t>
            </w:r>
          </w:p>
        </w:tc>
        <w:tc>
          <w:tcPr>
            <w:tcW w:w="0" w:type="auto"/>
            <w:shd w:val="clear" w:color="auto" w:fill="201547" w:themeFill="text2"/>
          </w:tcPr>
          <w:p w14:paraId="5B9C9EC2" w14:textId="77777777" w:rsidR="00980069" w:rsidRPr="00C42A44"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p>
        </w:tc>
        <w:tc>
          <w:tcPr>
            <w:tcW w:w="0" w:type="auto"/>
            <w:shd w:val="clear" w:color="auto" w:fill="201547" w:themeFill="text2"/>
          </w:tcPr>
          <w:p w14:paraId="228371A3" w14:textId="77777777" w:rsidR="00980069" w:rsidRPr="0034052D"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p>
        </w:tc>
      </w:tr>
      <w:tr w:rsidR="00980069" w:rsidRPr="0060742E" w14:paraId="1E08174E" w14:textId="77777777" w:rsidTr="00980069">
        <w:trPr>
          <w:trHeight w:val="159"/>
        </w:trPr>
        <w:tc>
          <w:tcPr>
            <w:cnfStyle w:val="001000000000" w:firstRow="0" w:lastRow="0" w:firstColumn="1" w:lastColumn="0" w:oddVBand="0" w:evenVBand="0" w:oddHBand="0" w:evenHBand="0" w:firstRowFirstColumn="0" w:firstRowLastColumn="0" w:lastRowFirstColumn="0" w:lastRowLastColumn="0"/>
            <w:tcW w:w="0" w:type="auto"/>
            <w:gridSpan w:val="2"/>
          </w:tcPr>
          <w:p w14:paraId="711DE1C4" w14:textId="77777777" w:rsidR="00980069" w:rsidRPr="00E578C3" w:rsidRDefault="00980069" w:rsidP="00980069">
            <w:pPr>
              <w:pStyle w:val="TableTextLeft"/>
            </w:pPr>
            <w:r w:rsidRPr="00E578C3">
              <w:t>Coastal acid sulphate soil</w:t>
            </w:r>
            <w:r>
              <w:t xml:space="preserve"> susceptibility</w:t>
            </w:r>
          </w:p>
        </w:tc>
        <w:tc>
          <w:tcPr>
            <w:tcW w:w="0" w:type="auto"/>
            <w:shd w:val="clear" w:color="auto" w:fill="FFFFFF" w:themeFill="background1"/>
          </w:tcPr>
          <w:p w14:paraId="226B13F1" w14:textId="77777777" w:rsidR="00980069" w:rsidRPr="0060742E"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60742E">
              <w:t>Any / All</w:t>
            </w:r>
          </w:p>
        </w:tc>
        <w:tc>
          <w:tcPr>
            <w:tcW w:w="0" w:type="auto"/>
            <w:shd w:val="clear" w:color="auto" w:fill="FFFFFF" w:themeFill="background1"/>
          </w:tcPr>
          <w:p w14:paraId="00E8C212" w14:textId="77777777" w:rsidR="00980069" w:rsidRPr="0060742E"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60742E">
              <w:rPr>
                <w:color w:val="000000"/>
              </w:rPr>
              <w:t>Saltwater ecosystem services</w:t>
            </w:r>
          </w:p>
        </w:tc>
        <w:tc>
          <w:tcPr>
            <w:tcW w:w="0" w:type="auto"/>
            <w:shd w:val="clear" w:color="auto" w:fill="FFFFFF" w:themeFill="background1"/>
          </w:tcPr>
          <w:p w14:paraId="7C69E4E2" w14:textId="77777777" w:rsidR="00980069" w:rsidRPr="0060742E"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60742E">
              <w:rPr>
                <w:color w:val="000000"/>
              </w:rPr>
              <w:t>1:100k</w:t>
            </w:r>
          </w:p>
        </w:tc>
        <w:tc>
          <w:tcPr>
            <w:tcW w:w="0" w:type="auto"/>
            <w:shd w:val="clear" w:color="auto" w:fill="FFFFFF" w:themeFill="background1"/>
          </w:tcPr>
          <w:p w14:paraId="057EA2B9" w14:textId="77777777" w:rsidR="00980069" w:rsidRPr="0060742E"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60742E">
              <w:rPr>
                <w:color w:val="000000"/>
              </w:rPr>
              <w:t>DJPR</w:t>
            </w:r>
            <w:r>
              <w:rPr>
                <w:color w:val="000000"/>
              </w:rPr>
              <w:t xml:space="preserve"> (2003)</w:t>
            </w:r>
          </w:p>
        </w:tc>
        <w:tc>
          <w:tcPr>
            <w:tcW w:w="0" w:type="auto"/>
            <w:shd w:val="clear" w:color="auto" w:fill="FFFFFF" w:themeFill="background1"/>
          </w:tcPr>
          <w:p w14:paraId="6635525F" w14:textId="77777777" w:rsidR="00980069" w:rsidRPr="0060742E"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60742E">
              <w:rPr>
                <w:color w:val="000000"/>
              </w:rPr>
              <w:t>20</w:t>
            </w:r>
            <w:r>
              <w:rPr>
                <w:color w:val="000000"/>
              </w:rPr>
              <w:t>03</w:t>
            </w:r>
          </w:p>
        </w:tc>
        <w:tc>
          <w:tcPr>
            <w:tcW w:w="0" w:type="auto"/>
            <w:shd w:val="clear" w:color="auto" w:fill="FFFFFF" w:themeFill="background1"/>
          </w:tcPr>
          <w:p w14:paraId="26A5E513" w14:textId="77777777" w:rsidR="00980069" w:rsidRPr="0060742E"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60742E">
              <w:rPr>
                <w:color w:val="000000"/>
              </w:rPr>
              <w:t>Ha</w:t>
            </w:r>
          </w:p>
        </w:tc>
        <w:tc>
          <w:tcPr>
            <w:tcW w:w="0" w:type="auto"/>
            <w:shd w:val="clear" w:color="auto" w:fill="FFFFFF" w:themeFill="background1"/>
          </w:tcPr>
          <w:p w14:paraId="4551C638" w14:textId="77777777" w:rsidR="00980069" w:rsidRPr="0060742E"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60742E">
              <w:rPr>
                <w:color w:val="000000"/>
              </w:rPr>
              <w:t xml:space="preserve">1,768 </w:t>
            </w:r>
          </w:p>
        </w:tc>
        <w:tc>
          <w:tcPr>
            <w:tcW w:w="0" w:type="auto"/>
            <w:shd w:val="clear" w:color="auto" w:fill="FFFFFF" w:themeFill="background1"/>
          </w:tcPr>
          <w:p w14:paraId="6D2E34A6" w14:textId="77777777" w:rsidR="00980069" w:rsidRPr="0060742E"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60742E">
              <w:rPr>
                <w:color w:val="000000"/>
              </w:rPr>
              <w:t xml:space="preserve"> 2,082 </w:t>
            </w:r>
          </w:p>
        </w:tc>
        <w:tc>
          <w:tcPr>
            <w:tcW w:w="0" w:type="auto"/>
            <w:shd w:val="clear" w:color="auto" w:fill="FFFFFF" w:themeFill="background1"/>
          </w:tcPr>
          <w:p w14:paraId="20A6AA22" w14:textId="77777777" w:rsidR="00980069" w:rsidRPr="0060742E"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Pr>
                <w:color w:val="000000"/>
              </w:rPr>
              <w:t>3,849</w:t>
            </w:r>
          </w:p>
        </w:tc>
        <w:tc>
          <w:tcPr>
            <w:tcW w:w="0" w:type="auto"/>
            <w:shd w:val="clear" w:color="auto" w:fill="FFFFFF" w:themeFill="background1"/>
          </w:tcPr>
          <w:p w14:paraId="34D9AE7F" w14:textId="77777777" w:rsidR="00980069" w:rsidRPr="0034052D"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34052D">
              <w:rPr>
                <w:color w:val="000000"/>
              </w:rPr>
              <w:t>Medium</w:t>
            </w:r>
          </w:p>
        </w:tc>
      </w:tr>
      <w:tr w:rsidR="00980069" w:rsidRPr="0060742E" w14:paraId="336F1E3C" w14:textId="77777777" w:rsidTr="00980069">
        <w:trPr>
          <w:trHeight w:val="159"/>
        </w:trPr>
        <w:tc>
          <w:tcPr>
            <w:cnfStyle w:val="001000000000" w:firstRow="0" w:lastRow="0" w:firstColumn="1" w:lastColumn="0" w:oddVBand="0" w:evenVBand="0" w:oddHBand="0" w:evenHBand="0" w:firstRowFirstColumn="0" w:firstRowLastColumn="0" w:lastRowFirstColumn="0" w:lastRowLastColumn="0"/>
            <w:tcW w:w="0" w:type="auto"/>
            <w:gridSpan w:val="2"/>
          </w:tcPr>
          <w:p w14:paraId="3772C4A8" w14:textId="77777777" w:rsidR="00980069" w:rsidRPr="00E578C3" w:rsidRDefault="00980069" w:rsidP="00980069">
            <w:pPr>
              <w:pStyle w:val="TableTextLeft"/>
            </w:pPr>
            <w:r>
              <w:t>Landslip susceptibility</w:t>
            </w:r>
          </w:p>
        </w:tc>
        <w:tc>
          <w:tcPr>
            <w:tcW w:w="0" w:type="auto"/>
            <w:shd w:val="clear" w:color="auto" w:fill="FFFFFF" w:themeFill="background1"/>
          </w:tcPr>
          <w:p w14:paraId="48EF3926" w14:textId="77777777" w:rsidR="00980069" w:rsidRPr="0060742E"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60742E">
              <w:t>Any / All</w:t>
            </w:r>
          </w:p>
        </w:tc>
        <w:tc>
          <w:tcPr>
            <w:tcW w:w="0" w:type="auto"/>
            <w:shd w:val="clear" w:color="auto" w:fill="FFFFFF" w:themeFill="background1"/>
          </w:tcPr>
          <w:p w14:paraId="1C7031A9" w14:textId="77777777" w:rsidR="00980069" w:rsidRPr="0060742E"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60742E">
              <w:rPr>
                <w:color w:val="000000"/>
              </w:rPr>
              <w:t>Erosion regulation</w:t>
            </w:r>
          </w:p>
        </w:tc>
        <w:tc>
          <w:tcPr>
            <w:tcW w:w="0" w:type="auto"/>
            <w:shd w:val="clear" w:color="auto" w:fill="FFFFFF" w:themeFill="background1"/>
          </w:tcPr>
          <w:p w14:paraId="172DE57B" w14:textId="77777777" w:rsidR="00980069" w:rsidRPr="0060742E"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60742E">
              <w:rPr>
                <w:color w:val="000000"/>
              </w:rPr>
              <w:t>1:250k</w:t>
            </w:r>
          </w:p>
        </w:tc>
        <w:tc>
          <w:tcPr>
            <w:tcW w:w="0" w:type="auto"/>
            <w:shd w:val="clear" w:color="auto" w:fill="FFFFFF" w:themeFill="background1"/>
          </w:tcPr>
          <w:p w14:paraId="56C9654A" w14:textId="77777777" w:rsidR="00980069" w:rsidRPr="0060742E"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60742E">
              <w:rPr>
                <w:color w:val="000000"/>
              </w:rPr>
              <w:t>DJPR</w:t>
            </w:r>
            <w:r>
              <w:rPr>
                <w:color w:val="000000"/>
              </w:rPr>
              <w:t xml:space="preserve"> &amp; </w:t>
            </w:r>
            <w:proofErr w:type="spellStart"/>
            <w:r>
              <w:rPr>
                <w:color w:val="000000"/>
              </w:rPr>
              <w:t>A.Miner</w:t>
            </w:r>
            <w:proofErr w:type="spellEnd"/>
            <w:r>
              <w:rPr>
                <w:color w:val="000000"/>
              </w:rPr>
              <w:t xml:space="preserve"> (2017)</w:t>
            </w:r>
          </w:p>
        </w:tc>
        <w:tc>
          <w:tcPr>
            <w:tcW w:w="0" w:type="auto"/>
            <w:shd w:val="clear" w:color="auto" w:fill="FFFFFF" w:themeFill="background1"/>
          </w:tcPr>
          <w:p w14:paraId="073FBE46" w14:textId="77777777" w:rsidR="00980069" w:rsidRPr="0060742E"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60742E">
              <w:rPr>
                <w:color w:val="000000"/>
              </w:rPr>
              <w:t>2017</w:t>
            </w:r>
          </w:p>
        </w:tc>
        <w:tc>
          <w:tcPr>
            <w:tcW w:w="0" w:type="auto"/>
            <w:shd w:val="clear" w:color="auto" w:fill="FFFFFF" w:themeFill="background1"/>
          </w:tcPr>
          <w:p w14:paraId="3373369B" w14:textId="77777777" w:rsidR="00980069" w:rsidRPr="0060742E"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60742E">
              <w:rPr>
                <w:color w:val="000000"/>
              </w:rPr>
              <w:t>Ha (high</w:t>
            </w:r>
            <w:r>
              <w:rPr>
                <w:color w:val="000000"/>
              </w:rPr>
              <w:t xml:space="preserve"> and </w:t>
            </w:r>
            <w:proofErr w:type="spellStart"/>
            <w:r w:rsidRPr="0060742E">
              <w:rPr>
                <w:color w:val="000000"/>
              </w:rPr>
              <w:t>v</w:t>
            </w:r>
            <w:r>
              <w:rPr>
                <w:color w:val="000000"/>
              </w:rPr>
              <w:t>.</w:t>
            </w:r>
            <w:r w:rsidRPr="0060742E">
              <w:rPr>
                <w:color w:val="000000"/>
              </w:rPr>
              <w:t>high</w:t>
            </w:r>
            <w:proofErr w:type="spellEnd"/>
            <w:r w:rsidRPr="0060742E">
              <w:rPr>
                <w:color w:val="000000"/>
              </w:rPr>
              <w:t>)</w:t>
            </w:r>
          </w:p>
        </w:tc>
        <w:tc>
          <w:tcPr>
            <w:tcW w:w="0" w:type="auto"/>
            <w:shd w:val="clear" w:color="auto" w:fill="FFFFFF" w:themeFill="background1"/>
          </w:tcPr>
          <w:p w14:paraId="6602B478" w14:textId="77777777" w:rsidR="00980069" w:rsidRPr="0060742E"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60742E">
              <w:rPr>
                <w:color w:val="000000"/>
              </w:rPr>
              <w:t xml:space="preserve">21,838 </w:t>
            </w:r>
          </w:p>
        </w:tc>
        <w:tc>
          <w:tcPr>
            <w:tcW w:w="0" w:type="auto"/>
            <w:shd w:val="clear" w:color="auto" w:fill="FFFFFF" w:themeFill="background1"/>
          </w:tcPr>
          <w:p w14:paraId="10D24978" w14:textId="77777777" w:rsidR="00980069" w:rsidRPr="0060742E"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60742E">
              <w:rPr>
                <w:color w:val="000000"/>
              </w:rPr>
              <w:t xml:space="preserve">19,377 </w:t>
            </w:r>
          </w:p>
        </w:tc>
        <w:tc>
          <w:tcPr>
            <w:tcW w:w="0" w:type="auto"/>
            <w:shd w:val="clear" w:color="auto" w:fill="FFFFFF" w:themeFill="background1"/>
          </w:tcPr>
          <w:p w14:paraId="6E594D51" w14:textId="77777777" w:rsidR="00980069" w:rsidRPr="0060742E"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Pr>
                <w:color w:val="000000"/>
              </w:rPr>
              <w:t>41,215</w:t>
            </w:r>
          </w:p>
        </w:tc>
        <w:tc>
          <w:tcPr>
            <w:tcW w:w="0" w:type="auto"/>
            <w:shd w:val="clear" w:color="auto" w:fill="FFFFFF" w:themeFill="background1"/>
          </w:tcPr>
          <w:p w14:paraId="72F81CA0" w14:textId="77777777" w:rsidR="00980069" w:rsidRPr="0034052D"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34052D">
              <w:rPr>
                <w:color w:val="000000"/>
              </w:rPr>
              <w:t>Medium</w:t>
            </w:r>
          </w:p>
        </w:tc>
      </w:tr>
      <w:tr w:rsidR="00980069" w:rsidRPr="00AF2EAD" w14:paraId="2461A291" w14:textId="77777777" w:rsidTr="00980069">
        <w:trPr>
          <w:trHeight w:val="159"/>
        </w:trPr>
        <w:tc>
          <w:tcPr>
            <w:cnfStyle w:val="001000000000" w:firstRow="0" w:lastRow="0" w:firstColumn="1" w:lastColumn="0" w:oddVBand="0" w:evenVBand="0" w:oddHBand="0" w:evenHBand="0" w:firstRowFirstColumn="0" w:firstRowLastColumn="0" w:lastRowFirstColumn="0" w:lastRowLastColumn="0"/>
            <w:tcW w:w="0" w:type="auto"/>
            <w:gridSpan w:val="8"/>
            <w:shd w:val="clear" w:color="auto" w:fill="201547" w:themeFill="text2"/>
          </w:tcPr>
          <w:p w14:paraId="48E7C43B" w14:textId="77777777" w:rsidR="00980069" w:rsidRPr="00AF2EAD" w:rsidRDefault="00980069" w:rsidP="00980069">
            <w:pPr>
              <w:pStyle w:val="TableTextLeftBold"/>
            </w:pPr>
            <w:r w:rsidRPr="00AF2EAD">
              <w:t>Ecological condition - Water</w:t>
            </w:r>
          </w:p>
        </w:tc>
        <w:tc>
          <w:tcPr>
            <w:tcW w:w="0" w:type="auto"/>
            <w:shd w:val="clear" w:color="auto" w:fill="201547" w:themeFill="text2"/>
          </w:tcPr>
          <w:p w14:paraId="7E5FDC81" w14:textId="77777777" w:rsidR="00980069" w:rsidRPr="00AF2EAD"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p>
        </w:tc>
        <w:tc>
          <w:tcPr>
            <w:tcW w:w="0" w:type="auto"/>
            <w:shd w:val="clear" w:color="auto" w:fill="201547" w:themeFill="text2"/>
          </w:tcPr>
          <w:p w14:paraId="3E9B2F3C" w14:textId="77777777" w:rsidR="00980069" w:rsidRPr="00AF2EAD"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p>
        </w:tc>
        <w:tc>
          <w:tcPr>
            <w:tcW w:w="0" w:type="auto"/>
            <w:shd w:val="clear" w:color="auto" w:fill="201547" w:themeFill="text2"/>
          </w:tcPr>
          <w:p w14:paraId="626FD9B3" w14:textId="77777777" w:rsidR="00980069" w:rsidRPr="00AF2EAD"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p>
        </w:tc>
        <w:tc>
          <w:tcPr>
            <w:tcW w:w="0" w:type="auto"/>
            <w:shd w:val="clear" w:color="auto" w:fill="201547" w:themeFill="text2"/>
          </w:tcPr>
          <w:p w14:paraId="77FF9E1C" w14:textId="77777777" w:rsidR="00980069" w:rsidRPr="0034052D"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p>
        </w:tc>
      </w:tr>
      <w:tr w:rsidR="00980069" w:rsidRPr="00AF2EAD" w14:paraId="27DB2BD5" w14:textId="77777777" w:rsidTr="00980069">
        <w:trPr>
          <w:trHeight w:val="288"/>
        </w:trPr>
        <w:tc>
          <w:tcPr>
            <w:cnfStyle w:val="001000000000" w:firstRow="0" w:lastRow="0" w:firstColumn="1" w:lastColumn="0" w:oddVBand="0" w:evenVBand="0" w:oddHBand="0" w:evenHBand="0" w:firstRowFirstColumn="0" w:firstRowLastColumn="0" w:lastRowFirstColumn="0" w:lastRowLastColumn="0"/>
            <w:tcW w:w="0" w:type="auto"/>
            <w:gridSpan w:val="2"/>
          </w:tcPr>
          <w:p w14:paraId="50A65B08" w14:textId="77777777" w:rsidR="00980069" w:rsidRPr="00AF2EAD" w:rsidRDefault="00980069" w:rsidP="00980069">
            <w:pPr>
              <w:pStyle w:val="TableTextLeft"/>
              <w:rPr>
                <w:rFonts w:cstheme="minorHAnsi"/>
              </w:rPr>
            </w:pPr>
            <w:r>
              <w:rPr>
                <w:rFonts w:cstheme="minorHAnsi"/>
              </w:rPr>
              <w:t>Stream</w:t>
            </w:r>
            <w:r w:rsidRPr="00AF2EAD">
              <w:rPr>
                <w:rFonts w:cstheme="minorHAnsi"/>
              </w:rPr>
              <w:t xml:space="preserve"> condition (index)</w:t>
            </w:r>
          </w:p>
        </w:tc>
        <w:tc>
          <w:tcPr>
            <w:tcW w:w="0" w:type="auto"/>
            <w:shd w:val="clear" w:color="auto" w:fill="FFFFFF" w:themeFill="background1"/>
          </w:tcPr>
          <w:p w14:paraId="18FF3141" w14:textId="77777777" w:rsidR="00980069" w:rsidRPr="00AF2EAD"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Streams</w:t>
            </w:r>
          </w:p>
        </w:tc>
        <w:tc>
          <w:tcPr>
            <w:tcW w:w="0" w:type="auto"/>
            <w:shd w:val="clear" w:color="auto" w:fill="FFFFFF" w:themeFill="background1"/>
          </w:tcPr>
          <w:p w14:paraId="11113AF2" w14:textId="77777777" w:rsidR="00980069" w:rsidRPr="00AF2EAD"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sidRPr="00AF2EAD">
              <w:rPr>
                <w:rFonts w:cstheme="minorHAnsi"/>
              </w:rPr>
              <w:t>Freshwater ecosystem services</w:t>
            </w:r>
          </w:p>
        </w:tc>
        <w:tc>
          <w:tcPr>
            <w:tcW w:w="0" w:type="auto"/>
            <w:shd w:val="clear" w:color="auto" w:fill="FFFFFF" w:themeFill="background1"/>
          </w:tcPr>
          <w:p w14:paraId="5D0F0F75" w14:textId="77777777" w:rsidR="00980069" w:rsidRPr="00AF2EAD"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sidRPr="00AF2EAD">
              <w:rPr>
                <w:rFonts w:cstheme="minorHAnsi"/>
                <w:color w:val="000000"/>
              </w:rPr>
              <w:t>1:25k</w:t>
            </w:r>
          </w:p>
        </w:tc>
        <w:tc>
          <w:tcPr>
            <w:tcW w:w="0" w:type="auto"/>
            <w:shd w:val="clear" w:color="auto" w:fill="FFFFFF" w:themeFill="background1"/>
          </w:tcPr>
          <w:p w14:paraId="25D0E887" w14:textId="77777777" w:rsidR="00980069" w:rsidRPr="00AF2EAD"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sidRPr="00AF2EAD">
              <w:rPr>
                <w:rFonts w:cstheme="minorHAnsi"/>
                <w:color w:val="000000"/>
              </w:rPr>
              <w:t>DELWP</w:t>
            </w:r>
            <w:r>
              <w:rPr>
                <w:rFonts w:cstheme="minorHAnsi"/>
                <w:color w:val="000000"/>
              </w:rPr>
              <w:t xml:space="preserve"> (2010)</w:t>
            </w:r>
          </w:p>
        </w:tc>
        <w:tc>
          <w:tcPr>
            <w:tcW w:w="0" w:type="auto"/>
            <w:shd w:val="clear" w:color="auto" w:fill="FFFFFF" w:themeFill="background1"/>
          </w:tcPr>
          <w:p w14:paraId="5A754188" w14:textId="77777777" w:rsidR="00980069" w:rsidRPr="00AF2EAD"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sidRPr="00AF2EAD">
              <w:rPr>
                <w:rFonts w:cstheme="minorHAnsi"/>
                <w:color w:val="000000"/>
              </w:rPr>
              <w:t>2010</w:t>
            </w:r>
          </w:p>
        </w:tc>
        <w:tc>
          <w:tcPr>
            <w:tcW w:w="0" w:type="auto"/>
            <w:shd w:val="clear" w:color="auto" w:fill="FFFFFF" w:themeFill="background1"/>
          </w:tcPr>
          <w:p w14:paraId="5F5FEAFA" w14:textId="77777777" w:rsidR="00980069" w:rsidRPr="00AF2EAD"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sidRPr="00AF2EAD">
              <w:rPr>
                <w:rFonts w:cstheme="minorHAnsi"/>
                <w:color w:val="000000"/>
              </w:rPr>
              <w:t>Score 0-50</w:t>
            </w:r>
          </w:p>
        </w:tc>
        <w:tc>
          <w:tcPr>
            <w:tcW w:w="0" w:type="auto"/>
            <w:shd w:val="clear" w:color="auto" w:fill="FFFFFF" w:themeFill="background1"/>
          </w:tcPr>
          <w:p w14:paraId="7DC65A39" w14:textId="77777777" w:rsidR="00980069" w:rsidRPr="00AF2EAD"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sidRPr="00AF2EAD">
              <w:rPr>
                <w:rFonts w:cstheme="minorHAnsi"/>
                <w:color w:val="000000"/>
              </w:rPr>
              <w:t>32</w:t>
            </w:r>
          </w:p>
        </w:tc>
        <w:tc>
          <w:tcPr>
            <w:tcW w:w="0" w:type="auto"/>
            <w:shd w:val="clear" w:color="auto" w:fill="FFFFFF" w:themeFill="background1"/>
          </w:tcPr>
          <w:p w14:paraId="3D804201" w14:textId="77777777" w:rsidR="00980069" w:rsidRPr="00AF2EAD"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sidRPr="00AF2EAD">
              <w:rPr>
                <w:rFonts w:cstheme="minorHAnsi"/>
                <w:color w:val="000000"/>
              </w:rPr>
              <w:t>34</w:t>
            </w:r>
          </w:p>
        </w:tc>
        <w:tc>
          <w:tcPr>
            <w:tcW w:w="0" w:type="auto"/>
            <w:shd w:val="clear" w:color="auto" w:fill="FFFFFF" w:themeFill="background1"/>
          </w:tcPr>
          <w:p w14:paraId="7C70FF98" w14:textId="77777777" w:rsidR="00980069" w:rsidRPr="00AF2EAD"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sidRPr="00AF2EAD">
              <w:rPr>
                <w:rFonts w:cstheme="minorHAnsi"/>
                <w:color w:val="000000"/>
              </w:rPr>
              <w:t>3</w:t>
            </w:r>
            <w:r>
              <w:rPr>
                <w:rFonts w:cstheme="minorHAnsi"/>
                <w:color w:val="000000"/>
              </w:rPr>
              <w:t>4</w:t>
            </w:r>
          </w:p>
        </w:tc>
        <w:tc>
          <w:tcPr>
            <w:tcW w:w="0" w:type="auto"/>
            <w:shd w:val="clear" w:color="auto" w:fill="FFFFFF" w:themeFill="background1"/>
          </w:tcPr>
          <w:p w14:paraId="160A6541" w14:textId="77777777" w:rsidR="00980069" w:rsidRPr="0034052D"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34052D">
              <w:rPr>
                <w:rFonts w:cstheme="minorHAnsi"/>
                <w:color w:val="000000"/>
              </w:rPr>
              <w:t>Medium</w:t>
            </w:r>
          </w:p>
        </w:tc>
      </w:tr>
      <w:tr w:rsidR="00980069" w:rsidRPr="00AD4999" w14:paraId="4DD7F5F3" w14:textId="77777777" w:rsidTr="00980069">
        <w:trPr>
          <w:trHeight w:val="296"/>
        </w:trPr>
        <w:tc>
          <w:tcPr>
            <w:cnfStyle w:val="001000000000" w:firstRow="0" w:lastRow="0" w:firstColumn="1" w:lastColumn="0" w:oddVBand="0" w:evenVBand="0" w:oddHBand="0" w:evenHBand="0" w:firstRowFirstColumn="0" w:firstRowLastColumn="0" w:lastRowFirstColumn="0" w:lastRowLastColumn="0"/>
            <w:tcW w:w="0" w:type="auto"/>
            <w:gridSpan w:val="2"/>
          </w:tcPr>
          <w:p w14:paraId="1E2D4D38" w14:textId="77777777" w:rsidR="00980069" w:rsidRPr="00AF2EAD" w:rsidRDefault="00980069" w:rsidP="00980069">
            <w:pPr>
              <w:pStyle w:val="TableTextLeft"/>
              <w:rPr>
                <w:rFonts w:cstheme="minorHAnsi"/>
              </w:rPr>
            </w:pPr>
            <w:r w:rsidRPr="00AF2EAD">
              <w:rPr>
                <w:rFonts w:cstheme="minorHAnsi"/>
              </w:rPr>
              <w:t>Estuary condition (index)</w:t>
            </w:r>
          </w:p>
        </w:tc>
        <w:tc>
          <w:tcPr>
            <w:tcW w:w="0" w:type="auto"/>
            <w:shd w:val="clear" w:color="auto" w:fill="FFFFFF" w:themeFill="background1"/>
          </w:tcPr>
          <w:p w14:paraId="4AF811B8" w14:textId="77777777" w:rsidR="00980069" w:rsidRPr="00AF2EAD"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sidRPr="00AF2EAD">
              <w:rPr>
                <w:rFonts w:cstheme="minorHAnsi"/>
              </w:rPr>
              <w:t>Estuaries</w:t>
            </w:r>
          </w:p>
        </w:tc>
        <w:tc>
          <w:tcPr>
            <w:tcW w:w="0" w:type="auto"/>
            <w:shd w:val="clear" w:color="auto" w:fill="FFFFFF" w:themeFill="background1"/>
          </w:tcPr>
          <w:p w14:paraId="29CC9869" w14:textId="77777777" w:rsidR="00980069" w:rsidRPr="00AF2EAD"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sidRPr="00AF2EAD">
              <w:rPr>
                <w:rFonts w:cstheme="minorHAnsi"/>
              </w:rPr>
              <w:t>Freshwater ecosystem services</w:t>
            </w:r>
          </w:p>
        </w:tc>
        <w:tc>
          <w:tcPr>
            <w:tcW w:w="0" w:type="auto"/>
            <w:shd w:val="clear" w:color="auto" w:fill="FFFFFF" w:themeFill="background1"/>
          </w:tcPr>
          <w:p w14:paraId="28FFC272" w14:textId="77777777" w:rsidR="00980069" w:rsidRPr="00AF2EAD"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sidRPr="00AF2EAD">
              <w:rPr>
                <w:rFonts w:cstheme="minorHAnsi"/>
                <w:color w:val="000000"/>
              </w:rPr>
              <w:t>1:25k</w:t>
            </w:r>
          </w:p>
        </w:tc>
        <w:tc>
          <w:tcPr>
            <w:tcW w:w="0" w:type="auto"/>
            <w:shd w:val="clear" w:color="auto" w:fill="FFFFFF" w:themeFill="background1"/>
          </w:tcPr>
          <w:p w14:paraId="76D36222" w14:textId="77777777" w:rsidR="00980069" w:rsidRPr="00AF2EAD"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sidRPr="00AF2EAD">
              <w:rPr>
                <w:rFonts w:cstheme="minorHAnsi"/>
                <w:color w:val="000000"/>
              </w:rPr>
              <w:t>DELWP</w:t>
            </w:r>
            <w:r>
              <w:rPr>
                <w:rFonts w:cstheme="minorHAnsi"/>
                <w:color w:val="000000"/>
              </w:rPr>
              <w:t xml:space="preserve"> (2021b)</w:t>
            </w:r>
          </w:p>
        </w:tc>
        <w:tc>
          <w:tcPr>
            <w:tcW w:w="0" w:type="auto"/>
            <w:shd w:val="clear" w:color="auto" w:fill="FFFFFF" w:themeFill="background1"/>
          </w:tcPr>
          <w:p w14:paraId="2668A093" w14:textId="77777777" w:rsidR="00980069" w:rsidRPr="00AF2EAD"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sidRPr="00AF2EAD">
              <w:rPr>
                <w:rFonts w:cstheme="minorHAnsi"/>
                <w:color w:val="000000"/>
              </w:rPr>
              <w:t>20</w:t>
            </w:r>
            <w:r>
              <w:rPr>
                <w:rFonts w:cstheme="minorHAnsi"/>
                <w:color w:val="000000"/>
              </w:rPr>
              <w:t>21</w:t>
            </w:r>
          </w:p>
        </w:tc>
        <w:tc>
          <w:tcPr>
            <w:tcW w:w="0" w:type="auto"/>
            <w:shd w:val="clear" w:color="auto" w:fill="FFFFFF" w:themeFill="background1"/>
          </w:tcPr>
          <w:p w14:paraId="16E4E260" w14:textId="77777777" w:rsidR="00980069" w:rsidRPr="0034052D"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sidRPr="0034052D">
              <w:rPr>
                <w:rFonts w:cstheme="minorHAnsi"/>
                <w:color w:val="000000"/>
              </w:rPr>
              <w:t>Score 0-50</w:t>
            </w:r>
          </w:p>
        </w:tc>
        <w:tc>
          <w:tcPr>
            <w:tcW w:w="0" w:type="auto"/>
            <w:shd w:val="clear" w:color="auto" w:fill="FFFFFF" w:themeFill="background1"/>
          </w:tcPr>
          <w:p w14:paraId="65CD2E7A" w14:textId="77777777" w:rsidR="00980069" w:rsidRPr="0034052D"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vertAlign w:val="superscript"/>
              </w:rPr>
            </w:pPr>
            <w:r w:rsidRPr="0034052D">
              <w:rPr>
                <w:rFonts w:cstheme="minorHAnsi"/>
                <w:color w:val="000000"/>
              </w:rPr>
              <w:t>n/a</w:t>
            </w:r>
            <w:r w:rsidRPr="0034052D">
              <w:rPr>
                <w:rFonts w:cstheme="minorHAnsi"/>
                <w:color w:val="000000"/>
                <w:vertAlign w:val="superscript"/>
              </w:rPr>
              <w:t xml:space="preserve"> </w:t>
            </w:r>
            <w:r w:rsidRPr="0034052D">
              <w:rPr>
                <w:rFonts w:cstheme="minorHAnsi"/>
                <w:vertAlign w:val="superscript"/>
              </w:rPr>
              <w:t>b</w:t>
            </w:r>
          </w:p>
        </w:tc>
        <w:tc>
          <w:tcPr>
            <w:tcW w:w="0" w:type="auto"/>
            <w:shd w:val="clear" w:color="auto" w:fill="FFFFFF" w:themeFill="background1"/>
          </w:tcPr>
          <w:p w14:paraId="0B7CE19B" w14:textId="77777777" w:rsidR="00980069" w:rsidRPr="00AD4999"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highlight w:val="yellow"/>
              </w:rPr>
            </w:pPr>
            <w:r w:rsidRPr="00AF2EAD">
              <w:rPr>
                <w:rFonts w:cstheme="minorHAnsi"/>
                <w:color w:val="000000"/>
              </w:rPr>
              <w:t>31</w:t>
            </w:r>
          </w:p>
        </w:tc>
        <w:tc>
          <w:tcPr>
            <w:tcW w:w="0" w:type="auto"/>
            <w:shd w:val="clear" w:color="auto" w:fill="FFFFFF" w:themeFill="background1"/>
          </w:tcPr>
          <w:p w14:paraId="50E79E45" w14:textId="77777777" w:rsidR="00980069" w:rsidRPr="00AD4999"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highlight w:val="yellow"/>
              </w:rPr>
            </w:pPr>
            <w:r w:rsidRPr="00AF2EAD">
              <w:rPr>
                <w:rFonts w:cstheme="minorHAnsi"/>
                <w:color w:val="000000"/>
              </w:rPr>
              <w:t>31</w:t>
            </w:r>
          </w:p>
        </w:tc>
        <w:tc>
          <w:tcPr>
            <w:tcW w:w="0" w:type="auto"/>
            <w:shd w:val="clear" w:color="auto" w:fill="FFFFFF" w:themeFill="background1"/>
          </w:tcPr>
          <w:p w14:paraId="60AFA84A" w14:textId="77777777" w:rsidR="00980069" w:rsidRPr="0034052D"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34052D">
              <w:rPr>
                <w:rFonts w:cstheme="minorHAnsi"/>
                <w:color w:val="000000"/>
              </w:rPr>
              <w:t>Medium</w:t>
            </w:r>
          </w:p>
        </w:tc>
      </w:tr>
      <w:tr w:rsidR="00980069" w:rsidRPr="004537A1" w14:paraId="482907B6" w14:textId="77777777" w:rsidTr="00980069">
        <w:trPr>
          <w:trHeight w:val="159"/>
        </w:trPr>
        <w:tc>
          <w:tcPr>
            <w:cnfStyle w:val="001000000000" w:firstRow="0" w:lastRow="0" w:firstColumn="1" w:lastColumn="0" w:oddVBand="0" w:evenVBand="0" w:oddHBand="0" w:evenHBand="0" w:firstRowFirstColumn="0" w:firstRowLastColumn="0" w:lastRowFirstColumn="0" w:lastRowLastColumn="0"/>
            <w:tcW w:w="0" w:type="auto"/>
            <w:gridSpan w:val="11"/>
            <w:shd w:val="clear" w:color="auto" w:fill="201547" w:themeFill="text2"/>
          </w:tcPr>
          <w:p w14:paraId="710347A9" w14:textId="77777777" w:rsidR="00980069" w:rsidRPr="004537A1" w:rsidRDefault="00980069" w:rsidP="00980069">
            <w:pPr>
              <w:pStyle w:val="TableTextLeftBold"/>
              <w:rPr>
                <w:rFonts w:cstheme="minorHAnsi"/>
              </w:rPr>
            </w:pPr>
            <w:r w:rsidRPr="00C42A44">
              <w:t xml:space="preserve">Ecological condition </w:t>
            </w:r>
            <w:r>
              <w:t>–</w:t>
            </w:r>
            <w:r w:rsidRPr="00C42A44">
              <w:t xml:space="preserve"> Carbon</w:t>
            </w:r>
          </w:p>
        </w:tc>
        <w:tc>
          <w:tcPr>
            <w:tcW w:w="0" w:type="auto"/>
            <w:shd w:val="clear" w:color="auto" w:fill="201547" w:themeFill="text2"/>
          </w:tcPr>
          <w:p w14:paraId="25E11D2D" w14:textId="77777777" w:rsidR="00980069" w:rsidRPr="0034052D"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p>
        </w:tc>
      </w:tr>
      <w:tr w:rsidR="00980069" w:rsidRPr="00C4493F" w14:paraId="365FA6B9" w14:textId="77777777" w:rsidTr="00980069">
        <w:trPr>
          <w:trHeight w:val="159"/>
        </w:trPr>
        <w:tc>
          <w:tcPr>
            <w:cnfStyle w:val="001000000000" w:firstRow="0" w:lastRow="0" w:firstColumn="1" w:lastColumn="0" w:oddVBand="0" w:evenVBand="0" w:oddHBand="0" w:evenHBand="0" w:firstRowFirstColumn="0" w:firstRowLastColumn="0" w:lastRowFirstColumn="0" w:lastRowLastColumn="0"/>
            <w:tcW w:w="0" w:type="auto"/>
            <w:gridSpan w:val="2"/>
          </w:tcPr>
          <w:p w14:paraId="6919AC14" w14:textId="77777777" w:rsidR="00980069" w:rsidRPr="00C4493F" w:rsidRDefault="00980069" w:rsidP="00980069">
            <w:pPr>
              <w:pStyle w:val="TableTextLeft"/>
            </w:pPr>
            <w:r w:rsidRPr="00C4493F">
              <w:t>Carbon stock</w:t>
            </w:r>
          </w:p>
        </w:tc>
        <w:tc>
          <w:tcPr>
            <w:tcW w:w="0" w:type="auto"/>
            <w:shd w:val="clear" w:color="auto" w:fill="FFFFFF" w:themeFill="background1"/>
          </w:tcPr>
          <w:p w14:paraId="18EB68BD" w14:textId="77777777" w:rsidR="00980069" w:rsidRPr="00C4493F"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t>All</w:t>
            </w:r>
          </w:p>
        </w:tc>
        <w:tc>
          <w:tcPr>
            <w:tcW w:w="0" w:type="auto"/>
            <w:shd w:val="clear" w:color="auto" w:fill="FFFFFF" w:themeFill="background1"/>
          </w:tcPr>
          <w:p w14:paraId="1A1DDC9A" w14:textId="77777777" w:rsidR="00980069" w:rsidRPr="00C4493F"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C4493F">
              <w:t>Global climate regulation</w:t>
            </w:r>
          </w:p>
        </w:tc>
        <w:tc>
          <w:tcPr>
            <w:tcW w:w="0" w:type="auto"/>
            <w:shd w:val="clear" w:color="auto" w:fill="FFFFFF" w:themeFill="background1"/>
          </w:tcPr>
          <w:p w14:paraId="06A4AD6E" w14:textId="77777777" w:rsidR="00980069" w:rsidRPr="00C4493F"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C4493F">
              <w:t>100m grid</w:t>
            </w:r>
          </w:p>
        </w:tc>
        <w:tc>
          <w:tcPr>
            <w:tcW w:w="0" w:type="auto"/>
            <w:shd w:val="clear" w:color="auto" w:fill="FFFFFF" w:themeFill="background1"/>
          </w:tcPr>
          <w:p w14:paraId="769E1240" w14:textId="77777777" w:rsidR="00980069" w:rsidRPr="00C4493F"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C4493F">
              <w:t xml:space="preserve">DISER </w:t>
            </w:r>
            <w:r>
              <w:t>(2021)</w:t>
            </w:r>
          </w:p>
        </w:tc>
        <w:tc>
          <w:tcPr>
            <w:tcW w:w="0" w:type="auto"/>
            <w:shd w:val="clear" w:color="auto" w:fill="FFFFFF" w:themeFill="background1"/>
          </w:tcPr>
          <w:p w14:paraId="292F116B" w14:textId="77777777" w:rsidR="00980069" w:rsidRPr="00C4493F"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C4493F">
              <w:t>2019</w:t>
            </w:r>
          </w:p>
        </w:tc>
        <w:tc>
          <w:tcPr>
            <w:tcW w:w="0" w:type="auto"/>
            <w:shd w:val="clear" w:color="auto" w:fill="FFFFFF" w:themeFill="background1"/>
          </w:tcPr>
          <w:p w14:paraId="0DBC0C91" w14:textId="77777777" w:rsidR="00980069" w:rsidRPr="00C4493F"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C4493F">
              <w:t>tCO2e</w:t>
            </w:r>
          </w:p>
        </w:tc>
        <w:tc>
          <w:tcPr>
            <w:tcW w:w="0" w:type="auto"/>
            <w:shd w:val="clear" w:color="auto" w:fill="FFFFFF" w:themeFill="background1"/>
          </w:tcPr>
          <w:p w14:paraId="023AD03A" w14:textId="77777777" w:rsidR="00980069" w:rsidRPr="00C4493F"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t>-</w:t>
            </w:r>
          </w:p>
        </w:tc>
        <w:tc>
          <w:tcPr>
            <w:tcW w:w="0" w:type="auto"/>
            <w:shd w:val="clear" w:color="auto" w:fill="FFFFFF" w:themeFill="background1"/>
          </w:tcPr>
          <w:p w14:paraId="2552E15E" w14:textId="77777777" w:rsidR="00980069" w:rsidRPr="00C4493F"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t>-</w:t>
            </w:r>
          </w:p>
        </w:tc>
        <w:tc>
          <w:tcPr>
            <w:tcW w:w="0" w:type="auto"/>
            <w:shd w:val="clear" w:color="auto" w:fill="FFFFFF" w:themeFill="background1"/>
          </w:tcPr>
          <w:p w14:paraId="779C91A3" w14:textId="77777777" w:rsidR="00980069" w:rsidRPr="00C4493F"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t>35,500,000</w:t>
            </w:r>
          </w:p>
        </w:tc>
        <w:tc>
          <w:tcPr>
            <w:tcW w:w="0" w:type="auto"/>
            <w:shd w:val="clear" w:color="auto" w:fill="FFFFFF" w:themeFill="background1"/>
          </w:tcPr>
          <w:p w14:paraId="4C8C1DCA" w14:textId="77777777" w:rsidR="00980069" w:rsidRPr="0034052D"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34052D">
              <w:t>Medium</w:t>
            </w:r>
          </w:p>
        </w:tc>
      </w:tr>
      <w:tr w:rsidR="00980069" w:rsidRPr="004537A1" w14:paraId="327CC8A9" w14:textId="77777777" w:rsidTr="00980069">
        <w:trPr>
          <w:trHeight w:val="159"/>
        </w:trPr>
        <w:tc>
          <w:tcPr>
            <w:cnfStyle w:val="001000000000" w:firstRow="0" w:lastRow="0" w:firstColumn="1" w:lastColumn="0" w:oddVBand="0" w:evenVBand="0" w:oddHBand="0" w:evenHBand="0" w:firstRowFirstColumn="0" w:firstRowLastColumn="0" w:lastRowFirstColumn="0" w:lastRowLastColumn="0"/>
            <w:tcW w:w="0" w:type="auto"/>
            <w:gridSpan w:val="11"/>
            <w:shd w:val="clear" w:color="auto" w:fill="201547" w:themeFill="text2"/>
          </w:tcPr>
          <w:p w14:paraId="0E8BE6F8" w14:textId="77777777" w:rsidR="00980069" w:rsidRPr="004537A1" w:rsidRDefault="00980069" w:rsidP="00980069">
            <w:pPr>
              <w:pStyle w:val="TableTextLeftBold"/>
              <w:rPr>
                <w:rFonts w:cstheme="minorHAnsi"/>
              </w:rPr>
            </w:pPr>
            <w:r w:rsidRPr="00C42A44">
              <w:t xml:space="preserve">Socio-economic characteristics </w:t>
            </w:r>
            <w:r>
              <w:t>–</w:t>
            </w:r>
            <w:r w:rsidRPr="00C42A44">
              <w:t xml:space="preserve"> Location</w:t>
            </w:r>
          </w:p>
        </w:tc>
        <w:tc>
          <w:tcPr>
            <w:tcW w:w="0" w:type="auto"/>
            <w:shd w:val="clear" w:color="auto" w:fill="201547" w:themeFill="text2"/>
          </w:tcPr>
          <w:p w14:paraId="282870D1" w14:textId="77777777" w:rsidR="00980069" w:rsidRPr="0034052D"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p>
        </w:tc>
      </w:tr>
      <w:tr w:rsidR="00980069" w:rsidRPr="00E47550" w14:paraId="5E78F2B9" w14:textId="77777777" w:rsidTr="00980069">
        <w:trPr>
          <w:trHeight w:val="191"/>
        </w:trPr>
        <w:tc>
          <w:tcPr>
            <w:cnfStyle w:val="001000000000" w:firstRow="0" w:lastRow="0" w:firstColumn="1" w:lastColumn="0" w:oddVBand="0" w:evenVBand="0" w:oddHBand="0" w:evenHBand="0" w:firstRowFirstColumn="0" w:firstRowLastColumn="0" w:lastRowFirstColumn="0" w:lastRowLastColumn="0"/>
            <w:tcW w:w="0" w:type="auto"/>
            <w:gridSpan w:val="2"/>
          </w:tcPr>
          <w:p w14:paraId="782AC0DA" w14:textId="77777777" w:rsidR="00980069" w:rsidRPr="00E47550" w:rsidRDefault="00980069" w:rsidP="00980069">
            <w:pPr>
              <w:pStyle w:val="TableTextLeft"/>
            </w:pPr>
            <w:r w:rsidRPr="00E47550">
              <w:t>Landscape</w:t>
            </w:r>
            <w:r>
              <w:t>/</w:t>
            </w:r>
            <w:r w:rsidRPr="00E47550">
              <w:t>seascape views</w:t>
            </w:r>
            <w:r>
              <w:t xml:space="preserve"> from road</w:t>
            </w:r>
          </w:p>
        </w:tc>
        <w:tc>
          <w:tcPr>
            <w:tcW w:w="0" w:type="auto"/>
            <w:shd w:val="clear" w:color="auto" w:fill="FFFFFF" w:themeFill="background1"/>
          </w:tcPr>
          <w:p w14:paraId="1B3553A6" w14:textId="77777777" w:rsidR="00980069" w:rsidRPr="00E47550"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E47550">
              <w:t xml:space="preserve">All </w:t>
            </w:r>
          </w:p>
        </w:tc>
        <w:tc>
          <w:tcPr>
            <w:tcW w:w="0" w:type="auto"/>
            <w:shd w:val="clear" w:color="auto" w:fill="FFFFFF" w:themeFill="background1"/>
          </w:tcPr>
          <w:p w14:paraId="67D6C2B9" w14:textId="77777777" w:rsidR="00980069" w:rsidRPr="00E47550"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E47550">
              <w:t>Aesthetics / Recreation</w:t>
            </w:r>
          </w:p>
        </w:tc>
        <w:tc>
          <w:tcPr>
            <w:tcW w:w="0" w:type="auto"/>
            <w:shd w:val="clear" w:color="auto" w:fill="FFFFFF" w:themeFill="background1"/>
          </w:tcPr>
          <w:p w14:paraId="34F90E9F" w14:textId="77777777" w:rsidR="00980069" w:rsidRPr="00E47550"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E47550">
              <w:t>25m grid</w:t>
            </w:r>
          </w:p>
        </w:tc>
        <w:tc>
          <w:tcPr>
            <w:tcW w:w="0" w:type="auto"/>
            <w:shd w:val="clear" w:color="auto" w:fill="FFFFFF" w:themeFill="background1"/>
          </w:tcPr>
          <w:p w14:paraId="51B2B451" w14:textId="77777777" w:rsidR="00980069" w:rsidRPr="00E47550"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E47550">
              <w:t>DELWP</w:t>
            </w:r>
            <w:r>
              <w:t xml:space="preserve"> (2016d)</w:t>
            </w:r>
          </w:p>
        </w:tc>
        <w:tc>
          <w:tcPr>
            <w:tcW w:w="0" w:type="auto"/>
            <w:shd w:val="clear" w:color="auto" w:fill="FFFFFF" w:themeFill="background1"/>
          </w:tcPr>
          <w:p w14:paraId="4FBC5700" w14:textId="77777777" w:rsidR="00980069" w:rsidRPr="00E47550"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E47550">
              <w:t>20</w:t>
            </w:r>
            <w:r>
              <w:t>16</w:t>
            </w:r>
          </w:p>
        </w:tc>
        <w:tc>
          <w:tcPr>
            <w:tcW w:w="0" w:type="auto"/>
            <w:shd w:val="clear" w:color="auto" w:fill="FFFFFF" w:themeFill="background1"/>
          </w:tcPr>
          <w:p w14:paraId="07627119" w14:textId="77777777" w:rsidR="00980069" w:rsidRPr="00E47550"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E47550">
              <w:t xml:space="preserve">% </w:t>
            </w:r>
            <w:r>
              <w:t xml:space="preserve">of </w:t>
            </w:r>
            <w:r w:rsidRPr="00E47550">
              <w:t>viewshed</w:t>
            </w:r>
          </w:p>
        </w:tc>
        <w:tc>
          <w:tcPr>
            <w:tcW w:w="0" w:type="auto"/>
            <w:shd w:val="clear" w:color="auto" w:fill="FFFFFF" w:themeFill="background1"/>
          </w:tcPr>
          <w:p w14:paraId="6699743E" w14:textId="77777777" w:rsidR="00980069" w:rsidRPr="00603C70"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vertAlign w:val="superscript"/>
              </w:rPr>
            </w:pPr>
            <w:r w:rsidRPr="00E47550">
              <w:t>87%</w:t>
            </w:r>
            <w:r>
              <w:rPr>
                <w:vertAlign w:val="superscript"/>
              </w:rPr>
              <w:t>c</w:t>
            </w:r>
          </w:p>
        </w:tc>
        <w:tc>
          <w:tcPr>
            <w:tcW w:w="0" w:type="auto"/>
            <w:shd w:val="clear" w:color="auto" w:fill="FFFFFF" w:themeFill="background1"/>
          </w:tcPr>
          <w:p w14:paraId="280D5627" w14:textId="77777777" w:rsidR="00980069" w:rsidRPr="00E47550"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E47550">
              <w:t>13%</w:t>
            </w:r>
          </w:p>
        </w:tc>
        <w:tc>
          <w:tcPr>
            <w:tcW w:w="0" w:type="auto"/>
            <w:shd w:val="clear" w:color="auto" w:fill="FFFFFF" w:themeFill="background1"/>
          </w:tcPr>
          <w:p w14:paraId="22AED1AA" w14:textId="77777777" w:rsidR="00980069" w:rsidRPr="00E47550"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t>100%</w:t>
            </w:r>
          </w:p>
        </w:tc>
        <w:tc>
          <w:tcPr>
            <w:tcW w:w="0" w:type="auto"/>
            <w:shd w:val="clear" w:color="auto" w:fill="FFFFFF" w:themeFill="background1"/>
          </w:tcPr>
          <w:p w14:paraId="27AE22C7" w14:textId="77777777" w:rsidR="00980069" w:rsidRPr="0034052D"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34052D">
              <w:t>Low</w:t>
            </w:r>
          </w:p>
        </w:tc>
      </w:tr>
      <w:tr w:rsidR="00980069" w:rsidRPr="00E47550" w14:paraId="2C749604" w14:textId="77777777" w:rsidTr="00980069">
        <w:trPr>
          <w:trHeight w:val="191"/>
        </w:trPr>
        <w:tc>
          <w:tcPr>
            <w:cnfStyle w:val="001000000000" w:firstRow="0" w:lastRow="0" w:firstColumn="1" w:lastColumn="0" w:oddVBand="0" w:evenVBand="0" w:oddHBand="0" w:evenHBand="0" w:firstRowFirstColumn="0" w:firstRowLastColumn="0" w:lastRowFirstColumn="0" w:lastRowLastColumn="0"/>
            <w:tcW w:w="0" w:type="auto"/>
            <w:gridSpan w:val="2"/>
          </w:tcPr>
          <w:p w14:paraId="61049984" w14:textId="77777777" w:rsidR="00980069" w:rsidRPr="000D484D" w:rsidRDefault="00980069" w:rsidP="00980069">
            <w:pPr>
              <w:pStyle w:val="TableTextLeft"/>
            </w:pPr>
            <w:r w:rsidRPr="000D484D">
              <w:t>Light pollution</w:t>
            </w:r>
          </w:p>
        </w:tc>
        <w:tc>
          <w:tcPr>
            <w:tcW w:w="0" w:type="auto"/>
            <w:shd w:val="clear" w:color="auto" w:fill="FFFFFF" w:themeFill="background1"/>
          </w:tcPr>
          <w:p w14:paraId="088255E4" w14:textId="77777777" w:rsidR="00980069" w:rsidRPr="000D484D"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0D484D">
              <w:t>All</w:t>
            </w:r>
          </w:p>
        </w:tc>
        <w:tc>
          <w:tcPr>
            <w:tcW w:w="0" w:type="auto"/>
            <w:shd w:val="clear" w:color="auto" w:fill="FFFFFF" w:themeFill="background1"/>
          </w:tcPr>
          <w:p w14:paraId="0B25C5C0" w14:textId="77777777" w:rsidR="00980069" w:rsidRPr="000D484D"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0D484D">
              <w:rPr>
                <w:rStyle w:val="normaltextrun"/>
                <w:rFonts w:cs="Arial"/>
              </w:rPr>
              <w:t>Aesthetics / Recreation</w:t>
            </w:r>
            <w:r w:rsidRPr="003D4383">
              <w:t> </w:t>
            </w:r>
          </w:p>
        </w:tc>
        <w:tc>
          <w:tcPr>
            <w:tcW w:w="0" w:type="auto"/>
            <w:shd w:val="clear" w:color="auto" w:fill="FFFFFF" w:themeFill="background1"/>
          </w:tcPr>
          <w:p w14:paraId="432019E3" w14:textId="77777777" w:rsidR="00980069" w:rsidRPr="000D484D"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0D484D">
              <w:rPr>
                <w:rStyle w:val="normaltextrun"/>
                <w:rFonts w:cs="Arial"/>
              </w:rPr>
              <w:t>350m</w:t>
            </w:r>
            <w:r w:rsidRPr="003D4383">
              <w:t> </w:t>
            </w:r>
          </w:p>
        </w:tc>
        <w:tc>
          <w:tcPr>
            <w:tcW w:w="0" w:type="auto"/>
            <w:shd w:val="clear" w:color="auto" w:fill="FFFFFF" w:themeFill="background1"/>
          </w:tcPr>
          <w:p w14:paraId="418DE9B7" w14:textId="77777777" w:rsidR="00980069" w:rsidRPr="000D484D"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0D484D">
              <w:rPr>
                <w:rStyle w:val="normaltextrun"/>
              </w:rPr>
              <w:t>Stare (2021)</w:t>
            </w:r>
            <w:r w:rsidRPr="003D4383">
              <w:t> </w:t>
            </w:r>
          </w:p>
        </w:tc>
        <w:tc>
          <w:tcPr>
            <w:tcW w:w="0" w:type="auto"/>
            <w:shd w:val="clear" w:color="auto" w:fill="FFFFFF" w:themeFill="background1"/>
          </w:tcPr>
          <w:p w14:paraId="7C4BD98F" w14:textId="77777777" w:rsidR="00980069" w:rsidRPr="000D484D"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0D484D">
              <w:rPr>
                <w:rStyle w:val="normaltextrun"/>
                <w:rFonts w:cs="Arial"/>
              </w:rPr>
              <w:t>2019</w:t>
            </w:r>
            <w:r w:rsidRPr="003D4383">
              <w:t> </w:t>
            </w:r>
          </w:p>
        </w:tc>
        <w:tc>
          <w:tcPr>
            <w:tcW w:w="0" w:type="auto"/>
            <w:shd w:val="clear" w:color="auto" w:fill="FFFFFF" w:themeFill="background1"/>
          </w:tcPr>
          <w:p w14:paraId="04E6391D" w14:textId="77777777" w:rsidR="00980069" w:rsidRPr="000D484D"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0D484D">
              <w:rPr>
                <w:rStyle w:val="normaltextrun"/>
                <w:rFonts w:cs="Arial"/>
              </w:rPr>
              <w:t>Bortle Scale 1-9</w:t>
            </w:r>
            <w:r w:rsidRPr="003D4383">
              <w:t> </w:t>
            </w:r>
          </w:p>
        </w:tc>
        <w:tc>
          <w:tcPr>
            <w:tcW w:w="0" w:type="auto"/>
            <w:shd w:val="clear" w:color="auto" w:fill="FFFFFF" w:themeFill="background1"/>
          </w:tcPr>
          <w:p w14:paraId="0F29D23F" w14:textId="77777777" w:rsidR="00980069" w:rsidRPr="000D484D"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0D484D">
              <w:rPr>
                <w:rStyle w:val="normaltextrun"/>
                <w:rFonts w:cs="Arial"/>
              </w:rPr>
              <w:t>-</w:t>
            </w:r>
            <w:r w:rsidRPr="003D4383">
              <w:t> </w:t>
            </w:r>
          </w:p>
        </w:tc>
        <w:tc>
          <w:tcPr>
            <w:tcW w:w="0" w:type="auto"/>
            <w:shd w:val="clear" w:color="auto" w:fill="FFFFFF" w:themeFill="background1"/>
          </w:tcPr>
          <w:p w14:paraId="52738404" w14:textId="77777777" w:rsidR="00980069" w:rsidRPr="000D484D"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0D484D">
              <w:rPr>
                <w:rStyle w:val="normaltextrun"/>
                <w:rFonts w:cs="Arial"/>
              </w:rPr>
              <w:t>-</w:t>
            </w:r>
            <w:r w:rsidRPr="003D4383">
              <w:t> </w:t>
            </w:r>
          </w:p>
        </w:tc>
        <w:tc>
          <w:tcPr>
            <w:tcW w:w="0" w:type="auto"/>
            <w:shd w:val="clear" w:color="auto" w:fill="FFFFFF" w:themeFill="background1"/>
          </w:tcPr>
          <w:p w14:paraId="349C7215" w14:textId="77777777" w:rsidR="00980069" w:rsidRPr="000D484D"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0D484D">
              <w:rPr>
                <w:rStyle w:val="normaltextrun"/>
                <w:rFonts w:cs="Arial"/>
              </w:rPr>
              <w:t>1</w:t>
            </w:r>
            <w:r w:rsidRPr="003D4383">
              <w:t> </w:t>
            </w:r>
          </w:p>
        </w:tc>
        <w:tc>
          <w:tcPr>
            <w:tcW w:w="0" w:type="auto"/>
            <w:shd w:val="clear" w:color="auto" w:fill="FFFFFF" w:themeFill="background1"/>
          </w:tcPr>
          <w:p w14:paraId="70D1674B" w14:textId="77777777" w:rsidR="00980069" w:rsidRPr="000D484D"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0D484D">
              <w:rPr>
                <w:rStyle w:val="normaltextrun"/>
                <w:rFonts w:cs="Arial"/>
              </w:rPr>
              <w:t>Low</w:t>
            </w:r>
            <w:r w:rsidRPr="003D4383">
              <w:t> </w:t>
            </w:r>
          </w:p>
        </w:tc>
      </w:tr>
      <w:tr w:rsidR="00980069" w14:paraId="55C8B5DB" w14:textId="77777777" w:rsidTr="00980069">
        <w:trPr>
          <w:trHeight w:val="191"/>
        </w:trPr>
        <w:tc>
          <w:tcPr>
            <w:cnfStyle w:val="001000000000" w:firstRow="0" w:lastRow="0" w:firstColumn="1" w:lastColumn="0" w:oddVBand="0" w:evenVBand="0" w:oddHBand="0" w:evenHBand="0" w:firstRowFirstColumn="0" w:firstRowLastColumn="0" w:lastRowFirstColumn="0" w:lastRowLastColumn="0"/>
            <w:tcW w:w="0" w:type="auto"/>
            <w:gridSpan w:val="11"/>
            <w:shd w:val="clear" w:color="auto" w:fill="201547" w:themeFill="text2"/>
          </w:tcPr>
          <w:p w14:paraId="0FABF557" w14:textId="77777777" w:rsidR="00980069" w:rsidRDefault="00980069" w:rsidP="00980069">
            <w:pPr>
              <w:pStyle w:val="TableTextLeftBold"/>
            </w:pPr>
            <w:r w:rsidRPr="00C42A44">
              <w:t xml:space="preserve">Socio-economic characteristics - </w:t>
            </w:r>
            <w:r>
              <w:t>N</w:t>
            </w:r>
            <w:r w:rsidRPr="00B22206">
              <w:t xml:space="preserve">on-Indigenous </w:t>
            </w:r>
            <w:r>
              <w:t>c</w:t>
            </w:r>
            <w:r w:rsidRPr="00C42A44">
              <w:t>ultural assets</w:t>
            </w:r>
          </w:p>
        </w:tc>
        <w:tc>
          <w:tcPr>
            <w:tcW w:w="0" w:type="auto"/>
            <w:shd w:val="clear" w:color="auto" w:fill="201547" w:themeFill="text2"/>
          </w:tcPr>
          <w:p w14:paraId="52EFD4EF" w14:textId="77777777" w:rsidR="00980069" w:rsidRPr="0034052D"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p>
        </w:tc>
      </w:tr>
      <w:tr w:rsidR="00980069" w:rsidRPr="00DE154A" w14:paraId="321DB4DC" w14:textId="77777777" w:rsidTr="00980069">
        <w:trPr>
          <w:trHeight w:val="191"/>
        </w:trPr>
        <w:tc>
          <w:tcPr>
            <w:cnfStyle w:val="001000000000" w:firstRow="0" w:lastRow="0" w:firstColumn="1" w:lastColumn="0" w:oddVBand="0" w:evenVBand="0" w:oddHBand="0" w:evenHBand="0" w:firstRowFirstColumn="0" w:firstRowLastColumn="0" w:lastRowFirstColumn="0" w:lastRowLastColumn="0"/>
            <w:tcW w:w="0" w:type="auto"/>
            <w:gridSpan w:val="2"/>
          </w:tcPr>
          <w:p w14:paraId="0FF57505" w14:textId="77777777" w:rsidR="00980069" w:rsidRPr="00DE154A" w:rsidRDefault="00980069" w:rsidP="00980069">
            <w:pPr>
              <w:pStyle w:val="TableTextLeft"/>
              <w:rPr>
                <w:rFonts w:cstheme="minorHAnsi"/>
              </w:rPr>
            </w:pPr>
            <w:r w:rsidRPr="00DE154A">
              <w:rPr>
                <w:rFonts w:cstheme="minorHAnsi"/>
              </w:rPr>
              <w:t>Assets of</w:t>
            </w:r>
            <w:r>
              <w:rPr>
                <w:rFonts w:cstheme="minorHAnsi"/>
              </w:rPr>
              <w:t xml:space="preserve"> historic</w:t>
            </w:r>
            <w:r w:rsidRPr="00DE154A">
              <w:rPr>
                <w:rFonts w:cstheme="minorHAnsi"/>
              </w:rPr>
              <w:t xml:space="preserve"> cultural heritage </w:t>
            </w:r>
          </w:p>
        </w:tc>
        <w:tc>
          <w:tcPr>
            <w:tcW w:w="0" w:type="auto"/>
            <w:shd w:val="clear" w:color="auto" w:fill="FFFFFF" w:themeFill="background1"/>
          </w:tcPr>
          <w:p w14:paraId="5696E7DA" w14:textId="77777777" w:rsidR="00980069" w:rsidRPr="00DE154A"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sidRPr="00DE154A">
              <w:rPr>
                <w:rFonts w:cstheme="minorHAnsi"/>
                <w:color w:val="000000"/>
              </w:rPr>
              <w:t>All</w:t>
            </w:r>
          </w:p>
        </w:tc>
        <w:tc>
          <w:tcPr>
            <w:tcW w:w="0" w:type="auto"/>
            <w:shd w:val="clear" w:color="auto" w:fill="FFFFFF" w:themeFill="background1"/>
          </w:tcPr>
          <w:p w14:paraId="76498862" w14:textId="77777777" w:rsidR="00980069" w:rsidRPr="00DE154A"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sidRPr="00DE154A">
              <w:rPr>
                <w:rFonts w:cstheme="minorHAnsi"/>
                <w:color w:val="000000"/>
              </w:rPr>
              <w:t xml:space="preserve">Existence / Recreation </w:t>
            </w:r>
          </w:p>
        </w:tc>
        <w:tc>
          <w:tcPr>
            <w:tcW w:w="0" w:type="auto"/>
            <w:shd w:val="clear" w:color="auto" w:fill="FFFFFF" w:themeFill="background1"/>
          </w:tcPr>
          <w:p w14:paraId="7E0210E8" w14:textId="77777777" w:rsidR="00980069" w:rsidRPr="00DE154A"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sidRPr="00DE154A">
              <w:rPr>
                <w:rFonts w:cstheme="minorHAnsi"/>
                <w:color w:val="000000"/>
              </w:rPr>
              <w:t>Point data</w:t>
            </w:r>
          </w:p>
        </w:tc>
        <w:tc>
          <w:tcPr>
            <w:tcW w:w="0" w:type="auto"/>
            <w:shd w:val="clear" w:color="auto" w:fill="FFFFFF" w:themeFill="background1"/>
          </w:tcPr>
          <w:p w14:paraId="304F977B" w14:textId="77777777" w:rsidR="00980069" w:rsidRPr="00DE154A"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sidRPr="00DE154A">
              <w:rPr>
                <w:rFonts w:cstheme="minorHAnsi"/>
                <w:color w:val="000000"/>
              </w:rPr>
              <w:t xml:space="preserve">DELWP </w:t>
            </w:r>
            <w:r>
              <w:rPr>
                <w:rFonts w:cstheme="minorHAnsi"/>
                <w:color w:val="000000"/>
              </w:rPr>
              <w:t>(2019c)</w:t>
            </w:r>
          </w:p>
        </w:tc>
        <w:tc>
          <w:tcPr>
            <w:tcW w:w="0" w:type="auto"/>
            <w:shd w:val="clear" w:color="auto" w:fill="FFFFFF" w:themeFill="background1"/>
          </w:tcPr>
          <w:p w14:paraId="7873259E" w14:textId="77777777" w:rsidR="00980069" w:rsidRPr="00DE154A"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sidRPr="00DE154A">
              <w:rPr>
                <w:rFonts w:cstheme="minorHAnsi"/>
                <w:color w:val="000000"/>
              </w:rPr>
              <w:t>20</w:t>
            </w:r>
            <w:r>
              <w:rPr>
                <w:rFonts w:cstheme="minorHAnsi"/>
                <w:color w:val="000000"/>
              </w:rPr>
              <w:t>19</w:t>
            </w:r>
          </w:p>
        </w:tc>
        <w:tc>
          <w:tcPr>
            <w:tcW w:w="0" w:type="auto"/>
            <w:shd w:val="clear" w:color="auto" w:fill="FFFFFF" w:themeFill="background1"/>
          </w:tcPr>
          <w:p w14:paraId="747719BA" w14:textId="77777777" w:rsidR="00980069" w:rsidRPr="00DE154A"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sidRPr="00DE154A">
              <w:rPr>
                <w:rFonts w:cstheme="minorHAnsi"/>
                <w:color w:val="000000"/>
              </w:rPr>
              <w:t>Count</w:t>
            </w:r>
          </w:p>
        </w:tc>
        <w:tc>
          <w:tcPr>
            <w:tcW w:w="0" w:type="auto"/>
            <w:shd w:val="clear" w:color="auto" w:fill="FFFFFF" w:themeFill="background1"/>
          </w:tcPr>
          <w:p w14:paraId="1822F407" w14:textId="77777777" w:rsidR="00980069" w:rsidRPr="00DE154A"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sidRPr="00DE154A">
              <w:rPr>
                <w:rFonts w:cstheme="minorHAnsi"/>
                <w:color w:val="000000"/>
              </w:rPr>
              <w:t>36</w:t>
            </w:r>
          </w:p>
        </w:tc>
        <w:tc>
          <w:tcPr>
            <w:tcW w:w="0" w:type="auto"/>
            <w:shd w:val="clear" w:color="auto" w:fill="FFFFFF" w:themeFill="background1"/>
          </w:tcPr>
          <w:p w14:paraId="0FF862F9" w14:textId="77777777" w:rsidR="00980069" w:rsidRPr="00DE154A"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sidRPr="00DE154A">
              <w:rPr>
                <w:rFonts w:cstheme="minorHAnsi"/>
                <w:color w:val="000000"/>
              </w:rPr>
              <w:t>129</w:t>
            </w:r>
          </w:p>
        </w:tc>
        <w:tc>
          <w:tcPr>
            <w:tcW w:w="0" w:type="auto"/>
            <w:shd w:val="clear" w:color="auto" w:fill="FFFFFF" w:themeFill="background1"/>
          </w:tcPr>
          <w:p w14:paraId="46F9A74C" w14:textId="77777777" w:rsidR="00980069" w:rsidRPr="00DE154A"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color w:val="000000"/>
              </w:rPr>
              <w:t>165</w:t>
            </w:r>
          </w:p>
        </w:tc>
        <w:tc>
          <w:tcPr>
            <w:tcW w:w="0" w:type="auto"/>
            <w:shd w:val="clear" w:color="auto" w:fill="FFFFFF" w:themeFill="background1"/>
          </w:tcPr>
          <w:p w14:paraId="7293FB54" w14:textId="77777777" w:rsidR="00980069" w:rsidRPr="0034052D"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34052D">
              <w:rPr>
                <w:rFonts w:cstheme="minorHAnsi"/>
                <w:color w:val="000000"/>
              </w:rPr>
              <w:t>Low</w:t>
            </w:r>
          </w:p>
        </w:tc>
      </w:tr>
      <w:tr w:rsidR="00980069" w:rsidRPr="00DE154A" w14:paraId="02CCDA7F" w14:textId="77777777" w:rsidTr="00E45CA6">
        <w:trPr>
          <w:trHeight w:val="191"/>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201547" w:themeColor="text2"/>
            </w:tcBorders>
          </w:tcPr>
          <w:p w14:paraId="38B0329D" w14:textId="77777777" w:rsidR="00980069" w:rsidRPr="00DE154A" w:rsidRDefault="00980069" w:rsidP="00980069">
            <w:pPr>
              <w:pStyle w:val="TableTextLeft"/>
              <w:rPr>
                <w:rFonts w:cstheme="minorHAnsi"/>
              </w:rPr>
            </w:pPr>
          </w:p>
        </w:tc>
        <w:tc>
          <w:tcPr>
            <w:tcW w:w="0" w:type="auto"/>
            <w:tcBorders>
              <w:bottom w:val="single" w:sz="4" w:space="0" w:color="201547" w:themeColor="text2"/>
            </w:tcBorders>
            <w:shd w:val="clear" w:color="auto" w:fill="FFFFFF" w:themeFill="background1"/>
          </w:tcPr>
          <w:p w14:paraId="5A9290F1" w14:textId="77777777" w:rsidR="00980069" w:rsidRPr="00603C70"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vertAlign w:val="superscript"/>
              </w:rPr>
            </w:pPr>
            <w:r w:rsidRPr="00DE154A">
              <w:rPr>
                <w:rFonts w:cstheme="minorHAnsi"/>
              </w:rPr>
              <w:t>Shipwrecks</w:t>
            </w:r>
            <w:r>
              <w:rPr>
                <w:rFonts w:cstheme="minorHAnsi"/>
              </w:rPr>
              <w:t xml:space="preserve"> </w:t>
            </w:r>
            <w:r>
              <w:rPr>
                <w:rFonts w:cstheme="minorHAnsi"/>
                <w:vertAlign w:val="superscript"/>
              </w:rPr>
              <w:t>d</w:t>
            </w:r>
          </w:p>
        </w:tc>
        <w:tc>
          <w:tcPr>
            <w:tcW w:w="0" w:type="auto"/>
            <w:tcBorders>
              <w:bottom w:val="single" w:sz="4" w:space="0" w:color="201547" w:themeColor="text2"/>
            </w:tcBorders>
            <w:shd w:val="clear" w:color="auto" w:fill="FFFFFF" w:themeFill="background1"/>
          </w:tcPr>
          <w:p w14:paraId="43CF5A92" w14:textId="77777777" w:rsidR="00980069" w:rsidRPr="00DE154A"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DE154A">
              <w:rPr>
                <w:color w:val="000000"/>
              </w:rPr>
              <w:t>Marine</w:t>
            </w:r>
          </w:p>
        </w:tc>
        <w:tc>
          <w:tcPr>
            <w:tcW w:w="0" w:type="auto"/>
            <w:tcBorders>
              <w:bottom w:val="single" w:sz="4" w:space="0" w:color="201547" w:themeColor="text2"/>
            </w:tcBorders>
            <w:shd w:val="clear" w:color="auto" w:fill="FFFFFF" w:themeFill="background1"/>
          </w:tcPr>
          <w:p w14:paraId="04D277E5" w14:textId="77777777" w:rsidR="00980069" w:rsidRPr="00DE154A"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DE154A">
              <w:rPr>
                <w:color w:val="000000"/>
              </w:rPr>
              <w:t xml:space="preserve">Recreation </w:t>
            </w:r>
            <w:r>
              <w:rPr>
                <w:color w:val="000000"/>
              </w:rPr>
              <w:t>and T</w:t>
            </w:r>
            <w:r w:rsidRPr="00DE154A">
              <w:rPr>
                <w:color w:val="000000"/>
              </w:rPr>
              <w:t>ourism</w:t>
            </w:r>
          </w:p>
        </w:tc>
        <w:tc>
          <w:tcPr>
            <w:tcW w:w="0" w:type="auto"/>
            <w:tcBorders>
              <w:bottom w:val="single" w:sz="4" w:space="0" w:color="201547" w:themeColor="text2"/>
            </w:tcBorders>
            <w:shd w:val="clear" w:color="auto" w:fill="FFFFFF" w:themeFill="background1"/>
          </w:tcPr>
          <w:p w14:paraId="194E5267" w14:textId="77777777" w:rsidR="00980069" w:rsidRPr="00DE154A"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Pr>
                <w:color w:val="000000"/>
              </w:rPr>
              <w:t>P</w:t>
            </w:r>
            <w:r w:rsidRPr="00DE154A">
              <w:rPr>
                <w:color w:val="000000"/>
              </w:rPr>
              <w:t>oint data</w:t>
            </w:r>
          </w:p>
        </w:tc>
        <w:tc>
          <w:tcPr>
            <w:tcW w:w="0" w:type="auto"/>
            <w:tcBorders>
              <w:bottom w:val="single" w:sz="4" w:space="0" w:color="201547" w:themeColor="text2"/>
            </w:tcBorders>
            <w:shd w:val="clear" w:color="auto" w:fill="FFFFFF" w:themeFill="background1"/>
          </w:tcPr>
          <w:p w14:paraId="6CBBF476" w14:textId="77777777" w:rsidR="00980069" w:rsidRPr="00DE154A"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DE154A">
              <w:rPr>
                <w:color w:val="000000"/>
              </w:rPr>
              <w:t>DELWP</w:t>
            </w:r>
            <w:r>
              <w:rPr>
                <w:color w:val="000000"/>
              </w:rPr>
              <w:t xml:space="preserve"> (2019c)</w:t>
            </w:r>
          </w:p>
        </w:tc>
        <w:tc>
          <w:tcPr>
            <w:tcW w:w="0" w:type="auto"/>
            <w:tcBorders>
              <w:bottom w:val="single" w:sz="4" w:space="0" w:color="201547" w:themeColor="text2"/>
            </w:tcBorders>
            <w:shd w:val="clear" w:color="auto" w:fill="FFFFFF" w:themeFill="background1"/>
          </w:tcPr>
          <w:p w14:paraId="019E31CE" w14:textId="77777777" w:rsidR="00980069" w:rsidRPr="00DE154A"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t>2019</w:t>
            </w:r>
          </w:p>
        </w:tc>
        <w:tc>
          <w:tcPr>
            <w:tcW w:w="0" w:type="auto"/>
            <w:tcBorders>
              <w:bottom w:val="single" w:sz="4" w:space="0" w:color="201547" w:themeColor="text2"/>
            </w:tcBorders>
            <w:shd w:val="clear" w:color="auto" w:fill="FFFFFF" w:themeFill="background1"/>
          </w:tcPr>
          <w:p w14:paraId="2CE964B5" w14:textId="77777777" w:rsidR="00980069" w:rsidRPr="00DE154A"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DE154A">
              <w:rPr>
                <w:color w:val="000000"/>
              </w:rPr>
              <w:t>Count</w:t>
            </w:r>
          </w:p>
        </w:tc>
        <w:tc>
          <w:tcPr>
            <w:tcW w:w="0" w:type="auto"/>
            <w:tcBorders>
              <w:bottom w:val="single" w:sz="4" w:space="0" w:color="201547" w:themeColor="text2"/>
            </w:tcBorders>
            <w:shd w:val="clear" w:color="auto" w:fill="FFFFFF" w:themeFill="background1"/>
          </w:tcPr>
          <w:p w14:paraId="10C9486D" w14:textId="77777777" w:rsidR="00980069" w:rsidRPr="00DE154A"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DE154A">
              <w:rPr>
                <w:color w:val="000000"/>
              </w:rPr>
              <w:t>4</w:t>
            </w:r>
          </w:p>
        </w:tc>
        <w:tc>
          <w:tcPr>
            <w:tcW w:w="0" w:type="auto"/>
            <w:tcBorders>
              <w:bottom w:val="single" w:sz="4" w:space="0" w:color="201547" w:themeColor="text2"/>
            </w:tcBorders>
            <w:shd w:val="clear" w:color="auto" w:fill="FFFFFF" w:themeFill="background1"/>
          </w:tcPr>
          <w:p w14:paraId="14EC4652" w14:textId="77777777" w:rsidR="00980069" w:rsidRPr="00DE154A"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DE154A">
              <w:rPr>
                <w:color w:val="000000"/>
              </w:rPr>
              <w:t>30</w:t>
            </w:r>
          </w:p>
        </w:tc>
        <w:tc>
          <w:tcPr>
            <w:tcW w:w="0" w:type="auto"/>
            <w:tcBorders>
              <w:bottom w:val="single" w:sz="4" w:space="0" w:color="201547" w:themeColor="text2"/>
            </w:tcBorders>
            <w:shd w:val="clear" w:color="auto" w:fill="FFFFFF" w:themeFill="background1"/>
          </w:tcPr>
          <w:p w14:paraId="475262E9" w14:textId="77777777" w:rsidR="00980069" w:rsidRPr="00DE154A"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Pr>
                <w:color w:val="000000"/>
              </w:rPr>
              <w:t>34</w:t>
            </w:r>
          </w:p>
        </w:tc>
        <w:tc>
          <w:tcPr>
            <w:tcW w:w="0" w:type="auto"/>
            <w:tcBorders>
              <w:bottom w:val="single" w:sz="4" w:space="0" w:color="201547" w:themeColor="text2"/>
            </w:tcBorders>
            <w:shd w:val="clear" w:color="auto" w:fill="FFFFFF" w:themeFill="background1"/>
          </w:tcPr>
          <w:p w14:paraId="3EA95FCC" w14:textId="77777777" w:rsidR="00980069" w:rsidRPr="0034052D"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34052D">
              <w:rPr>
                <w:color w:val="000000"/>
              </w:rPr>
              <w:t>Low</w:t>
            </w:r>
          </w:p>
        </w:tc>
      </w:tr>
      <w:tr w:rsidR="00E45CA6" w:rsidRPr="00DE154A" w14:paraId="171E899E" w14:textId="77777777" w:rsidTr="00E45CA6">
        <w:trPr>
          <w:trHeight w:val="191"/>
        </w:trPr>
        <w:tc>
          <w:tcPr>
            <w:cnfStyle w:val="001000000000" w:firstRow="0" w:lastRow="0" w:firstColumn="1" w:lastColumn="0" w:oddVBand="0" w:evenVBand="0" w:oddHBand="0" w:evenHBand="0" w:firstRowFirstColumn="0" w:firstRowLastColumn="0" w:lastRowFirstColumn="0" w:lastRowLastColumn="0"/>
            <w:tcW w:w="0" w:type="auto"/>
            <w:tcBorders>
              <w:bottom w:val="nil"/>
            </w:tcBorders>
            <w:shd w:val="clear" w:color="auto" w:fill="auto"/>
          </w:tcPr>
          <w:p w14:paraId="545A8A9C" w14:textId="77777777" w:rsidR="00E45CA6" w:rsidRPr="00DE154A" w:rsidRDefault="00E45CA6" w:rsidP="00980069">
            <w:pPr>
              <w:pStyle w:val="TableTextLeft"/>
              <w:rPr>
                <w:rFonts w:cstheme="minorHAnsi"/>
              </w:rPr>
            </w:pPr>
          </w:p>
        </w:tc>
        <w:tc>
          <w:tcPr>
            <w:tcW w:w="0" w:type="auto"/>
            <w:tcBorders>
              <w:bottom w:val="nil"/>
            </w:tcBorders>
            <w:shd w:val="clear" w:color="auto" w:fill="auto"/>
          </w:tcPr>
          <w:p w14:paraId="308457DE" w14:textId="77777777" w:rsidR="00E45CA6" w:rsidRPr="00DE154A" w:rsidRDefault="00E45CA6"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p>
        </w:tc>
        <w:tc>
          <w:tcPr>
            <w:tcW w:w="0" w:type="auto"/>
            <w:tcBorders>
              <w:bottom w:val="nil"/>
            </w:tcBorders>
            <w:shd w:val="clear" w:color="auto" w:fill="auto"/>
          </w:tcPr>
          <w:p w14:paraId="602BA747" w14:textId="77777777" w:rsidR="00E45CA6" w:rsidRPr="00DE154A" w:rsidRDefault="00E45CA6"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p>
        </w:tc>
        <w:tc>
          <w:tcPr>
            <w:tcW w:w="0" w:type="auto"/>
            <w:tcBorders>
              <w:bottom w:val="nil"/>
            </w:tcBorders>
            <w:shd w:val="clear" w:color="auto" w:fill="auto"/>
          </w:tcPr>
          <w:p w14:paraId="05BD4183" w14:textId="77777777" w:rsidR="00E45CA6" w:rsidRPr="00DE154A" w:rsidRDefault="00E45CA6"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p>
        </w:tc>
        <w:tc>
          <w:tcPr>
            <w:tcW w:w="0" w:type="auto"/>
            <w:tcBorders>
              <w:bottom w:val="nil"/>
            </w:tcBorders>
            <w:shd w:val="clear" w:color="auto" w:fill="auto"/>
          </w:tcPr>
          <w:p w14:paraId="4886F596" w14:textId="77777777" w:rsidR="00E45CA6" w:rsidRDefault="00E45CA6"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p>
        </w:tc>
        <w:tc>
          <w:tcPr>
            <w:tcW w:w="0" w:type="auto"/>
            <w:tcBorders>
              <w:bottom w:val="nil"/>
            </w:tcBorders>
            <w:shd w:val="clear" w:color="auto" w:fill="auto"/>
          </w:tcPr>
          <w:p w14:paraId="7C8861C4" w14:textId="77777777" w:rsidR="00E45CA6" w:rsidRPr="00DE154A" w:rsidRDefault="00E45CA6"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p>
        </w:tc>
        <w:tc>
          <w:tcPr>
            <w:tcW w:w="0" w:type="auto"/>
            <w:tcBorders>
              <w:bottom w:val="nil"/>
            </w:tcBorders>
            <w:shd w:val="clear" w:color="auto" w:fill="auto"/>
          </w:tcPr>
          <w:p w14:paraId="171B9A16" w14:textId="77777777" w:rsidR="00E45CA6" w:rsidRDefault="00E45CA6" w:rsidP="00980069">
            <w:pPr>
              <w:pStyle w:val="TableTextLeft"/>
              <w:cnfStyle w:val="000000000000" w:firstRow="0" w:lastRow="0" w:firstColumn="0" w:lastColumn="0" w:oddVBand="0" w:evenVBand="0" w:oddHBand="0" w:evenHBand="0" w:firstRowFirstColumn="0" w:firstRowLastColumn="0" w:lastRowFirstColumn="0" w:lastRowLastColumn="0"/>
            </w:pPr>
          </w:p>
        </w:tc>
        <w:tc>
          <w:tcPr>
            <w:tcW w:w="0" w:type="auto"/>
            <w:tcBorders>
              <w:bottom w:val="nil"/>
            </w:tcBorders>
            <w:shd w:val="clear" w:color="auto" w:fill="auto"/>
          </w:tcPr>
          <w:p w14:paraId="18F2F777" w14:textId="77777777" w:rsidR="00E45CA6" w:rsidRPr="00DE154A" w:rsidRDefault="00E45CA6"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p>
        </w:tc>
        <w:tc>
          <w:tcPr>
            <w:tcW w:w="0" w:type="auto"/>
            <w:tcBorders>
              <w:bottom w:val="nil"/>
            </w:tcBorders>
            <w:shd w:val="clear" w:color="auto" w:fill="auto"/>
          </w:tcPr>
          <w:p w14:paraId="3C0C4FEC" w14:textId="77777777" w:rsidR="00E45CA6" w:rsidRPr="00DE154A" w:rsidRDefault="00E45CA6"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p>
        </w:tc>
        <w:tc>
          <w:tcPr>
            <w:tcW w:w="0" w:type="auto"/>
            <w:tcBorders>
              <w:bottom w:val="nil"/>
            </w:tcBorders>
            <w:shd w:val="clear" w:color="auto" w:fill="auto"/>
          </w:tcPr>
          <w:p w14:paraId="3F62D359" w14:textId="77777777" w:rsidR="00E45CA6" w:rsidRPr="00DE154A" w:rsidRDefault="00E45CA6"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p>
        </w:tc>
        <w:tc>
          <w:tcPr>
            <w:tcW w:w="0" w:type="auto"/>
            <w:tcBorders>
              <w:bottom w:val="nil"/>
            </w:tcBorders>
            <w:shd w:val="clear" w:color="auto" w:fill="auto"/>
          </w:tcPr>
          <w:p w14:paraId="4D52C32A" w14:textId="77777777" w:rsidR="00E45CA6" w:rsidRDefault="00E45CA6"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p>
        </w:tc>
        <w:tc>
          <w:tcPr>
            <w:tcW w:w="0" w:type="auto"/>
            <w:tcBorders>
              <w:bottom w:val="nil"/>
            </w:tcBorders>
            <w:shd w:val="clear" w:color="auto" w:fill="auto"/>
          </w:tcPr>
          <w:p w14:paraId="7B16072F" w14:textId="77777777" w:rsidR="00E45CA6" w:rsidRPr="0034052D" w:rsidRDefault="00E45CA6"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p>
        </w:tc>
      </w:tr>
      <w:tr w:rsidR="00980069" w:rsidRPr="0016212A" w14:paraId="50C34DFC" w14:textId="77777777" w:rsidTr="00E45CA6">
        <w:trPr>
          <w:trHeight w:val="191"/>
        </w:trPr>
        <w:tc>
          <w:tcPr>
            <w:cnfStyle w:val="001000000000" w:firstRow="0" w:lastRow="0" w:firstColumn="1" w:lastColumn="0" w:oddVBand="0" w:evenVBand="0" w:oddHBand="0" w:evenHBand="0" w:firstRowFirstColumn="0" w:firstRowLastColumn="0" w:lastRowFirstColumn="0" w:lastRowLastColumn="0"/>
            <w:tcW w:w="0" w:type="auto"/>
            <w:gridSpan w:val="11"/>
            <w:tcBorders>
              <w:top w:val="nil"/>
            </w:tcBorders>
            <w:shd w:val="clear" w:color="auto" w:fill="201547" w:themeFill="text2"/>
          </w:tcPr>
          <w:p w14:paraId="07E6F542" w14:textId="77777777" w:rsidR="00980069" w:rsidRPr="0016212A" w:rsidRDefault="00980069" w:rsidP="00980069">
            <w:pPr>
              <w:pStyle w:val="TableTextLeftBold"/>
            </w:pPr>
            <w:r w:rsidRPr="00C42A44">
              <w:lastRenderedPageBreak/>
              <w:t>Socio-economic characteristics - Governance and management</w:t>
            </w:r>
          </w:p>
        </w:tc>
        <w:tc>
          <w:tcPr>
            <w:tcW w:w="0" w:type="auto"/>
            <w:tcBorders>
              <w:top w:val="nil"/>
            </w:tcBorders>
            <w:shd w:val="clear" w:color="auto" w:fill="201547" w:themeFill="text2"/>
          </w:tcPr>
          <w:p w14:paraId="425BA485" w14:textId="77777777" w:rsidR="00980069" w:rsidRPr="0034052D"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p>
        </w:tc>
      </w:tr>
      <w:tr w:rsidR="00980069" w:rsidRPr="00A230DB" w14:paraId="3F5FC02D" w14:textId="77777777" w:rsidTr="00980069">
        <w:trPr>
          <w:trHeight w:val="191"/>
        </w:trPr>
        <w:tc>
          <w:tcPr>
            <w:cnfStyle w:val="001000000000" w:firstRow="0" w:lastRow="0" w:firstColumn="1" w:lastColumn="0" w:oddVBand="0" w:evenVBand="0" w:oddHBand="0" w:evenHBand="0" w:firstRowFirstColumn="0" w:firstRowLastColumn="0" w:lastRowFirstColumn="0" w:lastRowLastColumn="0"/>
            <w:tcW w:w="0" w:type="auto"/>
            <w:gridSpan w:val="2"/>
          </w:tcPr>
          <w:p w14:paraId="6F9398A2" w14:textId="77777777" w:rsidR="00980069" w:rsidRPr="00A230DB" w:rsidRDefault="00980069" w:rsidP="00980069">
            <w:pPr>
              <w:pStyle w:val="TableTextLeft"/>
            </w:pPr>
            <w:proofErr w:type="spellStart"/>
            <w:r w:rsidRPr="00A230DB">
              <w:t>CoastCare</w:t>
            </w:r>
            <w:proofErr w:type="spellEnd"/>
          </w:p>
        </w:tc>
        <w:tc>
          <w:tcPr>
            <w:tcW w:w="0" w:type="auto"/>
            <w:shd w:val="clear" w:color="auto" w:fill="FFFFFF" w:themeFill="background1"/>
          </w:tcPr>
          <w:p w14:paraId="0C5361C3" w14:textId="77777777" w:rsidR="00980069" w:rsidRPr="00A230DB"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A230DB">
              <w:t>Coastal margin</w:t>
            </w:r>
          </w:p>
        </w:tc>
        <w:tc>
          <w:tcPr>
            <w:tcW w:w="0" w:type="auto"/>
            <w:shd w:val="clear" w:color="auto" w:fill="FFFFFF" w:themeFill="background1"/>
          </w:tcPr>
          <w:p w14:paraId="75DA2052" w14:textId="77777777" w:rsidR="00980069" w:rsidRPr="00A230DB"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A230DB">
              <w:t>Community cohesion</w:t>
            </w:r>
          </w:p>
        </w:tc>
        <w:tc>
          <w:tcPr>
            <w:tcW w:w="0" w:type="auto"/>
            <w:shd w:val="clear" w:color="auto" w:fill="FFFFFF" w:themeFill="background1"/>
          </w:tcPr>
          <w:p w14:paraId="4C16E99E" w14:textId="77777777" w:rsidR="00980069" w:rsidRPr="00A230DB"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t>n/a</w:t>
            </w:r>
          </w:p>
        </w:tc>
        <w:tc>
          <w:tcPr>
            <w:tcW w:w="0" w:type="auto"/>
            <w:shd w:val="clear" w:color="auto" w:fill="FFFFFF" w:themeFill="background1"/>
          </w:tcPr>
          <w:p w14:paraId="260D2798" w14:textId="77777777" w:rsidR="00980069" w:rsidRPr="00A230DB"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t>DELWP</w:t>
            </w:r>
          </w:p>
        </w:tc>
        <w:tc>
          <w:tcPr>
            <w:tcW w:w="0" w:type="auto"/>
            <w:shd w:val="clear" w:color="auto" w:fill="FFFFFF" w:themeFill="background1"/>
          </w:tcPr>
          <w:p w14:paraId="61B4B9D9" w14:textId="77777777" w:rsidR="00980069" w:rsidRPr="00A230DB"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t>2021</w:t>
            </w:r>
          </w:p>
        </w:tc>
        <w:tc>
          <w:tcPr>
            <w:tcW w:w="0" w:type="auto"/>
            <w:shd w:val="clear" w:color="auto" w:fill="FFFFFF" w:themeFill="background1"/>
          </w:tcPr>
          <w:p w14:paraId="6D4AAC8B" w14:textId="77777777" w:rsidR="00980069" w:rsidRPr="00A230DB"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A230DB">
              <w:t>Number</w:t>
            </w:r>
            <w:r>
              <w:t xml:space="preserve"> people</w:t>
            </w:r>
          </w:p>
        </w:tc>
        <w:tc>
          <w:tcPr>
            <w:tcW w:w="0" w:type="auto"/>
            <w:shd w:val="clear" w:color="auto" w:fill="FFFFFF" w:themeFill="background1"/>
          </w:tcPr>
          <w:p w14:paraId="64CA5438" w14:textId="77777777" w:rsidR="00980069" w:rsidRPr="00A230DB"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t>-</w:t>
            </w:r>
          </w:p>
        </w:tc>
        <w:tc>
          <w:tcPr>
            <w:tcW w:w="0" w:type="auto"/>
            <w:shd w:val="clear" w:color="auto" w:fill="FFFFFF" w:themeFill="background1"/>
          </w:tcPr>
          <w:p w14:paraId="410DCE9F" w14:textId="77777777" w:rsidR="00980069" w:rsidRPr="00A230DB"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t>-</w:t>
            </w:r>
          </w:p>
        </w:tc>
        <w:tc>
          <w:tcPr>
            <w:tcW w:w="0" w:type="auto"/>
            <w:shd w:val="clear" w:color="auto" w:fill="FFFFFF" w:themeFill="background1"/>
          </w:tcPr>
          <w:p w14:paraId="49BC8147" w14:textId="77777777" w:rsidR="00980069" w:rsidRPr="00A230DB"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t>1,300</w:t>
            </w:r>
          </w:p>
        </w:tc>
        <w:tc>
          <w:tcPr>
            <w:tcW w:w="0" w:type="auto"/>
            <w:shd w:val="clear" w:color="auto" w:fill="FFFFFF" w:themeFill="background1"/>
          </w:tcPr>
          <w:p w14:paraId="5FB860A0" w14:textId="77777777" w:rsidR="00980069" w:rsidRPr="0034052D"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34052D">
              <w:t>Low</w:t>
            </w:r>
          </w:p>
        </w:tc>
      </w:tr>
      <w:tr w:rsidR="00980069" w:rsidRPr="00A230DB" w14:paraId="6D10CC60" w14:textId="77777777" w:rsidTr="00980069">
        <w:trPr>
          <w:trHeight w:val="191"/>
        </w:trPr>
        <w:tc>
          <w:tcPr>
            <w:cnfStyle w:val="001000000000" w:firstRow="0" w:lastRow="0" w:firstColumn="1" w:lastColumn="0" w:oddVBand="0" w:evenVBand="0" w:oddHBand="0" w:evenHBand="0" w:firstRowFirstColumn="0" w:firstRowLastColumn="0" w:lastRowFirstColumn="0" w:lastRowLastColumn="0"/>
            <w:tcW w:w="0" w:type="auto"/>
            <w:gridSpan w:val="2"/>
          </w:tcPr>
          <w:p w14:paraId="575C6752" w14:textId="77777777" w:rsidR="00980069" w:rsidRPr="00A230DB" w:rsidRDefault="00980069" w:rsidP="00980069">
            <w:pPr>
              <w:pStyle w:val="TableTextLeft"/>
            </w:pPr>
            <w:r w:rsidRPr="00A230DB">
              <w:t>Community stewardship</w:t>
            </w:r>
          </w:p>
        </w:tc>
        <w:tc>
          <w:tcPr>
            <w:tcW w:w="0" w:type="auto"/>
            <w:shd w:val="clear" w:color="auto" w:fill="FFFFFF" w:themeFill="background1"/>
          </w:tcPr>
          <w:p w14:paraId="0EF4A0FD" w14:textId="77777777" w:rsidR="00980069" w:rsidRPr="00A230DB"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A230DB">
              <w:t>All</w:t>
            </w:r>
          </w:p>
        </w:tc>
        <w:tc>
          <w:tcPr>
            <w:tcW w:w="0" w:type="auto"/>
            <w:shd w:val="clear" w:color="auto" w:fill="FFFFFF" w:themeFill="background1"/>
          </w:tcPr>
          <w:p w14:paraId="59D0C879" w14:textId="77777777" w:rsidR="00980069" w:rsidRPr="00A230DB"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A230DB">
              <w:t>Community cohesion</w:t>
            </w:r>
          </w:p>
        </w:tc>
        <w:tc>
          <w:tcPr>
            <w:tcW w:w="0" w:type="auto"/>
            <w:shd w:val="clear" w:color="auto" w:fill="FFFFFF" w:themeFill="background1"/>
          </w:tcPr>
          <w:p w14:paraId="39A7BD7F" w14:textId="77777777" w:rsidR="00980069" w:rsidRPr="00A230DB"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t>n/a</w:t>
            </w:r>
          </w:p>
        </w:tc>
        <w:tc>
          <w:tcPr>
            <w:tcW w:w="0" w:type="auto"/>
            <w:shd w:val="clear" w:color="auto" w:fill="FFFFFF" w:themeFill="background1"/>
          </w:tcPr>
          <w:p w14:paraId="731D8E6B" w14:textId="77777777" w:rsidR="00980069" w:rsidRPr="00A230DB"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t>Various</w:t>
            </w:r>
          </w:p>
        </w:tc>
        <w:tc>
          <w:tcPr>
            <w:tcW w:w="0" w:type="auto"/>
            <w:shd w:val="clear" w:color="auto" w:fill="FFFFFF" w:themeFill="background1"/>
          </w:tcPr>
          <w:p w14:paraId="4FEDA48B" w14:textId="77777777" w:rsidR="00980069" w:rsidRPr="00A230DB"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t>2021</w:t>
            </w:r>
          </w:p>
        </w:tc>
        <w:tc>
          <w:tcPr>
            <w:tcW w:w="0" w:type="auto"/>
            <w:shd w:val="clear" w:color="auto" w:fill="FFFFFF" w:themeFill="background1"/>
          </w:tcPr>
          <w:p w14:paraId="6ACE4422" w14:textId="77777777" w:rsidR="00980069" w:rsidRPr="00A230DB"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A230DB">
              <w:t>Number</w:t>
            </w:r>
            <w:r>
              <w:t xml:space="preserve"> groups</w:t>
            </w:r>
          </w:p>
        </w:tc>
        <w:tc>
          <w:tcPr>
            <w:tcW w:w="0" w:type="auto"/>
            <w:shd w:val="clear" w:color="auto" w:fill="FFFFFF" w:themeFill="background1"/>
          </w:tcPr>
          <w:p w14:paraId="0618ABD0" w14:textId="77777777" w:rsidR="00980069" w:rsidRPr="00A230DB"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t>-</w:t>
            </w:r>
          </w:p>
        </w:tc>
        <w:tc>
          <w:tcPr>
            <w:tcW w:w="0" w:type="auto"/>
            <w:shd w:val="clear" w:color="auto" w:fill="FFFFFF" w:themeFill="background1"/>
          </w:tcPr>
          <w:p w14:paraId="7B840DC5" w14:textId="77777777" w:rsidR="00980069" w:rsidRPr="00A230DB"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t>-</w:t>
            </w:r>
          </w:p>
        </w:tc>
        <w:tc>
          <w:tcPr>
            <w:tcW w:w="0" w:type="auto"/>
            <w:shd w:val="clear" w:color="auto" w:fill="FFFFFF" w:themeFill="background1"/>
          </w:tcPr>
          <w:p w14:paraId="14113C26" w14:textId="77777777" w:rsidR="00980069" w:rsidRPr="00A230DB"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t>51</w:t>
            </w:r>
          </w:p>
        </w:tc>
        <w:tc>
          <w:tcPr>
            <w:tcW w:w="0" w:type="auto"/>
            <w:shd w:val="clear" w:color="auto" w:fill="FFFFFF" w:themeFill="background1"/>
          </w:tcPr>
          <w:p w14:paraId="743D41C3" w14:textId="77777777" w:rsidR="00980069" w:rsidRPr="0034052D"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34052D">
              <w:t>Low</w:t>
            </w:r>
          </w:p>
        </w:tc>
      </w:tr>
      <w:tr w:rsidR="00980069" w:rsidRPr="00FA2DE0" w14:paraId="645B025F" w14:textId="77777777" w:rsidTr="00980069">
        <w:trPr>
          <w:trHeight w:val="191"/>
        </w:trPr>
        <w:tc>
          <w:tcPr>
            <w:cnfStyle w:val="001000000000" w:firstRow="0" w:lastRow="0" w:firstColumn="1" w:lastColumn="0" w:oddVBand="0" w:evenVBand="0" w:oddHBand="0" w:evenHBand="0" w:firstRowFirstColumn="0" w:firstRowLastColumn="0" w:lastRowFirstColumn="0" w:lastRowLastColumn="0"/>
            <w:tcW w:w="0" w:type="auto"/>
            <w:gridSpan w:val="2"/>
            <w:vMerge w:val="restart"/>
          </w:tcPr>
          <w:p w14:paraId="387D665A" w14:textId="77777777" w:rsidR="00980069" w:rsidRPr="00A230DB" w:rsidRDefault="00980069" w:rsidP="00980069">
            <w:pPr>
              <w:pStyle w:val="TableTextLeft"/>
            </w:pPr>
            <w:r w:rsidRPr="00A230DB">
              <w:t>National parks and nature reserves</w:t>
            </w:r>
          </w:p>
        </w:tc>
        <w:tc>
          <w:tcPr>
            <w:tcW w:w="0" w:type="auto"/>
            <w:vMerge w:val="restart"/>
            <w:shd w:val="clear" w:color="auto" w:fill="FFFFFF" w:themeFill="background1"/>
          </w:tcPr>
          <w:p w14:paraId="3DCC5EB1" w14:textId="77777777" w:rsidR="00980069" w:rsidRPr="00FA2DE0"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sidRPr="00FA2DE0">
              <w:rPr>
                <w:rFonts w:cstheme="minorHAnsi"/>
              </w:rPr>
              <w:t>All</w:t>
            </w:r>
          </w:p>
        </w:tc>
        <w:tc>
          <w:tcPr>
            <w:tcW w:w="0" w:type="auto"/>
            <w:vMerge w:val="restart"/>
            <w:shd w:val="clear" w:color="auto" w:fill="FFFFFF" w:themeFill="background1"/>
          </w:tcPr>
          <w:p w14:paraId="64597787" w14:textId="77777777" w:rsidR="00980069" w:rsidRPr="00FA2DE0"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sidRPr="00FA2DE0">
              <w:rPr>
                <w:rFonts w:cstheme="minorHAnsi"/>
              </w:rPr>
              <w:t>Various</w:t>
            </w:r>
          </w:p>
        </w:tc>
        <w:tc>
          <w:tcPr>
            <w:tcW w:w="0" w:type="auto"/>
            <w:vMerge w:val="restart"/>
            <w:shd w:val="clear" w:color="auto" w:fill="FFFFFF" w:themeFill="background1"/>
          </w:tcPr>
          <w:p w14:paraId="574B5DF8" w14:textId="77777777" w:rsidR="00980069" w:rsidRPr="00FA2DE0"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sidRPr="00FA2DE0">
              <w:rPr>
                <w:rFonts w:cstheme="minorHAnsi"/>
                <w:color w:val="000000"/>
              </w:rPr>
              <w:t>1:25k</w:t>
            </w:r>
          </w:p>
        </w:tc>
        <w:tc>
          <w:tcPr>
            <w:tcW w:w="0" w:type="auto"/>
            <w:vMerge w:val="restart"/>
            <w:shd w:val="clear" w:color="auto" w:fill="FFFFFF" w:themeFill="background1"/>
          </w:tcPr>
          <w:p w14:paraId="0160CA77" w14:textId="77777777" w:rsidR="00980069" w:rsidRPr="00FA2DE0"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sidRPr="00FA2DE0">
              <w:rPr>
                <w:rFonts w:cstheme="minorHAnsi"/>
                <w:color w:val="000000"/>
              </w:rPr>
              <w:t xml:space="preserve">DELWP </w:t>
            </w:r>
            <w:r>
              <w:rPr>
                <w:rFonts w:cstheme="minorHAnsi"/>
                <w:color w:val="000000"/>
              </w:rPr>
              <w:t>(2021c)</w:t>
            </w:r>
          </w:p>
        </w:tc>
        <w:tc>
          <w:tcPr>
            <w:tcW w:w="0" w:type="auto"/>
            <w:vMerge w:val="restart"/>
            <w:shd w:val="clear" w:color="auto" w:fill="FFFFFF" w:themeFill="background1"/>
          </w:tcPr>
          <w:p w14:paraId="7943E2C3" w14:textId="77777777" w:rsidR="00980069" w:rsidRPr="00A93222"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sidRPr="00A93222">
              <w:rPr>
                <w:rFonts w:cstheme="minorHAnsi"/>
                <w:color w:val="000000"/>
              </w:rPr>
              <w:t>2021</w:t>
            </w:r>
          </w:p>
        </w:tc>
        <w:tc>
          <w:tcPr>
            <w:tcW w:w="0" w:type="auto"/>
            <w:shd w:val="clear" w:color="auto" w:fill="FFFFFF" w:themeFill="background1"/>
          </w:tcPr>
          <w:p w14:paraId="3C5F4123" w14:textId="77777777" w:rsidR="00980069" w:rsidRPr="00A93222"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sidRPr="00A93222">
              <w:rPr>
                <w:rFonts w:cstheme="minorHAnsi"/>
                <w:color w:val="000000"/>
              </w:rPr>
              <w:t>Ha</w:t>
            </w:r>
          </w:p>
        </w:tc>
        <w:tc>
          <w:tcPr>
            <w:tcW w:w="0" w:type="auto"/>
            <w:shd w:val="clear" w:color="auto" w:fill="FFFFFF" w:themeFill="background1"/>
          </w:tcPr>
          <w:p w14:paraId="2D52A91E" w14:textId="77777777" w:rsidR="00980069" w:rsidRPr="00FA2DE0"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sidRPr="00FA2DE0">
              <w:rPr>
                <w:rFonts w:cstheme="minorHAnsi"/>
              </w:rPr>
              <w:t>-</w:t>
            </w:r>
          </w:p>
        </w:tc>
        <w:tc>
          <w:tcPr>
            <w:tcW w:w="0" w:type="auto"/>
            <w:shd w:val="clear" w:color="auto" w:fill="FFFFFF" w:themeFill="background1"/>
          </w:tcPr>
          <w:p w14:paraId="572EAFBA" w14:textId="77777777" w:rsidR="00980069" w:rsidRPr="00FA2DE0"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sidRPr="00FA2DE0">
              <w:rPr>
                <w:rFonts w:cstheme="minorHAnsi"/>
              </w:rPr>
              <w:t>-</w:t>
            </w:r>
          </w:p>
        </w:tc>
        <w:tc>
          <w:tcPr>
            <w:tcW w:w="0" w:type="auto"/>
            <w:shd w:val="clear" w:color="auto" w:fill="FFFFFF" w:themeFill="background1"/>
          </w:tcPr>
          <w:p w14:paraId="35184584" w14:textId="77777777" w:rsidR="00980069" w:rsidRPr="00FA2DE0"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sidRPr="00FA2DE0">
              <w:rPr>
                <w:rFonts w:cstheme="minorHAnsi"/>
                <w:color w:val="000000"/>
              </w:rPr>
              <w:t>33,400</w:t>
            </w:r>
          </w:p>
        </w:tc>
        <w:tc>
          <w:tcPr>
            <w:tcW w:w="0" w:type="auto"/>
            <w:vMerge w:val="restart"/>
            <w:shd w:val="clear" w:color="auto" w:fill="FFFFFF" w:themeFill="background1"/>
          </w:tcPr>
          <w:p w14:paraId="7F2FB5B6" w14:textId="77777777" w:rsidR="00980069" w:rsidRPr="0034052D"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34052D">
              <w:rPr>
                <w:rFonts w:cstheme="minorHAnsi"/>
                <w:color w:val="000000"/>
              </w:rPr>
              <w:t>Low</w:t>
            </w:r>
          </w:p>
        </w:tc>
      </w:tr>
      <w:tr w:rsidR="00980069" w:rsidRPr="00FA2DE0" w14:paraId="1CE6801C" w14:textId="77777777" w:rsidTr="00980069">
        <w:trPr>
          <w:trHeight w:val="191"/>
        </w:trPr>
        <w:tc>
          <w:tcPr>
            <w:cnfStyle w:val="001000000000" w:firstRow="0" w:lastRow="0" w:firstColumn="1" w:lastColumn="0" w:oddVBand="0" w:evenVBand="0" w:oddHBand="0" w:evenHBand="0" w:firstRowFirstColumn="0" w:firstRowLastColumn="0" w:lastRowFirstColumn="0" w:lastRowLastColumn="0"/>
            <w:tcW w:w="0" w:type="auto"/>
            <w:gridSpan w:val="2"/>
            <w:vMerge/>
          </w:tcPr>
          <w:p w14:paraId="1276EF13" w14:textId="77777777" w:rsidR="00980069" w:rsidRPr="00A230DB" w:rsidRDefault="00980069" w:rsidP="00980069">
            <w:pPr>
              <w:pStyle w:val="TableTextLeft"/>
            </w:pPr>
          </w:p>
        </w:tc>
        <w:tc>
          <w:tcPr>
            <w:tcW w:w="0" w:type="auto"/>
            <w:vMerge/>
            <w:shd w:val="clear" w:color="auto" w:fill="FFFFFF" w:themeFill="background1"/>
          </w:tcPr>
          <w:p w14:paraId="77BE6957" w14:textId="77777777" w:rsidR="00980069" w:rsidRPr="00FA2DE0"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p>
        </w:tc>
        <w:tc>
          <w:tcPr>
            <w:tcW w:w="0" w:type="auto"/>
            <w:vMerge/>
            <w:shd w:val="clear" w:color="auto" w:fill="FFFFFF" w:themeFill="background1"/>
          </w:tcPr>
          <w:p w14:paraId="5EDC2CB5" w14:textId="77777777" w:rsidR="00980069" w:rsidRPr="00FA2DE0"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p>
        </w:tc>
        <w:tc>
          <w:tcPr>
            <w:tcW w:w="0" w:type="auto"/>
            <w:vMerge/>
            <w:shd w:val="clear" w:color="auto" w:fill="FFFFFF" w:themeFill="background1"/>
          </w:tcPr>
          <w:p w14:paraId="3FAC1091" w14:textId="77777777" w:rsidR="00980069" w:rsidRPr="00FA2DE0"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color w:val="000000"/>
              </w:rPr>
            </w:pPr>
          </w:p>
        </w:tc>
        <w:tc>
          <w:tcPr>
            <w:tcW w:w="0" w:type="auto"/>
            <w:vMerge/>
            <w:shd w:val="clear" w:color="auto" w:fill="FFFFFF" w:themeFill="background1"/>
          </w:tcPr>
          <w:p w14:paraId="47046B55" w14:textId="77777777" w:rsidR="00980069" w:rsidRPr="00FA2DE0"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color w:val="000000"/>
              </w:rPr>
            </w:pPr>
          </w:p>
        </w:tc>
        <w:tc>
          <w:tcPr>
            <w:tcW w:w="0" w:type="auto"/>
            <w:vMerge/>
            <w:shd w:val="clear" w:color="auto" w:fill="FFFFFF" w:themeFill="background1"/>
          </w:tcPr>
          <w:p w14:paraId="0F9681DC" w14:textId="77777777" w:rsidR="00980069" w:rsidRPr="00A93222"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color w:val="000000"/>
              </w:rPr>
            </w:pPr>
          </w:p>
        </w:tc>
        <w:tc>
          <w:tcPr>
            <w:tcW w:w="0" w:type="auto"/>
            <w:shd w:val="clear" w:color="auto" w:fill="FFFFFF" w:themeFill="background1"/>
          </w:tcPr>
          <w:p w14:paraId="1C009091" w14:textId="77777777" w:rsidR="00980069" w:rsidRPr="00A93222"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A93222">
              <w:rPr>
                <w:rFonts w:cstheme="minorHAnsi"/>
                <w:color w:val="000000"/>
              </w:rPr>
              <w:t>Number</w:t>
            </w:r>
          </w:p>
        </w:tc>
        <w:tc>
          <w:tcPr>
            <w:tcW w:w="0" w:type="auto"/>
            <w:shd w:val="clear" w:color="auto" w:fill="FFFFFF" w:themeFill="background1"/>
          </w:tcPr>
          <w:p w14:paraId="5CB6D4A1" w14:textId="77777777" w:rsidR="00980069" w:rsidRPr="00FA2DE0"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w:t>
            </w:r>
          </w:p>
        </w:tc>
        <w:tc>
          <w:tcPr>
            <w:tcW w:w="0" w:type="auto"/>
            <w:shd w:val="clear" w:color="auto" w:fill="FFFFFF" w:themeFill="background1"/>
          </w:tcPr>
          <w:p w14:paraId="6D08090A" w14:textId="77777777" w:rsidR="00980069" w:rsidRPr="000D484D"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w:t>
            </w:r>
          </w:p>
        </w:tc>
        <w:tc>
          <w:tcPr>
            <w:tcW w:w="0" w:type="auto"/>
            <w:shd w:val="clear" w:color="auto" w:fill="FFFFFF" w:themeFill="background1"/>
          </w:tcPr>
          <w:p w14:paraId="684FBBB1" w14:textId="77777777" w:rsidR="00980069" w:rsidRPr="00A93222"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A93222">
              <w:rPr>
                <w:rFonts w:cstheme="minorHAnsi"/>
                <w:color w:val="000000"/>
              </w:rPr>
              <w:t>13</w:t>
            </w:r>
          </w:p>
        </w:tc>
        <w:tc>
          <w:tcPr>
            <w:tcW w:w="0" w:type="auto"/>
            <w:vMerge/>
            <w:shd w:val="clear" w:color="auto" w:fill="FFFFFF" w:themeFill="background1"/>
          </w:tcPr>
          <w:p w14:paraId="55E06744" w14:textId="77777777" w:rsidR="00980069" w:rsidRPr="0034052D"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color w:val="000000"/>
              </w:rPr>
            </w:pPr>
          </w:p>
        </w:tc>
      </w:tr>
      <w:tr w:rsidR="00980069" w:rsidRPr="00FA2DE0" w14:paraId="0C574312" w14:textId="77777777" w:rsidTr="00980069">
        <w:trPr>
          <w:trHeight w:val="191"/>
        </w:trPr>
        <w:tc>
          <w:tcPr>
            <w:cnfStyle w:val="001000000000" w:firstRow="0" w:lastRow="0" w:firstColumn="1" w:lastColumn="0" w:oddVBand="0" w:evenVBand="0" w:oddHBand="0" w:evenHBand="0" w:firstRowFirstColumn="0" w:firstRowLastColumn="0" w:lastRowFirstColumn="0" w:lastRowLastColumn="0"/>
            <w:tcW w:w="0" w:type="auto"/>
            <w:gridSpan w:val="2"/>
            <w:vMerge w:val="restart"/>
          </w:tcPr>
          <w:p w14:paraId="51CD74EF" w14:textId="77777777" w:rsidR="00980069" w:rsidRPr="00A230DB" w:rsidRDefault="00980069" w:rsidP="00980069">
            <w:pPr>
              <w:pStyle w:val="TableTextLeft"/>
            </w:pPr>
            <w:r w:rsidRPr="00A230DB">
              <w:t>Other conservation reserves</w:t>
            </w:r>
          </w:p>
        </w:tc>
        <w:tc>
          <w:tcPr>
            <w:tcW w:w="0" w:type="auto"/>
            <w:vMerge w:val="restart"/>
            <w:shd w:val="clear" w:color="auto" w:fill="FFFFFF" w:themeFill="background1"/>
          </w:tcPr>
          <w:p w14:paraId="520BC898" w14:textId="77777777" w:rsidR="00980069" w:rsidRPr="00FA2DE0"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sidRPr="00FA2DE0">
              <w:rPr>
                <w:rFonts w:cstheme="minorHAnsi"/>
              </w:rPr>
              <w:t>All</w:t>
            </w:r>
          </w:p>
        </w:tc>
        <w:tc>
          <w:tcPr>
            <w:tcW w:w="0" w:type="auto"/>
            <w:vMerge w:val="restart"/>
            <w:shd w:val="clear" w:color="auto" w:fill="FFFFFF" w:themeFill="background1"/>
          </w:tcPr>
          <w:p w14:paraId="291B4BE8" w14:textId="77777777" w:rsidR="00980069" w:rsidRPr="00FA2DE0"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sidRPr="00FA2DE0">
              <w:rPr>
                <w:rFonts w:cstheme="minorHAnsi"/>
              </w:rPr>
              <w:t>Various</w:t>
            </w:r>
          </w:p>
        </w:tc>
        <w:tc>
          <w:tcPr>
            <w:tcW w:w="0" w:type="auto"/>
            <w:vMerge w:val="restart"/>
            <w:shd w:val="clear" w:color="auto" w:fill="FFFFFF" w:themeFill="background1"/>
          </w:tcPr>
          <w:p w14:paraId="173BD136" w14:textId="77777777" w:rsidR="00980069" w:rsidRPr="00FA2DE0"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sidRPr="00FA2DE0">
              <w:rPr>
                <w:rFonts w:cstheme="minorHAnsi"/>
                <w:color w:val="000000"/>
              </w:rPr>
              <w:t>1:25k</w:t>
            </w:r>
          </w:p>
        </w:tc>
        <w:tc>
          <w:tcPr>
            <w:tcW w:w="0" w:type="auto"/>
            <w:vMerge w:val="restart"/>
            <w:shd w:val="clear" w:color="auto" w:fill="FFFFFF" w:themeFill="background1"/>
          </w:tcPr>
          <w:p w14:paraId="6CD5B47E" w14:textId="77777777" w:rsidR="00980069" w:rsidRPr="00FA2DE0"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sidRPr="00FA2DE0">
              <w:rPr>
                <w:rFonts w:cstheme="minorHAnsi"/>
                <w:color w:val="000000"/>
              </w:rPr>
              <w:t xml:space="preserve">DELWP </w:t>
            </w:r>
            <w:r>
              <w:rPr>
                <w:rFonts w:cstheme="minorHAnsi"/>
                <w:color w:val="000000"/>
              </w:rPr>
              <w:t>(2021c)</w:t>
            </w:r>
          </w:p>
        </w:tc>
        <w:tc>
          <w:tcPr>
            <w:tcW w:w="0" w:type="auto"/>
            <w:vMerge w:val="restart"/>
            <w:shd w:val="clear" w:color="auto" w:fill="FFFFFF" w:themeFill="background1"/>
          </w:tcPr>
          <w:p w14:paraId="5D7A4899" w14:textId="77777777" w:rsidR="00980069" w:rsidRPr="00A93222"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sidRPr="00A93222">
              <w:rPr>
                <w:rFonts w:cstheme="minorHAnsi"/>
                <w:color w:val="000000"/>
              </w:rPr>
              <w:t>2021</w:t>
            </w:r>
          </w:p>
        </w:tc>
        <w:tc>
          <w:tcPr>
            <w:tcW w:w="0" w:type="auto"/>
            <w:shd w:val="clear" w:color="auto" w:fill="FFFFFF" w:themeFill="background1"/>
          </w:tcPr>
          <w:p w14:paraId="373FF4F7" w14:textId="77777777" w:rsidR="00980069" w:rsidRPr="00A93222"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sidRPr="00A93222">
              <w:rPr>
                <w:rFonts w:cstheme="minorHAnsi"/>
                <w:color w:val="000000"/>
              </w:rPr>
              <w:t>Ha</w:t>
            </w:r>
          </w:p>
        </w:tc>
        <w:tc>
          <w:tcPr>
            <w:tcW w:w="0" w:type="auto"/>
            <w:shd w:val="clear" w:color="auto" w:fill="FFFFFF" w:themeFill="background1"/>
          </w:tcPr>
          <w:p w14:paraId="2BA58A56" w14:textId="77777777" w:rsidR="00980069" w:rsidRPr="00FA2DE0"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w:t>
            </w:r>
          </w:p>
        </w:tc>
        <w:tc>
          <w:tcPr>
            <w:tcW w:w="0" w:type="auto"/>
            <w:shd w:val="clear" w:color="auto" w:fill="FFFFFF" w:themeFill="background1"/>
          </w:tcPr>
          <w:p w14:paraId="08B8E095" w14:textId="77777777" w:rsidR="00980069" w:rsidRPr="00FA2DE0"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sidRPr="00CC0FFE">
              <w:rPr>
                <w:rFonts w:cstheme="minorHAnsi"/>
              </w:rPr>
              <w:t>-</w:t>
            </w:r>
          </w:p>
        </w:tc>
        <w:tc>
          <w:tcPr>
            <w:tcW w:w="0" w:type="auto"/>
            <w:shd w:val="clear" w:color="auto" w:fill="FFFFFF" w:themeFill="background1"/>
          </w:tcPr>
          <w:p w14:paraId="378C77B7" w14:textId="77777777" w:rsidR="00980069" w:rsidRPr="00A93222"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sidRPr="00A93222">
              <w:rPr>
                <w:rFonts w:cstheme="minorHAnsi"/>
                <w:color w:val="000000"/>
              </w:rPr>
              <w:t>7,500</w:t>
            </w:r>
          </w:p>
        </w:tc>
        <w:tc>
          <w:tcPr>
            <w:tcW w:w="0" w:type="auto"/>
            <w:vMerge w:val="restart"/>
            <w:shd w:val="clear" w:color="auto" w:fill="FFFFFF" w:themeFill="background1"/>
          </w:tcPr>
          <w:p w14:paraId="22D97B2D" w14:textId="77777777" w:rsidR="00980069" w:rsidRPr="0034052D"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34052D">
              <w:rPr>
                <w:rFonts w:cstheme="minorHAnsi"/>
                <w:color w:val="000000"/>
              </w:rPr>
              <w:t>Low</w:t>
            </w:r>
          </w:p>
        </w:tc>
      </w:tr>
      <w:tr w:rsidR="00980069" w:rsidRPr="00FA2DE0" w14:paraId="74962801" w14:textId="77777777" w:rsidTr="00980069">
        <w:trPr>
          <w:trHeight w:val="191"/>
        </w:trPr>
        <w:tc>
          <w:tcPr>
            <w:cnfStyle w:val="001000000000" w:firstRow="0" w:lastRow="0" w:firstColumn="1" w:lastColumn="0" w:oddVBand="0" w:evenVBand="0" w:oddHBand="0" w:evenHBand="0" w:firstRowFirstColumn="0" w:firstRowLastColumn="0" w:lastRowFirstColumn="0" w:lastRowLastColumn="0"/>
            <w:tcW w:w="0" w:type="auto"/>
            <w:gridSpan w:val="2"/>
            <w:vMerge/>
          </w:tcPr>
          <w:p w14:paraId="0AB4B53A" w14:textId="77777777" w:rsidR="00980069" w:rsidRPr="00A230DB" w:rsidRDefault="00980069" w:rsidP="00980069">
            <w:pPr>
              <w:pStyle w:val="TableTextLeft"/>
            </w:pPr>
          </w:p>
        </w:tc>
        <w:tc>
          <w:tcPr>
            <w:tcW w:w="0" w:type="auto"/>
            <w:vMerge/>
            <w:shd w:val="clear" w:color="auto" w:fill="FFFFFF" w:themeFill="background1"/>
          </w:tcPr>
          <w:p w14:paraId="51992193" w14:textId="77777777" w:rsidR="00980069" w:rsidRPr="00FA2DE0"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p>
        </w:tc>
        <w:tc>
          <w:tcPr>
            <w:tcW w:w="0" w:type="auto"/>
            <w:vMerge/>
            <w:shd w:val="clear" w:color="auto" w:fill="FFFFFF" w:themeFill="background1"/>
          </w:tcPr>
          <w:p w14:paraId="7AA9E462" w14:textId="77777777" w:rsidR="00980069" w:rsidRPr="00FA2DE0"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p>
        </w:tc>
        <w:tc>
          <w:tcPr>
            <w:tcW w:w="0" w:type="auto"/>
            <w:vMerge/>
            <w:shd w:val="clear" w:color="auto" w:fill="FFFFFF" w:themeFill="background1"/>
          </w:tcPr>
          <w:p w14:paraId="62AB7797" w14:textId="77777777" w:rsidR="00980069" w:rsidRPr="00FA2DE0"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color w:val="000000"/>
              </w:rPr>
            </w:pPr>
          </w:p>
        </w:tc>
        <w:tc>
          <w:tcPr>
            <w:tcW w:w="0" w:type="auto"/>
            <w:vMerge/>
            <w:shd w:val="clear" w:color="auto" w:fill="FFFFFF" w:themeFill="background1"/>
          </w:tcPr>
          <w:p w14:paraId="6717BC96" w14:textId="77777777" w:rsidR="00980069" w:rsidRPr="00FA2DE0"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color w:val="000000"/>
              </w:rPr>
            </w:pPr>
          </w:p>
        </w:tc>
        <w:tc>
          <w:tcPr>
            <w:tcW w:w="0" w:type="auto"/>
            <w:vMerge/>
            <w:shd w:val="clear" w:color="auto" w:fill="FFFFFF" w:themeFill="background1"/>
          </w:tcPr>
          <w:p w14:paraId="14AAB371" w14:textId="77777777" w:rsidR="00980069" w:rsidRPr="00A93222"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color w:val="000000"/>
              </w:rPr>
            </w:pPr>
          </w:p>
        </w:tc>
        <w:tc>
          <w:tcPr>
            <w:tcW w:w="0" w:type="auto"/>
            <w:shd w:val="clear" w:color="auto" w:fill="FFFFFF" w:themeFill="background1"/>
          </w:tcPr>
          <w:p w14:paraId="73B2AD92" w14:textId="77777777" w:rsidR="00980069" w:rsidRPr="00A93222"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A93222">
              <w:rPr>
                <w:rFonts w:cstheme="minorHAnsi"/>
                <w:color w:val="000000"/>
              </w:rPr>
              <w:t>Number</w:t>
            </w:r>
          </w:p>
        </w:tc>
        <w:tc>
          <w:tcPr>
            <w:tcW w:w="0" w:type="auto"/>
            <w:shd w:val="clear" w:color="auto" w:fill="FFFFFF" w:themeFill="background1"/>
          </w:tcPr>
          <w:p w14:paraId="28B9AABC" w14:textId="77777777" w:rsidR="00980069" w:rsidRPr="00FA2DE0"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w:t>
            </w:r>
          </w:p>
        </w:tc>
        <w:tc>
          <w:tcPr>
            <w:tcW w:w="0" w:type="auto"/>
            <w:shd w:val="clear" w:color="auto" w:fill="FFFFFF" w:themeFill="background1"/>
          </w:tcPr>
          <w:p w14:paraId="75D7A8F6" w14:textId="77777777" w:rsidR="00980069" w:rsidRPr="000D484D"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w:t>
            </w:r>
          </w:p>
        </w:tc>
        <w:tc>
          <w:tcPr>
            <w:tcW w:w="0" w:type="auto"/>
            <w:shd w:val="clear" w:color="auto" w:fill="FFFFFF" w:themeFill="background1"/>
          </w:tcPr>
          <w:p w14:paraId="6D79EE2F" w14:textId="77777777" w:rsidR="00980069" w:rsidRPr="00A93222"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A93222">
              <w:rPr>
                <w:rFonts w:cstheme="minorHAnsi"/>
                <w:color w:val="000000"/>
              </w:rPr>
              <w:t>52</w:t>
            </w:r>
          </w:p>
        </w:tc>
        <w:tc>
          <w:tcPr>
            <w:tcW w:w="0" w:type="auto"/>
            <w:vMerge/>
            <w:shd w:val="clear" w:color="auto" w:fill="FFFFFF" w:themeFill="background1"/>
          </w:tcPr>
          <w:p w14:paraId="79B374D6" w14:textId="77777777" w:rsidR="00980069" w:rsidRPr="0034052D"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rFonts w:cstheme="minorHAnsi"/>
                <w:color w:val="000000"/>
              </w:rPr>
            </w:pPr>
          </w:p>
        </w:tc>
      </w:tr>
      <w:tr w:rsidR="00980069" w:rsidRPr="003036D9" w14:paraId="4E8E5D5F" w14:textId="77777777" w:rsidTr="00980069">
        <w:trPr>
          <w:trHeight w:val="80"/>
        </w:trPr>
        <w:tc>
          <w:tcPr>
            <w:cnfStyle w:val="001000000000" w:firstRow="0" w:lastRow="0" w:firstColumn="1" w:lastColumn="0" w:oddVBand="0" w:evenVBand="0" w:oddHBand="0" w:evenHBand="0" w:firstRowFirstColumn="0" w:firstRowLastColumn="0" w:lastRowFirstColumn="0" w:lastRowLastColumn="0"/>
            <w:tcW w:w="0" w:type="auto"/>
            <w:gridSpan w:val="11"/>
            <w:shd w:val="clear" w:color="auto" w:fill="201547" w:themeFill="text2"/>
          </w:tcPr>
          <w:p w14:paraId="3F89AEB7" w14:textId="77777777" w:rsidR="00980069" w:rsidRPr="003036D9" w:rsidRDefault="00980069" w:rsidP="00980069">
            <w:pPr>
              <w:pStyle w:val="TableTextLeftBold"/>
            </w:pPr>
            <w:r w:rsidRPr="00C42A44">
              <w:t>Socio-economic characteristics - Built assets</w:t>
            </w:r>
          </w:p>
        </w:tc>
        <w:tc>
          <w:tcPr>
            <w:tcW w:w="0" w:type="auto"/>
            <w:shd w:val="clear" w:color="auto" w:fill="201547" w:themeFill="text2"/>
          </w:tcPr>
          <w:p w14:paraId="2000822B" w14:textId="77777777" w:rsidR="00980069" w:rsidRPr="0034052D"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p>
        </w:tc>
      </w:tr>
      <w:tr w:rsidR="00980069" w:rsidRPr="0000483F" w14:paraId="6DF64458" w14:textId="77777777" w:rsidTr="00980069">
        <w:trPr>
          <w:trHeight w:val="80"/>
        </w:trPr>
        <w:tc>
          <w:tcPr>
            <w:cnfStyle w:val="001000000000" w:firstRow="0" w:lastRow="0" w:firstColumn="1" w:lastColumn="0" w:oddVBand="0" w:evenVBand="0" w:oddHBand="0" w:evenHBand="0" w:firstRowFirstColumn="0" w:firstRowLastColumn="0" w:lastRowFirstColumn="0" w:lastRowLastColumn="0"/>
            <w:tcW w:w="0" w:type="auto"/>
            <w:gridSpan w:val="2"/>
          </w:tcPr>
          <w:p w14:paraId="46A0F6BA" w14:textId="77777777" w:rsidR="00980069" w:rsidRPr="0000483F" w:rsidRDefault="00980069" w:rsidP="00980069">
            <w:pPr>
              <w:pStyle w:val="TableTextLeft"/>
            </w:pPr>
            <w:r w:rsidRPr="0000483F">
              <w:rPr>
                <w:color w:val="000000"/>
              </w:rPr>
              <w:t xml:space="preserve">Piers </w:t>
            </w:r>
            <w:r>
              <w:rPr>
                <w:color w:val="000000"/>
              </w:rPr>
              <w:t>and</w:t>
            </w:r>
            <w:r w:rsidRPr="0000483F">
              <w:rPr>
                <w:color w:val="000000"/>
              </w:rPr>
              <w:t xml:space="preserve"> jetties</w:t>
            </w:r>
          </w:p>
        </w:tc>
        <w:tc>
          <w:tcPr>
            <w:tcW w:w="0" w:type="auto"/>
            <w:shd w:val="clear" w:color="auto" w:fill="FFFFFF" w:themeFill="background1"/>
          </w:tcPr>
          <w:p w14:paraId="28262905" w14:textId="77777777" w:rsidR="00980069" w:rsidRPr="0000483F"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00483F">
              <w:rPr>
                <w:color w:val="000000"/>
              </w:rPr>
              <w:t>Marine</w:t>
            </w:r>
          </w:p>
        </w:tc>
        <w:tc>
          <w:tcPr>
            <w:tcW w:w="0" w:type="auto"/>
            <w:shd w:val="clear" w:color="auto" w:fill="FFFFFF" w:themeFill="background1"/>
          </w:tcPr>
          <w:p w14:paraId="5B006A6C" w14:textId="77777777" w:rsidR="00980069" w:rsidRPr="0000483F"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00483F">
              <w:rPr>
                <w:color w:val="000000"/>
              </w:rPr>
              <w:t>Recreation</w:t>
            </w:r>
            <w:r>
              <w:rPr>
                <w:color w:val="000000"/>
              </w:rPr>
              <w:t xml:space="preserve"> and T</w:t>
            </w:r>
            <w:r w:rsidRPr="0000483F">
              <w:rPr>
                <w:color w:val="000000"/>
              </w:rPr>
              <w:t>ourism</w:t>
            </w:r>
          </w:p>
        </w:tc>
        <w:tc>
          <w:tcPr>
            <w:tcW w:w="0" w:type="auto"/>
            <w:shd w:val="clear" w:color="auto" w:fill="FFFFFF" w:themeFill="background1"/>
          </w:tcPr>
          <w:p w14:paraId="39FFA79F" w14:textId="77777777" w:rsidR="00980069" w:rsidRPr="0000483F"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Pr>
                <w:color w:val="000000"/>
              </w:rPr>
              <w:t>P</w:t>
            </w:r>
            <w:r w:rsidRPr="0000483F">
              <w:rPr>
                <w:color w:val="000000"/>
              </w:rPr>
              <w:t>oint data</w:t>
            </w:r>
          </w:p>
        </w:tc>
        <w:tc>
          <w:tcPr>
            <w:tcW w:w="0" w:type="auto"/>
            <w:shd w:val="clear" w:color="auto" w:fill="FFFFFF" w:themeFill="background1"/>
          </w:tcPr>
          <w:p w14:paraId="1FCE584E" w14:textId="77777777" w:rsidR="00980069" w:rsidRPr="0000483F"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00483F">
              <w:rPr>
                <w:color w:val="000000"/>
              </w:rPr>
              <w:t>DELWP</w:t>
            </w:r>
            <w:r>
              <w:rPr>
                <w:color w:val="000000"/>
              </w:rPr>
              <w:t xml:space="preserve"> (2020)</w:t>
            </w:r>
          </w:p>
        </w:tc>
        <w:tc>
          <w:tcPr>
            <w:tcW w:w="0" w:type="auto"/>
            <w:shd w:val="clear" w:color="auto" w:fill="FFFFFF" w:themeFill="background1"/>
          </w:tcPr>
          <w:p w14:paraId="4A1E5E22" w14:textId="77777777" w:rsidR="00980069" w:rsidRPr="0000483F"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t>2020</w:t>
            </w:r>
          </w:p>
        </w:tc>
        <w:tc>
          <w:tcPr>
            <w:tcW w:w="0" w:type="auto"/>
            <w:shd w:val="clear" w:color="auto" w:fill="FFFFFF" w:themeFill="background1"/>
          </w:tcPr>
          <w:p w14:paraId="0A0E283B" w14:textId="77777777" w:rsidR="00980069" w:rsidRPr="0000483F"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Pr>
                <w:color w:val="000000"/>
              </w:rPr>
              <w:t>C</w:t>
            </w:r>
            <w:r w:rsidRPr="0000483F">
              <w:rPr>
                <w:color w:val="000000"/>
              </w:rPr>
              <w:t>ount</w:t>
            </w:r>
          </w:p>
        </w:tc>
        <w:tc>
          <w:tcPr>
            <w:tcW w:w="0" w:type="auto"/>
            <w:shd w:val="clear" w:color="auto" w:fill="FFFFFF" w:themeFill="background1"/>
          </w:tcPr>
          <w:p w14:paraId="5C2A05CC" w14:textId="77777777" w:rsidR="00980069" w:rsidRPr="0000483F"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00483F">
              <w:rPr>
                <w:color w:val="000000"/>
              </w:rPr>
              <w:t>0</w:t>
            </w:r>
          </w:p>
        </w:tc>
        <w:tc>
          <w:tcPr>
            <w:tcW w:w="0" w:type="auto"/>
            <w:shd w:val="clear" w:color="auto" w:fill="FFFFFF" w:themeFill="background1"/>
          </w:tcPr>
          <w:p w14:paraId="532D3CF3" w14:textId="77777777" w:rsidR="00980069" w:rsidRPr="0000483F"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00483F">
              <w:rPr>
                <w:color w:val="000000"/>
              </w:rPr>
              <w:t>7</w:t>
            </w:r>
          </w:p>
        </w:tc>
        <w:tc>
          <w:tcPr>
            <w:tcW w:w="0" w:type="auto"/>
            <w:shd w:val="clear" w:color="auto" w:fill="FFFFFF" w:themeFill="background1"/>
          </w:tcPr>
          <w:p w14:paraId="098807F4" w14:textId="77777777" w:rsidR="00980069" w:rsidRPr="0000483F"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Pr>
                <w:color w:val="000000"/>
              </w:rPr>
              <w:t>7</w:t>
            </w:r>
          </w:p>
        </w:tc>
        <w:tc>
          <w:tcPr>
            <w:tcW w:w="0" w:type="auto"/>
            <w:shd w:val="clear" w:color="auto" w:fill="FFFFFF" w:themeFill="background1"/>
          </w:tcPr>
          <w:p w14:paraId="42A5CEAB" w14:textId="77777777" w:rsidR="00980069" w:rsidRPr="0034052D"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34052D">
              <w:rPr>
                <w:color w:val="000000"/>
              </w:rPr>
              <w:t>Low</w:t>
            </w:r>
          </w:p>
        </w:tc>
      </w:tr>
      <w:tr w:rsidR="00980069" w:rsidRPr="0000483F" w14:paraId="1CA4F312" w14:textId="77777777" w:rsidTr="00980069">
        <w:trPr>
          <w:trHeight w:val="80"/>
        </w:trPr>
        <w:tc>
          <w:tcPr>
            <w:cnfStyle w:val="001000000000" w:firstRow="0" w:lastRow="0" w:firstColumn="1" w:lastColumn="0" w:oddVBand="0" w:evenVBand="0" w:oddHBand="0" w:evenHBand="0" w:firstRowFirstColumn="0" w:firstRowLastColumn="0" w:lastRowFirstColumn="0" w:lastRowLastColumn="0"/>
            <w:tcW w:w="0" w:type="auto"/>
            <w:gridSpan w:val="2"/>
          </w:tcPr>
          <w:p w14:paraId="1BA8D616" w14:textId="77777777" w:rsidR="00980069" w:rsidRPr="003D4383" w:rsidRDefault="00980069" w:rsidP="003D4383">
            <w:pPr>
              <w:pStyle w:val="TableTextLeft"/>
            </w:pPr>
            <w:r w:rsidRPr="003D4383">
              <w:t>Boating Infrastructure </w:t>
            </w:r>
          </w:p>
        </w:tc>
        <w:tc>
          <w:tcPr>
            <w:tcW w:w="0" w:type="auto"/>
            <w:shd w:val="clear" w:color="auto" w:fill="FFFFFF" w:themeFill="background1"/>
          </w:tcPr>
          <w:p w14:paraId="3729D60C" w14:textId="77777777" w:rsidR="00980069" w:rsidRPr="003D4383" w:rsidRDefault="00980069" w:rsidP="003D4383">
            <w:pPr>
              <w:pStyle w:val="TableTextLeft"/>
              <w:cnfStyle w:val="000000000000" w:firstRow="0" w:lastRow="0" w:firstColumn="0" w:lastColumn="0" w:oddVBand="0" w:evenVBand="0" w:oddHBand="0" w:evenHBand="0" w:firstRowFirstColumn="0" w:firstRowLastColumn="0" w:lastRowFirstColumn="0" w:lastRowLastColumn="0"/>
            </w:pPr>
            <w:r w:rsidRPr="003D4383">
              <w:t>Marine </w:t>
            </w:r>
          </w:p>
        </w:tc>
        <w:tc>
          <w:tcPr>
            <w:tcW w:w="0" w:type="auto"/>
            <w:shd w:val="clear" w:color="auto" w:fill="FFFFFF" w:themeFill="background1"/>
          </w:tcPr>
          <w:p w14:paraId="5B054BD8" w14:textId="77777777" w:rsidR="00980069" w:rsidRPr="003D4383" w:rsidRDefault="00980069" w:rsidP="003D4383">
            <w:pPr>
              <w:pStyle w:val="TableTextLeft"/>
              <w:cnfStyle w:val="000000000000" w:firstRow="0" w:lastRow="0" w:firstColumn="0" w:lastColumn="0" w:oddVBand="0" w:evenVBand="0" w:oddHBand="0" w:evenHBand="0" w:firstRowFirstColumn="0" w:firstRowLastColumn="0" w:lastRowFirstColumn="0" w:lastRowLastColumn="0"/>
            </w:pPr>
            <w:r w:rsidRPr="003D4383">
              <w:t>Recreation and Tourism </w:t>
            </w:r>
          </w:p>
        </w:tc>
        <w:tc>
          <w:tcPr>
            <w:tcW w:w="0" w:type="auto"/>
            <w:shd w:val="clear" w:color="auto" w:fill="FFFFFF" w:themeFill="background1"/>
          </w:tcPr>
          <w:p w14:paraId="753B943A" w14:textId="77777777" w:rsidR="00980069" w:rsidRPr="003D4383" w:rsidRDefault="00980069" w:rsidP="003D4383">
            <w:pPr>
              <w:pStyle w:val="TableTextLeft"/>
              <w:cnfStyle w:val="000000000000" w:firstRow="0" w:lastRow="0" w:firstColumn="0" w:lastColumn="0" w:oddVBand="0" w:evenVBand="0" w:oddHBand="0" w:evenHBand="0" w:firstRowFirstColumn="0" w:firstRowLastColumn="0" w:lastRowFirstColumn="0" w:lastRowLastColumn="0"/>
            </w:pPr>
            <w:r w:rsidRPr="003D4383">
              <w:t>Point data </w:t>
            </w:r>
          </w:p>
        </w:tc>
        <w:tc>
          <w:tcPr>
            <w:tcW w:w="0" w:type="auto"/>
            <w:shd w:val="clear" w:color="auto" w:fill="FFFFFF" w:themeFill="background1"/>
          </w:tcPr>
          <w:p w14:paraId="09B27174" w14:textId="62B004D5" w:rsidR="00980069" w:rsidRPr="003D4383" w:rsidRDefault="00980069" w:rsidP="003D4383">
            <w:pPr>
              <w:pStyle w:val="TableTextLeft"/>
              <w:cnfStyle w:val="000000000000" w:firstRow="0" w:lastRow="0" w:firstColumn="0" w:lastColumn="0" w:oddVBand="0" w:evenVBand="0" w:oddHBand="0" w:evenHBand="0" w:firstRowFirstColumn="0" w:firstRowLastColumn="0" w:lastRowFirstColumn="0" w:lastRowLastColumn="0"/>
            </w:pPr>
            <w:r w:rsidRPr="003D4383">
              <w:t>DELWP</w:t>
            </w:r>
            <w:r w:rsidR="003D4383" w:rsidRPr="003D4383">
              <w:t xml:space="preserve"> (2020)</w:t>
            </w:r>
          </w:p>
        </w:tc>
        <w:tc>
          <w:tcPr>
            <w:tcW w:w="0" w:type="auto"/>
            <w:shd w:val="clear" w:color="auto" w:fill="FFFFFF" w:themeFill="background1"/>
          </w:tcPr>
          <w:p w14:paraId="1DB736B3" w14:textId="77777777" w:rsidR="00980069" w:rsidRPr="003D4383" w:rsidRDefault="00980069" w:rsidP="003D4383">
            <w:pPr>
              <w:pStyle w:val="TableTextLeft"/>
              <w:cnfStyle w:val="000000000000" w:firstRow="0" w:lastRow="0" w:firstColumn="0" w:lastColumn="0" w:oddVBand="0" w:evenVBand="0" w:oddHBand="0" w:evenHBand="0" w:firstRowFirstColumn="0" w:firstRowLastColumn="0" w:lastRowFirstColumn="0" w:lastRowLastColumn="0"/>
            </w:pPr>
            <w:r w:rsidRPr="003D4383">
              <w:t>2021 </w:t>
            </w:r>
          </w:p>
        </w:tc>
        <w:tc>
          <w:tcPr>
            <w:tcW w:w="0" w:type="auto"/>
            <w:shd w:val="clear" w:color="auto" w:fill="FFFFFF" w:themeFill="background1"/>
          </w:tcPr>
          <w:p w14:paraId="18BA366A" w14:textId="77777777" w:rsidR="00980069" w:rsidRPr="003D4383" w:rsidRDefault="00980069" w:rsidP="003D4383">
            <w:pPr>
              <w:pStyle w:val="TableTextLeft"/>
              <w:cnfStyle w:val="000000000000" w:firstRow="0" w:lastRow="0" w:firstColumn="0" w:lastColumn="0" w:oddVBand="0" w:evenVBand="0" w:oddHBand="0" w:evenHBand="0" w:firstRowFirstColumn="0" w:firstRowLastColumn="0" w:lastRowFirstColumn="0" w:lastRowLastColumn="0"/>
            </w:pPr>
            <w:r w:rsidRPr="003D4383">
              <w:t>Count </w:t>
            </w:r>
          </w:p>
        </w:tc>
        <w:tc>
          <w:tcPr>
            <w:tcW w:w="0" w:type="auto"/>
            <w:shd w:val="clear" w:color="auto" w:fill="FFFFFF" w:themeFill="background1"/>
          </w:tcPr>
          <w:p w14:paraId="3AC63BA0" w14:textId="77777777" w:rsidR="00980069" w:rsidRPr="003D4383" w:rsidRDefault="00980069" w:rsidP="003D4383">
            <w:pPr>
              <w:pStyle w:val="TableTextLeft"/>
              <w:cnfStyle w:val="000000000000" w:firstRow="0" w:lastRow="0" w:firstColumn="0" w:lastColumn="0" w:oddVBand="0" w:evenVBand="0" w:oddHBand="0" w:evenHBand="0" w:firstRowFirstColumn="0" w:firstRowLastColumn="0" w:lastRowFirstColumn="0" w:lastRowLastColumn="0"/>
            </w:pPr>
            <w:r w:rsidRPr="003D4383">
              <w:t>0 </w:t>
            </w:r>
          </w:p>
        </w:tc>
        <w:tc>
          <w:tcPr>
            <w:tcW w:w="0" w:type="auto"/>
            <w:shd w:val="clear" w:color="auto" w:fill="FFFFFF" w:themeFill="background1"/>
          </w:tcPr>
          <w:p w14:paraId="61EA4F07" w14:textId="77777777" w:rsidR="00980069" w:rsidRPr="003D4383" w:rsidRDefault="00980069" w:rsidP="003D4383">
            <w:pPr>
              <w:pStyle w:val="TableTextLeft"/>
              <w:cnfStyle w:val="000000000000" w:firstRow="0" w:lastRow="0" w:firstColumn="0" w:lastColumn="0" w:oddVBand="0" w:evenVBand="0" w:oddHBand="0" w:evenHBand="0" w:firstRowFirstColumn="0" w:firstRowLastColumn="0" w:lastRowFirstColumn="0" w:lastRowLastColumn="0"/>
            </w:pPr>
            <w:r w:rsidRPr="003D4383">
              <w:t>33 </w:t>
            </w:r>
          </w:p>
        </w:tc>
        <w:tc>
          <w:tcPr>
            <w:tcW w:w="0" w:type="auto"/>
            <w:shd w:val="clear" w:color="auto" w:fill="FFFFFF" w:themeFill="background1"/>
          </w:tcPr>
          <w:p w14:paraId="74E69A94" w14:textId="77777777" w:rsidR="00980069" w:rsidRPr="003D4383" w:rsidRDefault="00980069" w:rsidP="003D4383">
            <w:pPr>
              <w:pStyle w:val="TableTextLeft"/>
              <w:cnfStyle w:val="000000000000" w:firstRow="0" w:lastRow="0" w:firstColumn="0" w:lastColumn="0" w:oddVBand="0" w:evenVBand="0" w:oddHBand="0" w:evenHBand="0" w:firstRowFirstColumn="0" w:firstRowLastColumn="0" w:lastRowFirstColumn="0" w:lastRowLastColumn="0"/>
            </w:pPr>
            <w:r w:rsidRPr="003D4383">
              <w:t>33 </w:t>
            </w:r>
          </w:p>
        </w:tc>
        <w:tc>
          <w:tcPr>
            <w:tcW w:w="0" w:type="auto"/>
            <w:shd w:val="clear" w:color="auto" w:fill="FFFFFF" w:themeFill="background1"/>
          </w:tcPr>
          <w:p w14:paraId="4DC51434" w14:textId="77777777" w:rsidR="00980069" w:rsidRPr="003D4383" w:rsidRDefault="00980069" w:rsidP="003D4383">
            <w:pPr>
              <w:pStyle w:val="TableTextLeft"/>
              <w:cnfStyle w:val="000000000000" w:firstRow="0" w:lastRow="0" w:firstColumn="0" w:lastColumn="0" w:oddVBand="0" w:evenVBand="0" w:oddHBand="0" w:evenHBand="0" w:firstRowFirstColumn="0" w:firstRowLastColumn="0" w:lastRowFirstColumn="0" w:lastRowLastColumn="0"/>
            </w:pPr>
            <w:r w:rsidRPr="003D4383">
              <w:t>Low </w:t>
            </w:r>
          </w:p>
        </w:tc>
      </w:tr>
      <w:tr w:rsidR="00980069" w:rsidRPr="0000483F" w14:paraId="0F6D7D35" w14:textId="77777777" w:rsidTr="00980069">
        <w:trPr>
          <w:trHeight w:val="80"/>
        </w:trPr>
        <w:tc>
          <w:tcPr>
            <w:cnfStyle w:val="001000000000" w:firstRow="0" w:lastRow="0" w:firstColumn="1" w:lastColumn="0" w:oddVBand="0" w:evenVBand="0" w:oddHBand="0" w:evenHBand="0" w:firstRowFirstColumn="0" w:firstRowLastColumn="0" w:lastRowFirstColumn="0" w:lastRowLastColumn="0"/>
            <w:tcW w:w="0" w:type="auto"/>
            <w:gridSpan w:val="2"/>
          </w:tcPr>
          <w:p w14:paraId="7F0DCDC1" w14:textId="77777777" w:rsidR="00980069" w:rsidRPr="0000483F" w:rsidRDefault="00980069" w:rsidP="00980069">
            <w:pPr>
              <w:pStyle w:val="TableTextLeft"/>
            </w:pPr>
            <w:r w:rsidRPr="0000483F">
              <w:rPr>
                <w:color w:val="000000"/>
              </w:rPr>
              <w:t>Walking tracks</w:t>
            </w:r>
          </w:p>
        </w:tc>
        <w:tc>
          <w:tcPr>
            <w:tcW w:w="0" w:type="auto"/>
            <w:shd w:val="clear" w:color="auto" w:fill="FFFFFF" w:themeFill="background1"/>
          </w:tcPr>
          <w:p w14:paraId="4F9B6B9C" w14:textId="77777777" w:rsidR="00980069" w:rsidRPr="0000483F"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00483F">
              <w:rPr>
                <w:color w:val="000000"/>
              </w:rPr>
              <w:t>Terrestrial</w:t>
            </w:r>
          </w:p>
        </w:tc>
        <w:tc>
          <w:tcPr>
            <w:tcW w:w="0" w:type="auto"/>
            <w:shd w:val="clear" w:color="auto" w:fill="FFFFFF" w:themeFill="background1"/>
          </w:tcPr>
          <w:p w14:paraId="187C1B50" w14:textId="77777777" w:rsidR="00980069" w:rsidRPr="0000483F"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00483F">
              <w:rPr>
                <w:color w:val="000000"/>
              </w:rPr>
              <w:t>Recreation</w:t>
            </w:r>
            <w:r>
              <w:rPr>
                <w:color w:val="000000"/>
              </w:rPr>
              <w:t xml:space="preserve"> and T</w:t>
            </w:r>
            <w:r w:rsidRPr="0000483F">
              <w:rPr>
                <w:color w:val="000000"/>
              </w:rPr>
              <w:t>ourism</w:t>
            </w:r>
          </w:p>
        </w:tc>
        <w:tc>
          <w:tcPr>
            <w:tcW w:w="0" w:type="auto"/>
            <w:shd w:val="clear" w:color="auto" w:fill="FFFFFF" w:themeFill="background1"/>
          </w:tcPr>
          <w:p w14:paraId="6C308528" w14:textId="77777777" w:rsidR="00980069" w:rsidRPr="0000483F"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00483F">
              <w:rPr>
                <w:color w:val="000000"/>
              </w:rPr>
              <w:t>1:25k</w:t>
            </w:r>
          </w:p>
        </w:tc>
        <w:tc>
          <w:tcPr>
            <w:tcW w:w="0" w:type="auto"/>
            <w:shd w:val="clear" w:color="auto" w:fill="FFFFFF" w:themeFill="background1"/>
          </w:tcPr>
          <w:p w14:paraId="1C71391C" w14:textId="77777777" w:rsidR="00980069" w:rsidRPr="0000483F"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00483F">
              <w:rPr>
                <w:color w:val="000000"/>
              </w:rPr>
              <w:t>DELWP</w:t>
            </w:r>
            <w:r>
              <w:rPr>
                <w:color w:val="000000"/>
              </w:rPr>
              <w:t xml:space="preserve"> (2021d)</w:t>
            </w:r>
          </w:p>
        </w:tc>
        <w:tc>
          <w:tcPr>
            <w:tcW w:w="0" w:type="auto"/>
            <w:shd w:val="clear" w:color="auto" w:fill="FFFFFF" w:themeFill="background1"/>
          </w:tcPr>
          <w:p w14:paraId="3EA8981A" w14:textId="77777777" w:rsidR="00980069" w:rsidRPr="0000483F"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00483F">
              <w:rPr>
                <w:color w:val="000000"/>
              </w:rPr>
              <w:t>2020</w:t>
            </w:r>
          </w:p>
        </w:tc>
        <w:tc>
          <w:tcPr>
            <w:tcW w:w="0" w:type="auto"/>
            <w:shd w:val="clear" w:color="auto" w:fill="FFFFFF" w:themeFill="background1"/>
          </w:tcPr>
          <w:p w14:paraId="64DFE85F" w14:textId="77777777" w:rsidR="00980069" w:rsidRPr="0000483F"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Pr>
                <w:color w:val="000000"/>
              </w:rPr>
              <w:t>K</w:t>
            </w:r>
            <w:r w:rsidRPr="0000483F">
              <w:rPr>
                <w:color w:val="000000"/>
              </w:rPr>
              <w:t>m</w:t>
            </w:r>
          </w:p>
        </w:tc>
        <w:tc>
          <w:tcPr>
            <w:tcW w:w="0" w:type="auto"/>
            <w:shd w:val="clear" w:color="auto" w:fill="FFFFFF" w:themeFill="background1"/>
          </w:tcPr>
          <w:p w14:paraId="7CE276EC" w14:textId="77777777" w:rsidR="00980069" w:rsidRPr="0000483F"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00483F">
              <w:rPr>
                <w:color w:val="000000"/>
              </w:rPr>
              <w:t>17</w:t>
            </w:r>
          </w:p>
        </w:tc>
        <w:tc>
          <w:tcPr>
            <w:tcW w:w="0" w:type="auto"/>
            <w:shd w:val="clear" w:color="auto" w:fill="FFFFFF" w:themeFill="background1"/>
          </w:tcPr>
          <w:p w14:paraId="16F949F3" w14:textId="77777777" w:rsidR="00980069" w:rsidRPr="0000483F"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00483F">
              <w:rPr>
                <w:color w:val="000000"/>
              </w:rPr>
              <w:t>22</w:t>
            </w:r>
            <w:r>
              <w:rPr>
                <w:color w:val="000000"/>
              </w:rPr>
              <w:t>2</w:t>
            </w:r>
          </w:p>
        </w:tc>
        <w:tc>
          <w:tcPr>
            <w:tcW w:w="0" w:type="auto"/>
            <w:shd w:val="clear" w:color="auto" w:fill="FFFFFF" w:themeFill="background1"/>
          </w:tcPr>
          <w:p w14:paraId="7496BFAC" w14:textId="77777777" w:rsidR="00980069" w:rsidRPr="0000483F"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Pr>
                <w:color w:val="000000"/>
              </w:rPr>
              <w:t>239</w:t>
            </w:r>
          </w:p>
        </w:tc>
        <w:tc>
          <w:tcPr>
            <w:tcW w:w="0" w:type="auto"/>
            <w:shd w:val="clear" w:color="auto" w:fill="FFFFFF" w:themeFill="background1"/>
          </w:tcPr>
          <w:p w14:paraId="564425DD" w14:textId="77777777" w:rsidR="00980069" w:rsidRPr="0034052D" w:rsidRDefault="00980069" w:rsidP="00980069">
            <w:pPr>
              <w:pStyle w:val="TableTextLeft"/>
              <w:cnfStyle w:val="000000000000" w:firstRow="0" w:lastRow="0" w:firstColumn="0" w:lastColumn="0" w:oddVBand="0" w:evenVBand="0" w:oddHBand="0" w:evenHBand="0" w:firstRowFirstColumn="0" w:firstRowLastColumn="0" w:lastRowFirstColumn="0" w:lastRowLastColumn="0"/>
              <w:rPr>
                <w:color w:val="000000"/>
              </w:rPr>
            </w:pPr>
            <w:r w:rsidRPr="0034052D">
              <w:rPr>
                <w:color w:val="000000"/>
              </w:rPr>
              <w:t>Low</w:t>
            </w:r>
          </w:p>
        </w:tc>
      </w:tr>
      <w:tr w:rsidR="00980069" w:rsidRPr="0000483F" w14:paraId="3C8F77AE" w14:textId="77777777" w:rsidTr="00980069">
        <w:trPr>
          <w:trHeight w:val="64"/>
        </w:trPr>
        <w:tc>
          <w:tcPr>
            <w:cnfStyle w:val="001000000000" w:firstRow="0" w:lastRow="0" w:firstColumn="1" w:lastColumn="0" w:oddVBand="0" w:evenVBand="0" w:oddHBand="0" w:evenHBand="0" w:firstRowFirstColumn="0" w:firstRowLastColumn="0" w:lastRowFirstColumn="0" w:lastRowLastColumn="0"/>
            <w:tcW w:w="0" w:type="auto"/>
            <w:gridSpan w:val="2"/>
          </w:tcPr>
          <w:p w14:paraId="76691FA2" w14:textId="77777777" w:rsidR="00980069" w:rsidRPr="0000483F" w:rsidRDefault="00980069" w:rsidP="00980069">
            <w:pPr>
              <w:pStyle w:val="TableTextLeft"/>
            </w:pPr>
            <w:r>
              <w:rPr>
                <w:color w:val="000000"/>
              </w:rPr>
              <w:t>Bike paths &amp; m</w:t>
            </w:r>
            <w:r w:rsidRPr="0000483F">
              <w:rPr>
                <w:color w:val="000000"/>
              </w:rPr>
              <w:t>ountain bike trails</w:t>
            </w:r>
          </w:p>
        </w:tc>
        <w:tc>
          <w:tcPr>
            <w:tcW w:w="0" w:type="auto"/>
            <w:shd w:val="clear" w:color="auto" w:fill="FFFFFF" w:themeFill="background1"/>
          </w:tcPr>
          <w:p w14:paraId="39EF91B2" w14:textId="77777777" w:rsidR="00980069" w:rsidRPr="0000483F"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00483F">
              <w:rPr>
                <w:color w:val="000000"/>
              </w:rPr>
              <w:t>Terrestrial</w:t>
            </w:r>
          </w:p>
        </w:tc>
        <w:tc>
          <w:tcPr>
            <w:tcW w:w="0" w:type="auto"/>
            <w:shd w:val="clear" w:color="auto" w:fill="FFFFFF" w:themeFill="background1"/>
          </w:tcPr>
          <w:p w14:paraId="36B53FA4" w14:textId="77777777" w:rsidR="00980069" w:rsidRPr="0000483F"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00483F">
              <w:rPr>
                <w:color w:val="000000"/>
              </w:rPr>
              <w:t>Recreation</w:t>
            </w:r>
            <w:r>
              <w:rPr>
                <w:color w:val="000000"/>
              </w:rPr>
              <w:t xml:space="preserve"> and T</w:t>
            </w:r>
            <w:r w:rsidRPr="0000483F">
              <w:rPr>
                <w:color w:val="000000"/>
              </w:rPr>
              <w:t>ourism</w:t>
            </w:r>
          </w:p>
        </w:tc>
        <w:tc>
          <w:tcPr>
            <w:tcW w:w="0" w:type="auto"/>
            <w:shd w:val="clear" w:color="auto" w:fill="FFFFFF" w:themeFill="background1"/>
          </w:tcPr>
          <w:p w14:paraId="62575895" w14:textId="77777777" w:rsidR="00980069" w:rsidRPr="0000483F"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00483F">
              <w:rPr>
                <w:color w:val="000000"/>
              </w:rPr>
              <w:t>1:25k</w:t>
            </w:r>
          </w:p>
        </w:tc>
        <w:tc>
          <w:tcPr>
            <w:tcW w:w="0" w:type="auto"/>
            <w:shd w:val="clear" w:color="auto" w:fill="FFFFFF" w:themeFill="background1"/>
          </w:tcPr>
          <w:p w14:paraId="4BEE3C72" w14:textId="77777777" w:rsidR="00980069" w:rsidRPr="0000483F"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proofErr w:type="spellStart"/>
            <w:r w:rsidRPr="0000483F">
              <w:rPr>
                <w:color w:val="000000"/>
              </w:rPr>
              <w:t>Trailforks</w:t>
            </w:r>
            <w:proofErr w:type="spellEnd"/>
            <w:r>
              <w:rPr>
                <w:color w:val="000000"/>
              </w:rPr>
              <w:t xml:space="preserve"> (2021)</w:t>
            </w:r>
          </w:p>
        </w:tc>
        <w:tc>
          <w:tcPr>
            <w:tcW w:w="0" w:type="auto"/>
            <w:shd w:val="clear" w:color="auto" w:fill="FFFFFF" w:themeFill="background1"/>
          </w:tcPr>
          <w:p w14:paraId="0D91C5F9" w14:textId="77777777" w:rsidR="00980069" w:rsidRPr="0000483F"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00483F">
              <w:rPr>
                <w:color w:val="000000"/>
              </w:rPr>
              <w:t>2021</w:t>
            </w:r>
          </w:p>
        </w:tc>
        <w:tc>
          <w:tcPr>
            <w:tcW w:w="0" w:type="auto"/>
            <w:shd w:val="clear" w:color="auto" w:fill="FFFFFF" w:themeFill="background1"/>
          </w:tcPr>
          <w:p w14:paraId="2C648BCB" w14:textId="77777777" w:rsidR="00980069" w:rsidRPr="0000483F"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Pr>
                <w:color w:val="000000"/>
              </w:rPr>
              <w:t>K</w:t>
            </w:r>
            <w:r w:rsidRPr="0000483F">
              <w:rPr>
                <w:color w:val="000000"/>
              </w:rPr>
              <w:t>m</w:t>
            </w:r>
          </w:p>
        </w:tc>
        <w:tc>
          <w:tcPr>
            <w:tcW w:w="0" w:type="auto"/>
            <w:shd w:val="clear" w:color="auto" w:fill="FFFFFF" w:themeFill="background1"/>
          </w:tcPr>
          <w:p w14:paraId="2853B647" w14:textId="77777777" w:rsidR="00980069" w:rsidRPr="0000483F"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t>-</w:t>
            </w:r>
          </w:p>
        </w:tc>
        <w:tc>
          <w:tcPr>
            <w:tcW w:w="0" w:type="auto"/>
            <w:shd w:val="clear" w:color="auto" w:fill="FFFFFF" w:themeFill="background1"/>
          </w:tcPr>
          <w:p w14:paraId="2E8478DE" w14:textId="77777777" w:rsidR="00980069" w:rsidRPr="0000483F"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t>-</w:t>
            </w:r>
          </w:p>
        </w:tc>
        <w:tc>
          <w:tcPr>
            <w:tcW w:w="0" w:type="auto"/>
            <w:shd w:val="clear" w:color="auto" w:fill="FFFFFF" w:themeFill="background1"/>
          </w:tcPr>
          <w:p w14:paraId="2B1DA388" w14:textId="77777777" w:rsidR="00980069" w:rsidRPr="0000483F"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t>69</w:t>
            </w:r>
          </w:p>
        </w:tc>
        <w:tc>
          <w:tcPr>
            <w:tcW w:w="0" w:type="auto"/>
            <w:shd w:val="clear" w:color="auto" w:fill="FFFFFF" w:themeFill="background1"/>
          </w:tcPr>
          <w:p w14:paraId="2B176BCE" w14:textId="77777777" w:rsidR="00980069" w:rsidRPr="009A38D3" w:rsidRDefault="00980069" w:rsidP="00980069">
            <w:pPr>
              <w:pStyle w:val="TableTextLeft"/>
              <w:cnfStyle w:val="000000000000" w:firstRow="0" w:lastRow="0" w:firstColumn="0" w:lastColumn="0" w:oddVBand="0" w:evenVBand="0" w:oddHBand="0" w:evenHBand="0" w:firstRowFirstColumn="0" w:firstRowLastColumn="0" w:lastRowFirstColumn="0" w:lastRowLastColumn="0"/>
            </w:pPr>
            <w:r w:rsidRPr="009A38D3">
              <w:t>Medium</w:t>
            </w:r>
          </w:p>
        </w:tc>
      </w:tr>
    </w:tbl>
    <w:p w14:paraId="6E72E059" w14:textId="77777777" w:rsidR="004C4882" w:rsidRDefault="004C4882" w:rsidP="004C4882">
      <w:pPr>
        <w:pStyle w:val="BodyText"/>
      </w:pPr>
      <w:r w:rsidRPr="00FB15DB">
        <w:rPr>
          <w:vertAlign w:val="superscript"/>
        </w:rPr>
        <w:t xml:space="preserve">a </w:t>
      </w:r>
      <w:r w:rsidRPr="00FB15DB">
        <w:t xml:space="preserve">Vegetation biomass data is only available on public land. </w:t>
      </w:r>
      <w:r w:rsidRPr="00FB15DB">
        <w:rPr>
          <w:vertAlign w:val="superscript"/>
        </w:rPr>
        <w:t>b</w:t>
      </w:r>
      <w:r w:rsidRPr="00FB15DB">
        <w:t xml:space="preserve"> There are no estuaries outside the GORCAPA area. </w:t>
      </w:r>
      <w:r w:rsidRPr="00FB15DB">
        <w:rPr>
          <w:vertAlign w:val="superscript"/>
        </w:rPr>
        <w:t xml:space="preserve">c </w:t>
      </w:r>
      <w:r w:rsidRPr="00FB15DB">
        <w:t xml:space="preserve">The majority of views from the GOR are to the ocean, which only a small part is within GORCAPA area. </w:t>
      </w:r>
      <w:r w:rsidRPr="00FB15DB">
        <w:rPr>
          <w:vertAlign w:val="superscript"/>
        </w:rPr>
        <w:t xml:space="preserve">d </w:t>
      </w:r>
      <w:r w:rsidRPr="00FB15DB">
        <w:t xml:space="preserve">Shipwrecks are included within “Assets of cultural heritage”. </w:t>
      </w:r>
      <w:r w:rsidRPr="00FB15DB">
        <w:rPr>
          <w:vertAlign w:val="superscript"/>
        </w:rPr>
        <w:t>e</w:t>
      </w:r>
      <w:r w:rsidRPr="00FB15DB">
        <w:t xml:space="preserve"> Relative forest age dataset is only populated for public land forests.</w:t>
      </w:r>
    </w:p>
    <w:p w14:paraId="2F5C827D" w14:textId="77777777" w:rsidR="008B29BE" w:rsidRDefault="008B29BE" w:rsidP="00B21991">
      <w:pPr>
        <w:pStyle w:val="BodyText"/>
        <w:rPr>
          <w:b/>
        </w:rPr>
      </w:pPr>
    </w:p>
    <w:p w14:paraId="562C1E41" w14:textId="77777777" w:rsidR="008B29BE" w:rsidRPr="00FB15DB" w:rsidRDefault="008B29BE" w:rsidP="00B21991">
      <w:pPr>
        <w:pStyle w:val="BodyText"/>
        <w:rPr>
          <w:b/>
        </w:rPr>
        <w:sectPr w:rsidR="008B29BE" w:rsidRPr="00FB15DB" w:rsidSect="00E52A9A">
          <w:headerReference w:type="even" r:id="rId72"/>
          <w:headerReference w:type="default" r:id="rId73"/>
          <w:footerReference w:type="even" r:id="rId74"/>
          <w:footerReference w:type="default" r:id="rId75"/>
          <w:pgSz w:w="23811" w:h="16838" w:orient="landscape" w:code="8"/>
          <w:pgMar w:top="1134" w:right="1134" w:bottom="1134" w:left="1134" w:header="283" w:footer="283" w:gutter="0"/>
          <w:cols w:space="284"/>
          <w:docGrid w:linePitch="360"/>
        </w:sectPr>
      </w:pPr>
    </w:p>
    <w:p w14:paraId="6F35CF91" w14:textId="77777777" w:rsidR="00732CC4" w:rsidRDefault="00732CC4" w:rsidP="00B22F84">
      <w:pPr>
        <w:pStyle w:val="Caption"/>
      </w:pPr>
      <w:r w:rsidRPr="00980069">
        <w:lastRenderedPageBreak/>
        <w:t>Table S3. Summary flow (physical and monetary) accounts for GORCAP EEA in 2019 with uncertainty assessment</w:t>
      </w:r>
    </w:p>
    <w:tbl>
      <w:tblPr>
        <w:tblStyle w:val="TableGrid"/>
        <w:tblW w:w="0" w:type="auto"/>
        <w:tblLook w:val="04A0" w:firstRow="1" w:lastRow="0" w:firstColumn="1" w:lastColumn="0" w:noHBand="0" w:noVBand="1"/>
      </w:tblPr>
      <w:tblGrid>
        <w:gridCol w:w="2016"/>
        <w:gridCol w:w="2139"/>
        <w:gridCol w:w="4306"/>
        <w:gridCol w:w="1183"/>
        <w:gridCol w:w="1994"/>
        <w:gridCol w:w="1327"/>
        <w:gridCol w:w="1744"/>
        <w:gridCol w:w="816"/>
        <w:gridCol w:w="4373"/>
        <w:gridCol w:w="1327"/>
      </w:tblGrid>
      <w:tr w:rsidR="00E85B64" w:rsidRPr="00FB15DB" w14:paraId="06EB00BE" w14:textId="77777777" w:rsidTr="009800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gridSpan w:val="2"/>
            <w:vMerge w:val="restart"/>
          </w:tcPr>
          <w:p w14:paraId="1FDDFB48" w14:textId="77777777" w:rsidR="00E85B64" w:rsidRPr="00FB15DB" w:rsidRDefault="00E85B64" w:rsidP="00980069">
            <w:pPr>
              <w:pStyle w:val="TableHeadingLeft"/>
            </w:pPr>
            <w:r w:rsidRPr="00FB15DB">
              <w:t>Ecosystem service</w:t>
            </w:r>
          </w:p>
        </w:tc>
        <w:tc>
          <w:tcPr>
            <w:tcW w:w="0" w:type="auto"/>
            <w:vMerge w:val="restart"/>
          </w:tcPr>
          <w:p w14:paraId="21FDCC67" w14:textId="77777777" w:rsidR="00E85B64" w:rsidRPr="00FB15DB" w:rsidRDefault="00E85B64" w:rsidP="00980069">
            <w:pPr>
              <w:pStyle w:val="TableHeadingLeft"/>
              <w:cnfStyle w:val="100000000000" w:firstRow="1" w:lastRow="0" w:firstColumn="0" w:lastColumn="0" w:oddVBand="0" w:evenVBand="0" w:oddHBand="0" w:evenHBand="0" w:firstRowFirstColumn="0" w:firstRowLastColumn="0" w:lastRowFirstColumn="0" w:lastRowLastColumn="0"/>
            </w:pPr>
            <w:r w:rsidRPr="00FB15DB">
              <w:t>Scope</w:t>
            </w:r>
          </w:p>
        </w:tc>
        <w:tc>
          <w:tcPr>
            <w:tcW w:w="0" w:type="auto"/>
            <w:gridSpan w:val="3"/>
            <w:tcBorders>
              <w:bottom w:val="single" w:sz="4" w:space="0" w:color="FFFFFF" w:themeColor="background1"/>
            </w:tcBorders>
          </w:tcPr>
          <w:p w14:paraId="20975DB1" w14:textId="77777777" w:rsidR="00E85B64" w:rsidRPr="00FB15DB" w:rsidRDefault="00E85B64" w:rsidP="00980069">
            <w:pPr>
              <w:pStyle w:val="TableHeadingLeft"/>
              <w:cnfStyle w:val="100000000000" w:firstRow="1" w:lastRow="0" w:firstColumn="0" w:lastColumn="0" w:oddVBand="0" w:evenVBand="0" w:oddHBand="0" w:evenHBand="0" w:firstRowFirstColumn="0" w:firstRowLastColumn="0" w:lastRowFirstColumn="0" w:lastRowLastColumn="0"/>
            </w:pPr>
            <w:r w:rsidRPr="00FB15DB">
              <w:t>Physical flow</w:t>
            </w:r>
          </w:p>
        </w:tc>
        <w:tc>
          <w:tcPr>
            <w:tcW w:w="0" w:type="auto"/>
            <w:gridSpan w:val="4"/>
            <w:tcBorders>
              <w:bottom w:val="single" w:sz="4" w:space="0" w:color="FFFFFF" w:themeColor="background1"/>
            </w:tcBorders>
          </w:tcPr>
          <w:p w14:paraId="69F213B5" w14:textId="77777777" w:rsidR="00E85B64" w:rsidRPr="00FB15DB" w:rsidRDefault="00E85B64" w:rsidP="00980069">
            <w:pPr>
              <w:pStyle w:val="TableHeadingLeft"/>
              <w:cnfStyle w:val="100000000000" w:firstRow="1" w:lastRow="0" w:firstColumn="0" w:lastColumn="0" w:oddVBand="0" w:evenVBand="0" w:oddHBand="0" w:evenHBand="0" w:firstRowFirstColumn="0" w:firstRowLastColumn="0" w:lastRowFirstColumn="0" w:lastRowLastColumn="0"/>
            </w:pPr>
            <w:r w:rsidRPr="00FB15DB">
              <w:t>Monetary flow (present value, 2021 prices)</w:t>
            </w:r>
          </w:p>
        </w:tc>
      </w:tr>
      <w:tr w:rsidR="00E85B64" w:rsidRPr="00FB15DB" w14:paraId="7093E4B9" w14:textId="77777777" w:rsidTr="00980069">
        <w:tc>
          <w:tcPr>
            <w:cnfStyle w:val="001000000000" w:firstRow="0" w:lastRow="0" w:firstColumn="1" w:lastColumn="0" w:oddVBand="0" w:evenVBand="0" w:oddHBand="0" w:evenHBand="0" w:firstRowFirstColumn="0" w:firstRowLastColumn="0" w:lastRowFirstColumn="0" w:lastRowLastColumn="0"/>
            <w:tcW w:w="0" w:type="auto"/>
            <w:gridSpan w:val="2"/>
            <w:vMerge/>
          </w:tcPr>
          <w:p w14:paraId="0088216A" w14:textId="77777777" w:rsidR="00E85B64" w:rsidRPr="00FB15DB" w:rsidRDefault="00E85B64" w:rsidP="00980069">
            <w:pPr>
              <w:pStyle w:val="TableHeadingLeft"/>
            </w:pPr>
          </w:p>
        </w:tc>
        <w:tc>
          <w:tcPr>
            <w:tcW w:w="0" w:type="auto"/>
            <w:vMerge/>
          </w:tcPr>
          <w:p w14:paraId="01768F51" w14:textId="77777777" w:rsidR="00E85B64" w:rsidRPr="00FB15DB" w:rsidRDefault="00E85B64" w:rsidP="00980069">
            <w:pPr>
              <w:pStyle w:val="TableHeadingLeft"/>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FFFFFF" w:themeColor="background1"/>
            </w:tcBorders>
            <w:shd w:val="clear" w:color="auto" w:fill="004C97" w:themeFill="accent1"/>
          </w:tcPr>
          <w:p w14:paraId="3C64C58F" w14:textId="77777777" w:rsidR="00E85B64" w:rsidRPr="00FB15DB" w:rsidRDefault="00E85B64" w:rsidP="00980069">
            <w:pPr>
              <w:pStyle w:val="TableHeadingLeft"/>
              <w:cnfStyle w:val="000000000000" w:firstRow="0" w:lastRow="0" w:firstColumn="0" w:lastColumn="0" w:oddVBand="0" w:evenVBand="0" w:oddHBand="0" w:evenHBand="0" w:firstRowFirstColumn="0" w:firstRowLastColumn="0" w:lastRowFirstColumn="0" w:lastRowLastColumn="0"/>
            </w:pPr>
            <w:r w:rsidRPr="00FB15DB">
              <w:t>Estimate</w:t>
            </w:r>
          </w:p>
        </w:tc>
        <w:tc>
          <w:tcPr>
            <w:tcW w:w="0" w:type="auto"/>
            <w:tcBorders>
              <w:top w:val="single" w:sz="4" w:space="0" w:color="FFFFFF" w:themeColor="background1"/>
            </w:tcBorders>
            <w:shd w:val="clear" w:color="auto" w:fill="004C97" w:themeFill="accent1"/>
          </w:tcPr>
          <w:p w14:paraId="00FBC798" w14:textId="77777777" w:rsidR="00E85B64" w:rsidRPr="00FB15DB" w:rsidRDefault="00E85B64" w:rsidP="00980069">
            <w:pPr>
              <w:pStyle w:val="TableHeadingLeft"/>
              <w:cnfStyle w:val="000000000000" w:firstRow="0" w:lastRow="0" w:firstColumn="0" w:lastColumn="0" w:oddVBand="0" w:evenVBand="0" w:oddHBand="0" w:evenHBand="0" w:firstRowFirstColumn="0" w:firstRowLastColumn="0" w:lastRowFirstColumn="0" w:lastRowLastColumn="0"/>
            </w:pPr>
            <w:r w:rsidRPr="00FB15DB">
              <w:t>Metric</w:t>
            </w:r>
          </w:p>
        </w:tc>
        <w:tc>
          <w:tcPr>
            <w:tcW w:w="0" w:type="auto"/>
            <w:tcBorders>
              <w:top w:val="single" w:sz="4" w:space="0" w:color="FFFFFF" w:themeColor="background1"/>
            </w:tcBorders>
            <w:shd w:val="clear" w:color="auto" w:fill="004C97" w:themeFill="accent1"/>
          </w:tcPr>
          <w:p w14:paraId="5624C5C5" w14:textId="77777777" w:rsidR="00E85B64" w:rsidRPr="00FB15DB" w:rsidRDefault="00E85B64" w:rsidP="00980069">
            <w:pPr>
              <w:pStyle w:val="TableHeadingLeft"/>
              <w:cnfStyle w:val="000000000000" w:firstRow="0" w:lastRow="0" w:firstColumn="0" w:lastColumn="0" w:oddVBand="0" w:evenVBand="0" w:oddHBand="0" w:evenHBand="0" w:firstRowFirstColumn="0" w:firstRowLastColumn="0" w:lastRowFirstColumn="0" w:lastRowLastColumn="0"/>
            </w:pPr>
            <w:r w:rsidRPr="00FB15DB">
              <w:t>Uncertainty</w:t>
            </w:r>
          </w:p>
        </w:tc>
        <w:tc>
          <w:tcPr>
            <w:tcW w:w="0" w:type="auto"/>
            <w:tcBorders>
              <w:top w:val="single" w:sz="4" w:space="0" w:color="FFFFFF" w:themeColor="background1"/>
            </w:tcBorders>
            <w:shd w:val="clear" w:color="auto" w:fill="004C97" w:themeFill="accent1"/>
          </w:tcPr>
          <w:p w14:paraId="5BC3EF35" w14:textId="77777777" w:rsidR="00E85B64" w:rsidRPr="00FB15DB" w:rsidRDefault="00E85B64" w:rsidP="00980069">
            <w:pPr>
              <w:pStyle w:val="TableHeadingLeft"/>
              <w:cnfStyle w:val="000000000000" w:firstRow="0" w:lastRow="0" w:firstColumn="0" w:lastColumn="0" w:oddVBand="0" w:evenVBand="0" w:oddHBand="0" w:evenHBand="0" w:firstRowFirstColumn="0" w:firstRowLastColumn="0" w:lastRowFirstColumn="0" w:lastRowLastColumn="0"/>
              <w:rPr>
                <w:vertAlign w:val="superscript"/>
              </w:rPr>
            </w:pPr>
            <w:r w:rsidRPr="00FB15DB">
              <w:t>Estimate</w:t>
            </w:r>
          </w:p>
        </w:tc>
        <w:tc>
          <w:tcPr>
            <w:tcW w:w="0" w:type="auto"/>
            <w:tcBorders>
              <w:top w:val="single" w:sz="4" w:space="0" w:color="FFFFFF" w:themeColor="background1"/>
            </w:tcBorders>
            <w:shd w:val="clear" w:color="auto" w:fill="004C97" w:themeFill="accent1"/>
          </w:tcPr>
          <w:p w14:paraId="06BCA4FD" w14:textId="77777777" w:rsidR="00E85B64" w:rsidRPr="00FB15DB" w:rsidRDefault="00E85B64" w:rsidP="00980069">
            <w:pPr>
              <w:pStyle w:val="TableHeadingLeft"/>
              <w:cnfStyle w:val="000000000000" w:firstRow="0" w:lastRow="0" w:firstColumn="0" w:lastColumn="0" w:oddVBand="0" w:evenVBand="0" w:oddHBand="0" w:evenHBand="0" w:firstRowFirstColumn="0" w:firstRowLastColumn="0" w:lastRowFirstColumn="0" w:lastRowLastColumn="0"/>
            </w:pPr>
            <w:r w:rsidRPr="00FB15DB">
              <w:t>Metric</w:t>
            </w:r>
          </w:p>
        </w:tc>
        <w:tc>
          <w:tcPr>
            <w:tcW w:w="0" w:type="auto"/>
            <w:tcBorders>
              <w:top w:val="single" w:sz="4" w:space="0" w:color="FFFFFF" w:themeColor="background1"/>
            </w:tcBorders>
            <w:shd w:val="clear" w:color="auto" w:fill="004C97" w:themeFill="accent1"/>
          </w:tcPr>
          <w:p w14:paraId="0E12447F" w14:textId="77777777" w:rsidR="00E85B64" w:rsidRPr="00FB15DB" w:rsidRDefault="00E85B64" w:rsidP="00980069">
            <w:pPr>
              <w:pStyle w:val="TableHeadingLeft"/>
              <w:cnfStyle w:val="000000000000" w:firstRow="0" w:lastRow="0" w:firstColumn="0" w:lastColumn="0" w:oddVBand="0" w:evenVBand="0" w:oddHBand="0" w:evenHBand="0" w:firstRowFirstColumn="0" w:firstRowLastColumn="0" w:lastRowFirstColumn="0" w:lastRowLastColumn="0"/>
            </w:pPr>
            <w:r w:rsidRPr="00FB15DB">
              <w:t>Valuation approach</w:t>
            </w:r>
          </w:p>
        </w:tc>
        <w:tc>
          <w:tcPr>
            <w:tcW w:w="0" w:type="auto"/>
            <w:tcBorders>
              <w:top w:val="single" w:sz="4" w:space="0" w:color="FFFFFF" w:themeColor="background1"/>
            </w:tcBorders>
            <w:shd w:val="clear" w:color="auto" w:fill="004C97" w:themeFill="accent1"/>
          </w:tcPr>
          <w:p w14:paraId="6DDA73A8" w14:textId="77777777" w:rsidR="00E85B64" w:rsidRPr="00FB15DB" w:rsidRDefault="00E85B64" w:rsidP="00980069">
            <w:pPr>
              <w:pStyle w:val="TableHeadingLeft"/>
              <w:cnfStyle w:val="000000000000" w:firstRow="0" w:lastRow="0" w:firstColumn="0" w:lastColumn="0" w:oddVBand="0" w:evenVBand="0" w:oddHBand="0" w:evenHBand="0" w:firstRowFirstColumn="0" w:firstRowLastColumn="0" w:lastRowFirstColumn="0" w:lastRowLastColumn="0"/>
            </w:pPr>
            <w:r w:rsidRPr="00FB15DB">
              <w:t>Uncertainty</w:t>
            </w:r>
          </w:p>
        </w:tc>
      </w:tr>
      <w:tr w:rsidR="00980069" w:rsidRPr="008B1B06" w14:paraId="12AF05E6" w14:textId="77777777" w:rsidTr="00980069">
        <w:tc>
          <w:tcPr>
            <w:cnfStyle w:val="001000000000" w:firstRow="0" w:lastRow="0" w:firstColumn="1" w:lastColumn="0" w:oddVBand="0" w:evenVBand="0" w:oddHBand="0" w:evenHBand="0" w:firstRowFirstColumn="0" w:firstRowLastColumn="0" w:lastRowFirstColumn="0" w:lastRowLastColumn="0"/>
            <w:tcW w:w="0" w:type="auto"/>
            <w:gridSpan w:val="2"/>
            <w:vMerge w:val="restart"/>
          </w:tcPr>
          <w:p w14:paraId="74BA6E3C" w14:textId="77777777" w:rsidR="00E85B64" w:rsidRPr="008B1B06" w:rsidRDefault="00E85B64" w:rsidP="00980069">
            <w:pPr>
              <w:pStyle w:val="TableTextLeft"/>
            </w:pPr>
            <w:r w:rsidRPr="008B1B06">
              <w:t>Coastal protection</w:t>
            </w:r>
          </w:p>
        </w:tc>
        <w:tc>
          <w:tcPr>
            <w:tcW w:w="0" w:type="auto"/>
            <w:vMerge w:val="restart"/>
          </w:tcPr>
          <w:p w14:paraId="2F23FCB1"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Seagrass, mangrove, saltmarsh</w:t>
            </w:r>
          </w:p>
        </w:tc>
        <w:tc>
          <w:tcPr>
            <w:tcW w:w="0" w:type="auto"/>
            <w:vMerge w:val="restart"/>
          </w:tcPr>
          <w:p w14:paraId="12A1E6C0"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239</w:t>
            </w:r>
          </w:p>
        </w:tc>
        <w:tc>
          <w:tcPr>
            <w:tcW w:w="0" w:type="auto"/>
            <w:vMerge w:val="restart"/>
          </w:tcPr>
          <w:p w14:paraId="681DFC0F"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km</w:t>
            </w:r>
          </w:p>
        </w:tc>
        <w:tc>
          <w:tcPr>
            <w:tcW w:w="0" w:type="auto"/>
            <w:vMerge w:val="restart"/>
          </w:tcPr>
          <w:p w14:paraId="615BC103"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High</w:t>
            </w:r>
          </w:p>
        </w:tc>
        <w:tc>
          <w:tcPr>
            <w:tcW w:w="0" w:type="auto"/>
          </w:tcPr>
          <w:p w14:paraId="180869B5"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$3m to $10m</w:t>
            </w:r>
          </w:p>
        </w:tc>
        <w:tc>
          <w:tcPr>
            <w:tcW w:w="0" w:type="auto"/>
          </w:tcPr>
          <w:p w14:paraId="15CC0186"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$m/yr</w:t>
            </w:r>
          </w:p>
        </w:tc>
        <w:tc>
          <w:tcPr>
            <w:tcW w:w="0" w:type="auto"/>
            <w:vMerge w:val="restart"/>
          </w:tcPr>
          <w:p w14:paraId="4E633112"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Replacement cost</w:t>
            </w:r>
          </w:p>
        </w:tc>
        <w:tc>
          <w:tcPr>
            <w:tcW w:w="0" w:type="auto"/>
            <w:vMerge w:val="restart"/>
          </w:tcPr>
          <w:p w14:paraId="4E5E4CA4"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High</w:t>
            </w:r>
          </w:p>
        </w:tc>
      </w:tr>
      <w:tr w:rsidR="00980069" w:rsidRPr="008B1B06" w14:paraId="0A61A0AA" w14:textId="77777777" w:rsidTr="00980069">
        <w:tc>
          <w:tcPr>
            <w:cnfStyle w:val="001000000000" w:firstRow="0" w:lastRow="0" w:firstColumn="1" w:lastColumn="0" w:oddVBand="0" w:evenVBand="0" w:oddHBand="0" w:evenHBand="0" w:firstRowFirstColumn="0" w:firstRowLastColumn="0" w:lastRowFirstColumn="0" w:lastRowLastColumn="0"/>
            <w:tcW w:w="0" w:type="auto"/>
            <w:gridSpan w:val="2"/>
            <w:vMerge/>
          </w:tcPr>
          <w:p w14:paraId="5F82059F" w14:textId="77777777" w:rsidR="00E85B64" w:rsidRPr="008B1B06" w:rsidRDefault="00E85B64" w:rsidP="00980069">
            <w:pPr>
              <w:pStyle w:val="TableTextLeft"/>
            </w:pPr>
          </w:p>
        </w:tc>
        <w:tc>
          <w:tcPr>
            <w:tcW w:w="0" w:type="auto"/>
            <w:vMerge/>
          </w:tcPr>
          <w:p w14:paraId="1A1E8007"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tcPr>
          <w:p w14:paraId="1F22492A"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tcPr>
          <w:p w14:paraId="015D81B7"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tcPr>
          <w:p w14:paraId="7B45F875"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p>
        </w:tc>
        <w:tc>
          <w:tcPr>
            <w:tcW w:w="0" w:type="auto"/>
          </w:tcPr>
          <w:p w14:paraId="46599C70"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rPr>
                <w:vertAlign w:val="superscript"/>
              </w:rPr>
            </w:pPr>
            <w:r w:rsidRPr="008B1B06">
              <w:t xml:space="preserve">$51m to $203m </w:t>
            </w:r>
            <w:r w:rsidRPr="008B1B06">
              <w:rPr>
                <w:vertAlign w:val="superscript"/>
              </w:rPr>
              <w:t>b</w:t>
            </w:r>
          </w:p>
        </w:tc>
        <w:tc>
          <w:tcPr>
            <w:tcW w:w="0" w:type="auto"/>
          </w:tcPr>
          <w:p w14:paraId="76D34455"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$m</w:t>
            </w:r>
          </w:p>
        </w:tc>
        <w:tc>
          <w:tcPr>
            <w:tcW w:w="0" w:type="auto"/>
            <w:vMerge/>
          </w:tcPr>
          <w:p w14:paraId="21F1744E"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tcPr>
          <w:p w14:paraId="47079EBD"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p>
        </w:tc>
      </w:tr>
      <w:tr w:rsidR="00980069" w:rsidRPr="008B1B06" w14:paraId="17E9E143" w14:textId="77777777" w:rsidTr="00980069">
        <w:tc>
          <w:tcPr>
            <w:cnfStyle w:val="001000000000" w:firstRow="0" w:lastRow="0" w:firstColumn="1" w:lastColumn="0" w:oddVBand="0" w:evenVBand="0" w:oddHBand="0" w:evenHBand="0" w:firstRowFirstColumn="0" w:firstRowLastColumn="0" w:lastRowFirstColumn="0" w:lastRowLastColumn="0"/>
            <w:tcW w:w="0" w:type="auto"/>
            <w:gridSpan w:val="2"/>
          </w:tcPr>
          <w:p w14:paraId="5E5D51BA" w14:textId="77777777" w:rsidR="00E85B64" w:rsidRPr="008B1B06" w:rsidRDefault="00E85B64" w:rsidP="00980069">
            <w:pPr>
              <w:pStyle w:val="TableTextLeft"/>
            </w:pPr>
            <w:r w:rsidRPr="008B1B06">
              <w:t>Education</w:t>
            </w:r>
          </w:p>
        </w:tc>
        <w:tc>
          <w:tcPr>
            <w:tcW w:w="0" w:type="auto"/>
          </w:tcPr>
          <w:p w14:paraId="3D1540B6"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 xml:space="preserve">All ecosystems </w:t>
            </w:r>
          </w:p>
        </w:tc>
        <w:tc>
          <w:tcPr>
            <w:tcW w:w="0" w:type="auto"/>
          </w:tcPr>
          <w:p w14:paraId="73604E6C"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33,000</w:t>
            </w:r>
          </w:p>
        </w:tc>
        <w:tc>
          <w:tcPr>
            <w:tcW w:w="0" w:type="auto"/>
          </w:tcPr>
          <w:p w14:paraId="50AD69F0"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Students</w:t>
            </w:r>
          </w:p>
        </w:tc>
        <w:tc>
          <w:tcPr>
            <w:tcW w:w="0" w:type="auto"/>
          </w:tcPr>
          <w:p w14:paraId="27C5FAD3"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Low</w:t>
            </w:r>
          </w:p>
        </w:tc>
        <w:tc>
          <w:tcPr>
            <w:tcW w:w="0" w:type="auto"/>
          </w:tcPr>
          <w:p w14:paraId="713433EF"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$0.6m to $2.9m</w:t>
            </w:r>
          </w:p>
        </w:tc>
        <w:tc>
          <w:tcPr>
            <w:tcW w:w="0" w:type="auto"/>
          </w:tcPr>
          <w:p w14:paraId="7AB95C5E"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$m/yr</w:t>
            </w:r>
          </w:p>
        </w:tc>
        <w:tc>
          <w:tcPr>
            <w:tcW w:w="0" w:type="auto"/>
          </w:tcPr>
          <w:p w14:paraId="34198ECA"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Expenditure to GVA contribution</w:t>
            </w:r>
          </w:p>
        </w:tc>
        <w:tc>
          <w:tcPr>
            <w:tcW w:w="0" w:type="auto"/>
          </w:tcPr>
          <w:p w14:paraId="5387B2F9"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High</w:t>
            </w:r>
          </w:p>
        </w:tc>
      </w:tr>
      <w:tr w:rsidR="00980069" w:rsidRPr="008B1B06" w:rsidDel="004723B6" w14:paraId="4A696381" w14:textId="77777777" w:rsidTr="00980069">
        <w:tc>
          <w:tcPr>
            <w:cnfStyle w:val="001000000000" w:firstRow="0" w:lastRow="0" w:firstColumn="1" w:lastColumn="0" w:oddVBand="0" w:evenVBand="0" w:oddHBand="0" w:evenHBand="0" w:firstRowFirstColumn="0" w:firstRowLastColumn="0" w:lastRowFirstColumn="0" w:lastRowLastColumn="0"/>
            <w:tcW w:w="0" w:type="auto"/>
            <w:vMerge w:val="restart"/>
          </w:tcPr>
          <w:p w14:paraId="027382E9" w14:textId="77777777" w:rsidR="00E85B64" w:rsidRPr="008B1B06" w:rsidRDefault="00E85B64" w:rsidP="00980069">
            <w:pPr>
              <w:pStyle w:val="TableTextLeft"/>
            </w:pPr>
            <w:r w:rsidRPr="008B1B06">
              <w:t xml:space="preserve">Biomass for food </w:t>
            </w:r>
          </w:p>
        </w:tc>
        <w:tc>
          <w:tcPr>
            <w:tcW w:w="0" w:type="auto"/>
            <w:vMerge w:val="restart"/>
          </w:tcPr>
          <w:p w14:paraId="2471E7A2"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Agriculture</w:t>
            </w:r>
          </w:p>
        </w:tc>
        <w:tc>
          <w:tcPr>
            <w:tcW w:w="0" w:type="auto"/>
            <w:vMerge w:val="restart"/>
          </w:tcPr>
          <w:p w14:paraId="40CFF42A" w14:textId="77777777" w:rsidR="00E85B64" w:rsidRPr="008B1B06" w:rsidDel="004723B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 xml:space="preserve">Farmland </w:t>
            </w:r>
          </w:p>
        </w:tc>
        <w:tc>
          <w:tcPr>
            <w:tcW w:w="0" w:type="auto"/>
          </w:tcPr>
          <w:p w14:paraId="04D6D696" w14:textId="77777777" w:rsidR="00E85B64" w:rsidRPr="008B1B06" w:rsidDel="004723B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28,000</w:t>
            </w:r>
          </w:p>
        </w:tc>
        <w:tc>
          <w:tcPr>
            <w:tcW w:w="0" w:type="auto"/>
          </w:tcPr>
          <w:p w14:paraId="40F2FE7A"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Tonnes</w:t>
            </w:r>
          </w:p>
        </w:tc>
        <w:tc>
          <w:tcPr>
            <w:tcW w:w="0" w:type="auto"/>
            <w:vMerge w:val="restart"/>
          </w:tcPr>
          <w:p w14:paraId="45195AD2"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High</w:t>
            </w:r>
          </w:p>
        </w:tc>
        <w:tc>
          <w:tcPr>
            <w:tcW w:w="0" w:type="auto"/>
            <w:vMerge w:val="restart"/>
          </w:tcPr>
          <w:p w14:paraId="78BE1595"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$11.4m</w:t>
            </w:r>
          </w:p>
        </w:tc>
        <w:tc>
          <w:tcPr>
            <w:tcW w:w="0" w:type="auto"/>
            <w:vMerge w:val="restart"/>
          </w:tcPr>
          <w:p w14:paraId="2F4EF987"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$m/yr</w:t>
            </w:r>
          </w:p>
        </w:tc>
        <w:tc>
          <w:tcPr>
            <w:tcW w:w="0" w:type="auto"/>
            <w:vMerge w:val="restart"/>
          </w:tcPr>
          <w:p w14:paraId="03C78863"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 xml:space="preserve">Resource rent from market prices </w:t>
            </w:r>
            <w:r w:rsidRPr="008B1B06">
              <w:rPr>
                <w:vertAlign w:val="superscript"/>
              </w:rPr>
              <w:t>a</w:t>
            </w:r>
          </w:p>
        </w:tc>
        <w:tc>
          <w:tcPr>
            <w:tcW w:w="0" w:type="auto"/>
            <w:vMerge w:val="restart"/>
          </w:tcPr>
          <w:p w14:paraId="18C7F75D"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High</w:t>
            </w:r>
          </w:p>
        </w:tc>
      </w:tr>
      <w:tr w:rsidR="00980069" w:rsidRPr="008B1B06" w:rsidDel="004723B6" w14:paraId="1280267F" w14:textId="77777777" w:rsidTr="00980069">
        <w:tc>
          <w:tcPr>
            <w:cnfStyle w:val="001000000000" w:firstRow="0" w:lastRow="0" w:firstColumn="1" w:lastColumn="0" w:oddVBand="0" w:evenVBand="0" w:oddHBand="0" w:evenHBand="0" w:firstRowFirstColumn="0" w:firstRowLastColumn="0" w:lastRowFirstColumn="0" w:lastRowLastColumn="0"/>
            <w:tcW w:w="0" w:type="auto"/>
            <w:vMerge/>
          </w:tcPr>
          <w:p w14:paraId="481B38F5" w14:textId="77777777" w:rsidR="00E85B64" w:rsidRPr="008B1B06" w:rsidRDefault="00E85B64" w:rsidP="00980069">
            <w:pPr>
              <w:pStyle w:val="TableTextLeft"/>
            </w:pPr>
          </w:p>
        </w:tc>
        <w:tc>
          <w:tcPr>
            <w:tcW w:w="0" w:type="auto"/>
            <w:vMerge/>
          </w:tcPr>
          <w:p w14:paraId="5764FAD3"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tcPr>
          <w:p w14:paraId="57F7591A"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p>
        </w:tc>
        <w:tc>
          <w:tcPr>
            <w:tcW w:w="0" w:type="auto"/>
          </w:tcPr>
          <w:p w14:paraId="47221C3A"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164,000</w:t>
            </w:r>
          </w:p>
        </w:tc>
        <w:tc>
          <w:tcPr>
            <w:tcW w:w="0" w:type="auto"/>
          </w:tcPr>
          <w:p w14:paraId="02A1B87D"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Livestock</w:t>
            </w:r>
          </w:p>
        </w:tc>
        <w:tc>
          <w:tcPr>
            <w:tcW w:w="0" w:type="auto"/>
            <w:vMerge/>
          </w:tcPr>
          <w:p w14:paraId="112F379B"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tcPr>
          <w:p w14:paraId="5B74DE85"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tcPr>
          <w:p w14:paraId="2D89816A"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tcPr>
          <w:p w14:paraId="0F3684F8"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tcPr>
          <w:p w14:paraId="3997E02E"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p>
        </w:tc>
      </w:tr>
      <w:tr w:rsidR="00980069" w:rsidRPr="008B1B06" w:rsidDel="004723B6" w14:paraId="073AB064" w14:textId="77777777" w:rsidTr="00980069">
        <w:tc>
          <w:tcPr>
            <w:cnfStyle w:val="001000000000" w:firstRow="0" w:lastRow="0" w:firstColumn="1" w:lastColumn="0" w:oddVBand="0" w:evenVBand="0" w:oddHBand="0" w:evenHBand="0" w:firstRowFirstColumn="0" w:firstRowLastColumn="0" w:lastRowFirstColumn="0" w:lastRowLastColumn="0"/>
            <w:tcW w:w="0" w:type="auto"/>
            <w:vMerge/>
          </w:tcPr>
          <w:p w14:paraId="59518B2F" w14:textId="77777777" w:rsidR="00E85B64" w:rsidRPr="008B1B06" w:rsidRDefault="00E85B64" w:rsidP="00980069">
            <w:pPr>
              <w:pStyle w:val="TableTextLeft"/>
            </w:pPr>
          </w:p>
        </w:tc>
        <w:tc>
          <w:tcPr>
            <w:tcW w:w="0" w:type="auto"/>
          </w:tcPr>
          <w:p w14:paraId="28557AFE"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rPr>
                <w:vertAlign w:val="superscript"/>
              </w:rPr>
            </w:pPr>
            <w:r w:rsidRPr="008B1B06">
              <w:t>Wild fish</w:t>
            </w:r>
          </w:p>
        </w:tc>
        <w:tc>
          <w:tcPr>
            <w:tcW w:w="0" w:type="auto"/>
          </w:tcPr>
          <w:p w14:paraId="725C31D8"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Seagrass - catch increase of 4 species</w:t>
            </w:r>
          </w:p>
        </w:tc>
        <w:tc>
          <w:tcPr>
            <w:tcW w:w="0" w:type="auto"/>
          </w:tcPr>
          <w:p w14:paraId="55F127EC" w14:textId="77777777" w:rsidR="00E85B64" w:rsidRPr="008B1B06" w:rsidDel="004723B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2,500</w:t>
            </w:r>
          </w:p>
        </w:tc>
        <w:tc>
          <w:tcPr>
            <w:tcW w:w="0" w:type="auto"/>
          </w:tcPr>
          <w:p w14:paraId="1F957DB3"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Kg</w:t>
            </w:r>
          </w:p>
        </w:tc>
        <w:tc>
          <w:tcPr>
            <w:tcW w:w="0" w:type="auto"/>
          </w:tcPr>
          <w:p w14:paraId="45040442"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High</w:t>
            </w:r>
          </w:p>
        </w:tc>
        <w:tc>
          <w:tcPr>
            <w:tcW w:w="0" w:type="auto"/>
          </w:tcPr>
          <w:p w14:paraId="462435B6"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$0.007m</w:t>
            </w:r>
          </w:p>
        </w:tc>
        <w:tc>
          <w:tcPr>
            <w:tcW w:w="0" w:type="auto"/>
          </w:tcPr>
          <w:p w14:paraId="762D69DF"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$m/yr</w:t>
            </w:r>
          </w:p>
        </w:tc>
        <w:tc>
          <w:tcPr>
            <w:tcW w:w="0" w:type="auto"/>
          </w:tcPr>
          <w:p w14:paraId="47437949"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 xml:space="preserve">Resource rent from market prices </w:t>
            </w:r>
            <w:r w:rsidRPr="008B1B06">
              <w:rPr>
                <w:vertAlign w:val="superscript"/>
              </w:rPr>
              <w:t>a</w:t>
            </w:r>
          </w:p>
        </w:tc>
        <w:tc>
          <w:tcPr>
            <w:tcW w:w="0" w:type="auto"/>
          </w:tcPr>
          <w:p w14:paraId="0290C74E"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High</w:t>
            </w:r>
          </w:p>
        </w:tc>
      </w:tr>
      <w:tr w:rsidR="00980069" w:rsidRPr="008B1B06" w:rsidDel="004723B6" w14:paraId="01243F18" w14:textId="77777777" w:rsidTr="00980069">
        <w:tc>
          <w:tcPr>
            <w:cnfStyle w:val="001000000000" w:firstRow="0" w:lastRow="0" w:firstColumn="1" w:lastColumn="0" w:oddVBand="0" w:evenVBand="0" w:oddHBand="0" w:evenHBand="0" w:firstRowFirstColumn="0" w:firstRowLastColumn="0" w:lastRowFirstColumn="0" w:lastRowLastColumn="0"/>
            <w:tcW w:w="0" w:type="auto"/>
            <w:vMerge/>
          </w:tcPr>
          <w:p w14:paraId="718D9085" w14:textId="77777777" w:rsidR="00E85B64" w:rsidRPr="008B1B06" w:rsidRDefault="00E85B64" w:rsidP="00980069">
            <w:pPr>
              <w:pStyle w:val="TableTextLeft"/>
            </w:pPr>
          </w:p>
        </w:tc>
        <w:tc>
          <w:tcPr>
            <w:tcW w:w="0" w:type="auto"/>
          </w:tcPr>
          <w:p w14:paraId="5EEE24E2"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rPr>
                <w:vertAlign w:val="superscript"/>
              </w:rPr>
            </w:pPr>
            <w:r w:rsidRPr="008B1B06">
              <w:t>Wild invertebrates</w:t>
            </w:r>
          </w:p>
        </w:tc>
        <w:tc>
          <w:tcPr>
            <w:tcW w:w="0" w:type="auto"/>
          </w:tcPr>
          <w:p w14:paraId="7109D647" w14:textId="77777777" w:rsidR="00E85B64" w:rsidRPr="008B1B06" w:rsidDel="004723B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 xml:space="preserve">Reefs - abalone harvest </w:t>
            </w:r>
          </w:p>
        </w:tc>
        <w:tc>
          <w:tcPr>
            <w:tcW w:w="0" w:type="auto"/>
          </w:tcPr>
          <w:p w14:paraId="216E5C61" w14:textId="77777777" w:rsidR="00E85B64" w:rsidRPr="008B1B06" w:rsidDel="004723B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269</w:t>
            </w:r>
          </w:p>
        </w:tc>
        <w:tc>
          <w:tcPr>
            <w:tcW w:w="0" w:type="auto"/>
          </w:tcPr>
          <w:p w14:paraId="21DAAF03"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Tonnes</w:t>
            </w:r>
          </w:p>
        </w:tc>
        <w:tc>
          <w:tcPr>
            <w:tcW w:w="0" w:type="auto"/>
          </w:tcPr>
          <w:p w14:paraId="5D78BB4A"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High</w:t>
            </w:r>
          </w:p>
        </w:tc>
        <w:tc>
          <w:tcPr>
            <w:tcW w:w="0" w:type="auto"/>
          </w:tcPr>
          <w:p w14:paraId="7BB5DE5F"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$0.3m</w:t>
            </w:r>
          </w:p>
        </w:tc>
        <w:tc>
          <w:tcPr>
            <w:tcW w:w="0" w:type="auto"/>
          </w:tcPr>
          <w:p w14:paraId="0B20D036"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$m/yr</w:t>
            </w:r>
          </w:p>
        </w:tc>
        <w:tc>
          <w:tcPr>
            <w:tcW w:w="0" w:type="auto"/>
          </w:tcPr>
          <w:p w14:paraId="04E0581A"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 xml:space="preserve">Resource rent from market prices </w:t>
            </w:r>
            <w:r w:rsidRPr="008B1B06">
              <w:rPr>
                <w:vertAlign w:val="superscript"/>
              </w:rPr>
              <w:t>a</w:t>
            </w:r>
          </w:p>
        </w:tc>
        <w:tc>
          <w:tcPr>
            <w:tcW w:w="0" w:type="auto"/>
          </w:tcPr>
          <w:p w14:paraId="2DA07E91"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High</w:t>
            </w:r>
          </w:p>
        </w:tc>
      </w:tr>
      <w:tr w:rsidR="00980069" w:rsidRPr="008B1B06" w14:paraId="69530960" w14:textId="77777777" w:rsidTr="00980069">
        <w:tc>
          <w:tcPr>
            <w:cnfStyle w:val="001000000000" w:firstRow="0" w:lastRow="0" w:firstColumn="1" w:lastColumn="0" w:oddVBand="0" w:evenVBand="0" w:oddHBand="0" w:evenHBand="0" w:firstRowFirstColumn="0" w:firstRowLastColumn="0" w:lastRowFirstColumn="0" w:lastRowLastColumn="0"/>
            <w:tcW w:w="0" w:type="auto"/>
            <w:vMerge w:val="restart"/>
          </w:tcPr>
          <w:p w14:paraId="66953AF5" w14:textId="77777777" w:rsidR="00E85B64" w:rsidRPr="008B1B06" w:rsidRDefault="00E85B64" w:rsidP="00980069">
            <w:pPr>
              <w:pStyle w:val="TableTextLeft"/>
            </w:pPr>
            <w:r w:rsidRPr="008B1B06">
              <w:t>Climate regulation</w:t>
            </w:r>
          </w:p>
        </w:tc>
        <w:tc>
          <w:tcPr>
            <w:tcW w:w="0" w:type="auto"/>
          </w:tcPr>
          <w:p w14:paraId="0603AE89"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Carbon retention</w:t>
            </w:r>
          </w:p>
        </w:tc>
        <w:tc>
          <w:tcPr>
            <w:tcW w:w="0" w:type="auto"/>
          </w:tcPr>
          <w:p w14:paraId="564B816E"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 xml:space="preserve">All ecosystems </w:t>
            </w:r>
          </w:p>
        </w:tc>
        <w:tc>
          <w:tcPr>
            <w:tcW w:w="0" w:type="auto"/>
          </w:tcPr>
          <w:p w14:paraId="29B133A0"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35.5million</w:t>
            </w:r>
          </w:p>
        </w:tc>
        <w:tc>
          <w:tcPr>
            <w:tcW w:w="0" w:type="auto"/>
          </w:tcPr>
          <w:p w14:paraId="0E1652BA"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tCO2e</w:t>
            </w:r>
          </w:p>
        </w:tc>
        <w:tc>
          <w:tcPr>
            <w:tcW w:w="0" w:type="auto"/>
          </w:tcPr>
          <w:p w14:paraId="097055A2"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Medium</w:t>
            </w:r>
          </w:p>
        </w:tc>
        <w:tc>
          <w:tcPr>
            <w:tcW w:w="0" w:type="auto"/>
          </w:tcPr>
          <w:p w14:paraId="3591D3D6"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$63m to $182m</w:t>
            </w:r>
          </w:p>
        </w:tc>
        <w:tc>
          <w:tcPr>
            <w:tcW w:w="0" w:type="auto"/>
          </w:tcPr>
          <w:p w14:paraId="3678841F"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$m/yr</w:t>
            </w:r>
          </w:p>
        </w:tc>
        <w:tc>
          <w:tcPr>
            <w:tcW w:w="0" w:type="auto"/>
          </w:tcPr>
          <w:p w14:paraId="487168C3"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Carbon price to social cost of carbon</w:t>
            </w:r>
          </w:p>
        </w:tc>
        <w:tc>
          <w:tcPr>
            <w:tcW w:w="0" w:type="auto"/>
          </w:tcPr>
          <w:p w14:paraId="41CCCFF7"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High</w:t>
            </w:r>
          </w:p>
        </w:tc>
      </w:tr>
      <w:tr w:rsidR="00980069" w:rsidRPr="008B1B06" w14:paraId="101B6FFF" w14:textId="77777777" w:rsidTr="00980069">
        <w:tc>
          <w:tcPr>
            <w:cnfStyle w:val="001000000000" w:firstRow="0" w:lastRow="0" w:firstColumn="1" w:lastColumn="0" w:oddVBand="0" w:evenVBand="0" w:oddHBand="0" w:evenHBand="0" w:firstRowFirstColumn="0" w:firstRowLastColumn="0" w:lastRowFirstColumn="0" w:lastRowLastColumn="0"/>
            <w:tcW w:w="0" w:type="auto"/>
            <w:vMerge/>
          </w:tcPr>
          <w:p w14:paraId="319B8F21" w14:textId="77777777" w:rsidR="00E85B64" w:rsidRPr="008B1B06" w:rsidRDefault="00E85B64" w:rsidP="00980069">
            <w:pPr>
              <w:pStyle w:val="TableTextLeft"/>
            </w:pPr>
          </w:p>
        </w:tc>
        <w:tc>
          <w:tcPr>
            <w:tcW w:w="0" w:type="auto"/>
          </w:tcPr>
          <w:p w14:paraId="37CEA401"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rPr>
                <w:vertAlign w:val="superscript"/>
              </w:rPr>
            </w:pPr>
            <w:r w:rsidRPr="008B1B06">
              <w:t>Carbon sequestration</w:t>
            </w:r>
          </w:p>
        </w:tc>
        <w:tc>
          <w:tcPr>
            <w:tcW w:w="0" w:type="auto"/>
          </w:tcPr>
          <w:p w14:paraId="0D768AFD"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3 broad ecosystems/20% GORCAP EEA area</w:t>
            </w:r>
          </w:p>
        </w:tc>
        <w:tc>
          <w:tcPr>
            <w:tcW w:w="0" w:type="auto"/>
          </w:tcPr>
          <w:p w14:paraId="17BED079"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130,000</w:t>
            </w:r>
          </w:p>
        </w:tc>
        <w:tc>
          <w:tcPr>
            <w:tcW w:w="0" w:type="auto"/>
          </w:tcPr>
          <w:p w14:paraId="0E506D27"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tCO2e</w:t>
            </w:r>
          </w:p>
        </w:tc>
        <w:tc>
          <w:tcPr>
            <w:tcW w:w="0" w:type="auto"/>
          </w:tcPr>
          <w:p w14:paraId="3E7837AD"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Medium</w:t>
            </w:r>
          </w:p>
        </w:tc>
        <w:tc>
          <w:tcPr>
            <w:tcW w:w="0" w:type="auto"/>
          </w:tcPr>
          <w:p w14:paraId="24FCBEC4"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$6m to $17m</w:t>
            </w:r>
          </w:p>
        </w:tc>
        <w:tc>
          <w:tcPr>
            <w:tcW w:w="0" w:type="auto"/>
          </w:tcPr>
          <w:p w14:paraId="0F2F33A8"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$m/yr</w:t>
            </w:r>
          </w:p>
        </w:tc>
        <w:tc>
          <w:tcPr>
            <w:tcW w:w="0" w:type="auto"/>
          </w:tcPr>
          <w:p w14:paraId="20DD6E54"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 xml:space="preserve">Carbon price to social cost of carbon </w:t>
            </w:r>
          </w:p>
        </w:tc>
        <w:tc>
          <w:tcPr>
            <w:tcW w:w="0" w:type="auto"/>
          </w:tcPr>
          <w:p w14:paraId="69DE4C21"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High</w:t>
            </w:r>
          </w:p>
        </w:tc>
      </w:tr>
      <w:tr w:rsidR="00980069" w:rsidRPr="008B1B06" w14:paraId="59673093" w14:textId="77777777" w:rsidTr="00980069">
        <w:tc>
          <w:tcPr>
            <w:cnfStyle w:val="001000000000" w:firstRow="0" w:lastRow="0" w:firstColumn="1" w:lastColumn="0" w:oddVBand="0" w:evenVBand="0" w:oddHBand="0" w:evenHBand="0" w:firstRowFirstColumn="0" w:firstRowLastColumn="0" w:lastRowFirstColumn="0" w:lastRowLastColumn="0"/>
            <w:tcW w:w="0" w:type="auto"/>
          </w:tcPr>
          <w:p w14:paraId="07A45398" w14:textId="77777777" w:rsidR="00E85B64" w:rsidRPr="008B1B06" w:rsidRDefault="00E85B64" w:rsidP="00980069">
            <w:pPr>
              <w:pStyle w:val="TableTextLeft"/>
            </w:pPr>
            <w:r w:rsidRPr="008B1B06">
              <w:t>Recreation / tourism</w:t>
            </w:r>
          </w:p>
        </w:tc>
        <w:tc>
          <w:tcPr>
            <w:tcW w:w="0" w:type="auto"/>
          </w:tcPr>
          <w:p w14:paraId="4627AC69"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Total</w:t>
            </w:r>
          </w:p>
        </w:tc>
        <w:tc>
          <w:tcPr>
            <w:tcW w:w="0" w:type="auto"/>
          </w:tcPr>
          <w:p w14:paraId="7B0E08D7"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All ecosystems</w:t>
            </w:r>
          </w:p>
        </w:tc>
        <w:tc>
          <w:tcPr>
            <w:tcW w:w="0" w:type="auto"/>
          </w:tcPr>
          <w:p w14:paraId="647611FF"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3,900,000</w:t>
            </w:r>
          </w:p>
        </w:tc>
        <w:tc>
          <w:tcPr>
            <w:tcW w:w="0" w:type="auto"/>
          </w:tcPr>
          <w:p w14:paraId="209D4113"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Visitors</w:t>
            </w:r>
          </w:p>
        </w:tc>
        <w:tc>
          <w:tcPr>
            <w:tcW w:w="0" w:type="auto"/>
          </w:tcPr>
          <w:p w14:paraId="4BD63CC9"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High</w:t>
            </w:r>
          </w:p>
        </w:tc>
        <w:tc>
          <w:tcPr>
            <w:tcW w:w="0" w:type="auto"/>
          </w:tcPr>
          <w:p w14:paraId="74E6BE69"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$61m to $560m</w:t>
            </w:r>
          </w:p>
        </w:tc>
        <w:tc>
          <w:tcPr>
            <w:tcW w:w="0" w:type="auto"/>
          </w:tcPr>
          <w:p w14:paraId="5323C8B7"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$m/yr</w:t>
            </w:r>
          </w:p>
        </w:tc>
        <w:tc>
          <w:tcPr>
            <w:tcW w:w="0" w:type="auto"/>
          </w:tcPr>
          <w:p w14:paraId="1ED7F703"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 xml:space="preserve">GVA contribution to Welfare and avoided costs </w:t>
            </w:r>
          </w:p>
        </w:tc>
        <w:tc>
          <w:tcPr>
            <w:tcW w:w="0" w:type="auto"/>
          </w:tcPr>
          <w:p w14:paraId="5E2C0275"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High</w:t>
            </w:r>
          </w:p>
        </w:tc>
      </w:tr>
      <w:tr w:rsidR="00980069" w:rsidRPr="008B1B06" w14:paraId="7C403275" w14:textId="77777777" w:rsidTr="00980069">
        <w:tc>
          <w:tcPr>
            <w:cnfStyle w:val="001000000000" w:firstRow="0" w:lastRow="0" w:firstColumn="1" w:lastColumn="0" w:oddVBand="0" w:evenVBand="0" w:oddHBand="0" w:evenHBand="0" w:firstRowFirstColumn="0" w:firstRowLastColumn="0" w:lastRowFirstColumn="0" w:lastRowLastColumn="0"/>
            <w:tcW w:w="0" w:type="auto"/>
            <w:gridSpan w:val="2"/>
          </w:tcPr>
          <w:p w14:paraId="66BF4AB8" w14:textId="77777777" w:rsidR="00E85B64" w:rsidRPr="008B1B06" w:rsidRDefault="00E85B64" w:rsidP="00980069">
            <w:pPr>
              <w:pStyle w:val="TableTextLeft"/>
            </w:pPr>
            <w:r w:rsidRPr="008B1B06">
              <w:t>Biomass for timber</w:t>
            </w:r>
          </w:p>
        </w:tc>
        <w:tc>
          <w:tcPr>
            <w:tcW w:w="0" w:type="auto"/>
          </w:tcPr>
          <w:p w14:paraId="53A27472"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rPr>
                <w:rFonts w:eastAsia="Calibri"/>
              </w:rPr>
              <w:t>Plantation forest</w:t>
            </w:r>
            <w:r w:rsidRPr="008B1B06">
              <w:t xml:space="preserve"> </w:t>
            </w:r>
          </w:p>
        </w:tc>
        <w:tc>
          <w:tcPr>
            <w:tcW w:w="0" w:type="auto"/>
          </w:tcPr>
          <w:p w14:paraId="1A5A2012"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rPr>
                <w:rFonts w:eastAsia="Calibri"/>
              </w:rPr>
              <w:t xml:space="preserve">30,000 </w:t>
            </w:r>
          </w:p>
        </w:tc>
        <w:tc>
          <w:tcPr>
            <w:tcW w:w="0" w:type="auto"/>
          </w:tcPr>
          <w:p w14:paraId="0E8D002C"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rPr>
                <w:rFonts w:eastAsia="Calibri"/>
              </w:rPr>
              <w:t>m</w:t>
            </w:r>
            <w:r w:rsidRPr="008B1B06">
              <w:rPr>
                <w:rFonts w:eastAsia="Calibri"/>
                <w:vertAlign w:val="superscript"/>
              </w:rPr>
              <w:t>3</w:t>
            </w:r>
            <w:r w:rsidRPr="008B1B06">
              <w:rPr>
                <w:rFonts w:eastAsia="Calibri"/>
              </w:rPr>
              <w:t>/yr</w:t>
            </w:r>
          </w:p>
        </w:tc>
        <w:tc>
          <w:tcPr>
            <w:tcW w:w="0" w:type="auto"/>
          </w:tcPr>
          <w:p w14:paraId="524C6336"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Medium</w:t>
            </w:r>
          </w:p>
        </w:tc>
        <w:tc>
          <w:tcPr>
            <w:tcW w:w="0" w:type="auto"/>
          </w:tcPr>
          <w:p w14:paraId="5786F68B"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$0.25m</w:t>
            </w:r>
          </w:p>
        </w:tc>
        <w:tc>
          <w:tcPr>
            <w:tcW w:w="0" w:type="auto"/>
          </w:tcPr>
          <w:p w14:paraId="6FAD09DC"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$m/yr</w:t>
            </w:r>
          </w:p>
        </w:tc>
        <w:tc>
          <w:tcPr>
            <w:tcW w:w="0" w:type="auto"/>
          </w:tcPr>
          <w:p w14:paraId="5C60352E"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 xml:space="preserve">Resource rent from market prices </w:t>
            </w:r>
            <w:r w:rsidRPr="008B1B06">
              <w:rPr>
                <w:vertAlign w:val="superscript"/>
              </w:rPr>
              <w:t>a</w:t>
            </w:r>
          </w:p>
        </w:tc>
        <w:tc>
          <w:tcPr>
            <w:tcW w:w="0" w:type="auto"/>
          </w:tcPr>
          <w:p w14:paraId="71E51414"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Medium</w:t>
            </w:r>
          </w:p>
        </w:tc>
      </w:tr>
      <w:tr w:rsidR="00980069" w:rsidRPr="008B1B06" w14:paraId="001ED877" w14:textId="77777777" w:rsidTr="00980069">
        <w:tc>
          <w:tcPr>
            <w:cnfStyle w:val="001000000000" w:firstRow="0" w:lastRow="0" w:firstColumn="1" w:lastColumn="0" w:oddVBand="0" w:evenVBand="0" w:oddHBand="0" w:evenHBand="0" w:firstRowFirstColumn="0" w:firstRowLastColumn="0" w:lastRowFirstColumn="0" w:lastRowLastColumn="0"/>
            <w:tcW w:w="0" w:type="auto"/>
            <w:gridSpan w:val="2"/>
          </w:tcPr>
          <w:p w14:paraId="45DCA19F" w14:textId="77777777" w:rsidR="00E85B64" w:rsidRPr="008B1B06" w:rsidRDefault="00E85B64" w:rsidP="00980069">
            <w:pPr>
              <w:pStyle w:val="TableTextLeft"/>
            </w:pPr>
            <w:r w:rsidRPr="008B1B06">
              <w:t xml:space="preserve">Aesthetics </w:t>
            </w:r>
            <w:r w:rsidRPr="008B1B06">
              <w:rPr>
                <w:vertAlign w:val="superscript"/>
              </w:rPr>
              <w:t>d</w:t>
            </w:r>
          </w:p>
        </w:tc>
        <w:tc>
          <w:tcPr>
            <w:tcW w:w="0" w:type="auto"/>
          </w:tcPr>
          <w:p w14:paraId="3C3138FD"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All ecosystems</w:t>
            </w:r>
          </w:p>
        </w:tc>
        <w:tc>
          <w:tcPr>
            <w:tcW w:w="0" w:type="auto"/>
          </w:tcPr>
          <w:p w14:paraId="47640EC9"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84</w:t>
            </w:r>
          </w:p>
        </w:tc>
        <w:tc>
          <w:tcPr>
            <w:tcW w:w="0" w:type="auto"/>
          </w:tcPr>
          <w:p w14:paraId="64981CCB"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Undisturbed view %</w:t>
            </w:r>
          </w:p>
        </w:tc>
        <w:tc>
          <w:tcPr>
            <w:tcW w:w="0" w:type="auto"/>
          </w:tcPr>
          <w:p w14:paraId="3A95878A"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w:t>
            </w:r>
          </w:p>
        </w:tc>
        <w:tc>
          <w:tcPr>
            <w:tcW w:w="0" w:type="auto"/>
          </w:tcPr>
          <w:p w14:paraId="157D9346"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w:t>
            </w:r>
          </w:p>
        </w:tc>
        <w:tc>
          <w:tcPr>
            <w:tcW w:w="0" w:type="auto"/>
          </w:tcPr>
          <w:p w14:paraId="0D87AB9D"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w:t>
            </w:r>
          </w:p>
        </w:tc>
        <w:tc>
          <w:tcPr>
            <w:tcW w:w="0" w:type="auto"/>
          </w:tcPr>
          <w:p w14:paraId="28CF6EF1"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w:t>
            </w:r>
          </w:p>
        </w:tc>
        <w:tc>
          <w:tcPr>
            <w:tcW w:w="0" w:type="auto"/>
          </w:tcPr>
          <w:p w14:paraId="38DFE346"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w:t>
            </w:r>
          </w:p>
        </w:tc>
      </w:tr>
      <w:tr w:rsidR="00980069" w:rsidRPr="008B1B06" w14:paraId="6210DC72" w14:textId="77777777" w:rsidTr="00980069">
        <w:tc>
          <w:tcPr>
            <w:cnfStyle w:val="001000000000" w:firstRow="0" w:lastRow="0" w:firstColumn="1" w:lastColumn="0" w:oddVBand="0" w:evenVBand="0" w:oddHBand="0" w:evenHBand="0" w:firstRowFirstColumn="0" w:firstRowLastColumn="0" w:lastRowFirstColumn="0" w:lastRowLastColumn="0"/>
            <w:tcW w:w="0" w:type="auto"/>
            <w:gridSpan w:val="2"/>
          </w:tcPr>
          <w:p w14:paraId="3A62ED27" w14:textId="77777777" w:rsidR="00E85B64" w:rsidRPr="008B1B06" w:rsidRDefault="00E85B64" w:rsidP="00980069">
            <w:pPr>
              <w:pStyle w:val="TableTextLeft"/>
              <w:rPr>
                <w:vertAlign w:val="superscript"/>
              </w:rPr>
            </w:pPr>
            <w:r w:rsidRPr="008B1B06">
              <w:t xml:space="preserve">Social / community cohesion </w:t>
            </w:r>
            <w:r w:rsidRPr="008B1B06">
              <w:rPr>
                <w:vertAlign w:val="superscript"/>
              </w:rPr>
              <w:t>d</w:t>
            </w:r>
          </w:p>
        </w:tc>
        <w:tc>
          <w:tcPr>
            <w:tcW w:w="0" w:type="auto"/>
          </w:tcPr>
          <w:p w14:paraId="0030B32F"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All ecosystems</w:t>
            </w:r>
          </w:p>
        </w:tc>
        <w:tc>
          <w:tcPr>
            <w:tcW w:w="0" w:type="auto"/>
          </w:tcPr>
          <w:p w14:paraId="6756D4E8"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77</w:t>
            </w:r>
          </w:p>
        </w:tc>
        <w:tc>
          <w:tcPr>
            <w:tcW w:w="0" w:type="auto"/>
          </w:tcPr>
          <w:p w14:paraId="0932C963"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Voluntary Groups</w:t>
            </w:r>
          </w:p>
        </w:tc>
        <w:tc>
          <w:tcPr>
            <w:tcW w:w="0" w:type="auto"/>
          </w:tcPr>
          <w:p w14:paraId="7C649B8D"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w:t>
            </w:r>
          </w:p>
        </w:tc>
        <w:tc>
          <w:tcPr>
            <w:tcW w:w="0" w:type="auto"/>
          </w:tcPr>
          <w:p w14:paraId="3AB06017"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w:t>
            </w:r>
          </w:p>
        </w:tc>
        <w:tc>
          <w:tcPr>
            <w:tcW w:w="0" w:type="auto"/>
          </w:tcPr>
          <w:p w14:paraId="1B63338A"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w:t>
            </w:r>
          </w:p>
        </w:tc>
        <w:tc>
          <w:tcPr>
            <w:tcW w:w="0" w:type="auto"/>
          </w:tcPr>
          <w:p w14:paraId="47BCFF29"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w:t>
            </w:r>
          </w:p>
        </w:tc>
        <w:tc>
          <w:tcPr>
            <w:tcW w:w="0" w:type="auto"/>
          </w:tcPr>
          <w:p w14:paraId="3895B36B" w14:textId="77777777" w:rsidR="00E85B64" w:rsidRPr="008B1B06" w:rsidRDefault="00E85B64" w:rsidP="00980069">
            <w:pPr>
              <w:pStyle w:val="TableTextLeft"/>
              <w:cnfStyle w:val="000000000000" w:firstRow="0" w:lastRow="0" w:firstColumn="0" w:lastColumn="0" w:oddVBand="0" w:evenVBand="0" w:oddHBand="0" w:evenHBand="0" w:firstRowFirstColumn="0" w:firstRowLastColumn="0" w:lastRowFirstColumn="0" w:lastRowLastColumn="0"/>
            </w:pPr>
            <w:r w:rsidRPr="008B1B06">
              <w:t>-</w:t>
            </w:r>
          </w:p>
        </w:tc>
      </w:tr>
    </w:tbl>
    <w:p w14:paraId="1A9CB7D1" w14:textId="77777777" w:rsidR="00655928" w:rsidRPr="00FB15DB" w:rsidRDefault="00655928" w:rsidP="00E85B64">
      <w:pPr>
        <w:pStyle w:val="NoteHeading"/>
      </w:pPr>
      <w:proofErr w:type="spellStart"/>
      <w:r w:rsidRPr="00FB15DB">
        <w:rPr>
          <w:vertAlign w:val="superscript"/>
        </w:rPr>
        <w:t>a</w:t>
      </w:r>
      <w:proofErr w:type="spellEnd"/>
      <w:r w:rsidRPr="00FB15DB">
        <w:rPr>
          <w:vertAlign w:val="superscript"/>
        </w:rPr>
        <w:t xml:space="preserve"> </w:t>
      </w:r>
      <w:r w:rsidRPr="00FB15DB">
        <w:t xml:space="preserve">The contribution of the ecosystem to these socio-economic benefits is isolated at the monetary valuation stage in what is known as a “resource rent” calculation which strips out the contribution of other inputs (e.g., cost of human labour, machines etc) from the market price of the good / service. </w:t>
      </w:r>
    </w:p>
    <w:p w14:paraId="09448E31" w14:textId="77777777" w:rsidR="00655928" w:rsidRPr="00FB15DB" w:rsidRDefault="00655928" w:rsidP="00E85B64">
      <w:pPr>
        <w:pStyle w:val="NoteHeading"/>
      </w:pPr>
      <w:r w:rsidRPr="00FB15DB">
        <w:rPr>
          <w:vertAlign w:val="superscript"/>
        </w:rPr>
        <w:t xml:space="preserve">b </w:t>
      </w:r>
      <w:r w:rsidRPr="00FB15DB">
        <w:t xml:space="preserve">This is a capitalised value to show the total cost of building a sea wall (or alternative infrastructure) to replace the exposure reduction provided by coastal wetlands in the GORCAP EEA region over a 40 year period. </w:t>
      </w:r>
    </w:p>
    <w:p w14:paraId="260FA94C" w14:textId="77777777" w:rsidR="00655928" w:rsidRPr="00FB15DB" w:rsidRDefault="00655928" w:rsidP="00E85B64">
      <w:pPr>
        <w:pStyle w:val="NoteHeading"/>
      </w:pPr>
      <w:r w:rsidRPr="00FB15DB">
        <w:rPr>
          <w:vertAlign w:val="superscript"/>
        </w:rPr>
        <w:t xml:space="preserve">c </w:t>
      </w:r>
      <w:r w:rsidRPr="00FB15DB">
        <w:t>This is not additive to the carbon retention service but is presented here to provide an alternative perspective on the ecosystem service, albeit with partial coverage (only 3 broad ecosystems / 20% of total GORCAP EEA area).</w:t>
      </w:r>
    </w:p>
    <w:p w14:paraId="41DE84A1" w14:textId="77777777" w:rsidR="00655928" w:rsidRPr="00FB15DB" w:rsidRDefault="00655928" w:rsidP="00E85B64">
      <w:pPr>
        <w:pStyle w:val="NoteHeading"/>
      </w:pPr>
      <w:r w:rsidRPr="00FB15DB">
        <w:rPr>
          <w:vertAlign w:val="superscript"/>
        </w:rPr>
        <w:t xml:space="preserve">d </w:t>
      </w:r>
      <w:r w:rsidRPr="00FB15DB">
        <w:t>This is used as an indicator of the delivery of ecosystem services.</w:t>
      </w:r>
    </w:p>
    <w:p w14:paraId="23BB4AA1" w14:textId="77777777" w:rsidR="00330598" w:rsidRDefault="00330598" w:rsidP="00330598">
      <w:pPr>
        <w:pStyle w:val="BodyText"/>
      </w:pPr>
    </w:p>
    <w:p w14:paraId="3F87B30E" w14:textId="77777777" w:rsidR="00330598" w:rsidRPr="00330598" w:rsidRDefault="00330598" w:rsidP="00330598">
      <w:pPr>
        <w:pStyle w:val="BodyText"/>
        <w:sectPr w:rsidR="00330598" w:rsidRPr="00330598" w:rsidSect="00E52A9A">
          <w:headerReference w:type="even" r:id="rId76"/>
          <w:headerReference w:type="default" r:id="rId77"/>
          <w:footerReference w:type="default" r:id="rId78"/>
          <w:pgSz w:w="23811" w:h="16838" w:orient="landscape" w:code="8"/>
          <w:pgMar w:top="1134" w:right="1134" w:bottom="1134" w:left="1134" w:header="283" w:footer="283" w:gutter="0"/>
          <w:cols w:space="284"/>
          <w:docGrid w:linePitch="360"/>
        </w:sectPr>
      </w:pPr>
    </w:p>
    <w:p w14:paraId="68A404D9" w14:textId="77777777" w:rsidR="003C4431" w:rsidRPr="00B7383B" w:rsidRDefault="003C4431" w:rsidP="00B22F84">
      <w:pPr>
        <w:pStyle w:val="Caption"/>
      </w:pPr>
      <w:r w:rsidRPr="00B7383B">
        <w:lastRenderedPageBreak/>
        <w:t>Table S4. Summary supply and use account</w:t>
      </w:r>
    </w:p>
    <w:tbl>
      <w:tblPr>
        <w:tblStyle w:val="TableGrid"/>
        <w:tblW w:w="5000" w:type="pct"/>
        <w:tblLook w:val="04A0" w:firstRow="1" w:lastRow="0" w:firstColumn="1" w:lastColumn="0" w:noHBand="0" w:noVBand="1"/>
      </w:tblPr>
      <w:tblGrid>
        <w:gridCol w:w="839"/>
        <w:gridCol w:w="1004"/>
        <w:gridCol w:w="1560"/>
        <w:gridCol w:w="1560"/>
        <w:gridCol w:w="1274"/>
        <w:gridCol w:w="1733"/>
        <w:gridCol w:w="1669"/>
      </w:tblGrid>
      <w:tr w:rsidR="00F6775D" w:rsidRPr="00B7383B" w14:paraId="16FAAEC8" w14:textId="77777777" w:rsidTr="004336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5" w:type="pct"/>
            <w:gridSpan w:val="2"/>
            <w:vMerge w:val="restart"/>
          </w:tcPr>
          <w:p w14:paraId="229697DB" w14:textId="77777777" w:rsidR="00F6775D" w:rsidRPr="00B7383B" w:rsidRDefault="00F6775D" w:rsidP="00F6775D">
            <w:pPr>
              <w:pStyle w:val="TableHeadingLeft"/>
              <w:rPr>
                <w:rFonts w:eastAsia="Calibri"/>
              </w:rPr>
            </w:pPr>
            <w:r w:rsidRPr="00B7383B">
              <w:rPr>
                <w:rFonts w:eastAsia="Calibri"/>
              </w:rPr>
              <w:t>Metric</w:t>
            </w:r>
          </w:p>
        </w:tc>
        <w:tc>
          <w:tcPr>
            <w:tcW w:w="809" w:type="pct"/>
            <w:vMerge w:val="restart"/>
          </w:tcPr>
          <w:p w14:paraId="064C667B" w14:textId="77777777" w:rsidR="00F6775D" w:rsidRPr="00B7383B" w:rsidRDefault="00F6775D" w:rsidP="00F6775D">
            <w:pPr>
              <w:pStyle w:val="TableHeadingLeft"/>
              <w:cnfStyle w:val="100000000000" w:firstRow="1" w:lastRow="0" w:firstColumn="0" w:lastColumn="0" w:oddVBand="0" w:evenVBand="0" w:oddHBand="0" w:evenHBand="0" w:firstRowFirstColumn="0" w:firstRowLastColumn="0" w:lastRowFirstColumn="0" w:lastRowLastColumn="0"/>
              <w:rPr>
                <w:rFonts w:eastAsia="Calibri"/>
              </w:rPr>
            </w:pPr>
            <w:r w:rsidRPr="00B7383B">
              <w:rPr>
                <w:rFonts w:eastAsia="Calibri"/>
              </w:rPr>
              <w:t>Household</w:t>
            </w:r>
          </w:p>
        </w:tc>
        <w:tc>
          <w:tcPr>
            <w:tcW w:w="809" w:type="pct"/>
            <w:vMerge w:val="restart"/>
          </w:tcPr>
          <w:p w14:paraId="3C043FD2" w14:textId="77777777" w:rsidR="00F6775D" w:rsidRPr="00B7383B" w:rsidRDefault="00F6775D" w:rsidP="00F6775D">
            <w:pPr>
              <w:pStyle w:val="TableHeadingLeft"/>
              <w:cnfStyle w:val="100000000000" w:firstRow="1" w:lastRow="0" w:firstColumn="0" w:lastColumn="0" w:oddVBand="0" w:evenVBand="0" w:oddHBand="0" w:evenHBand="0" w:firstRowFirstColumn="0" w:firstRowLastColumn="0" w:lastRowFirstColumn="0" w:lastRowLastColumn="0"/>
              <w:rPr>
                <w:rFonts w:eastAsia="Calibri"/>
              </w:rPr>
            </w:pPr>
            <w:r w:rsidRPr="00B7383B">
              <w:rPr>
                <w:rFonts w:eastAsia="Calibri"/>
              </w:rPr>
              <w:t>Government</w:t>
            </w:r>
          </w:p>
        </w:tc>
        <w:tc>
          <w:tcPr>
            <w:tcW w:w="661" w:type="pct"/>
            <w:vMerge w:val="restart"/>
          </w:tcPr>
          <w:p w14:paraId="0A112B8A" w14:textId="77777777" w:rsidR="00F6775D" w:rsidRPr="00B7383B" w:rsidRDefault="00F6775D" w:rsidP="00F6775D">
            <w:pPr>
              <w:pStyle w:val="TableHeadingLeft"/>
              <w:cnfStyle w:val="100000000000" w:firstRow="1" w:lastRow="0" w:firstColumn="0" w:lastColumn="0" w:oddVBand="0" w:evenVBand="0" w:oddHBand="0" w:evenHBand="0" w:firstRowFirstColumn="0" w:firstRowLastColumn="0" w:lastRowFirstColumn="0" w:lastRowLastColumn="0"/>
              <w:rPr>
                <w:rFonts w:eastAsia="Calibri"/>
              </w:rPr>
            </w:pPr>
            <w:r w:rsidRPr="00B7383B">
              <w:rPr>
                <w:rFonts w:eastAsia="Calibri"/>
              </w:rPr>
              <w:t>Industry</w:t>
            </w:r>
          </w:p>
        </w:tc>
        <w:tc>
          <w:tcPr>
            <w:tcW w:w="1765" w:type="pct"/>
            <w:gridSpan w:val="2"/>
            <w:tcBorders>
              <w:bottom w:val="single" w:sz="4" w:space="0" w:color="FFFFFF" w:themeColor="background1"/>
            </w:tcBorders>
          </w:tcPr>
          <w:p w14:paraId="4FC01537" w14:textId="77777777" w:rsidR="00F6775D" w:rsidRPr="00B7383B" w:rsidRDefault="00F6775D" w:rsidP="00F6775D">
            <w:pPr>
              <w:pStyle w:val="TableHeadingLeft"/>
              <w:cnfStyle w:val="100000000000" w:firstRow="1" w:lastRow="0" w:firstColumn="0" w:lastColumn="0" w:oddVBand="0" w:evenVBand="0" w:oddHBand="0" w:evenHBand="0" w:firstRowFirstColumn="0" w:firstRowLastColumn="0" w:lastRowFirstColumn="0" w:lastRowLastColumn="0"/>
              <w:rPr>
                <w:rFonts w:eastAsia="Calibri"/>
              </w:rPr>
            </w:pPr>
            <w:r w:rsidRPr="00B7383B">
              <w:rPr>
                <w:rFonts w:eastAsia="Calibri"/>
              </w:rPr>
              <w:t>Ecosystems</w:t>
            </w:r>
          </w:p>
        </w:tc>
      </w:tr>
      <w:tr w:rsidR="00F6775D" w:rsidRPr="00B7383B" w14:paraId="5C55A0EF" w14:textId="77777777" w:rsidTr="00433666">
        <w:tc>
          <w:tcPr>
            <w:cnfStyle w:val="001000000000" w:firstRow="0" w:lastRow="0" w:firstColumn="1" w:lastColumn="0" w:oddVBand="0" w:evenVBand="0" w:oddHBand="0" w:evenHBand="0" w:firstRowFirstColumn="0" w:firstRowLastColumn="0" w:lastRowFirstColumn="0" w:lastRowLastColumn="0"/>
            <w:tcW w:w="955" w:type="pct"/>
            <w:gridSpan w:val="2"/>
            <w:vMerge/>
          </w:tcPr>
          <w:p w14:paraId="2A0FF34B" w14:textId="77777777" w:rsidR="00F6775D" w:rsidRPr="00B7383B" w:rsidRDefault="00F6775D" w:rsidP="00F6775D">
            <w:pPr>
              <w:pStyle w:val="TableTextLeft"/>
              <w:rPr>
                <w:rFonts w:eastAsia="Calibri"/>
              </w:rPr>
            </w:pPr>
          </w:p>
        </w:tc>
        <w:tc>
          <w:tcPr>
            <w:tcW w:w="809" w:type="pct"/>
            <w:vMerge/>
            <w:tcBorders>
              <w:bottom w:val="single" w:sz="4" w:space="0" w:color="auto"/>
            </w:tcBorders>
          </w:tcPr>
          <w:p w14:paraId="40F54668" w14:textId="77777777" w:rsidR="00F6775D" w:rsidRPr="00B7383B" w:rsidRDefault="00F6775D" w:rsidP="00F6775D">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809" w:type="pct"/>
            <w:vMerge/>
            <w:tcBorders>
              <w:bottom w:val="single" w:sz="4" w:space="0" w:color="auto"/>
            </w:tcBorders>
          </w:tcPr>
          <w:p w14:paraId="1C9AEC89" w14:textId="77777777" w:rsidR="00F6775D" w:rsidRPr="00B7383B" w:rsidRDefault="00F6775D" w:rsidP="00F6775D">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661" w:type="pct"/>
            <w:vMerge/>
            <w:tcBorders>
              <w:bottom w:val="single" w:sz="4" w:space="0" w:color="auto"/>
            </w:tcBorders>
          </w:tcPr>
          <w:p w14:paraId="7E70F4B2" w14:textId="77777777" w:rsidR="00F6775D" w:rsidRPr="00B7383B" w:rsidRDefault="00F6775D" w:rsidP="00F6775D">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899" w:type="pct"/>
            <w:tcBorders>
              <w:top w:val="single" w:sz="4" w:space="0" w:color="FFFFFF" w:themeColor="background1"/>
            </w:tcBorders>
            <w:shd w:val="clear" w:color="auto" w:fill="004C97"/>
          </w:tcPr>
          <w:p w14:paraId="4E6841F5" w14:textId="77777777" w:rsidR="00F6775D" w:rsidRPr="00B7383B" w:rsidRDefault="00F6775D" w:rsidP="00F6775D">
            <w:pPr>
              <w:pStyle w:val="TableHeadingLeft"/>
              <w:cnfStyle w:val="000000000000" w:firstRow="0" w:lastRow="0" w:firstColumn="0" w:lastColumn="0" w:oddVBand="0" w:evenVBand="0" w:oddHBand="0" w:evenHBand="0" w:firstRowFirstColumn="0" w:firstRowLastColumn="0" w:lastRowFirstColumn="0" w:lastRowLastColumn="0"/>
              <w:rPr>
                <w:rFonts w:eastAsia="Calibri"/>
              </w:rPr>
            </w:pPr>
            <w:r w:rsidRPr="00B7383B">
              <w:rPr>
                <w:rFonts w:eastAsia="Calibri"/>
              </w:rPr>
              <w:t>Crown</w:t>
            </w:r>
          </w:p>
        </w:tc>
        <w:tc>
          <w:tcPr>
            <w:tcW w:w="865" w:type="pct"/>
            <w:tcBorders>
              <w:top w:val="single" w:sz="4" w:space="0" w:color="FFFFFF" w:themeColor="background1"/>
            </w:tcBorders>
            <w:shd w:val="clear" w:color="auto" w:fill="004C97"/>
          </w:tcPr>
          <w:p w14:paraId="10B7200F" w14:textId="77777777" w:rsidR="00F6775D" w:rsidRPr="00B7383B" w:rsidRDefault="00F6775D" w:rsidP="00F6775D">
            <w:pPr>
              <w:pStyle w:val="TableHeadingLeft"/>
              <w:cnfStyle w:val="000000000000" w:firstRow="0" w:lastRow="0" w:firstColumn="0" w:lastColumn="0" w:oddVBand="0" w:evenVBand="0" w:oddHBand="0" w:evenHBand="0" w:firstRowFirstColumn="0" w:firstRowLastColumn="0" w:lastRowFirstColumn="0" w:lastRowLastColumn="0"/>
              <w:rPr>
                <w:rFonts w:eastAsia="Calibri"/>
              </w:rPr>
            </w:pPr>
            <w:r w:rsidRPr="00B7383B">
              <w:rPr>
                <w:rFonts w:eastAsia="Calibri"/>
              </w:rPr>
              <w:t>Non-Crown</w:t>
            </w:r>
          </w:p>
        </w:tc>
      </w:tr>
      <w:tr w:rsidR="00F6775D" w:rsidRPr="00B7383B" w14:paraId="4714FFAB" w14:textId="77777777" w:rsidTr="00433666">
        <w:tc>
          <w:tcPr>
            <w:cnfStyle w:val="001000000000" w:firstRow="0" w:lastRow="0" w:firstColumn="1" w:lastColumn="0" w:oddVBand="0" w:evenVBand="0" w:oddHBand="0" w:evenHBand="0" w:firstRowFirstColumn="0" w:firstRowLastColumn="0" w:lastRowFirstColumn="0" w:lastRowLastColumn="0"/>
            <w:tcW w:w="435" w:type="pct"/>
            <w:vMerge w:val="restart"/>
          </w:tcPr>
          <w:p w14:paraId="5C0BE796" w14:textId="77777777" w:rsidR="00F6775D" w:rsidRPr="00B7383B" w:rsidRDefault="00F6775D" w:rsidP="00F6775D">
            <w:pPr>
              <w:pStyle w:val="TableTextLeft"/>
              <w:rPr>
                <w:rFonts w:eastAsia="Calibri"/>
              </w:rPr>
            </w:pPr>
            <w:r w:rsidRPr="00B7383B">
              <w:rPr>
                <w:rFonts w:eastAsia="Calibri"/>
              </w:rPr>
              <w:t>Supply</w:t>
            </w:r>
          </w:p>
        </w:tc>
        <w:tc>
          <w:tcPr>
            <w:tcW w:w="521" w:type="pct"/>
            <w:vMerge w:val="restart"/>
          </w:tcPr>
          <w:p w14:paraId="4FC03B82" w14:textId="77777777" w:rsidR="00F6775D" w:rsidRPr="00B7383B" w:rsidRDefault="00F6775D" w:rsidP="00F6775D">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B7383B">
              <w:rPr>
                <w:rFonts w:eastAsia="Calibri"/>
              </w:rPr>
              <w:t>$ AUD (2021)</w:t>
            </w:r>
          </w:p>
        </w:tc>
        <w:tc>
          <w:tcPr>
            <w:tcW w:w="809" w:type="pct"/>
            <w:vMerge w:val="restart"/>
            <w:shd w:val="clear" w:color="auto" w:fill="E5EDF5"/>
          </w:tcPr>
          <w:p w14:paraId="1CB7D826" w14:textId="77777777" w:rsidR="00F6775D" w:rsidRPr="00B7383B" w:rsidRDefault="00F6775D" w:rsidP="00F6775D">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809" w:type="pct"/>
            <w:vMerge w:val="restart"/>
            <w:shd w:val="clear" w:color="auto" w:fill="E5EDF5"/>
          </w:tcPr>
          <w:p w14:paraId="53EBEF30" w14:textId="77777777" w:rsidR="00F6775D" w:rsidRPr="00B7383B" w:rsidRDefault="00F6775D" w:rsidP="00F6775D">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661" w:type="pct"/>
            <w:vMerge w:val="restart"/>
            <w:shd w:val="clear" w:color="auto" w:fill="E5EDF5"/>
          </w:tcPr>
          <w:p w14:paraId="1D43E5EC" w14:textId="77777777" w:rsidR="00F6775D" w:rsidRPr="00B7383B" w:rsidRDefault="00F6775D" w:rsidP="00F6775D">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899" w:type="pct"/>
          </w:tcPr>
          <w:p w14:paraId="50D84E46" w14:textId="77777777" w:rsidR="00F6775D" w:rsidRPr="00B7383B" w:rsidRDefault="00F6775D" w:rsidP="00F6775D">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B7383B">
              <w:rPr>
                <w:rFonts w:eastAsia="Calibri"/>
              </w:rPr>
              <w:t>$1m/yr - $3m/yr</w:t>
            </w:r>
          </w:p>
        </w:tc>
        <w:tc>
          <w:tcPr>
            <w:tcW w:w="865" w:type="pct"/>
          </w:tcPr>
          <w:p w14:paraId="153FAE78" w14:textId="77777777" w:rsidR="00F6775D" w:rsidRPr="00B7383B" w:rsidRDefault="00F6775D" w:rsidP="00F6775D">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B7383B">
              <w:rPr>
                <w:rFonts w:eastAsia="Calibri"/>
              </w:rPr>
              <w:t>$12m/yr</w:t>
            </w:r>
          </w:p>
        </w:tc>
      </w:tr>
      <w:tr w:rsidR="00F6775D" w:rsidRPr="00B7383B" w14:paraId="23145196" w14:textId="77777777" w:rsidTr="00433666">
        <w:tc>
          <w:tcPr>
            <w:cnfStyle w:val="001000000000" w:firstRow="0" w:lastRow="0" w:firstColumn="1" w:lastColumn="0" w:oddVBand="0" w:evenVBand="0" w:oddHBand="0" w:evenHBand="0" w:firstRowFirstColumn="0" w:firstRowLastColumn="0" w:lastRowFirstColumn="0" w:lastRowLastColumn="0"/>
            <w:tcW w:w="435" w:type="pct"/>
            <w:vMerge/>
          </w:tcPr>
          <w:p w14:paraId="0BA1274E" w14:textId="77777777" w:rsidR="00F6775D" w:rsidRPr="00B7383B" w:rsidRDefault="00F6775D" w:rsidP="00F6775D">
            <w:pPr>
              <w:pStyle w:val="TableTextLeft"/>
              <w:rPr>
                <w:rFonts w:eastAsia="Calibri"/>
              </w:rPr>
            </w:pPr>
          </w:p>
        </w:tc>
        <w:tc>
          <w:tcPr>
            <w:tcW w:w="521" w:type="pct"/>
            <w:vMerge/>
          </w:tcPr>
          <w:p w14:paraId="406D8931" w14:textId="77777777" w:rsidR="00F6775D" w:rsidRPr="00B7383B" w:rsidRDefault="00F6775D" w:rsidP="00F6775D">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809" w:type="pct"/>
            <w:vMerge/>
            <w:tcBorders>
              <w:top w:val="nil"/>
            </w:tcBorders>
            <w:shd w:val="clear" w:color="auto" w:fill="E5EDF5"/>
          </w:tcPr>
          <w:p w14:paraId="4534FCEF" w14:textId="77777777" w:rsidR="00F6775D" w:rsidRPr="00B7383B" w:rsidRDefault="00F6775D" w:rsidP="00F6775D">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809" w:type="pct"/>
            <w:vMerge/>
            <w:tcBorders>
              <w:top w:val="nil"/>
            </w:tcBorders>
            <w:shd w:val="clear" w:color="auto" w:fill="E5EDF5"/>
          </w:tcPr>
          <w:p w14:paraId="1CD83864" w14:textId="77777777" w:rsidR="00F6775D" w:rsidRPr="00B7383B" w:rsidRDefault="00F6775D" w:rsidP="00F6775D">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661" w:type="pct"/>
            <w:vMerge/>
            <w:tcBorders>
              <w:top w:val="nil"/>
            </w:tcBorders>
            <w:shd w:val="clear" w:color="auto" w:fill="E5EDF5"/>
          </w:tcPr>
          <w:p w14:paraId="2DF80675" w14:textId="77777777" w:rsidR="00F6775D" w:rsidRPr="00B7383B" w:rsidRDefault="00F6775D" w:rsidP="00F6775D">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1765" w:type="pct"/>
            <w:gridSpan w:val="2"/>
          </w:tcPr>
          <w:p w14:paraId="1F1C7DD7" w14:textId="77777777" w:rsidR="00F6775D" w:rsidRPr="00B7383B" w:rsidRDefault="00F6775D" w:rsidP="00F6775D">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B7383B">
              <w:rPr>
                <w:rFonts w:eastAsia="Calibri"/>
              </w:rPr>
              <w:t>$62</w:t>
            </w:r>
            <w:r>
              <w:rPr>
                <w:rFonts w:eastAsia="Calibri"/>
              </w:rPr>
              <w:t>5</w:t>
            </w:r>
            <w:r w:rsidRPr="00B7383B">
              <w:rPr>
                <w:rFonts w:eastAsia="Calibri"/>
              </w:rPr>
              <w:t>m/yr to $7</w:t>
            </w:r>
            <w:r>
              <w:rPr>
                <w:rFonts w:eastAsia="Calibri"/>
              </w:rPr>
              <w:t>45</w:t>
            </w:r>
            <w:r w:rsidRPr="00B7383B">
              <w:rPr>
                <w:rFonts w:eastAsia="Calibri"/>
              </w:rPr>
              <w:t>m/yr</w:t>
            </w:r>
          </w:p>
        </w:tc>
      </w:tr>
      <w:tr w:rsidR="00F6775D" w:rsidRPr="00B7383B" w14:paraId="6DC213B4" w14:textId="77777777" w:rsidTr="00433666">
        <w:tc>
          <w:tcPr>
            <w:cnfStyle w:val="001000000000" w:firstRow="0" w:lastRow="0" w:firstColumn="1" w:lastColumn="0" w:oddVBand="0" w:evenVBand="0" w:oddHBand="0" w:evenHBand="0" w:firstRowFirstColumn="0" w:firstRowLastColumn="0" w:lastRowFirstColumn="0" w:lastRowLastColumn="0"/>
            <w:tcW w:w="435" w:type="pct"/>
          </w:tcPr>
          <w:p w14:paraId="5D8AAEF9" w14:textId="77777777" w:rsidR="00F6775D" w:rsidRPr="00B7383B" w:rsidRDefault="00F6775D" w:rsidP="00F6775D">
            <w:pPr>
              <w:pStyle w:val="TableTextLeft"/>
              <w:rPr>
                <w:rFonts w:eastAsia="Calibri"/>
              </w:rPr>
            </w:pPr>
            <w:r w:rsidRPr="00B7383B">
              <w:rPr>
                <w:rFonts w:eastAsia="Calibri"/>
              </w:rPr>
              <w:t>Use</w:t>
            </w:r>
          </w:p>
        </w:tc>
        <w:tc>
          <w:tcPr>
            <w:tcW w:w="521" w:type="pct"/>
          </w:tcPr>
          <w:p w14:paraId="2C676B3D" w14:textId="77777777" w:rsidR="00F6775D" w:rsidRPr="00B7383B" w:rsidRDefault="00F6775D" w:rsidP="00F6775D">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B7383B">
              <w:rPr>
                <w:rFonts w:eastAsia="Calibri"/>
              </w:rPr>
              <w:t>$ AUD (2021)</w:t>
            </w:r>
          </w:p>
        </w:tc>
        <w:tc>
          <w:tcPr>
            <w:tcW w:w="809" w:type="pct"/>
          </w:tcPr>
          <w:p w14:paraId="1689C267" w14:textId="77777777" w:rsidR="00F6775D" w:rsidRPr="00B7383B" w:rsidRDefault="00F6775D" w:rsidP="00F6775D">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B7383B">
              <w:rPr>
                <w:rFonts w:eastAsia="Calibri"/>
              </w:rPr>
              <w:t>$51</w:t>
            </w:r>
            <w:r>
              <w:rPr>
                <w:rFonts w:eastAsia="Calibri"/>
              </w:rPr>
              <w:t>5</w:t>
            </w:r>
            <w:r w:rsidRPr="00B7383B">
              <w:rPr>
                <w:rFonts w:eastAsia="Calibri"/>
              </w:rPr>
              <w:t>m/yr to $6</w:t>
            </w:r>
            <w:r>
              <w:rPr>
                <w:rFonts w:eastAsia="Calibri"/>
              </w:rPr>
              <w:t>40</w:t>
            </w:r>
            <w:r w:rsidRPr="00B7383B">
              <w:rPr>
                <w:rFonts w:eastAsia="Calibri"/>
              </w:rPr>
              <w:t>m/yr</w:t>
            </w:r>
          </w:p>
        </w:tc>
        <w:tc>
          <w:tcPr>
            <w:tcW w:w="809" w:type="pct"/>
          </w:tcPr>
          <w:p w14:paraId="3DF3A895" w14:textId="77777777" w:rsidR="00F6775D" w:rsidRPr="00B7383B" w:rsidRDefault="00F6775D" w:rsidP="00F6775D">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B7383B">
              <w:rPr>
                <w:rFonts w:eastAsia="Calibri"/>
              </w:rPr>
              <w:t>$6m - $8m</w:t>
            </w:r>
          </w:p>
        </w:tc>
        <w:tc>
          <w:tcPr>
            <w:tcW w:w="661" w:type="pct"/>
          </w:tcPr>
          <w:p w14:paraId="47973AB0" w14:textId="77777777" w:rsidR="00F6775D" w:rsidRPr="00B7383B" w:rsidRDefault="00F6775D" w:rsidP="00F6775D">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B7383B">
              <w:rPr>
                <w:rFonts w:eastAsia="Calibri"/>
              </w:rPr>
              <w:t>$112m</w:t>
            </w:r>
          </w:p>
        </w:tc>
        <w:tc>
          <w:tcPr>
            <w:tcW w:w="1765" w:type="pct"/>
            <w:gridSpan w:val="2"/>
          </w:tcPr>
          <w:p w14:paraId="0FB3549F" w14:textId="77777777" w:rsidR="00F6775D" w:rsidRPr="00B7383B" w:rsidRDefault="00F6775D" w:rsidP="00F6775D">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r>
    </w:tbl>
    <w:p w14:paraId="6A368BAF" w14:textId="068346A8" w:rsidR="00D76B24" w:rsidRPr="006B7812" w:rsidRDefault="00D76B24" w:rsidP="003137F4">
      <w:pPr>
        <w:pStyle w:val="BodyText12ptBefore"/>
        <w:rPr>
          <w:lang w:eastAsia="en-US"/>
        </w:rPr>
      </w:pPr>
      <w:r w:rsidRPr="006B7812">
        <w:rPr>
          <w:lang w:eastAsia="en-US"/>
        </w:rPr>
        <w:t xml:space="preserve">This initial, proof-of-concept coastal and marine account for the Great Ocean Road Coast and Parks will be a useful contribution to the potential development of Victoria-wide environmental-environmental-economic accounts for coastal and marine areas which could inform the work being undertaken as part of Victoria’s Marine and Coastal Strategy </w:t>
      </w:r>
      <w:r w:rsidR="001E7483">
        <w:rPr>
          <w:lang w:eastAsia="en-US"/>
        </w:rPr>
        <w:t xml:space="preserve">2022 </w:t>
      </w:r>
      <w:r w:rsidRPr="006B7812">
        <w:rPr>
          <w:lang w:eastAsia="en-US"/>
        </w:rPr>
        <w:t>as required under the Marine and Coastal Act 2018. The information compiled in the GORCAP EEA can be used:</w:t>
      </w:r>
    </w:p>
    <w:p w14:paraId="48F3C0D1" w14:textId="465398F0" w:rsidR="00052A09" w:rsidRPr="00433666" w:rsidRDefault="00052A09" w:rsidP="00A459D5">
      <w:pPr>
        <w:pStyle w:val="ListAlpha"/>
      </w:pPr>
      <w:r w:rsidRPr="00433666">
        <w:t>As evidence of the total value of the Great Ocean Road Coast and Parks’ ecosystem assets to the Victorian, Australian and global economy and community and the distribution of this across the region. The analysis undertaken for the GORCAP EEA suggests that the ecosystems of the region deliver a range of ecosystem services that provide significant socio-economic value to society, estimated to be worth over $100 million a year to the economy or over $700 million per year to the community for the subset of ecosystem services assessed.</w:t>
      </w:r>
    </w:p>
    <w:p w14:paraId="4A38E7DE" w14:textId="77777777" w:rsidR="00052A09" w:rsidRPr="00433666" w:rsidRDefault="00052A09" w:rsidP="00A459D5">
      <w:pPr>
        <w:pStyle w:val="ListAlpha"/>
      </w:pPr>
      <w:r w:rsidRPr="00433666">
        <w:t>To build the business case for investment and/or policy/management to maintain current ecosystem status and productivity. The sustained delivery of the estimated annual benefits is dependent on current ecosystem status to be maintained (at a minimum). The distribution of socio-economic value is mapped (for most ecosystem services) across the region, enabling the identification of hotspots that deliver significant value to society that could support prioritisation of actions to maintain ecosystem asset stocks by the Authority.</w:t>
      </w:r>
    </w:p>
    <w:p w14:paraId="0424169B" w14:textId="77777777" w:rsidR="00052A09" w:rsidRPr="00433666" w:rsidRDefault="00052A09" w:rsidP="00A459D5">
      <w:pPr>
        <w:pStyle w:val="ListAlpha"/>
      </w:pPr>
      <w:r w:rsidRPr="00433666">
        <w:t>To assess the effectiveness of existing policy and environmental management and identify opportunities to enhance ecosystem status and productivity through future policy/management/investment. Information on the current status and productivity of ecosystems in the GORCAP region can be judged against policy/management targets and where performance is poor this is suggestive of the need for improvement. For example, the GORCAP EEA condition account suggests that the status of native vegetation and freshwater/estuaries could be an area for improvement which could deliver enhancements in ecosystem service delivery (i.e., improved recreational experience, greater carbon sequestration etc).</w:t>
      </w:r>
    </w:p>
    <w:p w14:paraId="7783DB72" w14:textId="77777777" w:rsidR="00052A09" w:rsidRPr="00433666" w:rsidRDefault="00052A09" w:rsidP="00A459D5">
      <w:pPr>
        <w:pStyle w:val="ListAlpha"/>
      </w:pPr>
      <w:r w:rsidRPr="00433666">
        <w:t>To improve understanding of the trade-offs in the use of contested assets (e.g., between the use of ecosystem assets for recreation or biodiversity) and land use change (e.g., loss of ecosystems for built development). The information in the GORCAP EEA can be used to estimate what will be lost if the current ecosystems in the region are degraded / destroyed under specific land-use scenarios.</w:t>
      </w:r>
    </w:p>
    <w:p w14:paraId="1886ABE3" w14:textId="77777777" w:rsidR="00052A09" w:rsidRPr="00433666" w:rsidRDefault="00052A09" w:rsidP="00A459D5">
      <w:pPr>
        <w:pStyle w:val="ListAlpha"/>
      </w:pPr>
      <w:r w:rsidRPr="00433666">
        <w:t xml:space="preserve">As a basis for collaborative working with land / water management organisations by using the accounts to explore synergies across ecosystems / geographic areas. This includes impacts and dependencies of assets under the Authority’s management with other ecosystems / geographic areas. </w:t>
      </w:r>
    </w:p>
    <w:p w14:paraId="272A7116" w14:textId="77777777" w:rsidR="00D76B24" w:rsidRPr="00433666" w:rsidRDefault="00052A09" w:rsidP="00A459D5">
      <w:pPr>
        <w:pStyle w:val="ListAlpha"/>
      </w:pPr>
      <w:r w:rsidRPr="00433666">
        <w:t>As an underpinning evidence base to explore other policy and/or management issues including links to other reporting frameworks such as the Sustainable Development Goals, making the case for investing to expand ecosystem assets and estimating the magnitude and value of the loss of ecosystem service associated with pressures and risks.</w:t>
      </w:r>
    </w:p>
    <w:p w14:paraId="2FA49253" w14:textId="49092042" w:rsidR="00052A09" w:rsidRPr="00FB15DB" w:rsidRDefault="00CF2991" w:rsidP="003137F4">
      <w:pPr>
        <w:pStyle w:val="BodyText12ptBefore"/>
      </w:pPr>
      <w:r>
        <w:t xml:space="preserve">Key </w:t>
      </w:r>
      <w:r w:rsidR="00052A09" w:rsidRPr="00FB15DB">
        <w:t>opportunities for future work include:</w:t>
      </w:r>
    </w:p>
    <w:p w14:paraId="578E465B" w14:textId="77777777" w:rsidR="00052A09" w:rsidRPr="00C36D30" w:rsidRDefault="00052A09" w:rsidP="00CF2991">
      <w:pPr>
        <w:pStyle w:val="ListBullet"/>
      </w:pPr>
      <w:r w:rsidRPr="00C36D30">
        <w:t>Refine the land cover extent information, using more highly resolute datasets including (potentially) Earth Observation data / the work being undertaken by Geoscience Australia (an Australian Government agency) to develop national land cover datasets utilising the FAO of the UN Land Cover Classification System.</w:t>
      </w:r>
    </w:p>
    <w:p w14:paraId="082DEBFD" w14:textId="77777777" w:rsidR="00052A09" w:rsidRPr="00FB15DB" w:rsidRDefault="00052A09" w:rsidP="00B21991">
      <w:pPr>
        <w:pStyle w:val="ListBullet"/>
      </w:pPr>
      <w:r w:rsidRPr="00FB15DB">
        <w:t xml:space="preserve">Expand the coverage of ecosystem condition account to include forthcoming information on ecological health and socio-economic characteristics of the marine and coastal ecosystems of the GORCAP EEA </w:t>
      </w:r>
      <w:r w:rsidRPr="00FB15DB">
        <w:lastRenderedPageBreak/>
        <w:t>region, including from the Office of the Commissioner for Environmental Sustainability (OCES’s) coastal and marine indicator set and DEECA’s proposed programme of work to develop marine condition information across 4 pillars including (i) Structural score (ii) Econet importance features (iii) Priority marine feature scores (iv) Good ecological status;</w:t>
      </w:r>
    </w:p>
    <w:p w14:paraId="64C2F950" w14:textId="77777777" w:rsidR="00052A09" w:rsidRPr="00FB15DB" w:rsidRDefault="00052A09" w:rsidP="00433666">
      <w:pPr>
        <w:pStyle w:val="ListBullet"/>
      </w:pPr>
      <w:r w:rsidRPr="00FB15DB">
        <w:t>Refine the analytical approach to estimating the physical and monetary estimates including:</w:t>
      </w:r>
    </w:p>
    <w:p w14:paraId="26E358F1" w14:textId="77777777" w:rsidR="00052A09" w:rsidRPr="00C36D30" w:rsidRDefault="00052A09" w:rsidP="00A61AA1">
      <w:pPr>
        <w:pStyle w:val="ListBullet2"/>
      </w:pPr>
      <w:r w:rsidRPr="00C36D30">
        <w:t>Validate the estimates of coastal protection service using a field-based assessment.</w:t>
      </w:r>
    </w:p>
    <w:p w14:paraId="7AD7D815" w14:textId="77777777" w:rsidR="00052A09" w:rsidRPr="00FB15DB" w:rsidRDefault="00052A09" w:rsidP="00A61AA1">
      <w:pPr>
        <w:pStyle w:val="ListBullet2"/>
      </w:pPr>
      <w:r w:rsidRPr="00FB15DB">
        <w:t>Explore ways to capture the true economic value of educational visits.</w:t>
      </w:r>
    </w:p>
    <w:p w14:paraId="4589A938" w14:textId="77777777" w:rsidR="00052A09" w:rsidRPr="00FB15DB" w:rsidRDefault="00052A09" w:rsidP="00A61AA1">
      <w:pPr>
        <w:pStyle w:val="ListBullet2"/>
      </w:pPr>
      <w:r w:rsidRPr="00FB15DB">
        <w:t>Explore the specific type of arable and pastoral farming that occurs in the GORCAP EEA region.</w:t>
      </w:r>
    </w:p>
    <w:p w14:paraId="4D2DB278" w14:textId="77777777" w:rsidR="00052A09" w:rsidRPr="00FB15DB" w:rsidRDefault="00052A09" w:rsidP="00A61AA1">
      <w:pPr>
        <w:pStyle w:val="ListBullet2"/>
      </w:pPr>
      <w:r w:rsidRPr="00FB15DB">
        <w:t>Assess the contribution of ecosystems in supporting the life cycle of a broader number of wild fish species.</w:t>
      </w:r>
    </w:p>
    <w:p w14:paraId="6D24795C" w14:textId="77777777" w:rsidR="00052A09" w:rsidRPr="00FB15DB" w:rsidRDefault="00052A09" w:rsidP="00A61AA1">
      <w:pPr>
        <w:pStyle w:val="ListBullet2"/>
      </w:pPr>
      <w:r w:rsidRPr="00FB15DB">
        <w:t>Refine the estimated contribution of reef habitats to abalone catch given role as important larval source.</w:t>
      </w:r>
    </w:p>
    <w:p w14:paraId="2B50C179" w14:textId="77777777" w:rsidR="00052A09" w:rsidRPr="00FB15DB" w:rsidRDefault="00052A09" w:rsidP="00A61AA1">
      <w:pPr>
        <w:pStyle w:val="ListBullet2"/>
      </w:pPr>
      <w:r w:rsidRPr="00FB15DB">
        <w:t>Expand the coverage of carbon sequestration beyond the three broad ecosystems currently assessed.</w:t>
      </w:r>
    </w:p>
    <w:p w14:paraId="541B0CF5" w14:textId="77777777" w:rsidR="00052A09" w:rsidRPr="00FB15DB" w:rsidRDefault="00052A09" w:rsidP="00A61AA1">
      <w:pPr>
        <w:pStyle w:val="ListBullet2"/>
      </w:pPr>
      <w:r w:rsidRPr="00FB15DB">
        <w:t>Explore using mobile phone data and/or access movement data to quantitatively monitor recreational visitation activity.</w:t>
      </w:r>
    </w:p>
    <w:p w14:paraId="2CCCF037" w14:textId="77777777" w:rsidR="00052A09" w:rsidRPr="00FB15DB" w:rsidRDefault="00052A09" w:rsidP="00A61AA1">
      <w:pPr>
        <w:pStyle w:val="ListBullet2"/>
      </w:pPr>
      <w:r w:rsidRPr="00FB15DB">
        <w:t>Seek to estimate the type of nature based activity being undertaken in the GORCAP EEA region.</w:t>
      </w:r>
    </w:p>
    <w:p w14:paraId="4D284652" w14:textId="77777777" w:rsidR="00052A09" w:rsidRPr="00FB15DB" w:rsidRDefault="00052A09" w:rsidP="00A61AA1">
      <w:pPr>
        <w:pStyle w:val="ListBullet2"/>
      </w:pPr>
      <w:r w:rsidRPr="00FB15DB">
        <w:t xml:space="preserve">Explore methods and data to assess and value ecosystem related volunteer days and hours. </w:t>
      </w:r>
    </w:p>
    <w:p w14:paraId="1D1E978D" w14:textId="77777777" w:rsidR="00052A09" w:rsidRPr="00FB15DB" w:rsidRDefault="00052A09" w:rsidP="00A61AA1">
      <w:pPr>
        <w:pStyle w:val="ListBullet2"/>
      </w:pPr>
      <w:r w:rsidRPr="00FB15DB">
        <w:t>Explore estimating the users of aesthetic view-scapes including through geo-tagged social media data.</w:t>
      </w:r>
    </w:p>
    <w:p w14:paraId="39A8B4F2" w14:textId="77777777" w:rsidR="00052A09" w:rsidRPr="00FB15DB" w:rsidRDefault="00052A09" w:rsidP="00A61AA1">
      <w:pPr>
        <w:pStyle w:val="ListBullet2"/>
      </w:pPr>
      <w:r w:rsidRPr="00FB15DB">
        <w:t>Refine assumption of 20 percent market value being estimated resource rent for market goods (where this has been adopted in the absence of information).</w:t>
      </w:r>
    </w:p>
    <w:p w14:paraId="18326EA6" w14:textId="77777777" w:rsidR="00052A09" w:rsidRPr="00FB15DB" w:rsidRDefault="00052A09" w:rsidP="00A61AA1">
      <w:pPr>
        <w:pStyle w:val="ListBullet2"/>
      </w:pPr>
      <w:r w:rsidRPr="00FB15DB">
        <w:t xml:space="preserve">Consider using bio-physical models (e.g., </w:t>
      </w:r>
      <w:proofErr w:type="spellStart"/>
      <w:r w:rsidRPr="00FB15DB">
        <w:t>InVEST</w:t>
      </w:r>
      <w:proofErr w:type="spellEnd"/>
      <w:r w:rsidRPr="00FB15DB">
        <w:t xml:space="preserve">) to explore confidence in estimates and / or expand coverage of ecosystem services assessed. </w:t>
      </w:r>
    </w:p>
    <w:p w14:paraId="558D6F54" w14:textId="77777777" w:rsidR="00792F4A" w:rsidRPr="00B7383B" w:rsidRDefault="00792F4A" w:rsidP="00792F4A">
      <w:pPr>
        <w:pStyle w:val="ListBullet"/>
      </w:pPr>
      <w:r w:rsidRPr="00B7383B">
        <w:t xml:space="preserve">Expanding / integrating the </w:t>
      </w:r>
      <w:r>
        <w:t>GORCAP EEA</w:t>
      </w:r>
      <w:r w:rsidRPr="00B7383B">
        <w:t xml:space="preserve"> with other information to broaden the use of the account in the following ways:</w:t>
      </w:r>
    </w:p>
    <w:p w14:paraId="7997A8A9" w14:textId="77777777" w:rsidR="00052A09" w:rsidRPr="00FB15DB" w:rsidRDefault="00052A09" w:rsidP="00792F4A">
      <w:pPr>
        <w:pStyle w:val="ListBullet2"/>
      </w:pPr>
      <w:r w:rsidRPr="00FB15DB">
        <w:t>Explore estimating physical and monetary values of ecosystem services that were scoped out of this initial GORCAP EEA including air quality regulation, landslide regulation, amenity, local climate regulation, research, noise and odour regulation, biomass - energy water provision, flood risk regulation, water quality regulation.</w:t>
      </w:r>
    </w:p>
    <w:p w14:paraId="4A2E5D2C" w14:textId="77777777" w:rsidR="00052A09" w:rsidRPr="00FB15DB" w:rsidRDefault="00052A09" w:rsidP="00792F4A">
      <w:pPr>
        <w:pStyle w:val="ListBullet2"/>
      </w:pPr>
      <w:r w:rsidRPr="00FB15DB">
        <w:t>Applying historical data to the framework that has been developed for GORCAP EEA to enable changes in ecosystem status and productivity to be understood over time by comparing with the GORCAP EEA for 2019. The “historical” period(s) adopted will depend primarily on data available.</w:t>
      </w:r>
    </w:p>
    <w:p w14:paraId="6FB92B89" w14:textId="77777777" w:rsidR="00052A09" w:rsidRPr="00FB15DB" w:rsidRDefault="00052A09" w:rsidP="00792F4A">
      <w:pPr>
        <w:pStyle w:val="ListBullet2"/>
      </w:pPr>
      <w:r w:rsidRPr="00FB15DB">
        <w:t>Applying projections of key variables (population, climate change etc.) to estimate the future magnitude and value of ecosystem services into the future as a capitalised value of ecosystem stocks (like the value of a house), rather than the annual value at a point in time (like the rent paid on a rental property) which can be useful in demonstrating the value of ecosystems over the long term.</w:t>
      </w:r>
    </w:p>
    <w:p w14:paraId="2DC81CB5" w14:textId="77777777" w:rsidR="00052A09" w:rsidRPr="00FB15DB" w:rsidRDefault="00052A09" w:rsidP="00792F4A">
      <w:pPr>
        <w:pStyle w:val="ListBullet2"/>
      </w:pPr>
      <w:r w:rsidRPr="00FB15DB">
        <w:t>Consider integration of the GORCAP EEA information with other information to report on the Sustainable Development Goals (SDGs) which are a collection of 17 interlinked global goals designed to be a “blueprint to achieve a better and more sustainable future for all”.</w:t>
      </w:r>
    </w:p>
    <w:p w14:paraId="710221FE" w14:textId="77777777" w:rsidR="00052A09" w:rsidRPr="00FB15DB" w:rsidRDefault="00052A09" w:rsidP="00792F4A">
      <w:pPr>
        <w:pStyle w:val="ListBullet2"/>
      </w:pPr>
      <w:r w:rsidRPr="00FB15DB">
        <w:t xml:space="preserve">To build the business case for investment to </w:t>
      </w:r>
      <w:r w:rsidRPr="00FB15DB">
        <w:rPr>
          <w:i/>
        </w:rPr>
        <w:t>expand</w:t>
      </w:r>
      <w:r w:rsidRPr="00FB15DB">
        <w:t xml:space="preserve"> ecosystem assets within the GORCAP EEA. The underlying data and analysis that is used to build the GORCAP EEA could be applied to estimate the physical and monetary value of prospective changes in ecosystem extent that might be delivered through future policy/management/investment. For example, options to restore historical ecosystem extent within the GORCAP EEA could be assessed and estimates of the type, magnitude and value of ecosystem service provision could be developed to inform decision making.</w:t>
      </w:r>
    </w:p>
    <w:p w14:paraId="79DF1018" w14:textId="77777777" w:rsidR="00052A09" w:rsidRPr="00FB15DB" w:rsidRDefault="00052A09" w:rsidP="00792F4A">
      <w:pPr>
        <w:pStyle w:val="ListBullet2"/>
      </w:pPr>
      <w:r w:rsidRPr="00FB15DB">
        <w:t>To assess the magnitude and value of the loss of ecosystem service associated with pressures and risks in the GORCAP EEA region. Key pressures on coastal ecosystems globally are climate change induced sea level rise and increasing storm intensity leading to coastal erosion and flooding; industrial expansion including fishing, forestry, agriculture, tourism, oil, gas, renewables; overfishing; pollution to water, land and air; invasive (non-native) species; urban expansion; coastal erosion and noise.</w:t>
      </w:r>
    </w:p>
    <w:p w14:paraId="6899BD94" w14:textId="3E08AB77" w:rsidR="00B21991" w:rsidRPr="00FB15DB" w:rsidRDefault="00B21991" w:rsidP="0004232F">
      <w:pPr>
        <w:pStyle w:val="Heading1"/>
      </w:pPr>
      <w:bookmarkStart w:id="77" w:name="_Toc98854645"/>
      <w:bookmarkStart w:id="78" w:name="_Toc163547019"/>
      <w:r w:rsidRPr="00FB15DB">
        <w:lastRenderedPageBreak/>
        <w:t>Introduction</w:t>
      </w:r>
      <w:bookmarkEnd w:id="77"/>
      <w:bookmarkEnd w:id="78"/>
    </w:p>
    <w:p w14:paraId="6D0AC4AF" w14:textId="77777777" w:rsidR="00B21991" w:rsidRPr="00FB15DB" w:rsidRDefault="00B21991" w:rsidP="00D176F4">
      <w:pPr>
        <w:pStyle w:val="Heading2"/>
      </w:pPr>
      <w:bookmarkStart w:id="79" w:name="_Toc98854646"/>
      <w:bookmarkStart w:id="80" w:name="_Toc163547020"/>
      <w:r w:rsidRPr="00FB15DB">
        <w:t>Background</w:t>
      </w:r>
      <w:bookmarkEnd w:id="79"/>
      <w:bookmarkEnd w:id="80"/>
    </w:p>
    <w:p w14:paraId="51285952" w14:textId="77777777" w:rsidR="00B21991" w:rsidRPr="00FB15DB" w:rsidRDefault="00B21991" w:rsidP="00B21991">
      <w:pPr>
        <w:pStyle w:val="BodyText"/>
      </w:pPr>
      <w:r w:rsidRPr="00FB15DB">
        <w:t>The Great Ocean Road stretches 243 km from Torquay to Allansford (see Figure 2), capturing some of Victoria’s most beautiful and rugged coastline, including national attractions such as the Twelve Apostles. However, this key environmental and economic asset is under threat from increasing levels of tourism and erosion. Specific sites are becoming increasingly congested and polluted, undermining the visitor experience and the road has become damaged (due to heavy traffic) and increasingly dangerous given the risk of coastal erosion worsening due to sea-level rise. A 2018 Victorian Government taskforce found that these problems are linked to having 30 different management organisations within the region.</w:t>
      </w:r>
    </w:p>
    <w:p w14:paraId="13F7806C" w14:textId="77777777" w:rsidR="00B21991" w:rsidRPr="00FB15DB" w:rsidRDefault="00B21991" w:rsidP="00B21991">
      <w:pPr>
        <w:pStyle w:val="BodyText"/>
      </w:pPr>
      <w:r w:rsidRPr="00FB15DB">
        <w:t>The Victorian Government released a Great Ocean Road Action Plan (DELWP, 2018) which sets out a commitment to protect the iconic coasts, parks and scenic landscapes along the road through the creation of a new Great Ocean Road Coast and Parks Authority with powers to create legislation and a unique planning framework and approvals process. Included within this action plan was a commitment to develop an environmental-economic account for the Great Ocean Road Coast and Parks that would provide the new Authority with an evidence base to inform its strategy, planning and investment decisions.</w:t>
      </w:r>
    </w:p>
    <w:p w14:paraId="19067CB7" w14:textId="77777777" w:rsidR="00B21991" w:rsidRPr="00FB15DB" w:rsidRDefault="00B21991" w:rsidP="00F33876">
      <w:pPr>
        <w:pStyle w:val="Heading2"/>
      </w:pPr>
      <w:bookmarkStart w:id="81" w:name="_Toc98854647"/>
      <w:bookmarkStart w:id="82" w:name="_Toc163547021"/>
      <w:r w:rsidRPr="00FB15DB">
        <w:t>Study objectives</w:t>
      </w:r>
      <w:bookmarkEnd w:id="81"/>
      <w:bookmarkEnd w:id="82"/>
    </w:p>
    <w:p w14:paraId="28EB24EA" w14:textId="77777777" w:rsidR="00B21991" w:rsidRPr="00FB15DB" w:rsidRDefault="00B21991" w:rsidP="00B21991">
      <w:pPr>
        <w:pStyle w:val="BodyText"/>
      </w:pPr>
      <w:r w:rsidRPr="00FB15DB">
        <w:t xml:space="preserve">This project will develop an environmental-economic account for the Great Ocean Road Coast and Parks that aligns with the UN System of Environmental Economic Accounts – Ecosystem Accounts (SEEA - EA) guidance (UN, 2021). The UN SEEA is a framework for reporting on links between the environment and the economy using internationally agreed accounting concepts. </w:t>
      </w:r>
    </w:p>
    <w:p w14:paraId="5FF3F3D5" w14:textId="77777777" w:rsidR="00B21991" w:rsidRPr="00FB15DB" w:rsidRDefault="00B21991" w:rsidP="00B21991">
      <w:pPr>
        <w:pStyle w:val="BodyText"/>
      </w:pPr>
      <w:r w:rsidRPr="00FB15DB">
        <w:t xml:space="preserve">The baseline account will report the current status of ecosystem assets (e.g., habitats) within the region and the importance of these assets in supporting health, wellbeing and livelihoods. Examples of how the information compiled in this environmental-economic account could be used by decision makers (e.g., DELWP and the Great Ocean Road Coast and Parks Authority) include (note that some of these require additional analysis / data to be combined with accounting information):  </w:t>
      </w:r>
    </w:p>
    <w:p w14:paraId="2CDE0F84" w14:textId="77777777" w:rsidR="00B21991" w:rsidRPr="00FB15DB" w:rsidRDefault="00B21991" w:rsidP="00B21991">
      <w:pPr>
        <w:pStyle w:val="ListBullet"/>
      </w:pPr>
      <w:r w:rsidRPr="00FB15DB">
        <w:t>As evidence of the value of the Great Ocean Road Coast and Parks’ ecosystem assets to the Victorian, Australian and global economy and community.</w:t>
      </w:r>
    </w:p>
    <w:p w14:paraId="5E060C53" w14:textId="77777777" w:rsidR="00B21991" w:rsidRPr="00FB15DB" w:rsidRDefault="00B21991" w:rsidP="00B21991">
      <w:pPr>
        <w:pStyle w:val="ListBullet"/>
      </w:pPr>
      <w:r w:rsidRPr="00FB15DB">
        <w:t>To assess the effectiveness of existing policy and environmental management.</w:t>
      </w:r>
    </w:p>
    <w:p w14:paraId="2913B009" w14:textId="77777777" w:rsidR="00B21991" w:rsidRPr="00FB15DB" w:rsidRDefault="00B21991" w:rsidP="00B21991">
      <w:pPr>
        <w:pStyle w:val="ListBullet"/>
      </w:pPr>
      <w:r w:rsidRPr="00FB15DB">
        <w:t>To identify opportunities for investment and/or alternative management that could deliver improvements for the economy and community.</w:t>
      </w:r>
    </w:p>
    <w:p w14:paraId="7355019D" w14:textId="77777777" w:rsidR="00B21991" w:rsidRPr="00FB15DB" w:rsidRDefault="00B21991" w:rsidP="00B21991">
      <w:pPr>
        <w:pStyle w:val="ListBullet"/>
      </w:pPr>
      <w:r w:rsidRPr="00FB15DB">
        <w:t>To improve understanding of the trade-offs in the use of contested assets (e.g., between the use of ecosystem assets for recreation or biodiversity) and land use change (e.g., loss of ecosystems for built development).</w:t>
      </w:r>
    </w:p>
    <w:p w14:paraId="1F2BD4A8" w14:textId="77777777" w:rsidR="00B21991" w:rsidRPr="00FB15DB" w:rsidRDefault="00B21991" w:rsidP="00B21991">
      <w:pPr>
        <w:pStyle w:val="ListBullet"/>
      </w:pPr>
      <w:r w:rsidRPr="00FB15DB">
        <w:t>To build business cases for future government interventions (investment or policy interventions) to protect, restore or expand assets along the Great Ocean Road Coast and Parks in order to sustain economic and social prosperity.</w:t>
      </w:r>
    </w:p>
    <w:p w14:paraId="6F89E4CE" w14:textId="77777777" w:rsidR="00B21991" w:rsidRPr="00FB15DB" w:rsidRDefault="00B21991" w:rsidP="00B21991">
      <w:pPr>
        <w:pStyle w:val="ListBullet"/>
      </w:pPr>
      <w:r w:rsidRPr="00FB15DB">
        <w:t>For reporting purposes including potentially linking to the Sustainable Development Goals (SDGs) in the future.</w:t>
      </w:r>
    </w:p>
    <w:p w14:paraId="181BA062" w14:textId="2E98D898" w:rsidR="00433666" w:rsidRDefault="00B21991" w:rsidP="00B21991">
      <w:pPr>
        <w:pStyle w:val="ListBullet"/>
      </w:pPr>
      <w:r w:rsidRPr="00FB15DB">
        <w:t>To assess the implications of key risks associated with pressures (e.g., tourism, climate change, urban development) and consider the implications of these for the economy and community.</w:t>
      </w:r>
      <w:r w:rsidR="00433666">
        <w:br w:type="page"/>
      </w:r>
    </w:p>
    <w:p w14:paraId="76E498A7" w14:textId="4E8813DA" w:rsidR="00B21991" w:rsidRPr="00FB15DB" w:rsidRDefault="004460DB" w:rsidP="0004232F">
      <w:pPr>
        <w:pStyle w:val="Heading1"/>
      </w:pPr>
      <w:bookmarkStart w:id="83" w:name="_Toc98854648"/>
      <w:bookmarkStart w:id="84" w:name="_Toc163547022"/>
      <w:r>
        <w:lastRenderedPageBreak/>
        <w:t>S</w:t>
      </w:r>
      <w:r w:rsidR="00B21991" w:rsidRPr="00FB15DB">
        <w:t>cope</w:t>
      </w:r>
      <w:bookmarkEnd w:id="83"/>
      <w:bookmarkEnd w:id="84"/>
      <w:r w:rsidR="00B21991" w:rsidRPr="00FB15DB">
        <w:t xml:space="preserve"> </w:t>
      </w:r>
    </w:p>
    <w:p w14:paraId="3AC142B1" w14:textId="77777777" w:rsidR="00B21991" w:rsidRPr="00FB15DB" w:rsidRDefault="00B21991" w:rsidP="004460DB">
      <w:pPr>
        <w:pStyle w:val="Heading2"/>
      </w:pPr>
      <w:bookmarkStart w:id="85" w:name="_Toc98854649"/>
      <w:bookmarkStart w:id="86" w:name="_Toc163547023"/>
      <w:r w:rsidRPr="00FB15DB">
        <w:t>Overview of environmental-economic accounting</w:t>
      </w:r>
      <w:bookmarkEnd w:id="85"/>
      <w:bookmarkEnd w:id="86"/>
    </w:p>
    <w:p w14:paraId="23285C3D" w14:textId="77777777" w:rsidR="00B21991" w:rsidRPr="00FB15DB" w:rsidRDefault="00B21991" w:rsidP="00B21991">
      <w:pPr>
        <w:pStyle w:val="BodyText"/>
      </w:pPr>
      <w:r w:rsidRPr="00FB15DB">
        <w:t>Environmental-economic accounting (EEA) gained momentum following the recommendations of the 1992 Rio “Earth Summit”</w:t>
      </w:r>
      <w:r w:rsidRPr="00FB15DB">
        <w:rPr>
          <w:vertAlign w:val="superscript"/>
        </w:rPr>
        <w:footnoteReference w:id="3"/>
      </w:r>
      <w:r w:rsidRPr="00FB15DB">
        <w:t xml:space="preserve">, which recognised the need for more holistic indicators of society’s development beyond economic output (i.e., Gross Domestic Product - GDP) to include broader social and environmental indicators. The intention is to ensure economic growth and societal prosperity can be sustained into the future by recognising the status of the underlying stock of environmental assets on which the economy and society depends (acknowledging the costs of economy growth such as pollution, habitat loss etc.). It specifically recommended that countries implement environmental-economic accounts at the earliest date. </w:t>
      </w:r>
    </w:p>
    <w:p w14:paraId="5E676521" w14:textId="77777777" w:rsidR="00B21991" w:rsidRPr="00FB15DB" w:rsidRDefault="00B21991" w:rsidP="00B21991">
      <w:pPr>
        <w:pStyle w:val="BodyText"/>
      </w:pPr>
      <w:r w:rsidRPr="00FB15DB">
        <w:t>In response, the United Nations Statistical Division (UNSD) published guidance on integrated environmental and economic accounting (UN, 1993; UN, 2003; UN, 2012; UN, 2021) and the latest (2021) version was adopted as the international standard for organising information on the environment and its contribution to economic and other human activity. The UN System of Environmental-Economic Accounting (SEEA) framework is consistent with the international standard of System of National Accounts (i.e., GDP) in order to report on the interactions between the economy and the environment at the national level, most often as “satellite accounts” to national GDP accounts.</w:t>
      </w:r>
    </w:p>
    <w:p w14:paraId="3F9F7C14" w14:textId="77777777" w:rsidR="00B21991" w:rsidRPr="00FB15DB" w:rsidRDefault="00B21991" w:rsidP="000035CB">
      <w:pPr>
        <w:pStyle w:val="ListBullet"/>
        <w:numPr>
          <w:ilvl w:val="0"/>
          <w:numId w:val="20"/>
        </w:numPr>
      </w:pPr>
      <w:r w:rsidRPr="00FB15DB">
        <w:t xml:space="preserve">Governments around the world, including Australian Commonwealth, state and territory governments, have begun developing and implementing EEA to inform public policy development. Australia has a national strategy to deliver a common national approach to environmental-economic accounting based on the UN SEEA that was endorsed by Commonwealth, state and territory environment ministers in 2018. </w:t>
      </w:r>
    </w:p>
    <w:p w14:paraId="6467E3FB" w14:textId="77777777" w:rsidR="00B21991" w:rsidRPr="00FB15DB" w:rsidRDefault="00B21991" w:rsidP="00B21991">
      <w:pPr>
        <w:pStyle w:val="BodyText12ptBefore"/>
      </w:pPr>
      <w:r w:rsidRPr="00FB15DB">
        <w:t>Environmental-economic accounts are a type of EEA that take stock of current ecosystem assets – in terms of their extent, location, and condition – and quantify and value the flow of ecosystem services that these assets generate for people, who enjoy benefits from them. Figure 1 sets out the environmental-economic accounting framework.</w:t>
      </w:r>
    </w:p>
    <w:p w14:paraId="00A1F06D" w14:textId="77777777" w:rsidR="00B21991" w:rsidRPr="00FB15DB" w:rsidRDefault="00B21991" w:rsidP="00B22F84">
      <w:pPr>
        <w:pStyle w:val="Caption"/>
      </w:pPr>
      <w:r w:rsidRPr="00FB15DB">
        <w:t>Figure 1. Environmental-Economic Accounts - Ecosystem Accounting framework</w:t>
      </w:r>
    </w:p>
    <w:p w14:paraId="5F9129B6" w14:textId="77777777" w:rsidR="00B21991" w:rsidRPr="00FB15DB" w:rsidRDefault="00B21991" w:rsidP="00B21991">
      <w:pPr>
        <w:pStyle w:val="BodyText"/>
      </w:pPr>
      <w:r w:rsidRPr="00FB15DB">
        <w:rPr>
          <w:noProof/>
        </w:rPr>
        <w:drawing>
          <wp:inline distT="0" distB="0" distL="0" distR="0" wp14:anchorId="7DF2E2BB" wp14:editId="20FDFBA9">
            <wp:extent cx="6542086" cy="194310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email">
                      <a:extLst>
                        <a:ext uri="{28A0092B-C50C-407E-A947-70E740481C1C}">
                          <a14:useLocalDpi xmlns:a14="http://schemas.microsoft.com/office/drawing/2010/main"/>
                        </a:ext>
                      </a:extLst>
                    </a:blip>
                    <a:srcRect/>
                    <a:stretch/>
                  </pic:blipFill>
                  <pic:spPr bwMode="auto">
                    <a:xfrm>
                      <a:off x="0" y="0"/>
                      <a:ext cx="6542086" cy="1943100"/>
                    </a:xfrm>
                    <a:prstGeom prst="rect">
                      <a:avLst/>
                    </a:prstGeom>
                    <a:ln>
                      <a:noFill/>
                    </a:ln>
                    <a:extLst>
                      <a:ext uri="{53640926-AAD7-44D8-BBD7-CCE9431645EC}">
                        <a14:shadowObscured xmlns:a14="http://schemas.microsoft.com/office/drawing/2010/main"/>
                      </a:ext>
                    </a:extLst>
                  </pic:spPr>
                </pic:pic>
              </a:graphicData>
            </a:graphic>
          </wp:inline>
        </w:drawing>
      </w:r>
    </w:p>
    <w:p w14:paraId="5EFA1A16" w14:textId="77777777" w:rsidR="00B21991" w:rsidRPr="00FB15DB" w:rsidRDefault="00B21991" w:rsidP="003137F4">
      <w:pPr>
        <w:pStyle w:val="BodyText12ptBefore"/>
      </w:pPr>
      <w:r w:rsidRPr="00FB15DB">
        <w:t>Environmental-economic accounts consist of several linked sub-accounts (see Figure 1), which will be developed as follows for the Great Ocean Road Coast and Parks area:</w:t>
      </w:r>
    </w:p>
    <w:p w14:paraId="3BC7A3AC" w14:textId="77777777" w:rsidR="00B21991" w:rsidRPr="00FB15DB" w:rsidRDefault="00B21991" w:rsidP="00B21991">
      <w:pPr>
        <w:pStyle w:val="ListBullet"/>
      </w:pPr>
      <w:r w:rsidRPr="00555814">
        <w:rPr>
          <w:b/>
          <w:bCs/>
        </w:rPr>
        <w:t xml:space="preserve">Ecosystem asset extent account: </w:t>
      </w:r>
      <w:r w:rsidRPr="00FB15DB">
        <w:t>this account reports information on the extent (hectares) of ecosystem assets within the study area. The precise definition/classification of assets is based on a proposed systematic classification/typology of environmental assets (e.g., habitats) in Victoria / Australia that has been developed based on a review of relevant literature and includes marine, alpine, shrubland, grassland, forests / woodland, coastal margins, farmland, freshwaters and wetlands and urban.</w:t>
      </w:r>
    </w:p>
    <w:p w14:paraId="74DEC39D" w14:textId="77777777" w:rsidR="00B21991" w:rsidRPr="00FB15DB" w:rsidRDefault="00B21991" w:rsidP="000035CB">
      <w:pPr>
        <w:pStyle w:val="ListBullet"/>
        <w:numPr>
          <w:ilvl w:val="0"/>
          <w:numId w:val="19"/>
        </w:numPr>
      </w:pPr>
      <w:r w:rsidRPr="00555814">
        <w:rPr>
          <w:b/>
          <w:bCs/>
        </w:rPr>
        <w:t>Ecosystem asset condition account:</w:t>
      </w:r>
      <w:r w:rsidRPr="00FB15DB">
        <w:t xml:space="preserve"> this account compiles information on a range of metrics which capture the ecological condition and socio-economic characteristics of ecosystem assets within the study area. The specific metrics reported depend primarily on the information available, with consideration also </w:t>
      </w:r>
      <w:r w:rsidRPr="00FB15DB">
        <w:lastRenderedPageBreak/>
        <w:t>given to what is useful to understand from a policy / management perspective and scientific and economic understanding of the importance of that metric in determining the capacity of ecosystem asset stocks to support ecosystem service flows.</w:t>
      </w:r>
    </w:p>
    <w:p w14:paraId="21035ED7" w14:textId="77777777" w:rsidR="00B21991" w:rsidRPr="00FB15DB" w:rsidRDefault="00B21991" w:rsidP="00B21991">
      <w:pPr>
        <w:pStyle w:val="ListBullet"/>
      </w:pPr>
      <w:r w:rsidRPr="00555814">
        <w:rPr>
          <w:b/>
          <w:bCs/>
        </w:rPr>
        <w:t>Physical account of ecosystem service flows:</w:t>
      </w:r>
      <w:r w:rsidRPr="00FB15DB">
        <w:t xml:space="preserve"> this account quantifies the physical provision of a specific set of ecosystem services for a given year from an agreed systematic classification/typology of ecosystem services from the literature (the Common International Classification of Ecosystem Services; EEA, 2019). Metrics for quantifying the physical flow of different ecosystem services include visit numbers (for recreation and tourism), tonnes of carbon sequestered (climate regulation), kilograms of fish harvested (food provision).</w:t>
      </w:r>
    </w:p>
    <w:p w14:paraId="195A1AE0" w14:textId="77777777" w:rsidR="00B21991" w:rsidRPr="00FB15DB" w:rsidRDefault="00B21991" w:rsidP="00B21991">
      <w:pPr>
        <w:pStyle w:val="ListBullet"/>
      </w:pPr>
      <w:r w:rsidRPr="00555814">
        <w:rPr>
          <w:b/>
          <w:bCs/>
        </w:rPr>
        <w:t>Monetary account of ecosystem service flows:</w:t>
      </w:r>
      <w:r w:rsidRPr="00FB15DB">
        <w:t xml:space="preserve"> this account values ($) the physical provision of different ecosystem services for a given year using different economic valuation techniques, ranging from people’s willingness to pay (which is a welfare value that is typically estimated using stated preference techniques) to resource rent based on actual market transactions (exchange values, based on the amount actually paid minus the cost of other (non-natural) inputs to production).</w:t>
      </w:r>
    </w:p>
    <w:p w14:paraId="30C5C2C4" w14:textId="77777777" w:rsidR="00B21991" w:rsidRPr="00FB15DB" w:rsidRDefault="00B21991" w:rsidP="00B21991">
      <w:pPr>
        <w:pStyle w:val="BodyText12ptBefore"/>
      </w:pPr>
      <w:r w:rsidRPr="00FB15DB">
        <w:t>The interactions between the economy and the environment are reported in environmental-economic accounts by isolating the contribution of the environment to the value ($) of goods and services that are captured in conventional economic (GDP) accounts. However, the accounting framework also extends to include the broader (“non-market”/public good) values ($) that are supported by the environment (and delivered by government), but which are not captured in GDP accounts. This broader framing of value ($) provides decision makers with an understanding of the total societal value ($) provided by the natural environment, not just its contribution to supporting tourism, agriculture, fishing and forestry (for example).</w:t>
      </w:r>
    </w:p>
    <w:p w14:paraId="2DCDA64E" w14:textId="77777777" w:rsidR="00B21991" w:rsidRPr="00FB15DB" w:rsidRDefault="00B21991" w:rsidP="00B21991">
      <w:pPr>
        <w:pStyle w:val="ListBullet"/>
        <w:rPr>
          <w:rFonts w:eastAsiaTheme="minorEastAsia"/>
        </w:rPr>
      </w:pPr>
      <w:r w:rsidRPr="00555814">
        <w:rPr>
          <w:b/>
          <w:bCs/>
        </w:rPr>
        <w:t>Supply and use tables:</w:t>
      </w:r>
      <w:r w:rsidRPr="00FB15DB">
        <w:t xml:space="preserve"> In addition to the stock and flow accounts, the SEEA guidance recommends reporting the “economic unit” and “ecosystem type” that is supplying and using ecosystem services. Understanding the extent to which ecosystems services are “supplied” from different ecosystem assets (which are owned/managed by different economic units) and “used” by economic units / </w:t>
      </w:r>
      <w:r w:rsidRPr="00FB15DB">
        <w:rPr>
          <w:rFonts w:eastAsiaTheme="minorEastAsia"/>
        </w:rPr>
        <w:t xml:space="preserve">beneficiaries </w:t>
      </w:r>
      <w:r w:rsidRPr="00FB15DB">
        <w:t xml:space="preserve">(i.e. business, household, government) </w:t>
      </w:r>
      <w:r w:rsidRPr="00FB15DB">
        <w:rPr>
          <w:rFonts w:eastAsiaTheme="minorEastAsia"/>
        </w:rPr>
        <w:t xml:space="preserve"> is important from a management perspective as it can facilitate strategic collaborative approaches to natural resource management and can contribute to developing alternative funding models.</w:t>
      </w:r>
    </w:p>
    <w:p w14:paraId="4571D4A7" w14:textId="77777777" w:rsidR="00B21991" w:rsidRPr="00FB15DB" w:rsidRDefault="00B21991" w:rsidP="006B021A">
      <w:pPr>
        <w:pStyle w:val="Heading2"/>
      </w:pPr>
      <w:bookmarkStart w:id="87" w:name="_Toc98854650"/>
      <w:bookmarkStart w:id="88" w:name="_Toc163547024"/>
      <w:r w:rsidRPr="00FB15DB">
        <w:t>Alignment of GORCAP EEA with SEEA-EA</w:t>
      </w:r>
      <w:bookmarkEnd w:id="87"/>
      <w:bookmarkEnd w:id="88"/>
    </w:p>
    <w:p w14:paraId="3AF7EE19" w14:textId="77777777" w:rsidR="00B21991" w:rsidRPr="00FB15DB" w:rsidRDefault="00B21991" w:rsidP="00B21991">
      <w:pPr>
        <w:pStyle w:val="BodyText"/>
      </w:pPr>
      <w:r w:rsidRPr="00FB15DB">
        <w:t>The environmental-economic account developed for the Great Ocean Road Coast and Parks area aligns with existing environmental-economic accounts within Australia and internationally. The GORCAP EEA adheres to the SEEA-EA standard as an example of a “thematic account” in which the environmental-economic account is combined with other data, evidence and analysis that can be structured and integrated following accounting principles, to support broader analysis and provide a coherent information set to support policy decisions (UN, 2021).  Key areas where the GORCAP EEA diverges from the stringent accounting requirements and standardisation of the SEEA-EA statistical standard as follows:</w:t>
      </w:r>
    </w:p>
    <w:p w14:paraId="54761058" w14:textId="77777777" w:rsidR="00B21991" w:rsidRPr="00FB15DB" w:rsidRDefault="00B21991" w:rsidP="00B21991">
      <w:pPr>
        <w:pStyle w:val="ListBullet"/>
      </w:pPr>
      <w:r w:rsidRPr="00FB15DB">
        <w:rPr>
          <w:b/>
        </w:rPr>
        <w:t>Spatial framing</w:t>
      </w:r>
      <w:r w:rsidRPr="00FB15DB">
        <w:t>: the account adheres to the strong spatial framing that is encouraged under the SEEA-EA statistical standard as far as possible / practical but will include non-spatially disaggregated (top-down) information where appropriate and useful for informing policy (potentially the case for flow accounts where data limitations mean mapping provision spatially is not appropriate if robustness / accuracy is to be maintained).</w:t>
      </w:r>
    </w:p>
    <w:p w14:paraId="505DE2F3" w14:textId="77777777" w:rsidR="00B21991" w:rsidRPr="00FB15DB" w:rsidRDefault="00B21991" w:rsidP="00B21991">
      <w:pPr>
        <w:pStyle w:val="ListBullet"/>
      </w:pPr>
      <w:r w:rsidRPr="00FB15DB">
        <w:rPr>
          <w:b/>
        </w:rPr>
        <w:t>Condition account</w:t>
      </w:r>
      <w:r w:rsidRPr="00FB15DB">
        <w:t xml:space="preserve">: The metrics within the ecosystem condition account capture ecological integrity of assets as per SEEA-EA guidance but extend beyond this to also capture other variables that are necessary to co-produce ecosystem services from ecosystem assets (Dickie et al, 2014). Including these broader metrics is important from a policy/management perspective as it provides for an understanding of the underlying drivers of differences in ecosystem service provision across space (and time, if these metrics / the account is developed for multiple time periods) and to consider how opportunities to boost ecosystem service provision can be delivered in a way that does not reduce ecological integrity and/or provides for net gains in societal welfare (e.g. raised boardwalks might attract additional recreational visitors). </w:t>
      </w:r>
    </w:p>
    <w:p w14:paraId="3CD85C18" w14:textId="77777777" w:rsidR="00B21991" w:rsidRPr="00FB15DB" w:rsidRDefault="00B21991" w:rsidP="00B21991">
      <w:pPr>
        <w:pStyle w:val="ListBullet"/>
      </w:pPr>
      <w:r w:rsidRPr="00FB15DB">
        <w:rPr>
          <w:b/>
        </w:rPr>
        <w:t xml:space="preserve">Assessment year: </w:t>
      </w:r>
      <w:r w:rsidRPr="00FB15DB">
        <w:t xml:space="preserve">The GORCAP EEA has been developed for 2019 on the basis that this is the most recent year for which most of the necessary information exists (including the latest ecosystem extent data in Victoria). Information for 2019 has been used where possible and where 2019 data is not available it is taken from the years 2015 to 2021 (some condition data precedes this but is presented for </w:t>
      </w:r>
      <w:r w:rsidRPr="00FB15DB">
        <w:lastRenderedPageBreak/>
        <w:t>completeness). The account could therefore be more accurately described as being representative of ecosystem status and productivity over the period 2015 to 2021. Whilst it is understood that presenting data across a range of years is not good accounting practice, the primary aim for the GOR account is not to produce statistics (as developed by statistical agencies for national accounts) but rather to inform policy development. This means that a more pragmatic approach has been taken, compared to the accounting / statistical rigour and standardisation required by SEEA-EA. To limit the scope of accounts to where data can be provided for a given year could limit its usefulness for informing policy decisions.</w:t>
      </w:r>
    </w:p>
    <w:p w14:paraId="5351DA10" w14:textId="77777777" w:rsidR="00B21991" w:rsidRPr="00FB15DB" w:rsidRDefault="00B21991" w:rsidP="00B21991">
      <w:pPr>
        <w:pStyle w:val="ListBullet"/>
      </w:pPr>
      <w:r w:rsidRPr="00FB15DB">
        <w:t>Where it is necessary to select a specific year (within the 2015-2020 period) to align multiple datasets, assumptions are made to combine data from multiple years in a way that relates to 2019, with the year of the underlying source and data being made clear. This is mainly relevant for the ecosystem service flow accounts which will be developed for 2019 on the basis that this is the year of the underlying ecosystem extent data and because this does not skew the value of ecosystem services (specifically recreation and tourism) due to the effect of COVID-19.</w:t>
      </w:r>
      <w:r w:rsidRPr="00FB15DB">
        <w:rPr>
          <w:vertAlign w:val="superscript"/>
        </w:rPr>
        <w:footnoteReference w:id="4"/>
      </w:r>
      <w:r w:rsidRPr="00FB15DB">
        <w:t xml:space="preserve"> </w:t>
      </w:r>
    </w:p>
    <w:p w14:paraId="06276D62" w14:textId="77777777" w:rsidR="00B21991" w:rsidRPr="00FB15DB" w:rsidRDefault="00B21991" w:rsidP="00B21991">
      <w:pPr>
        <w:pStyle w:val="ListBullet"/>
      </w:pPr>
      <w:r w:rsidRPr="00FB15DB">
        <w:rPr>
          <w:b/>
        </w:rPr>
        <w:t>Exchange and welfare values:</w:t>
      </w:r>
      <w:r w:rsidRPr="00FB15DB">
        <w:t xml:space="preserve"> In order to satisfy the requirements of the SEEA-EEA and to also be useful for informing government decision-making, the GORCAP EEA will develop estimates of exchange values (in order to develop SEEA-EA compliant environmental-economic account) alongside welfare values (for informing policy decisions).</w:t>
      </w:r>
    </w:p>
    <w:p w14:paraId="319C0CB6" w14:textId="77777777" w:rsidR="00B21991" w:rsidRPr="00FB15DB" w:rsidRDefault="00B21991" w:rsidP="00B21991">
      <w:pPr>
        <w:pStyle w:val="ListBullet"/>
      </w:pPr>
      <w:r w:rsidRPr="00FB15DB">
        <w:rPr>
          <w:b/>
        </w:rPr>
        <w:t>Policy issues</w:t>
      </w:r>
      <w:r w:rsidRPr="00FB15DB">
        <w:t>: the study team has considered if / how the GORCAP EEA could be expanded in line with the SEEA framework in the future, to include broader information of interest to policy decision makers, see Section 6.3.3.  This includes information related to related to historical changes, future changes, negative pressures, positive dependencies, links to Sustainable Development Goals, business case / investment opportunities.</w:t>
      </w:r>
    </w:p>
    <w:p w14:paraId="0A64104F" w14:textId="77777777" w:rsidR="00B21991" w:rsidRPr="00FB15DB" w:rsidRDefault="00B21991" w:rsidP="006B021A">
      <w:pPr>
        <w:pStyle w:val="Heading2"/>
      </w:pPr>
      <w:bookmarkStart w:id="89" w:name="_Toc98854651"/>
      <w:bookmarkStart w:id="90" w:name="_Toc163547025"/>
      <w:r w:rsidRPr="00FB15DB">
        <w:t>Defining the environmental-economic accounting area</w:t>
      </w:r>
      <w:bookmarkEnd w:id="89"/>
      <w:bookmarkEnd w:id="90"/>
    </w:p>
    <w:p w14:paraId="3BD25501" w14:textId="77777777" w:rsidR="00B21991" w:rsidRPr="00FB15DB" w:rsidRDefault="00B21991" w:rsidP="00B21991">
      <w:pPr>
        <w:pStyle w:val="BodyText"/>
      </w:pPr>
      <w:r w:rsidRPr="00FB15DB">
        <w:t>The environmental-economic accounting area (EAA) is the geographical area for which an environmental-economic account is compiled. Annex 1 provides detail on how the boundaries of environmental-economic accounts are defined in the literature and how this informed the approach for the GORCAP EEA.  Following this review, the project steering group agreed that the study team would adopt a boundary for the GOR environmental-economic account that:</w:t>
      </w:r>
    </w:p>
    <w:p w14:paraId="0F13EAF2" w14:textId="77777777" w:rsidR="00B21991" w:rsidRPr="00FB15DB" w:rsidRDefault="00B21991" w:rsidP="00B21991">
      <w:pPr>
        <w:pStyle w:val="ListBullet"/>
      </w:pPr>
      <w:r w:rsidRPr="00FB15DB">
        <w:t xml:space="preserve">Captures all ecosystem assets within the outer perimeter of the GOR Coast and Parks Area, as defined in the Action Plan (DELWP, 2018), as illustrated in Figure 2, (with a recognition of the status and productivity of Crown and non-Crown land where this deemed to be significant for informing the Authority’s management). This boundary extends from the Breamlea Coastal Reserve in the east to the Belfast C.R. Coastal Reserve in the west and includes the entire coastal margin area that runs alongside the Great Ocean Road, as well as key environmental assets in the vicinity of the road including terrestrial and marine national parks, coastal reserves, marine sanctuaries and stretches of the </w:t>
      </w:r>
      <w:proofErr w:type="spellStart"/>
      <w:r w:rsidRPr="00FB15DB">
        <w:t>Curdies</w:t>
      </w:r>
      <w:proofErr w:type="spellEnd"/>
      <w:r w:rsidRPr="00FB15DB">
        <w:t xml:space="preserve"> River, Gellibrand River, Johanna River and Blind Creek. </w:t>
      </w:r>
    </w:p>
    <w:p w14:paraId="0A2908C1" w14:textId="77777777" w:rsidR="00B21991" w:rsidRPr="00FB15DB" w:rsidRDefault="00B21991" w:rsidP="00B21991">
      <w:pPr>
        <w:pStyle w:val="ListBullet"/>
      </w:pPr>
      <w:r w:rsidRPr="00FB15DB">
        <w:t>Uses a flexible definition of the broader assessment boundary (which varies for each ecosystem service) to capture the wider interactions that are important determinants of the status and productive value of the ecosystem assets within the GOR Coast and Parks Area.</w:t>
      </w:r>
    </w:p>
    <w:p w14:paraId="6341887D" w14:textId="77777777" w:rsidR="00B21991" w:rsidRPr="00FB15DB" w:rsidRDefault="00B21991" w:rsidP="00B21991">
      <w:pPr>
        <w:pStyle w:val="BodyText12ptBefore"/>
      </w:pPr>
      <w:r w:rsidRPr="00FB15DB">
        <w:t>The use of the GOR Coast and Parks Area means that the GORCAP EEA will capture land under the management of the GORCPA as well as non-GORCAPA managed land.</w:t>
      </w:r>
    </w:p>
    <w:p w14:paraId="641DFBF9" w14:textId="77777777" w:rsidR="00B21991" w:rsidRPr="00FB15DB" w:rsidRDefault="00B21991" w:rsidP="00B21991">
      <w:pPr>
        <w:pStyle w:val="BodyText"/>
      </w:pPr>
      <w:r w:rsidRPr="00FB15DB">
        <w:t>In determining the boundary of the assessment, consideration was given to the intended approach of the Office of the Commissioner for Environmental Sustainability (OCES) for Victoria which has a legislative duty to report on the status of the Great Ocean Road.</w:t>
      </w:r>
    </w:p>
    <w:p w14:paraId="6D58741E" w14:textId="77777777" w:rsidR="00B21991" w:rsidRPr="00FB15DB" w:rsidRDefault="00B21991" w:rsidP="00B21991">
      <w:pPr>
        <w:pStyle w:val="BodyText"/>
      </w:pPr>
      <w:r w:rsidRPr="00FB15DB">
        <w:t xml:space="preserve"> </w:t>
      </w:r>
    </w:p>
    <w:p w14:paraId="756B9BFB" w14:textId="77777777" w:rsidR="00B21991" w:rsidRPr="00FB15DB" w:rsidRDefault="00B21991" w:rsidP="00B21991">
      <w:pPr>
        <w:pStyle w:val="BodyText"/>
        <w:rPr>
          <w:b/>
        </w:rPr>
        <w:sectPr w:rsidR="00B21991" w:rsidRPr="00FB15DB" w:rsidSect="00E52A9A">
          <w:headerReference w:type="even" r:id="rId80"/>
          <w:headerReference w:type="default" r:id="rId81"/>
          <w:footerReference w:type="even" r:id="rId82"/>
          <w:footerReference w:type="default" r:id="rId83"/>
          <w:pgSz w:w="11907" w:h="16840" w:code="9"/>
          <w:pgMar w:top="1134" w:right="1134" w:bottom="1134" w:left="1134" w:header="283" w:footer="283" w:gutter="0"/>
          <w:cols w:space="284"/>
          <w:docGrid w:linePitch="360"/>
        </w:sectPr>
      </w:pPr>
    </w:p>
    <w:p w14:paraId="3C4BDA67" w14:textId="753A4FDA" w:rsidR="00B21991" w:rsidRPr="00FB15DB" w:rsidRDefault="00B21991" w:rsidP="00E85B64">
      <w:pPr>
        <w:pStyle w:val="Caption"/>
      </w:pPr>
      <w:r w:rsidRPr="00FB15DB">
        <w:lastRenderedPageBreak/>
        <w:t xml:space="preserve">Figure 2. </w:t>
      </w:r>
      <w:r w:rsidR="004B4F63">
        <w:t>Indicative</w:t>
      </w:r>
      <w:r w:rsidR="004B4F63" w:rsidRPr="00FB15DB">
        <w:t xml:space="preserve"> </w:t>
      </w:r>
      <w:r w:rsidRPr="00FB15DB">
        <w:t>Great Ocean Road Coast and Parks Area </w:t>
      </w:r>
    </w:p>
    <w:p w14:paraId="450682C0" w14:textId="030CFD41" w:rsidR="00B21991" w:rsidRPr="00FB15DB" w:rsidRDefault="001E7483" w:rsidP="00B21991">
      <w:pPr>
        <w:pStyle w:val="BodyText"/>
      </w:pPr>
      <w:r>
        <w:rPr>
          <w:noProof/>
        </w:rPr>
        <mc:AlternateContent>
          <mc:Choice Requires="wpg">
            <w:drawing>
              <wp:inline distT="0" distB="0" distL="0" distR="0" wp14:anchorId="245C6B8D" wp14:editId="2DE0B7F5">
                <wp:extent cx="11796395" cy="7668260"/>
                <wp:effectExtent l="0" t="0" r="1905" b="2540"/>
                <wp:docPr id="2067109829" name="Group 2067109829"/>
                <wp:cNvGraphicFramePr/>
                <a:graphic xmlns:a="http://schemas.openxmlformats.org/drawingml/2006/main">
                  <a:graphicData uri="http://schemas.microsoft.com/office/word/2010/wordprocessingGroup">
                    <wpg:wgp>
                      <wpg:cNvGrpSpPr/>
                      <wpg:grpSpPr>
                        <a:xfrm>
                          <a:off x="0" y="0"/>
                          <a:ext cx="11796395" cy="7668260"/>
                          <a:chOff x="0" y="0"/>
                          <a:chExt cx="11796395" cy="7668260"/>
                        </a:xfrm>
                      </wpg:grpSpPr>
                      <pic:pic xmlns:pic="http://schemas.openxmlformats.org/drawingml/2006/picture">
                        <pic:nvPicPr>
                          <pic:cNvPr id="52" name="Picture 52"/>
                          <pic:cNvPicPr/>
                        </pic:nvPicPr>
                        <pic:blipFill>
                          <a:blip r:embed="rId84" cstate="email">
                            <a:extLst>
                              <a:ext uri="{28A0092B-C50C-407E-A947-70E740481C1C}">
                                <a14:useLocalDpi xmlns:a14="http://schemas.microsoft.com/office/drawing/2010/main"/>
                              </a:ext>
                            </a:extLst>
                          </a:blip>
                          <a:stretch>
                            <a:fillRect/>
                          </a:stretch>
                        </pic:blipFill>
                        <pic:spPr>
                          <a:xfrm>
                            <a:off x="0" y="0"/>
                            <a:ext cx="11796395" cy="7668260"/>
                          </a:xfrm>
                          <a:prstGeom prst="rect">
                            <a:avLst/>
                          </a:prstGeom>
                        </pic:spPr>
                      </pic:pic>
                      <wps:wsp>
                        <wps:cNvPr id="1036337626" name="Rectangle 1"/>
                        <wps:cNvSpPr/>
                        <wps:spPr>
                          <a:xfrm>
                            <a:off x="9903417" y="4680488"/>
                            <a:ext cx="1799590" cy="1082675"/>
                          </a:xfrm>
                          <a:prstGeom prst="rect">
                            <a:avLst/>
                          </a:prstGeom>
                          <a:solidFill>
                            <a:srgbClr val="E6F7F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429D8D3" id="Group 2067109829" o:spid="_x0000_s1026" style="width:928.85pt;height:603.8pt;mso-position-horizontal-relative:char;mso-position-vertical-relative:line" coordsize="117963,766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">
                <v:shape id="Picture 52" o:spid="_x0000_s1027" type="#_x0000_t75" style="position:absolute;width:117963;height:76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">
                  <v:imagedata r:id="rId85" o:title=""/>
                </v:shape>
                <v:rect id="Rectangle 1" o:spid="_x0000_s1028" style="position:absolute;left:99034;top:46804;width:17996;height:108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" fillcolor="#e6f7fe" stroked="f" strokeweight="2pt"/>
                <w10:anchorlock/>
              </v:group>
            </w:pict>
          </mc:Fallback>
        </mc:AlternateContent>
      </w:r>
    </w:p>
    <w:p w14:paraId="25D2D7B8" w14:textId="4A839CFA" w:rsidR="00B21991" w:rsidRPr="00FB15DB" w:rsidRDefault="00B21991" w:rsidP="00E85B64">
      <w:pPr>
        <w:pStyle w:val="NoteHeading"/>
      </w:pPr>
      <w:r w:rsidRPr="00FB15DB">
        <w:rPr>
          <w:b/>
        </w:rPr>
        <w:t>Source</w:t>
      </w:r>
      <w:r w:rsidRPr="00FB15DB">
        <w:t xml:space="preserve">:  </w:t>
      </w:r>
      <w:r w:rsidR="004B4F63">
        <w:t>DELWP</w:t>
      </w:r>
      <w:r w:rsidRPr="00FB15DB">
        <w:t xml:space="preserve"> (pers. comm., 2020) </w:t>
      </w:r>
    </w:p>
    <w:p w14:paraId="24AA6AC3" w14:textId="77777777" w:rsidR="00B21991" w:rsidRPr="00FB15DB" w:rsidRDefault="00B21991" w:rsidP="00B21991">
      <w:pPr>
        <w:pStyle w:val="BodyText"/>
        <w:rPr>
          <w:b/>
        </w:rPr>
        <w:sectPr w:rsidR="00B21991" w:rsidRPr="00FB15DB" w:rsidSect="00E52A9A">
          <w:headerReference w:type="even" r:id="rId86"/>
          <w:headerReference w:type="default" r:id="rId87"/>
          <w:footerReference w:type="even" r:id="rId88"/>
          <w:footerReference w:type="default" r:id="rId89"/>
          <w:pgSz w:w="23811" w:h="16838" w:orient="landscape" w:code="8"/>
          <w:pgMar w:top="1134" w:right="1134" w:bottom="1134" w:left="1134" w:header="283" w:footer="283" w:gutter="0"/>
          <w:cols w:space="284"/>
          <w:docGrid w:linePitch="360"/>
        </w:sectPr>
      </w:pPr>
    </w:p>
    <w:p w14:paraId="38CE882B" w14:textId="77777777" w:rsidR="00B21991" w:rsidRPr="00FB15DB" w:rsidRDefault="00B21991" w:rsidP="00750225">
      <w:pPr>
        <w:pStyle w:val="Heading2"/>
      </w:pPr>
      <w:bookmarkStart w:id="91" w:name="_Toc98854652"/>
      <w:bookmarkStart w:id="92" w:name="_Toc163547026"/>
      <w:r w:rsidRPr="00FB15DB">
        <w:lastRenderedPageBreak/>
        <w:t>Socio-economic benefits within scope</w:t>
      </w:r>
      <w:bookmarkEnd w:id="91"/>
      <w:bookmarkEnd w:id="92"/>
      <w:r w:rsidRPr="00FB15DB">
        <w:t xml:space="preserve"> </w:t>
      </w:r>
    </w:p>
    <w:p w14:paraId="664A9E7A" w14:textId="77777777" w:rsidR="00B21991" w:rsidRPr="00FB15DB" w:rsidRDefault="00B21991" w:rsidP="00B21991">
      <w:pPr>
        <w:pStyle w:val="BodyText"/>
      </w:pPr>
      <w:r w:rsidRPr="00FB15DB">
        <w:t>The SEEA-EA guidance (UN, 2012 ; 2021) recommends the use of an ecosystem service framing to link the ecological functioning of ecosystem assets to the socio-economic benefits enjoyed by society. The focus is on isolating and recording ecosystems’ contribution to benefits</w:t>
      </w:r>
      <w:r w:rsidRPr="00FB15DB">
        <w:rPr>
          <w:vertAlign w:val="superscript"/>
        </w:rPr>
        <w:footnoteReference w:id="5"/>
      </w:r>
      <w:r w:rsidRPr="00FB15DB">
        <w:t xml:space="preserve"> received, through flows of ecosystem services (UN, 2020b). SEEA (UN, 2012) suggests the use of “logic chains” to explain the logic of these links, as were developed for the UK marine scoping account (</w:t>
      </w:r>
      <w:proofErr w:type="spellStart"/>
      <w:r w:rsidRPr="00FB15DB">
        <w:t>eftec</w:t>
      </w:r>
      <w:proofErr w:type="spellEnd"/>
      <w:r w:rsidRPr="00FB15DB">
        <w:t>, 2015) and protected area account (AECOM, 2015). Annex 2 provides more detail on the scope of ecosystem services within the reviewed literature.  Key conclusions from this review are that the GORCAP EEA will take the following approach:</w:t>
      </w:r>
    </w:p>
    <w:p w14:paraId="57AEABC0" w14:textId="77777777" w:rsidR="00B21991" w:rsidRPr="00FB15DB" w:rsidRDefault="00B21991" w:rsidP="00B21991">
      <w:pPr>
        <w:pStyle w:val="ListBullet"/>
      </w:pPr>
      <w:r w:rsidRPr="00FB15DB">
        <w:t>Comply with the Common International Classification of Ecosystem Services. Provisioning services will be measured through physical output, regulating services through reductions in environmental harm and cultural services through number of interactions.</w:t>
      </w:r>
    </w:p>
    <w:p w14:paraId="62FFC123" w14:textId="77777777" w:rsidR="00B21991" w:rsidRPr="00FB15DB" w:rsidRDefault="00B21991" w:rsidP="00B21991">
      <w:pPr>
        <w:pStyle w:val="ListBullet"/>
      </w:pPr>
      <w:r w:rsidRPr="00FB15DB">
        <w:t>Focus only on biotic services, apart from the coastal protection service where the abiotic service provided by the geomorphology of the coast in terms of reducing coastal hazard exposure will be assessed too because this is critical from a coastal management perspective.</w:t>
      </w:r>
    </w:p>
    <w:p w14:paraId="08A13422" w14:textId="77777777" w:rsidR="00B21991" w:rsidRPr="00FB15DB" w:rsidRDefault="00B21991" w:rsidP="00B21991">
      <w:pPr>
        <w:pStyle w:val="ListBullet"/>
      </w:pPr>
      <w:r w:rsidRPr="00FB15DB">
        <w:t>Focus on quantifying and valuing “final ecosystem services” as far as possible given the conceptual and practical challenges associated with valuing supporting services</w:t>
      </w:r>
      <w:r w:rsidRPr="00FB15DB">
        <w:rPr>
          <w:vertAlign w:val="superscript"/>
        </w:rPr>
        <w:footnoteReference w:id="6"/>
      </w:r>
      <w:r w:rsidRPr="00FB15DB">
        <w:t xml:space="preserve"> in a way that avoids double counting. </w:t>
      </w:r>
    </w:p>
    <w:p w14:paraId="2B59BCB7" w14:textId="77777777" w:rsidR="00B21991" w:rsidRPr="00FB15DB" w:rsidRDefault="00B21991" w:rsidP="00B21991">
      <w:pPr>
        <w:pStyle w:val="ListBullet"/>
      </w:pPr>
      <w:r w:rsidRPr="00FB15DB">
        <w:t>Supporting services such as biodiversity habitat will be captured as stock metrics in the asset extent and condition assessment.</w:t>
      </w:r>
    </w:p>
    <w:p w14:paraId="2CA99372" w14:textId="77777777" w:rsidR="00B21991" w:rsidRPr="00FB15DB" w:rsidRDefault="00B21991" w:rsidP="00B21991">
      <w:pPr>
        <w:pStyle w:val="ListBullet"/>
      </w:pPr>
      <w:r w:rsidRPr="00FB15DB">
        <w:t>Where appropriate, an additional flow assessment will report “socio-economic” impacts which typically estimate the population affected by regulating services.</w:t>
      </w:r>
    </w:p>
    <w:p w14:paraId="008A4386" w14:textId="77777777" w:rsidR="00B21991" w:rsidRPr="00FB15DB" w:rsidRDefault="00B21991" w:rsidP="00B21991">
      <w:pPr>
        <w:pStyle w:val="BodyText12ptBefore"/>
      </w:pPr>
      <w:r w:rsidRPr="00FB15DB">
        <w:t xml:space="preserve">The study team reviewed data and analysis for all ecosystem services in order to identity evidence gaps and inform future research to fill these. The quantification and monetisation of ecosystem services for this GORCAP EEA is only recommended in cases where data and methods are sufficient to produce estimates for the GOR Coast and Parks area that have an acceptable level of certainty. Any set of environmental economic accounts is only as good as the information and data used to populate it (VEAC, 2019). </w:t>
      </w:r>
    </w:p>
    <w:p w14:paraId="534D2D9E" w14:textId="77777777" w:rsidR="00B21991" w:rsidRPr="00FB15DB" w:rsidRDefault="00B21991" w:rsidP="00B21991">
      <w:pPr>
        <w:pStyle w:val="BodyText"/>
      </w:pPr>
      <w:r w:rsidRPr="00FB15DB">
        <w:t>Table 1 outlines which ecosystem services are assessed in this initial GORCAP EEA, based the review of data and methods available for ecosystem service quantification and monetisation in the region (see Annex 3 for detail), it proposes to quantify and value the contribution of ecosystems to the following benefits:</w:t>
      </w:r>
    </w:p>
    <w:p w14:paraId="52DBDA3E" w14:textId="77777777" w:rsidR="00B21991" w:rsidRPr="00FB15DB" w:rsidRDefault="00B21991" w:rsidP="000035CB">
      <w:pPr>
        <w:pStyle w:val="ListNumber"/>
        <w:numPr>
          <w:ilvl w:val="0"/>
          <w:numId w:val="22"/>
        </w:numPr>
        <w:ind w:left="453"/>
      </w:pPr>
      <w:r w:rsidRPr="00750225">
        <w:rPr>
          <w:b/>
        </w:rPr>
        <w:t>Coastal protection</w:t>
      </w:r>
      <w:r w:rsidRPr="00FB15DB">
        <w:t>: avoided damages from flooding and coastal erosion due to the existence of coastal margins (seagrass, saltmarsh and mangroves).</w:t>
      </w:r>
    </w:p>
    <w:p w14:paraId="57506BA4" w14:textId="77777777" w:rsidR="00B21991" w:rsidRPr="00FB15DB" w:rsidRDefault="00B21991" w:rsidP="00E547F8">
      <w:pPr>
        <w:pStyle w:val="ListNumber"/>
        <w:ind w:left="453"/>
      </w:pPr>
      <w:r w:rsidRPr="00FB15DB">
        <w:rPr>
          <w:b/>
        </w:rPr>
        <w:t>Education</w:t>
      </w:r>
      <w:r w:rsidRPr="00FB15DB">
        <w:t>: number of nature-based educational visits. Research in the natural environment is often considered alongside education in environmental-economic assessments, however the study team decided that research is sufficiently different to education to warrant its own detailed assessment and this is not currently possible given the information available for the GORCAP EEA region.</w:t>
      </w:r>
    </w:p>
    <w:p w14:paraId="433E5ABB" w14:textId="77777777" w:rsidR="00B21991" w:rsidRPr="00FB15DB" w:rsidRDefault="00B21991" w:rsidP="00E547F8">
      <w:pPr>
        <w:pStyle w:val="ListNumber"/>
        <w:ind w:left="453"/>
      </w:pPr>
      <w:r w:rsidRPr="00FB15DB">
        <w:rPr>
          <w:b/>
        </w:rPr>
        <w:t>Biomass - food​</w:t>
      </w:r>
      <w:r w:rsidRPr="00FB15DB">
        <w:t>: from coastal/marine ecosystems (fish biomass enhancement due to seagrass) as well as farmland (crops and livestock biomass).</w:t>
      </w:r>
    </w:p>
    <w:p w14:paraId="4A2B7DD7" w14:textId="77777777" w:rsidR="00B21991" w:rsidRPr="00FB15DB" w:rsidRDefault="00B21991" w:rsidP="00E547F8">
      <w:pPr>
        <w:pStyle w:val="ListNumber"/>
        <w:ind w:left="453"/>
      </w:pPr>
      <w:r w:rsidRPr="00FB15DB">
        <w:rPr>
          <w:b/>
        </w:rPr>
        <w:t>Global climate regulation</w:t>
      </w:r>
      <w:r w:rsidRPr="00FB15DB">
        <w:t xml:space="preserve"> (carbon retention / storage and sequestration): from all ecosystems including coastal margins (saltmarsh and mangroves), freshwaters (inland wetlands), forests and marine (seagrass).</w:t>
      </w:r>
    </w:p>
    <w:p w14:paraId="01878D02" w14:textId="77777777" w:rsidR="00B21991" w:rsidRPr="00FB15DB" w:rsidRDefault="00B21991" w:rsidP="00E547F8">
      <w:pPr>
        <w:pStyle w:val="ListNumber"/>
        <w:ind w:left="453"/>
      </w:pPr>
      <w:r w:rsidRPr="00FB15DB">
        <w:rPr>
          <w:b/>
        </w:rPr>
        <w:t>Recreation and tourism</w:t>
      </w:r>
      <w:r w:rsidRPr="00FB15DB">
        <w:t xml:space="preserve">: from the range of ecosystems across the Great Ocean Road Coast and Parks area, identifying recreation hotspots in particular ecosystems. Tourism is generally interpreted as </w:t>
      </w:r>
      <w:r w:rsidRPr="00FB15DB">
        <w:lastRenderedPageBreak/>
        <w:t>involving overnight stays, potentially of visitors from abroad, and recreation is more usually associated with day trips (UN, 2014).</w:t>
      </w:r>
    </w:p>
    <w:p w14:paraId="4839286B" w14:textId="77777777" w:rsidR="00B21991" w:rsidRPr="00FB15DB" w:rsidRDefault="00B21991" w:rsidP="00B21991">
      <w:pPr>
        <w:pStyle w:val="ListNumber"/>
      </w:pPr>
      <w:r w:rsidRPr="00FB15DB">
        <w:rPr>
          <w:b/>
        </w:rPr>
        <w:t>Biomass - timber</w:t>
      </w:r>
      <w:r w:rsidRPr="00FB15DB">
        <w:t>: native and plantation timber production from forests.</w:t>
      </w:r>
    </w:p>
    <w:p w14:paraId="53D06E88" w14:textId="77777777" w:rsidR="00B21991" w:rsidRPr="00FB15DB" w:rsidRDefault="00B21991" w:rsidP="00B21991">
      <w:pPr>
        <w:pStyle w:val="BodyText12ptBefore"/>
      </w:pPr>
      <w:r w:rsidRPr="00FB15DB">
        <w:t xml:space="preserve">In addition, the account includes an assessment of the capacity of the GOR Coast and Parks to provide the following ecosystem services: </w:t>
      </w:r>
    </w:p>
    <w:p w14:paraId="7E2D3EA7" w14:textId="77777777" w:rsidR="00B21991" w:rsidRPr="00FB15DB" w:rsidRDefault="00B21991" w:rsidP="00E547F8">
      <w:pPr>
        <w:pStyle w:val="ListNumber"/>
        <w:ind w:left="453"/>
      </w:pPr>
      <w:r w:rsidRPr="00FB15DB">
        <w:rPr>
          <w:b/>
        </w:rPr>
        <w:t>Aesthetics</w:t>
      </w:r>
      <w:r w:rsidRPr="00FB15DB">
        <w:t xml:space="preserve">:  the capacity of the natural environment (all ecosystems) within the Great Ocean Road Coast and Parks to provide aesthetic value to people will be partially assessed by capturing the extent of </w:t>
      </w:r>
      <w:proofErr w:type="spellStart"/>
      <w:r w:rsidRPr="00FB15DB">
        <w:t>viewscapes</w:t>
      </w:r>
      <w:proofErr w:type="spellEnd"/>
      <w:r w:rsidRPr="00FB15DB">
        <w:t xml:space="preserve"> from key tourism hotspots (including the Great Ocean Road, Twelve Apostles, etc.) as well as analysis of visual landscape significance (if available).</w:t>
      </w:r>
    </w:p>
    <w:p w14:paraId="28C99869" w14:textId="77777777" w:rsidR="00B21991" w:rsidRPr="00FB15DB" w:rsidRDefault="00B21991" w:rsidP="00E547F8">
      <w:pPr>
        <w:pStyle w:val="ListNumber"/>
        <w:ind w:left="453"/>
      </w:pPr>
      <w:r w:rsidRPr="00FB15DB">
        <w:rPr>
          <w:b/>
        </w:rPr>
        <w:t>Cultural values:</w:t>
      </w:r>
    </w:p>
    <w:p w14:paraId="58E8C4D7" w14:textId="3FCFD61B" w:rsidR="00B21991" w:rsidRPr="00FB15DB" w:rsidRDefault="00B21991" w:rsidP="000035CB">
      <w:pPr>
        <w:pStyle w:val="ListAlpha"/>
        <w:numPr>
          <w:ilvl w:val="0"/>
          <w:numId w:val="45"/>
        </w:numPr>
      </w:pPr>
      <w:r w:rsidRPr="00A459D5">
        <w:rPr>
          <w:b/>
        </w:rPr>
        <w:t xml:space="preserve">Traditional Owners living cultural heritage: </w:t>
      </w:r>
      <w:r w:rsidRPr="00FB15DB">
        <w:t>the study team will seek to engage with</w:t>
      </w:r>
      <w:r w:rsidRPr="00A459D5">
        <w:rPr>
          <w:b/>
        </w:rPr>
        <w:t xml:space="preserve"> </w:t>
      </w:r>
      <w:r w:rsidRPr="00FB15DB">
        <w:t xml:space="preserve">the Traditional Owner Groups of the lands that are within the accounts’ geographic boundary, namely the </w:t>
      </w:r>
      <w:proofErr w:type="spellStart"/>
      <w:r w:rsidRPr="00FB15DB">
        <w:t>Wadawurrung</w:t>
      </w:r>
      <w:proofErr w:type="spellEnd"/>
      <w:r w:rsidRPr="00FB15DB">
        <w:t xml:space="preserve"> Traditional Owners Aboriginal Corporation and Eastern Maar Aboriginal Corporation, to understand if and how it is appropriate to capture Traditional Owner cultural values within the Great Ocean Road account in the short-term and long-term. </w:t>
      </w:r>
    </w:p>
    <w:p w14:paraId="74D45DFE" w14:textId="77777777" w:rsidR="00B21991" w:rsidRPr="00FB15DB" w:rsidRDefault="00B21991" w:rsidP="000035CB">
      <w:pPr>
        <w:pStyle w:val="ListAlpha"/>
        <w:numPr>
          <w:ilvl w:val="0"/>
          <w:numId w:val="45"/>
        </w:numPr>
      </w:pPr>
      <w:r w:rsidRPr="00A459D5">
        <w:rPr>
          <w:b/>
        </w:rPr>
        <w:t xml:space="preserve">Non-Indigenous historical / contemporary heritage:  </w:t>
      </w:r>
      <w:r w:rsidRPr="00FB15DB">
        <w:t>Where information exists on specific ecosystem features with a non-Indigenous historic or contemporary cultural value, this will be captured in the ecosystem condition account under “socio-economic characteristics – non-Indigenous cultural assets</w:t>
      </w:r>
    </w:p>
    <w:p w14:paraId="1226DD13" w14:textId="77777777" w:rsidR="00B21991" w:rsidRPr="00E85B64" w:rsidRDefault="00B21991" w:rsidP="00E547F8">
      <w:pPr>
        <w:pStyle w:val="ListNumber"/>
        <w:ind w:left="453"/>
      </w:pPr>
      <w:r w:rsidRPr="00FB15DB">
        <w:rPr>
          <w:b/>
        </w:rPr>
        <w:t xml:space="preserve">Existence / </w:t>
      </w:r>
      <w:r w:rsidRPr="00E85B64">
        <w:t>Option value: of biodiversity will be captured through various metrics within the asset condition account including the status of rare and threatened species, habitat suitability scores, native vegetation scores etc.</w:t>
      </w:r>
    </w:p>
    <w:p w14:paraId="16211A4A" w14:textId="6B630C95" w:rsidR="00B21991" w:rsidRPr="003137F4" w:rsidRDefault="00B21991" w:rsidP="00E547F8">
      <w:pPr>
        <w:pStyle w:val="ListNumber"/>
        <w:ind w:left="453"/>
        <w:sectPr w:rsidR="00B21991" w:rsidRPr="003137F4" w:rsidSect="00E52A9A">
          <w:headerReference w:type="even" r:id="rId90"/>
          <w:headerReference w:type="default" r:id="rId91"/>
          <w:footerReference w:type="even" r:id="rId92"/>
          <w:footerReference w:type="default" r:id="rId93"/>
          <w:pgSz w:w="11907" w:h="16840" w:code="9"/>
          <w:pgMar w:top="1134" w:right="1134" w:bottom="1134" w:left="1134" w:header="283" w:footer="283" w:gutter="0"/>
          <w:cols w:space="284"/>
          <w:docGrid w:linePitch="360"/>
        </w:sectPr>
      </w:pPr>
      <w:r w:rsidRPr="00E85B64">
        <w:t>Social / community</w:t>
      </w:r>
      <w:r w:rsidRPr="00FB15DB">
        <w:rPr>
          <w:b/>
        </w:rPr>
        <w:t xml:space="preserve"> cohesion</w:t>
      </w:r>
      <w:r w:rsidRPr="00FB15DB">
        <w:t>: will be captured through metrics that capture the level of community engagement with ecosystems of the GOR Coast and Parks. This could include the number of surf life-saving clubs, cycling clubs, land-care groups and other community groups that are dependent on or interact with the natural environment.</w:t>
      </w:r>
    </w:p>
    <w:p w14:paraId="0EFA3EC2" w14:textId="77777777" w:rsidR="00B21991" w:rsidRPr="00FB15DB" w:rsidRDefault="00B21991" w:rsidP="00E85B64">
      <w:pPr>
        <w:pStyle w:val="Caption"/>
        <w:rPr>
          <w:rFonts w:eastAsia="Calibri"/>
          <w:i/>
        </w:rPr>
      </w:pPr>
      <w:r w:rsidRPr="00FB15DB">
        <w:rPr>
          <w:rFonts w:eastAsia="Calibri"/>
        </w:rPr>
        <w:lastRenderedPageBreak/>
        <w:t xml:space="preserve">Table 1. Scope of GORCAP EEA based on the range of benefits from ecosystems within Coast and Parks area </w:t>
      </w:r>
    </w:p>
    <w:tbl>
      <w:tblPr>
        <w:tblW w:w="5000" w:type="pct"/>
        <w:tblBorders>
          <w:top w:val="single" w:sz="4" w:space="0" w:color="00B2A9"/>
          <w:left w:val="single" w:sz="4" w:space="0" w:color="00B2A9"/>
          <w:bottom w:val="single" w:sz="4" w:space="0" w:color="00B2A9"/>
          <w:right w:val="single" w:sz="4" w:space="0" w:color="00B2A9"/>
          <w:insideH w:val="single" w:sz="4" w:space="0" w:color="00B2A9"/>
          <w:insideV w:val="single" w:sz="4" w:space="0" w:color="00B2A9"/>
        </w:tblBorders>
        <w:tblCellMar>
          <w:top w:w="15" w:type="dxa"/>
          <w:left w:w="15" w:type="dxa"/>
          <w:bottom w:w="15" w:type="dxa"/>
          <w:right w:w="15" w:type="dxa"/>
        </w:tblCellMar>
        <w:tblLook w:val="04A0" w:firstRow="1" w:lastRow="0" w:firstColumn="1" w:lastColumn="0" w:noHBand="0" w:noVBand="1"/>
      </w:tblPr>
      <w:tblGrid>
        <w:gridCol w:w="833"/>
        <w:gridCol w:w="2163"/>
        <w:gridCol w:w="1853"/>
        <w:gridCol w:w="1853"/>
        <w:gridCol w:w="1853"/>
        <w:gridCol w:w="1853"/>
        <w:gridCol w:w="1853"/>
        <w:gridCol w:w="1853"/>
        <w:gridCol w:w="1853"/>
        <w:gridCol w:w="1853"/>
        <w:gridCol w:w="1853"/>
        <w:gridCol w:w="1870"/>
      </w:tblGrid>
      <w:tr w:rsidR="00B21991" w:rsidRPr="00FB15DB" w14:paraId="5E3E9A12" w14:textId="77777777" w:rsidTr="0095209B">
        <w:trPr>
          <w:trHeight w:val="448"/>
        </w:trPr>
        <w:tc>
          <w:tcPr>
            <w:tcW w:w="695" w:type="pct"/>
            <w:gridSpan w:val="2"/>
            <w:tcBorders>
              <w:top w:val="nil"/>
              <w:left w:val="nil"/>
              <w:bottom w:val="single" w:sz="4" w:space="0" w:color="201547" w:themeColor="text2"/>
              <w:right w:val="nil"/>
            </w:tcBorders>
            <w:shd w:val="clear" w:color="auto" w:fill="004C97" w:themeFill="accent1"/>
          </w:tcPr>
          <w:p w14:paraId="314662F5" w14:textId="77777777" w:rsidR="00B21991" w:rsidRPr="00FB15DB" w:rsidRDefault="00B21991" w:rsidP="00E352F2">
            <w:pPr>
              <w:pStyle w:val="TableHeadingLeft"/>
            </w:pPr>
          </w:p>
        </w:tc>
        <w:tc>
          <w:tcPr>
            <w:tcW w:w="430" w:type="pct"/>
            <w:tcBorders>
              <w:top w:val="nil"/>
              <w:left w:val="nil"/>
              <w:bottom w:val="single" w:sz="4" w:space="0" w:color="201547" w:themeColor="text2"/>
              <w:right w:val="nil"/>
            </w:tcBorders>
            <w:shd w:val="clear" w:color="auto" w:fill="004C97" w:themeFill="accent1"/>
          </w:tcPr>
          <w:p w14:paraId="744F199B" w14:textId="77777777" w:rsidR="00B21991" w:rsidRPr="00FB15DB" w:rsidRDefault="00B21991" w:rsidP="00E352F2">
            <w:pPr>
              <w:pStyle w:val="TableHeadingLeft"/>
            </w:pPr>
            <w:r w:rsidRPr="00FB15DB">
              <w:rPr>
                <w:rFonts w:eastAsia="Calibri"/>
              </w:rPr>
              <w:t>Alpine</w:t>
            </w:r>
          </w:p>
        </w:tc>
        <w:tc>
          <w:tcPr>
            <w:tcW w:w="430" w:type="pct"/>
            <w:tcBorders>
              <w:top w:val="nil"/>
              <w:left w:val="nil"/>
              <w:bottom w:val="single" w:sz="4" w:space="0" w:color="201547" w:themeColor="text2"/>
              <w:right w:val="nil"/>
            </w:tcBorders>
            <w:shd w:val="clear" w:color="auto" w:fill="004C97" w:themeFill="accent1"/>
          </w:tcPr>
          <w:p w14:paraId="19964FE3" w14:textId="77777777" w:rsidR="00B21991" w:rsidRPr="00FB15DB" w:rsidRDefault="00B21991" w:rsidP="00E352F2">
            <w:pPr>
              <w:pStyle w:val="TableHeadingLeft"/>
            </w:pPr>
            <w:r w:rsidRPr="00FB15DB">
              <w:rPr>
                <w:rFonts w:eastAsia="Calibri"/>
              </w:rPr>
              <w:t>Coastal margins</w:t>
            </w:r>
          </w:p>
        </w:tc>
        <w:tc>
          <w:tcPr>
            <w:tcW w:w="430" w:type="pct"/>
            <w:tcBorders>
              <w:top w:val="nil"/>
              <w:left w:val="nil"/>
              <w:bottom w:val="single" w:sz="4" w:space="0" w:color="201547" w:themeColor="text2"/>
              <w:right w:val="nil"/>
            </w:tcBorders>
            <w:shd w:val="clear" w:color="auto" w:fill="004C97" w:themeFill="accent1"/>
          </w:tcPr>
          <w:p w14:paraId="3683859E" w14:textId="77777777" w:rsidR="00B21991" w:rsidRPr="00FB15DB" w:rsidRDefault="00B21991" w:rsidP="00E352F2">
            <w:pPr>
              <w:pStyle w:val="TableHeadingLeft"/>
            </w:pPr>
            <w:r w:rsidRPr="00FB15DB">
              <w:rPr>
                <w:rFonts w:eastAsia="Calibri"/>
              </w:rPr>
              <w:t>Farmland</w:t>
            </w:r>
          </w:p>
        </w:tc>
        <w:tc>
          <w:tcPr>
            <w:tcW w:w="430" w:type="pct"/>
            <w:tcBorders>
              <w:top w:val="nil"/>
              <w:left w:val="nil"/>
              <w:bottom w:val="single" w:sz="4" w:space="0" w:color="201547" w:themeColor="text2"/>
              <w:right w:val="nil"/>
            </w:tcBorders>
            <w:shd w:val="clear" w:color="auto" w:fill="004C97" w:themeFill="accent1"/>
          </w:tcPr>
          <w:p w14:paraId="6EA9C32E" w14:textId="77777777" w:rsidR="00B21991" w:rsidRPr="00FB15DB" w:rsidRDefault="00B21991" w:rsidP="00E352F2">
            <w:pPr>
              <w:pStyle w:val="TableHeadingLeft"/>
            </w:pPr>
            <w:r w:rsidRPr="00FB15DB">
              <w:rPr>
                <w:rFonts w:eastAsia="Calibri"/>
              </w:rPr>
              <w:t>Forest / woodland</w:t>
            </w:r>
          </w:p>
        </w:tc>
        <w:tc>
          <w:tcPr>
            <w:tcW w:w="430" w:type="pct"/>
            <w:tcBorders>
              <w:top w:val="nil"/>
              <w:left w:val="nil"/>
              <w:bottom w:val="single" w:sz="4" w:space="0" w:color="201547" w:themeColor="text2"/>
              <w:right w:val="nil"/>
            </w:tcBorders>
            <w:shd w:val="clear" w:color="auto" w:fill="004C97" w:themeFill="accent1"/>
          </w:tcPr>
          <w:p w14:paraId="01B1B22D" w14:textId="77777777" w:rsidR="00B21991" w:rsidRPr="00FB15DB" w:rsidRDefault="00B21991" w:rsidP="00E352F2">
            <w:pPr>
              <w:pStyle w:val="TableHeadingLeft"/>
            </w:pPr>
            <w:r w:rsidRPr="00FB15DB">
              <w:rPr>
                <w:rFonts w:eastAsia="Calibri"/>
              </w:rPr>
              <w:t>Freshwater / wetland</w:t>
            </w:r>
          </w:p>
        </w:tc>
        <w:tc>
          <w:tcPr>
            <w:tcW w:w="430" w:type="pct"/>
            <w:tcBorders>
              <w:top w:val="nil"/>
              <w:left w:val="nil"/>
              <w:bottom w:val="single" w:sz="4" w:space="0" w:color="201547" w:themeColor="text2"/>
              <w:right w:val="nil"/>
            </w:tcBorders>
            <w:shd w:val="clear" w:color="auto" w:fill="004C97" w:themeFill="accent1"/>
          </w:tcPr>
          <w:p w14:paraId="190D2292" w14:textId="77777777" w:rsidR="00B21991" w:rsidRPr="00FB15DB" w:rsidRDefault="00B21991" w:rsidP="00E352F2">
            <w:pPr>
              <w:pStyle w:val="TableHeadingLeft"/>
            </w:pPr>
            <w:r w:rsidRPr="00FB15DB">
              <w:rPr>
                <w:rFonts w:eastAsia="Calibri"/>
              </w:rPr>
              <w:t>Grassland</w:t>
            </w:r>
          </w:p>
        </w:tc>
        <w:tc>
          <w:tcPr>
            <w:tcW w:w="430" w:type="pct"/>
            <w:tcBorders>
              <w:top w:val="nil"/>
              <w:left w:val="nil"/>
              <w:bottom w:val="single" w:sz="4" w:space="0" w:color="201547" w:themeColor="text2"/>
              <w:right w:val="nil"/>
            </w:tcBorders>
            <w:shd w:val="clear" w:color="auto" w:fill="004C97" w:themeFill="accent1"/>
          </w:tcPr>
          <w:p w14:paraId="27F3F3B0" w14:textId="77777777" w:rsidR="00B21991" w:rsidRPr="00FB15DB" w:rsidRDefault="00B21991" w:rsidP="00E352F2">
            <w:pPr>
              <w:pStyle w:val="TableHeadingLeft"/>
            </w:pPr>
            <w:r w:rsidRPr="00FB15DB">
              <w:rPr>
                <w:rFonts w:eastAsia="Calibri"/>
              </w:rPr>
              <w:t>Shrubland</w:t>
            </w:r>
          </w:p>
        </w:tc>
        <w:tc>
          <w:tcPr>
            <w:tcW w:w="430" w:type="pct"/>
            <w:tcBorders>
              <w:top w:val="nil"/>
              <w:left w:val="nil"/>
              <w:bottom w:val="single" w:sz="4" w:space="0" w:color="201547" w:themeColor="text2"/>
              <w:right w:val="nil"/>
            </w:tcBorders>
            <w:shd w:val="clear" w:color="auto" w:fill="004C97" w:themeFill="accent1"/>
          </w:tcPr>
          <w:p w14:paraId="54D87DB4" w14:textId="77777777" w:rsidR="00B21991" w:rsidRPr="00FB15DB" w:rsidRDefault="00B21991" w:rsidP="00E352F2">
            <w:pPr>
              <w:pStyle w:val="TableHeadingLeft"/>
              <w:rPr>
                <w:rFonts w:eastAsia="Calibri"/>
              </w:rPr>
            </w:pPr>
            <w:r w:rsidRPr="00FB15DB">
              <w:rPr>
                <w:rFonts w:eastAsia="Calibri"/>
              </w:rPr>
              <w:t>Marine</w:t>
            </w:r>
          </w:p>
        </w:tc>
        <w:tc>
          <w:tcPr>
            <w:tcW w:w="430" w:type="pct"/>
            <w:tcBorders>
              <w:top w:val="nil"/>
              <w:left w:val="nil"/>
              <w:bottom w:val="single" w:sz="4" w:space="0" w:color="201547" w:themeColor="text2"/>
              <w:right w:val="nil"/>
            </w:tcBorders>
            <w:shd w:val="clear" w:color="auto" w:fill="004C97" w:themeFill="accent1"/>
          </w:tcPr>
          <w:p w14:paraId="105B4945" w14:textId="77777777" w:rsidR="00B21991" w:rsidRPr="00FB15DB" w:rsidRDefault="00B21991" w:rsidP="00E352F2">
            <w:pPr>
              <w:pStyle w:val="TableHeadingLeft"/>
              <w:rPr>
                <w:rFonts w:eastAsia="Calibri"/>
              </w:rPr>
            </w:pPr>
            <w:r w:rsidRPr="00FB15DB">
              <w:rPr>
                <w:rFonts w:eastAsia="Calibri"/>
              </w:rPr>
              <w:t xml:space="preserve">Urban </w:t>
            </w:r>
          </w:p>
          <w:p w14:paraId="19169E9B" w14:textId="77777777" w:rsidR="00B21991" w:rsidRPr="00FB15DB" w:rsidRDefault="00B21991" w:rsidP="00E352F2">
            <w:pPr>
              <w:pStyle w:val="TableHeadingLeft"/>
            </w:pPr>
            <w:r w:rsidRPr="00FB15DB">
              <w:rPr>
                <w:rFonts w:eastAsia="Calibri"/>
                <w:i/>
              </w:rPr>
              <w:t>(</w:t>
            </w:r>
            <w:proofErr w:type="gramStart"/>
            <w:r w:rsidRPr="00FB15DB">
              <w:rPr>
                <w:rFonts w:eastAsia="Calibri"/>
                <w:i/>
              </w:rPr>
              <w:t>green</w:t>
            </w:r>
            <w:proofErr w:type="gramEnd"/>
            <w:r w:rsidRPr="00FB15DB">
              <w:rPr>
                <w:rFonts w:eastAsia="Calibri"/>
                <w:i/>
              </w:rPr>
              <w:t>-blue infra.)</w:t>
            </w:r>
          </w:p>
        </w:tc>
        <w:tc>
          <w:tcPr>
            <w:tcW w:w="430" w:type="pct"/>
            <w:tcBorders>
              <w:top w:val="nil"/>
              <w:left w:val="nil"/>
              <w:bottom w:val="single" w:sz="4" w:space="0" w:color="201547" w:themeColor="text2"/>
              <w:right w:val="nil"/>
            </w:tcBorders>
            <w:shd w:val="clear" w:color="auto" w:fill="004C97" w:themeFill="accent1"/>
          </w:tcPr>
          <w:p w14:paraId="13CF5F2D" w14:textId="77777777" w:rsidR="00B21991" w:rsidRPr="00FB15DB" w:rsidRDefault="00B21991" w:rsidP="00E352F2">
            <w:pPr>
              <w:pStyle w:val="TableHeadingLeft"/>
              <w:rPr>
                <w:rFonts w:eastAsia="Calibri"/>
              </w:rPr>
            </w:pPr>
            <w:r w:rsidRPr="00FB15DB">
              <w:rPr>
                <w:rFonts w:eastAsia="Calibri"/>
              </w:rPr>
              <w:t>GORCAP</w:t>
            </w:r>
          </w:p>
          <w:p w14:paraId="15830409" w14:textId="77777777" w:rsidR="00B21991" w:rsidRPr="00FB15DB" w:rsidRDefault="00B21991" w:rsidP="00E352F2">
            <w:pPr>
              <w:pStyle w:val="TableHeadingLeft"/>
              <w:rPr>
                <w:rFonts w:eastAsia="Calibri"/>
                <w:i/>
              </w:rPr>
            </w:pPr>
            <w:r w:rsidRPr="00FB15DB">
              <w:rPr>
                <w:rFonts w:eastAsia="Calibri"/>
                <w:i/>
              </w:rPr>
              <w:t>Non-asset  specific / cross-cutting info.</w:t>
            </w:r>
          </w:p>
        </w:tc>
      </w:tr>
      <w:tr w:rsidR="00B21991" w:rsidRPr="00FB15DB" w14:paraId="56AA3D83" w14:textId="77777777" w:rsidTr="0095209B">
        <w:trPr>
          <w:trHeight w:val="278"/>
        </w:trPr>
        <w:tc>
          <w:tcPr>
            <w:tcW w:w="695" w:type="pct"/>
            <w:gridSpan w:val="2"/>
            <w:tcBorders>
              <w:top w:val="single" w:sz="4" w:space="0" w:color="201547" w:themeColor="text2"/>
              <w:left w:val="nil"/>
              <w:bottom w:val="single" w:sz="4" w:space="0" w:color="201547" w:themeColor="text2"/>
              <w:right w:val="nil"/>
            </w:tcBorders>
            <w:shd w:val="clear" w:color="auto" w:fill="auto"/>
          </w:tcPr>
          <w:p w14:paraId="7EEB19BE" w14:textId="77777777" w:rsidR="00B21991" w:rsidRPr="00FB15DB" w:rsidRDefault="00B21991" w:rsidP="00E352F2">
            <w:pPr>
              <w:pStyle w:val="TableTextLeft"/>
            </w:pPr>
            <w:r w:rsidRPr="00FB15DB">
              <w:t xml:space="preserve">Aesthetics </w:t>
            </w:r>
          </w:p>
        </w:tc>
        <w:tc>
          <w:tcPr>
            <w:tcW w:w="430" w:type="pct"/>
            <w:tcBorders>
              <w:top w:val="single" w:sz="4" w:space="0" w:color="201547" w:themeColor="text2"/>
              <w:left w:val="nil"/>
              <w:bottom w:val="single" w:sz="4" w:space="0" w:color="201547" w:themeColor="text2"/>
              <w:right w:val="nil"/>
            </w:tcBorders>
            <w:shd w:val="clear" w:color="auto" w:fill="E7E6E6"/>
          </w:tcPr>
          <w:p w14:paraId="1C479A5E" w14:textId="77777777" w:rsidR="00B21991" w:rsidRPr="00FB15DB" w:rsidRDefault="00B21991" w:rsidP="00B978E1">
            <w:pPr>
              <w:pStyle w:val="TableTextLeft"/>
              <w:jc w:val="center"/>
            </w:pP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01F9C3DF"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65DBEC92"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410F7D79"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0A4D7309"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5842DF35"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1879E446"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17371A1D"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37F1855B"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BAADE7" w:themeFill="accent4" w:themeFillTint="40"/>
          </w:tcPr>
          <w:p w14:paraId="4795BE16" w14:textId="77777777" w:rsidR="00B21991" w:rsidRPr="00FB15DB" w:rsidRDefault="00B21991" w:rsidP="00B978E1">
            <w:pPr>
              <w:pStyle w:val="TableTextLeft"/>
              <w:jc w:val="center"/>
            </w:pPr>
            <w:r w:rsidRPr="00FB15DB">
              <w:rPr>
                <w:rFonts w:eastAsia="Calibri"/>
              </w:rPr>
              <w:t>○</w:t>
            </w:r>
          </w:p>
        </w:tc>
      </w:tr>
      <w:tr w:rsidR="00B21991" w:rsidRPr="00FB15DB" w14:paraId="123D82D6" w14:textId="77777777" w:rsidTr="0095209B">
        <w:trPr>
          <w:trHeight w:val="278"/>
        </w:trPr>
        <w:tc>
          <w:tcPr>
            <w:tcW w:w="695" w:type="pct"/>
            <w:gridSpan w:val="2"/>
            <w:tcBorders>
              <w:top w:val="single" w:sz="4" w:space="0" w:color="201547" w:themeColor="text2"/>
              <w:left w:val="nil"/>
              <w:bottom w:val="single" w:sz="4" w:space="0" w:color="201547" w:themeColor="text2"/>
              <w:right w:val="nil"/>
            </w:tcBorders>
            <w:shd w:val="clear" w:color="auto" w:fill="auto"/>
          </w:tcPr>
          <w:p w14:paraId="5C06BD87" w14:textId="77777777" w:rsidR="00B21991" w:rsidRPr="00FB15DB" w:rsidRDefault="00B21991" w:rsidP="00E352F2">
            <w:pPr>
              <w:pStyle w:val="TableTextLeft"/>
            </w:pPr>
            <w:r w:rsidRPr="00FB15DB">
              <w:t>Air quality regulation</w:t>
            </w:r>
          </w:p>
        </w:tc>
        <w:tc>
          <w:tcPr>
            <w:tcW w:w="430" w:type="pct"/>
            <w:tcBorders>
              <w:top w:val="single" w:sz="4" w:space="0" w:color="201547" w:themeColor="text2"/>
              <w:left w:val="nil"/>
              <w:bottom w:val="single" w:sz="4" w:space="0" w:color="201547" w:themeColor="text2"/>
              <w:right w:val="nil"/>
            </w:tcBorders>
            <w:shd w:val="clear" w:color="auto" w:fill="E7E6E6"/>
          </w:tcPr>
          <w:p w14:paraId="09A1D650" w14:textId="77777777" w:rsidR="00B21991" w:rsidRPr="00FB15DB" w:rsidRDefault="00B21991" w:rsidP="00B978E1">
            <w:pPr>
              <w:pStyle w:val="TableTextLeft"/>
              <w:jc w:val="center"/>
            </w:pP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20A76E9E"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524B55AD"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2F22A31E"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5ED8847F"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335FEABB"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01BCE5AC"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46C3B3E0"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5CD881A6"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BAADE7" w:themeFill="accent4" w:themeFillTint="40"/>
          </w:tcPr>
          <w:p w14:paraId="78F2B603" w14:textId="77777777" w:rsidR="00B21991" w:rsidRPr="00FB15DB" w:rsidRDefault="00B21991" w:rsidP="00B978E1">
            <w:pPr>
              <w:pStyle w:val="TableTextLeft"/>
              <w:jc w:val="center"/>
            </w:pPr>
            <w:r w:rsidRPr="00FB15DB">
              <w:t>-</w:t>
            </w:r>
          </w:p>
        </w:tc>
      </w:tr>
      <w:tr w:rsidR="00B21991" w:rsidRPr="00FB15DB" w14:paraId="2E0E20CF" w14:textId="77777777" w:rsidTr="0095209B">
        <w:trPr>
          <w:trHeight w:val="278"/>
        </w:trPr>
        <w:tc>
          <w:tcPr>
            <w:tcW w:w="695" w:type="pct"/>
            <w:gridSpan w:val="2"/>
            <w:tcBorders>
              <w:top w:val="single" w:sz="4" w:space="0" w:color="201547" w:themeColor="text2"/>
              <w:left w:val="nil"/>
              <w:bottom w:val="single" w:sz="4" w:space="0" w:color="201547" w:themeColor="text2"/>
              <w:right w:val="nil"/>
            </w:tcBorders>
            <w:shd w:val="clear" w:color="auto" w:fill="auto"/>
          </w:tcPr>
          <w:p w14:paraId="5CD0F507" w14:textId="77777777" w:rsidR="00B21991" w:rsidRPr="00FB15DB" w:rsidRDefault="00B21991" w:rsidP="00E352F2">
            <w:pPr>
              <w:pStyle w:val="TableTextLeft"/>
            </w:pPr>
            <w:r w:rsidRPr="00FB15DB">
              <w:t>Amenity (Liveability)</w:t>
            </w:r>
          </w:p>
        </w:tc>
        <w:tc>
          <w:tcPr>
            <w:tcW w:w="430" w:type="pct"/>
            <w:tcBorders>
              <w:top w:val="single" w:sz="4" w:space="0" w:color="201547" w:themeColor="text2"/>
              <w:left w:val="nil"/>
              <w:bottom w:val="single" w:sz="4" w:space="0" w:color="201547" w:themeColor="text2"/>
              <w:right w:val="nil"/>
            </w:tcBorders>
            <w:shd w:val="clear" w:color="auto" w:fill="E7E6E6"/>
          </w:tcPr>
          <w:p w14:paraId="5754EA9A" w14:textId="77777777" w:rsidR="00B21991" w:rsidRPr="00FB15DB" w:rsidRDefault="00B21991" w:rsidP="00B978E1">
            <w:pPr>
              <w:pStyle w:val="TableTextLeft"/>
              <w:jc w:val="center"/>
            </w:pPr>
          </w:p>
        </w:tc>
        <w:tc>
          <w:tcPr>
            <w:tcW w:w="430" w:type="pct"/>
            <w:tcBorders>
              <w:top w:val="single" w:sz="4" w:space="0" w:color="201547" w:themeColor="text2"/>
              <w:left w:val="nil"/>
              <w:bottom w:val="single" w:sz="4" w:space="0" w:color="201547" w:themeColor="text2"/>
              <w:right w:val="nil"/>
            </w:tcBorders>
            <w:shd w:val="clear" w:color="auto" w:fill="BAADE7" w:themeFill="accent4" w:themeFillTint="40"/>
          </w:tcPr>
          <w:p w14:paraId="6FB906B6"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28435C1F"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3B31C93C"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0001D094"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60AB5FB5"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29838776"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35F08000"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666B5A70"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BAADE7" w:themeFill="accent4" w:themeFillTint="40"/>
          </w:tcPr>
          <w:p w14:paraId="3F795DBE" w14:textId="77777777" w:rsidR="00B21991" w:rsidRPr="00FB15DB" w:rsidRDefault="00B21991" w:rsidP="00B978E1">
            <w:pPr>
              <w:pStyle w:val="TableTextLeft"/>
              <w:jc w:val="center"/>
            </w:pPr>
            <w:r w:rsidRPr="00FB15DB">
              <w:t>-</w:t>
            </w:r>
          </w:p>
        </w:tc>
      </w:tr>
      <w:tr w:rsidR="00B21991" w:rsidRPr="00FB15DB" w14:paraId="4881ABCA" w14:textId="77777777" w:rsidTr="0095209B">
        <w:trPr>
          <w:trHeight w:val="278"/>
        </w:trPr>
        <w:tc>
          <w:tcPr>
            <w:tcW w:w="695" w:type="pct"/>
            <w:gridSpan w:val="2"/>
            <w:tcBorders>
              <w:top w:val="single" w:sz="4" w:space="0" w:color="201547" w:themeColor="text2"/>
              <w:left w:val="nil"/>
              <w:bottom w:val="single" w:sz="4" w:space="0" w:color="201547" w:themeColor="text2"/>
              <w:right w:val="nil"/>
            </w:tcBorders>
            <w:shd w:val="clear" w:color="auto" w:fill="auto"/>
          </w:tcPr>
          <w:p w14:paraId="6F0D766B" w14:textId="77777777" w:rsidR="00B21991" w:rsidRPr="00FB15DB" w:rsidRDefault="00B21991" w:rsidP="00E352F2">
            <w:pPr>
              <w:pStyle w:val="TableTextLeft"/>
            </w:pPr>
            <w:r w:rsidRPr="00FB15DB">
              <w:t>Biomass - Timber</w:t>
            </w:r>
          </w:p>
        </w:tc>
        <w:tc>
          <w:tcPr>
            <w:tcW w:w="430" w:type="pct"/>
            <w:tcBorders>
              <w:top w:val="single" w:sz="4" w:space="0" w:color="201547" w:themeColor="text2"/>
              <w:left w:val="nil"/>
              <w:bottom w:val="single" w:sz="4" w:space="0" w:color="201547" w:themeColor="text2"/>
              <w:right w:val="nil"/>
            </w:tcBorders>
            <w:shd w:val="clear" w:color="auto" w:fill="E7E6E6"/>
          </w:tcPr>
          <w:p w14:paraId="7284E32D" w14:textId="77777777" w:rsidR="00B21991" w:rsidRPr="00FB15DB" w:rsidRDefault="00B21991" w:rsidP="00B978E1">
            <w:pPr>
              <w:pStyle w:val="TableTextLeft"/>
              <w:jc w:val="center"/>
            </w:pP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6F0C1C5F"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3EA95F6C"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755CCF" w:themeFill="accent4" w:themeFillTint="80"/>
          </w:tcPr>
          <w:p w14:paraId="02BE9645"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649774FC"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216FCFED"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5988828D"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650531B0"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13501E4F"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03A7695C" w14:textId="77777777" w:rsidR="00B21991" w:rsidRPr="00FB15DB" w:rsidRDefault="00B21991" w:rsidP="00B978E1">
            <w:pPr>
              <w:pStyle w:val="TableTextLeft"/>
              <w:jc w:val="center"/>
            </w:pPr>
            <w:r w:rsidRPr="00FB15DB">
              <w:t>-</w:t>
            </w:r>
          </w:p>
        </w:tc>
      </w:tr>
      <w:tr w:rsidR="00B21991" w:rsidRPr="00FB15DB" w14:paraId="1CEBD74F" w14:textId="77777777" w:rsidTr="0095209B">
        <w:trPr>
          <w:trHeight w:val="278"/>
        </w:trPr>
        <w:tc>
          <w:tcPr>
            <w:tcW w:w="695" w:type="pct"/>
            <w:gridSpan w:val="2"/>
            <w:tcBorders>
              <w:top w:val="single" w:sz="4" w:space="0" w:color="201547" w:themeColor="text2"/>
              <w:left w:val="nil"/>
              <w:bottom w:val="single" w:sz="4" w:space="0" w:color="201547" w:themeColor="text2"/>
              <w:right w:val="nil"/>
            </w:tcBorders>
            <w:shd w:val="clear" w:color="auto" w:fill="auto"/>
          </w:tcPr>
          <w:p w14:paraId="31A83528" w14:textId="77777777" w:rsidR="00B21991" w:rsidRPr="00FB15DB" w:rsidRDefault="00B21991" w:rsidP="00E352F2">
            <w:pPr>
              <w:pStyle w:val="TableTextLeft"/>
            </w:pPr>
            <w:r w:rsidRPr="00FB15DB">
              <w:t>Coastal protection</w:t>
            </w:r>
          </w:p>
        </w:tc>
        <w:tc>
          <w:tcPr>
            <w:tcW w:w="430" w:type="pct"/>
            <w:tcBorders>
              <w:top w:val="single" w:sz="4" w:space="0" w:color="201547" w:themeColor="text2"/>
              <w:left w:val="nil"/>
              <w:bottom w:val="single" w:sz="4" w:space="0" w:color="201547" w:themeColor="text2"/>
              <w:right w:val="nil"/>
            </w:tcBorders>
            <w:shd w:val="clear" w:color="auto" w:fill="E7E6E6"/>
          </w:tcPr>
          <w:p w14:paraId="1D0C1208" w14:textId="77777777" w:rsidR="00B21991" w:rsidRPr="00FB15DB" w:rsidRDefault="00B21991" w:rsidP="00B978E1">
            <w:pPr>
              <w:pStyle w:val="TableTextLeft"/>
              <w:jc w:val="center"/>
            </w:pPr>
          </w:p>
        </w:tc>
        <w:tc>
          <w:tcPr>
            <w:tcW w:w="430" w:type="pct"/>
            <w:tcBorders>
              <w:top w:val="single" w:sz="4" w:space="0" w:color="201547" w:themeColor="text2"/>
              <w:left w:val="nil"/>
              <w:bottom w:val="single" w:sz="4" w:space="0" w:color="201547" w:themeColor="text2"/>
              <w:right w:val="nil"/>
            </w:tcBorders>
            <w:shd w:val="clear" w:color="auto" w:fill="BAADE7" w:themeFill="accent4" w:themeFillTint="40"/>
          </w:tcPr>
          <w:p w14:paraId="731C6FDB"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7E6E6"/>
          </w:tcPr>
          <w:p w14:paraId="24FC122E" w14:textId="77777777" w:rsidR="00B21991" w:rsidRPr="00FB15DB" w:rsidRDefault="00B21991" w:rsidP="00B978E1">
            <w:pPr>
              <w:pStyle w:val="TableTextLeft"/>
              <w:jc w:val="center"/>
            </w:pPr>
          </w:p>
        </w:tc>
        <w:tc>
          <w:tcPr>
            <w:tcW w:w="430" w:type="pct"/>
            <w:tcBorders>
              <w:top w:val="single" w:sz="4" w:space="0" w:color="201547" w:themeColor="text2"/>
              <w:left w:val="nil"/>
              <w:bottom w:val="single" w:sz="4" w:space="0" w:color="201547" w:themeColor="text2"/>
              <w:right w:val="nil"/>
            </w:tcBorders>
            <w:shd w:val="clear" w:color="auto" w:fill="E7E6E6"/>
          </w:tcPr>
          <w:p w14:paraId="75523EA8" w14:textId="77777777" w:rsidR="00B21991" w:rsidRPr="00FB15DB" w:rsidRDefault="00B21991" w:rsidP="00B978E1">
            <w:pPr>
              <w:pStyle w:val="TableTextLeft"/>
              <w:jc w:val="center"/>
            </w:pPr>
          </w:p>
        </w:tc>
        <w:tc>
          <w:tcPr>
            <w:tcW w:w="430" w:type="pct"/>
            <w:tcBorders>
              <w:top w:val="single" w:sz="4" w:space="0" w:color="201547" w:themeColor="text2"/>
              <w:left w:val="nil"/>
              <w:bottom w:val="single" w:sz="4" w:space="0" w:color="201547" w:themeColor="text2"/>
              <w:right w:val="nil"/>
            </w:tcBorders>
            <w:shd w:val="clear" w:color="auto" w:fill="E7E6E6"/>
          </w:tcPr>
          <w:p w14:paraId="6F3AABF7" w14:textId="77777777" w:rsidR="00B21991" w:rsidRPr="00FB15DB" w:rsidRDefault="00B21991" w:rsidP="00B978E1">
            <w:pPr>
              <w:pStyle w:val="TableTextLeft"/>
              <w:jc w:val="center"/>
            </w:pPr>
          </w:p>
        </w:tc>
        <w:tc>
          <w:tcPr>
            <w:tcW w:w="430" w:type="pct"/>
            <w:tcBorders>
              <w:top w:val="single" w:sz="4" w:space="0" w:color="201547" w:themeColor="text2"/>
              <w:left w:val="nil"/>
              <w:bottom w:val="single" w:sz="4" w:space="0" w:color="201547" w:themeColor="text2"/>
              <w:right w:val="nil"/>
            </w:tcBorders>
            <w:shd w:val="clear" w:color="auto" w:fill="E7E6E6"/>
          </w:tcPr>
          <w:p w14:paraId="38E4032A" w14:textId="77777777" w:rsidR="00B21991" w:rsidRPr="00FB15DB" w:rsidRDefault="00B21991" w:rsidP="00B978E1">
            <w:pPr>
              <w:pStyle w:val="TableTextLeft"/>
              <w:jc w:val="center"/>
            </w:pPr>
          </w:p>
        </w:tc>
        <w:tc>
          <w:tcPr>
            <w:tcW w:w="430" w:type="pct"/>
            <w:tcBorders>
              <w:top w:val="single" w:sz="4" w:space="0" w:color="201547" w:themeColor="text2"/>
              <w:left w:val="nil"/>
              <w:bottom w:val="single" w:sz="4" w:space="0" w:color="201547" w:themeColor="text2"/>
              <w:right w:val="nil"/>
            </w:tcBorders>
            <w:shd w:val="clear" w:color="auto" w:fill="E7E6E6"/>
          </w:tcPr>
          <w:p w14:paraId="1E5A3368" w14:textId="77777777" w:rsidR="00B21991" w:rsidRPr="00FB15DB" w:rsidRDefault="00B21991" w:rsidP="00B978E1">
            <w:pPr>
              <w:pStyle w:val="TableTextLeft"/>
              <w:jc w:val="center"/>
            </w:pP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0572EBC2"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7E6E6"/>
          </w:tcPr>
          <w:p w14:paraId="24CB3630" w14:textId="77777777" w:rsidR="00B21991" w:rsidRPr="00FB15DB" w:rsidRDefault="00B21991" w:rsidP="00B978E1">
            <w:pPr>
              <w:pStyle w:val="TableTextLeft"/>
              <w:jc w:val="center"/>
            </w:pP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22EA9892" w14:textId="77777777" w:rsidR="00B21991" w:rsidRPr="00FB15DB" w:rsidRDefault="00B21991" w:rsidP="00B978E1">
            <w:pPr>
              <w:pStyle w:val="TableTextLeft"/>
              <w:jc w:val="center"/>
            </w:pPr>
            <w:r w:rsidRPr="00FB15DB">
              <w:t>-</w:t>
            </w:r>
          </w:p>
        </w:tc>
      </w:tr>
      <w:tr w:rsidR="00B21991" w:rsidRPr="00FB15DB" w14:paraId="0547C5E6" w14:textId="77777777" w:rsidTr="0095209B">
        <w:trPr>
          <w:trHeight w:val="278"/>
        </w:trPr>
        <w:tc>
          <w:tcPr>
            <w:tcW w:w="193" w:type="pct"/>
            <w:vMerge w:val="restart"/>
            <w:tcBorders>
              <w:top w:val="single" w:sz="4" w:space="0" w:color="201547" w:themeColor="text2"/>
              <w:left w:val="nil"/>
              <w:bottom w:val="single" w:sz="4" w:space="0" w:color="201547" w:themeColor="text2"/>
              <w:right w:val="nil"/>
            </w:tcBorders>
            <w:shd w:val="clear" w:color="auto" w:fill="auto"/>
          </w:tcPr>
          <w:p w14:paraId="1EAFA301" w14:textId="77777777" w:rsidR="00B21991" w:rsidRPr="00FB15DB" w:rsidRDefault="00B21991" w:rsidP="00E352F2">
            <w:pPr>
              <w:pStyle w:val="TableTextLeft"/>
            </w:pPr>
            <w:r w:rsidRPr="00FB15DB">
              <w:t>Cultural heritage</w:t>
            </w:r>
          </w:p>
        </w:tc>
        <w:tc>
          <w:tcPr>
            <w:tcW w:w="502" w:type="pct"/>
            <w:tcBorders>
              <w:top w:val="single" w:sz="4" w:space="0" w:color="201547" w:themeColor="text2"/>
              <w:left w:val="nil"/>
              <w:bottom w:val="single" w:sz="4" w:space="0" w:color="201547" w:themeColor="text2"/>
              <w:right w:val="nil"/>
            </w:tcBorders>
            <w:shd w:val="clear" w:color="auto" w:fill="auto"/>
          </w:tcPr>
          <w:p w14:paraId="530D24C5" w14:textId="77777777" w:rsidR="00B21991" w:rsidRPr="00FB15DB" w:rsidRDefault="00B21991" w:rsidP="00E352F2">
            <w:pPr>
              <w:pStyle w:val="TableTextLeft"/>
            </w:pPr>
            <w:r w:rsidRPr="00FB15DB">
              <w:t>Historic / Contemporary</w:t>
            </w:r>
          </w:p>
        </w:tc>
        <w:tc>
          <w:tcPr>
            <w:tcW w:w="430" w:type="pct"/>
            <w:tcBorders>
              <w:top w:val="single" w:sz="4" w:space="0" w:color="201547" w:themeColor="text2"/>
              <w:left w:val="nil"/>
              <w:bottom w:val="single" w:sz="4" w:space="0" w:color="201547" w:themeColor="text2"/>
              <w:right w:val="nil"/>
            </w:tcBorders>
            <w:shd w:val="clear" w:color="auto" w:fill="E7E6E6"/>
          </w:tcPr>
          <w:p w14:paraId="3A487761" w14:textId="77777777" w:rsidR="00B21991" w:rsidRPr="00FB15DB" w:rsidRDefault="00B21991" w:rsidP="00B978E1">
            <w:pPr>
              <w:pStyle w:val="TableTextLeft"/>
              <w:jc w:val="center"/>
            </w:pPr>
          </w:p>
        </w:tc>
        <w:tc>
          <w:tcPr>
            <w:tcW w:w="430" w:type="pct"/>
            <w:tcBorders>
              <w:top w:val="single" w:sz="4" w:space="0" w:color="201547" w:themeColor="text2"/>
              <w:left w:val="nil"/>
              <w:bottom w:val="single" w:sz="4" w:space="0" w:color="201547" w:themeColor="text2"/>
              <w:right w:val="nil"/>
            </w:tcBorders>
            <w:shd w:val="clear" w:color="auto" w:fill="BAADE7" w:themeFill="accent4" w:themeFillTint="40"/>
          </w:tcPr>
          <w:p w14:paraId="0918879A" w14:textId="77777777" w:rsidR="00B21991" w:rsidRPr="00FB15DB" w:rsidRDefault="00B21991" w:rsidP="00B978E1">
            <w:pPr>
              <w:pStyle w:val="TableTextLeft"/>
              <w:jc w:val="center"/>
            </w:pPr>
            <w:r w:rsidRPr="00FB15DB">
              <w:rPr>
                <w:rFonts w:eastAsia="Calibri"/>
              </w:rPr>
              <w:t>○</w:t>
            </w:r>
          </w:p>
        </w:tc>
        <w:tc>
          <w:tcPr>
            <w:tcW w:w="430" w:type="pct"/>
            <w:tcBorders>
              <w:top w:val="single" w:sz="4" w:space="0" w:color="201547" w:themeColor="text2"/>
              <w:left w:val="nil"/>
              <w:bottom w:val="single" w:sz="4" w:space="0" w:color="201547" w:themeColor="text2"/>
              <w:right w:val="nil"/>
            </w:tcBorders>
            <w:shd w:val="clear" w:color="auto" w:fill="BAADE7" w:themeFill="accent4" w:themeFillTint="40"/>
          </w:tcPr>
          <w:p w14:paraId="0D16DDBD" w14:textId="77777777" w:rsidR="00B21991" w:rsidRPr="00FB15DB" w:rsidRDefault="00B21991" w:rsidP="00B978E1">
            <w:pPr>
              <w:pStyle w:val="TableTextLeft"/>
              <w:jc w:val="center"/>
            </w:pPr>
            <w:r w:rsidRPr="00FB15DB">
              <w:rPr>
                <w:rFonts w:eastAsia="Calibri"/>
              </w:rPr>
              <w:t>○</w:t>
            </w:r>
          </w:p>
        </w:tc>
        <w:tc>
          <w:tcPr>
            <w:tcW w:w="430" w:type="pct"/>
            <w:tcBorders>
              <w:top w:val="single" w:sz="4" w:space="0" w:color="201547" w:themeColor="text2"/>
              <w:left w:val="nil"/>
              <w:bottom w:val="single" w:sz="4" w:space="0" w:color="201547" w:themeColor="text2"/>
              <w:right w:val="nil"/>
            </w:tcBorders>
            <w:shd w:val="clear" w:color="auto" w:fill="BAADE7" w:themeFill="accent4" w:themeFillTint="40"/>
          </w:tcPr>
          <w:p w14:paraId="41455761" w14:textId="77777777" w:rsidR="00B21991" w:rsidRPr="00FB15DB" w:rsidRDefault="00B21991" w:rsidP="00B978E1">
            <w:pPr>
              <w:pStyle w:val="TableTextLeft"/>
              <w:jc w:val="center"/>
            </w:pPr>
            <w:r w:rsidRPr="00FB15DB">
              <w:rPr>
                <w:rFonts w:eastAsia="Calibri"/>
              </w:rPr>
              <w:t>○</w:t>
            </w:r>
          </w:p>
        </w:tc>
        <w:tc>
          <w:tcPr>
            <w:tcW w:w="430" w:type="pct"/>
            <w:tcBorders>
              <w:top w:val="single" w:sz="4" w:space="0" w:color="201547" w:themeColor="text2"/>
              <w:left w:val="nil"/>
              <w:bottom w:val="single" w:sz="4" w:space="0" w:color="201547" w:themeColor="text2"/>
              <w:right w:val="nil"/>
            </w:tcBorders>
            <w:shd w:val="clear" w:color="auto" w:fill="BAADE7" w:themeFill="accent4" w:themeFillTint="40"/>
          </w:tcPr>
          <w:p w14:paraId="1C35F52A" w14:textId="77777777" w:rsidR="00B21991" w:rsidRPr="00FB15DB" w:rsidRDefault="00B21991" w:rsidP="00B978E1">
            <w:pPr>
              <w:pStyle w:val="TableTextLeft"/>
              <w:jc w:val="center"/>
            </w:pPr>
            <w:r w:rsidRPr="00FB15DB">
              <w:rPr>
                <w:rFonts w:eastAsia="Calibri"/>
              </w:rPr>
              <w:t>○</w:t>
            </w:r>
          </w:p>
        </w:tc>
        <w:tc>
          <w:tcPr>
            <w:tcW w:w="430" w:type="pct"/>
            <w:tcBorders>
              <w:top w:val="single" w:sz="4" w:space="0" w:color="201547" w:themeColor="text2"/>
              <w:left w:val="nil"/>
              <w:bottom w:val="single" w:sz="4" w:space="0" w:color="201547" w:themeColor="text2"/>
              <w:right w:val="nil"/>
            </w:tcBorders>
            <w:shd w:val="clear" w:color="auto" w:fill="BAADE7" w:themeFill="accent4" w:themeFillTint="40"/>
          </w:tcPr>
          <w:p w14:paraId="5D0B0653" w14:textId="77777777" w:rsidR="00B21991" w:rsidRPr="00FB15DB" w:rsidRDefault="00B21991" w:rsidP="00B978E1">
            <w:pPr>
              <w:pStyle w:val="TableTextLeft"/>
              <w:jc w:val="center"/>
            </w:pPr>
            <w:r w:rsidRPr="00FB15DB">
              <w:rPr>
                <w:rFonts w:eastAsia="Calibri"/>
              </w:rPr>
              <w:t>○</w:t>
            </w:r>
          </w:p>
        </w:tc>
        <w:tc>
          <w:tcPr>
            <w:tcW w:w="430" w:type="pct"/>
            <w:tcBorders>
              <w:top w:val="single" w:sz="4" w:space="0" w:color="201547" w:themeColor="text2"/>
              <w:left w:val="nil"/>
              <w:bottom w:val="single" w:sz="4" w:space="0" w:color="201547" w:themeColor="text2"/>
              <w:right w:val="nil"/>
            </w:tcBorders>
            <w:shd w:val="clear" w:color="auto" w:fill="BAADE7" w:themeFill="accent4" w:themeFillTint="40"/>
          </w:tcPr>
          <w:p w14:paraId="0AFE9597" w14:textId="77777777" w:rsidR="00B21991" w:rsidRPr="00FB15DB" w:rsidRDefault="00B21991" w:rsidP="00B978E1">
            <w:pPr>
              <w:pStyle w:val="TableTextLeft"/>
              <w:jc w:val="center"/>
            </w:pPr>
            <w:r w:rsidRPr="00FB15DB">
              <w:rPr>
                <w:rFonts w:eastAsia="Calibri"/>
              </w:rPr>
              <w:t>○</w:t>
            </w:r>
          </w:p>
        </w:tc>
        <w:tc>
          <w:tcPr>
            <w:tcW w:w="430" w:type="pct"/>
            <w:tcBorders>
              <w:top w:val="single" w:sz="4" w:space="0" w:color="201547" w:themeColor="text2"/>
              <w:left w:val="nil"/>
              <w:bottom w:val="single" w:sz="4" w:space="0" w:color="201547" w:themeColor="text2"/>
              <w:right w:val="nil"/>
            </w:tcBorders>
            <w:shd w:val="clear" w:color="auto" w:fill="BAADE7" w:themeFill="accent4" w:themeFillTint="40"/>
          </w:tcPr>
          <w:p w14:paraId="63BD89DC" w14:textId="77777777" w:rsidR="00B21991" w:rsidRPr="00FB15DB" w:rsidRDefault="00B21991" w:rsidP="00B978E1">
            <w:pPr>
              <w:pStyle w:val="TableTextLeft"/>
              <w:jc w:val="center"/>
            </w:pPr>
            <w:r w:rsidRPr="00FB15DB">
              <w:rPr>
                <w:rFonts w:eastAsia="Calibri"/>
              </w:rPr>
              <w:t>○</w:t>
            </w:r>
          </w:p>
        </w:tc>
        <w:tc>
          <w:tcPr>
            <w:tcW w:w="430" w:type="pct"/>
            <w:tcBorders>
              <w:top w:val="single" w:sz="4" w:space="0" w:color="201547" w:themeColor="text2"/>
              <w:left w:val="nil"/>
              <w:bottom w:val="single" w:sz="4" w:space="0" w:color="201547" w:themeColor="text2"/>
              <w:right w:val="nil"/>
            </w:tcBorders>
            <w:shd w:val="clear" w:color="auto" w:fill="BAADE7" w:themeFill="accent4" w:themeFillTint="40"/>
          </w:tcPr>
          <w:p w14:paraId="795EAC1D" w14:textId="77777777" w:rsidR="00B21991" w:rsidRPr="00FB15DB" w:rsidRDefault="00B21991" w:rsidP="00B978E1">
            <w:pPr>
              <w:pStyle w:val="TableTextLeft"/>
              <w:jc w:val="center"/>
            </w:pPr>
            <w:r w:rsidRPr="00FB15DB">
              <w:rPr>
                <w:rFonts w:eastAsia="Calibri"/>
              </w:rPr>
              <w:t>○</w:t>
            </w:r>
          </w:p>
        </w:tc>
        <w:tc>
          <w:tcPr>
            <w:tcW w:w="430" w:type="pct"/>
            <w:tcBorders>
              <w:top w:val="single" w:sz="4" w:space="0" w:color="201547" w:themeColor="text2"/>
              <w:left w:val="nil"/>
              <w:bottom w:val="single" w:sz="4" w:space="0" w:color="201547" w:themeColor="text2"/>
              <w:right w:val="nil"/>
            </w:tcBorders>
            <w:shd w:val="clear" w:color="auto" w:fill="BAADE7" w:themeFill="accent4" w:themeFillTint="40"/>
          </w:tcPr>
          <w:p w14:paraId="3FFDC3A7" w14:textId="77777777" w:rsidR="00B21991" w:rsidRPr="00FB15DB" w:rsidRDefault="00B21991" w:rsidP="00B978E1">
            <w:pPr>
              <w:pStyle w:val="TableTextLeft"/>
              <w:jc w:val="center"/>
            </w:pPr>
            <w:r w:rsidRPr="00FB15DB">
              <w:rPr>
                <w:rFonts w:eastAsia="Calibri"/>
              </w:rPr>
              <w:t>○</w:t>
            </w:r>
          </w:p>
        </w:tc>
      </w:tr>
      <w:tr w:rsidR="00B21991" w:rsidRPr="00FB15DB" w14:paraId="74927E64" w14:textId="77777777" w:rsidTr="0095209B">
        <w:trPr>
          <w:trHeight w:val="149"/>
        </w:trPr>
        <w:tc>
          <w:tcPr>
            <w:tcW w:w="193" w:type="pct"/>
            <w:vMerge/>
            <w:tcBorders>
              <w:top w:val="single" w:sz="4" w:space="0" w:color="201547" w:themeColor="text2"/>
              <w:left w:val="nil"/>
              <w:bottom w:val="single" w:sz="4" w:space="0" w:color="201547" w:themeColor="text2"/>
              <w:right w:val="nil"/>
            </w:tcBorders>
          </w:tcPr>
          <w:p w14:paraId="2D7FAF12" w14:textId="77777777" w:rsidR="00B21991" w:rsidRPr="00FB15DB" w:rsidRDefault="00B21991" w:rsidP="00E352F2">
            <w:pPr>
              <w:pStyle w:val="TableTextLeft"/>
            </w:pPr>
          </w:p>
        </w:tc>
        <w:tc>
          <w:tcPr>
            <w:tcW w:w="502" w:type="pct"/>
            <w:tcBorders>
              <w:top w:val="single" w:sz="4" w:space="0" w:color="201547" w:themeColor="text2"/>
              <w:left w:val="nil"/>
              <w:bottom w:val="single" w:sz="4" w:space="0" w:color="201547" w:themeColor="text2"/>
              <w:right w:val="nil"/>
            </w:tcBorders>
            <w:shd w:val="clear" w:color="auto" w:fill="auto"/>
          </w:tcPr>
          <w:p w14:paraId="166C06F4" w14:textId="77777777" w:rsidR="00B21991" w:rsidRPr="00FB15DB" w:rsidRDefault="00B21991" w:rsidP="00E352F2">
            <w:pPr>
              <w:pStyle w:val="TableTextLeft"/>
            </w:pPr>
            <w:r w:rsidRPr="00FB15DB">
              <w:t>Traditional Owners</w:t>
            </w:r>
          </w:p>
        </w:tc>
        <w:tc>
          <w:tcPr>
            <w:tcW w:w="430" w:type="pct"/>
            <w:tcBorders>
              <w:top w:val="single" w:sz="4" w:space="0" w:color="201547" w:themeColor="text2"/>
              <w:left w:val="nil"/>
              <w:bottom w:val="single" w:sz="4" w:space="0" w:color="201547" w:themeColor="text2"/>
              <w:right w:val="nil"/>
            </w:tcBorders>
            <w:shd w:val="clear" w:color="auto" w:fill="E7E6E6"/>
          </w:tcPr>
          <w:p w14:paraId="49538812" w14:textId="77777777" w:rsidR="00B21991" w:rsidRPr="00FB15DB" w:rsidRDefault="00B21991" w:rsidP="00B978E1">
            <w:pPr>
              <w:pStyle w:val="TableTextLeft"/>
              <w:jc w:val="center"/>
            </w:pPr>
          </w:p>
        </w:tc>
        <w:tc>
          <w:tcPr>
            <w:tcW w:w="3874" w:type="pct"/>
            <w:gridSpan w:val="9"/>
            <w:tcBorders>
              <w:top w:val="single" w:sz="4" w:space="0" w:color="201547" w:themeColor="text2"/>
              <w:left w:val="nil"/>
              <w:bottom w:val="single" w:sz="4" w:space="0" w:color="201547" w:themeColor="text2"/>
              <w:right w:val="nil"/>
            </w:tcBorders>
            <w:shd w:val="clear" w:color="auto" w:fill="E3DEF5" w:themeFill="accent4" w:themeFillTint="1A"/>
          </w:tcPr>
          <w:p w14:paraId="2497F4AE" w14:textId="77777777" w:rsidR="00B21991" w:rsidRPr="00FB15DB" w:rsidRDefault="00B21991" w:rsidP="00B978E1">
            <w:pPr>
              <w:pStyle w:val="TableTextLeft"/>
              <w:jc w:val="center"/>
              <w:rPr>
                <w:rFonts w:eastAsia="Calibri"/>
                <w:i/>
              </w:rPr>
            </w:pPr>
            <w:r w:rsidRPr="00FB15DB">
              <w:rPr>
                <w:rFonts w:eastAsia="Calibri"/>
                <w:i/>
              </w:rPr>
              <w:t>See Sections 3.2.8.1 and 4.8.8.1</w:t>
            </w:r>
          </w:p>
        </w:tc>
      </w:tr>
      <w:tr w:rsidR="00B21991" w:rsidRPr="00FB15DB" w14:paraId="150D782F" w14:textId="77777777" w:rsidTr="0095209B">
        <w:trPr>
          <w:trHeight w:val="278"/>
        </w:trPr>
        <w:tc>
          <w:tcPr>
            <w:tcW w:w="695" w:type="pct"/>
            <w:gridSpan w:val="2"/>
            <w:tcBorders>
              <w:top w:val="single" w:sz="4" w:space="0" w:color="201547" w:themeColor="text2"/>
              <w:left w:val="nil"/>
              <w:bottom w:val="single" w:sz="4" w:space="0" w:color="201547" w:themeColor="text2"/>
              <w:right w:val="nil"/>
            </w:tcBorders>
            <w:shd w:val="clear" w:color="auto" w:fill="auto"/>
          </w:tcPr>
          <w:p w14:paraId="3307B199" w14:textId="77777777" w:rsidR="00B21991" w:rsidRPr="00FB15DB" w:rsidRDefault="00B21991" w:rsidP="00E352F2">
            <w:pPr>
              <w:pStyle w:val="TableTextLeft"/>
            </w:pPr>
            <w:r w:rsidRPr="00FB15DB">
              <w:t>Education and research</w:t>
            </w:r>
          </w:p>
        </w:tc>
        <w:tc>
          <w:tcPr>
            <w:tcW w:w="430" w:type="pct"/>
            <w:tcBorders>
              <w:top w:val="single" w:sz="4" w:space="0" w:color="201547" w:themeColor="text2"/>
              <w:left w:val="nil"/>
              <w:bottom w:val="single" w:sz="4" w:space="0" w:color="201547" w:themeColor="text2"/>
              <w:right w:val="nil"/>
            </w:tcBorders>
            <w:shd w:val="clear" w:color="auto" w:fill="E7E6E6"/>
          </w:tcPr>
          <w:p w14:paraId="49350A61" w14:textId="77777777" w:rsidR="00B21991" w:rsidRPr="00FB15DB" w:rsidRDefault="00B21991" w:rsidP="00B978E1">
            <w:pPr>
              <w:pStyle w:val="TableTextLeft"/>
              <w:jc w:val="center"/>
            </w:pP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12DC163D"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204DE453"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673D0689"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2B30B36D"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06602788"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31D93219"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7463AA91"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2E937370"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BAADE7" w:themeFill="accent4" w:themeFillTint="40"/>
          </w:tcPr>
          <w:p w14:paraId="69C065C7" w14:textId="77777777" w:rsidR="00B21991" w:rsidRPr="00FB15DB" w:rsidRDefault="00B21991" w:rsidP="00B978E1">
            <w:pPr>
              <w:pStyle w:val="TableTextLeft"/>
              <w:jc w:val="center"/>
            </w:pPr>
            <w:r w:rsidRPr="00FB15DB">
              <w:t>●</w:t>
            </w:r>
          </w:p>
        </w:tc>
      </w:tr>
      <w:tr w:rsidR="00B21991" w:rsidRPr="00FB15DB" w14:paraId="4BD22F43" w14:textId="77777777" w:rsidTr="0095209B">
        <w:trPr>
          <w:trHeight w:val="278"/>
        </w:trPr>
        <w:tc>
          <w:tcPr>
            <w:tcW w:w="695" w:type="pct"/>
            <w:gridSpan w:val="2"/>
            <w:tcBorders>
              <w:top w:val="single" w:sz="4" w:space="0" w:color="201547" w:themeColor="text2"/>
              <w:left w:val="nil"/>
              <w:bottom w:val="single" w:sz="4" w:space="0" w:color="201547" w:themeColor="text2"/>
              <w:right w:val="nil"/>
            </w:tcBorders>
            <w:shd w:val="clear" w:color="auto" w:fill="auto"/>
          </w:tcPr>
          <w:p w14:paraId="40C86456" w14:textId="77777777" w:rsidR="00B21991" w:rsidRPr="00FB15DB" w:rsidRDefault="00B21991" w:rsidP="00E352F2">
            <w:pPr>
              <w:pStyle w:val="TableTextLeft"/>
              <w:rPr>
                <w:vertAlign w:val="superscript"/>
              </w:rPr>
            </w:pPr>
            <w:r w:rsidRPr="00FB15DB">
              <w:t xml:space="preserve">Biomass - Energy (biofuels) </w:t>
            </w:r>
            <w:r w:rsidRPr="00FB15DB">
              <w:rPr>
                <w:vertAlign w:val="superscript"/>
              </w:rPr>
              <w:t>a</w:t>
            </w:r>
          </w:p>
        </w:tc>
        <w:tc>
          <w:tcPr>
            <w:tcW w:w="430" w:type="pct"/>
            <w:tcBorders>
              <w:top w:val="single" w:sz="4" w:space="0" w:color="201547" w:themeColor="text2"/>
              <w:left w:val="nil"/>
              <w:bottom w:val="single" w:sz="4" w:space="0" w:color="201547" w:themeColor="text2"/>
              <w:right w:val="nil"/>
            </w:tcBorders>
            <w:shd w:val="clear" w:color="auto" w:fill="E7E6E6"/>
          </w:tcPr>
          <w:p w14:paraId="62BE1919" w14:textId="77777777" w:rsidR="00B21991" w:rsidRPr="00FB15DB" w:rsidRDefault="00B21991" w:rsidP="00B978E1">
            <w:pPr>
              <w:pStyle w:val="TableTextLeft"/>
              <w:jc w:val="center"/>
            </w:pPr>
          </w:p>
        </w:tc>
        <w:tc>
          <w:tcPr>
            <w:tcW w:w="430" w:type="pct"/>
            <w:tcBorders>
              <w:top w:val="single" w:sz="4" w:space="0" w:color="201547" w:themeColor="text2"/>
              <w:left w:val="nil"/>
              <w:bottom w:val="single" w:sz="4" w:space="0" w:color="201547" w:themeColor="text2"/>
              <w:right w:val="nil"/>
            </w:tcBorders>
            <w:shd w:val="clear" w:color="auto" w:fill="E7E6E6"/>
          </w:tcPr>
          <w:p w14:paraId="31D5B677" w14:textId="77777777" w:rsidR="00B21991" w:rsidRPr="00FB15DB" w:rsidRDefault="00B21991" w:rsidP="00B978E1">
            <w:pPr>
              <w:pStyle w:val="TableTextLeft"/>
              <w:jc w:val="center"/>
            </w:pP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6EC5B9A9"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32707EB5"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7E6E6"/>
          </w:tcPr>
          <w:p w14:paraId="20B9B867" w14:textId="77777777" w:rsidR="00B21991" w:rsidRPr="00FB15DB" w:rsidRDefault="00B21991" w:rsidP="00B978E1">
            <w:pPr>
              <w:pStyle w:val="TableTextLeft"/>
              <w:jc w:val="center"/>
            </w:pPr>
          </w:p>
        </w:tc>
        <w:tc>
          <w:tcPr>
            <w:tcW w:w="430" w:type="pct"/>
            <w:tcBorders>
              <w:top w:val="single" w:sz="4" w:space="0" w:color="201547" w:themeColor="text2"/>
              <w:left w:val="nil"/>
              <w:bottom w:val="single" w:sz="4" w:space="0" w:color="201547" w:themeColor="text2"/>
              <w:right w:val="nil"/>
            </w:tcBorders>
            <w:shd w:val="clear" w:color="auto" w:fill="E7E6E6"/>
          </w:tcPr>
          <w:p w14:paraId="0FE4084F" w14:textId="77777777" w:rsidR="00B21991" w:rsidRPr="00FB15DB" w:rsidRDefault="00B21991" w:rsidP="00B978E1">
            <w:pPr>
              <w:pStyle w:val="TableTextLeft"/>
              <w:jc w:val="center"/>
            </w:pPr>
          </w:p>
        </w:tc>
        <w:tc>
          <w:tcPr>
            <w:tcW w:w="430" w:type="pct"/>
            <w:tcBorders>
              <w:top w:val="single" w:sz="4" w:space="0" w:color="201547" w:themeColor="text2"/>
              <w:left w:val="nil"/>
              <w:bottom w:val="single" w:sz="4" w:space="0" w:color="201547" w:themeColor="text2"/>
              <w:right w:val="nil"/>
            </w:tcBorders>
            <w:shd w:val="clear" w:color="auto" w:fill="E7E6E6"/>
          </w:tcPr>
          <w:p w14:paraId="3A1F7DB7" w14:textId="77777777" w:rsidR="00B21991" w:rsidRPr="00FB15DB" w:rsidRDefault="00B21991" w:rsidP="00B978E1">
            <w:pPr>
              <w:pStyle w:val="TableTextLeft"/>
              <w:jc w:val="center"/>
            </w:pPr>
          </w:p>
        </w:tc>
        <w:tc>
          <w:tcPr>
            <w:tcW w:w="430" w:type="pct"/>
            <w:tcBorders>
              <w:top w:val="single" w:sz="4" w:space="0" w:color="201547" w:themeColor="text2"/>
              <w:left w:val="nil"/>
              <w:bottom w:val="single" w:sz="4" w:space="0" w:color="201547" w:themeColor="text2"/>
              <w:right w:val="nil"/>
            </w:tcBorders>
            <w:shd w:val="clear" w:color="auto" w:fill="E7E6E6"/>
          </w:tcPr>
          <w:p w14:paraId="6526A61A" w14:textId="77777777" w:rsidR="00B21991" w:rsidRPr="00FB15DB" w:rsidRDefault="00B21991" w:rsidP="00B978E1">
            <w:pPr>
              <w:pStyle w:val="TableTextLeft"/>
              <w:jc w:val="center"/>
            </w:pPr>
          </w:p>
        </w:tc>
        <w:tc>
          <w:tcPr>
            <w:tcW w:w="430" w:type="pct"/>
            <w:tcBorders>
              <w:top w:val="single" w:sz="4" w:space="0" w:color="201547" w:themeColor="text2"/>
              <w:left w:val="nil"/>
              <w:bottom w:val="single" w:sz="4" w:space="0" w:color="201547" w:themeColor="text2"/>
              <w:right w:val="nil"/>
            </w:tcBorders>
            <w:shd w:val="clear" w:color="auto" w:fill="E7E6E6"/>
          </w:tcPr>
          <w:p w14:paraId="16BF1E5F" w14:textId="77777777" w:rsidR="00B21991" w:rsidRPr="00FB15DB" w:rsidRDefault="00B21991" w:rsidP="00B978E1">
            <w:pPr>
              <w:pStyle w:val="TableTextLeft"/>
              <w:jc w:val="center"/>
            </w:pPr>
          </w:p>
        </w:tc>
        <w:tc>
          <w:tcPr>
            <w:tcW w:w="430" w:type="pct"/>
            <w:tcBorders>
              <w:top w:val="single" w:sz="4" w:space="0" w:color="201547" w:themeColor="text2"/>
              <w:left w:val="nil"/>
              <w:bottom w:val="single" w:sz="4" w:space="0" w:color="201547" w:themeColor="text2"/>
              <w:right w:val="nil"/>
            </w:tcBorders>
            <w:shd w:val="clear" w:color="auto" w:fill="E7E6E6"/>
          </w:tcPr>
          <w:p w14:paraId="3CFCDDB5" w14:textId="77777777" w:rsidR="00B21991" w:rsidRPr="00FB15DB" w:rsidRDefault="00B21991" w:rsidP="00B978E1">
            <w:pPr>
              <w:pStyle w:val="TableTextLeft"/>
              <w:jc w:val="center"/>
            </w:pPr>
          </w:p>
        </w:tc>
      </w:tr>
      <w:tr w:rsidR="00B21991" w:rsidRPr="00FB15DB" w14:paraId="3F8243D4" w14:textId="77777777" w:rsidTr="0095209B">
        <w:trPr>
          <w:trHeight w:val="278"/>
        </w:trPr>
        <w:tc>
          <w:tcPr>
            <w:tcW w:w="695" w:type="pct"/>
            <w:gridSpan w:val="2"/>
            <w:tcBorders>
              <w:top w:val="single" w:sz="4" w:space="0" w:color="201547" w:themeColor="text2"/>
              <w:left w:val="nil"/>
              <w:bottom w:val="single" w:sz="4" w:space="0" w:color="201547" w:themeColor="text2"/>
              <w:right w:val="nil"/>
            </w:tcBorders>
            <w:shd w:val="clear" w:color="auto" w:fill="auto"/>
          </w:tcPr>
          <w:p w14:paraId="596BF441" w14:textId="77777777" w:rsidR="00B21991" w:rsidRPr="00FB15DB" w:rsidRDefault="00B21991" w:rsidP="00E352F2">
            <w:pPr>
              <w:pStyle w:val="TableTextLeft"/>
            </w:pPr>
            <w:r w:rsidRPr="00FB15DB">
              <w:t>Existence / Option value</w:t>
            </w:r>
          </w:p>
        </w:tc>
        <w:tc>
          <w:tcPr>
            <w:tcW w:w="430" w:type="pct"/>
            <w:tcBorders>
              <w:top w:val="single" w:sz="4" w:space="0" w:color="201547" w:themeColor="text2"/>
              <w:left w:val="nil"/>
              <w:bottom w:val="single" w:sz="4" w:space="0" w:color="201547" w:themeColor="text2"/>
              <w:right w:val="nil"/>
            </w:tcBorders>
            <w:shd w:val="clear" w:color="auto" w:fill="E7E6E6"/>
          </w:tcPr>
          <w:p w14:paraId="1D86566E" w14:textId="77777777" w:rsidR="00B21991" w:rsidRPr="00FB15DB" w:rsidRDefault="00B21991" w:rsidP="00B978E1">
            <w:pPr>
              <w:pStyle w:val="TableTextLeft"/>
              <w:jc w:val="center"/>
            </w:pPr>
          </w:p>
        </w:tc>
        <w:tc>
          <w:tcPr>
            <w:tcW w:w="430" w:type="pct"/>
            <w:tcBorders>
              <w:top w:val="single" w:sz="4" w:space="0" w:color="201547" w:themeColor="text2"/>
              <w:left w:val="nil"/>
              <w:bottom w:val="single" w:sz="4" w:space="0" w:color="201547" w:themeColor="text2"/>
              <w:right w:val="nil"/>
            </w:tcBorders>
            <w:shd w:val="clear" w:color="auto" w:fill="BAADE7" w:themeFill="accent4" w:themeFillTint="40"/>
          </w:tcPr>
          <w:p w14:paraId="45AE7441" w14:textId="77777777" w:rsidR="00B21991" w:rsidRPr="00FB15DB" w:rsidRDefault="00B21991" w:rsidP="00B978E1">
            <w:pPr>
              <w:pStyle w:val="TableTextLeft"/>
              <w:jc w:val="center"/>
            </w:pPr>
            <w:r w:rsidRPr="00FB15DB">
              <w:rPr>
                <w:rFonts w:eastAsia="Calibri"/>
              </w:rPr>
              <w:t>○</w:t>
            </w:r>
          </w:p>
        </w:tc>
        <w:tc>
          <w:tcPr>
            <w:tcW w:w="430" w:type="pct"/>
            <w:tcBorders>
              <w:top w:val="single" w:sz="4" w:space="0" w:color="201547" w:themeColor="text2"/>
              <w:left w:val="nil"/>
              <w:bottom w:val="single" w:sz="4" w:space="0" w:color="201547" w:themeColor="text2"/>
              <w:right w:val="nil"/>
            </w:tcBorders>
            <w:shd w:val="clear" w:color="auto" w:fill="BAADE7" w:themeFill="accent4" w:themeFillTint="40"/>
          </w:tcPr>
          <w:p w14:paraId="50AEC797" w14:textId="77777777" w:rsidR="00B21991" w:rsidRPr="00FB15DB" w:rsidRDefault="00B21991" w:rsidP="00B978E1">
            <w:pPr>
              <w:pStyle w:val="TableTextLeft"/>
              <w:jc w:val="center"/>
            </w:pPr>
            <w:r w:rsidRPr="00FB15DB">
              <w:rPr>
                <w:rFonts w:eastAsia="Calibri"/>
              </w:rPr>
              <w:t>○</w:t>
            </w:r>
          </w:p>
        </w:tc>
        <w:tc>
          <w:tcPr>
            <w:tcW w:w="430" w:type="pct"/>
            <w:tcBorders>
              <w:top w:val="single" w:sz="4" w:space="0" w:color="201547" w:themeColor="text2"/>
              <w:left w:val="nil"/>
              <w:bottom w:val="single" w:sz="4" w:space="0" w:color="201547" w:themeColor="text2"/>
              <w:right w:val="nil"/>
            </w:tcBorders>
            <w:shd w:val="clear" w:color="auto" w:fill="BAADE7" w:themeFill="accent4" w:themeFillTint="40"/>
          </w:tcPr>
          <w:p w14:paraId="5C2BCDDC" w14:textId="77777777" w:rsidR="00B21991" w:rsidRPr="00FB15DB" w:rsidRDefault="00B21991" w:rsidP="00B978E1">
            <w:pPr>
              <w:pStyle w:val="TableTextLeft"/>
              <w:jc w:val="center"/>
            </w:pPr>
            <w:r w:rsidRPr="00FB15DB">
              <w:rPr>
                <w:rFonts w:eastAsia="Calibri"/>
              </w:rPr>
              <w:t>○</w:t>
            </w:r>
          </w:p>
        </w:tc>
        <w:tc>
          <w:tcPr>
            <w:tcW w:w="430" w:type="pct"/>
            <w:tcBorders>
              <w:top w:val="single" w:sz="4" w:space="0" w:color="201547" w:themeColor="text2"/>
              <w:left w:val="nil"/>
              <w:bottom w:val="single" w:sz="4" w:space="0" w:color="201547" w:themeColor="text2"/>
              <w:right w:val="nil"/>
            </w:tcBorders>
            <w:shd w:val="clear" w:color="auto" w:fill="BAADE7" w:themeFill="accent4" w:themeFillTint="40"/>
          </w:tcPr>
          <w:p w14:paraId="1785613E" w14:textId="77777777" w:rsidR="00B21991" w:rsidRPr="00FB15DB" w:rsidRDefault="00B21991" w:rsidP="00B978E1">
            <w:pPr>
              <w:pStyle w:val="TableTextLeft"/>
              <w:jc w:val="center"/>
            </w:pPr>
            <w:r w:rsidRPr="00FB15DB">
              <w:rPr>
                <w:rFonts w:eastAsia="Calibri"/>
              </w:rPr>
              <w:t>○</w:t>
            </w:r>
          </w:p>
        </w:tc>
        <w:tc>
          <w:tcPr>
            <w:tcW w:w="430" w:type="pct"/>
            <w:tcBorders>
              <w:top w:val="single" w:sz="4" w:space="0" w:color="201547" w:themeColor="text2"/>
              <w:left w:val="nil"/>
              <w:bottom w:val="single" w:sz="4" w:space="0" w:color="201547" w:themeColor="text2"/>
              <w:right w:val="nil"/>
            </w:tcBorders>
            <w:shd w:val="clear" w:color="auto" w:fill="BAADE7" w:themeFill="accent4" w:themeFillTint="40"/>
          </w:tcPr>
          <w:p w14:paraId="72F045B6" w14:textId="77777777" w:rsidR="00B21991" w:rsidRPr="00FB15DB" w:rsidRDefault="00B21991" w:rsidP="00B978E1">
            <w:pPr>
              <w:pStyle w:val="TableTextLeft"/>
              <w:jc w:val="center"/>
            </w:pPr>
            <w:r w:rsidRPr="00FB15DB">
              <w:rPr>
                <w:rFonts w:eastAsia="Calibri"/>
              </w:rPr>
              <w:t>○</w:t>
            </w:r>
          </w:p>
        </w:tc>
        <w:tc>
          <w:tcPr>
            <w:tcW w:w="430" w:type="pct"/>
            <w:tcBorders>
              <w:top w:val="single" w:sz="4" w:space="0" w:color="201547" w:themeColor="text2"/>
              <w:left w:val="nil"/>
              <w:bottom w:val="single" w:sz="4" w:space="0" w:color="201547" w:themeColor="text2"/>
              <w:right w:val="nil"/>
            </w:tcBorders>
            <w:shd w:val="clear" w:color="auto" w:fill="BAADE7" w:themeFill="accent4" w:themeFillTint="40"/>
          </w:tcPr>
          <w:p w14:paraId="06AF4E2F" w14:textId="77777777" w:rsidR="00B21991" w:rsidRPr="00FB15DB" w:rsidRDefault="00B21991" w:rsidP="00B978E1">
            <w:pPr>
              <w:pStyle w:val="TableTextLeft"/>
              <w:jc w:val="center"/>
            </w:pPr>
            <w:r w:rsidRPr="00FB15DB">
              <w:rPr>
                <w:rFonts w:eastAsia="Calibri"/>
              </w:rPr>
              <w:t>○</w:t>
            </w:r>
          </w:p>
        </w:tc>
        <w:tc>
          <w:tcPr>
            <w:tcW w:w="430" w:type="pct"/>
            <w:tcBorders>
              <w:top w:val="single" w:sz="4" w:space="0" w:color="201547" w:themeColor="text2"/>
              <w:left w:val="nil"/>
              <w:bottom w:val="single" w:sz="4" w:space="0" w:color="201547" w:themeColor="text2"/>
              <w:right w:val="nil"/>
            </w:tcBorders>
            <w:shd w:val="clear" w:color="auto" w:fill="BAADE7" w:themeFill="accent4" w:themeFillTint="40"/>
          </w:tcPr>
          <w:p w14:paraId="0E570651" w14:textId="77777777" w:rsidR="00B21991" w:rsidRPr="00FB15DB" w:rsidRDefault="00B21991" w:rsidP="00B978E1">
            <w:pPr>
              <w:pStyle w:val="TableTextLeft"/>
              <w:jc w:val="center"/>
            </w:pPr>
            <w:r w:rsidRPr="00FB15DB">
              <w:rPr>
                <w:rFonts w:eastAsia="Calibri"/>
              </w:rPr>
              <w:t>○</w:t>
            </w:r>
          </w:p>
        </w:tc>
        <w:tc>
          <w:tcPr>
            <w:tcW w:w="430" w:type="pct"/>
            <w:tcBorders>
              <w:top w:val="single" w:sz="4" w:space="0" w:color="201547" w:themeColor="text2"/>
              <w:left w:val="nil"/>
              <w:bottom w:val="single" w:sz="4" w:space="0" w:color="201547" w:themeColor="text2"/>
              <w:right w:val="nil"/>
            </w:tcBorders>
            <w:shd w:val="clear" w:color="auto" w:fill="BAADE7" w:themeFill="accent4" w:themeFillTint="40"/>
          </w:tcPr>
          <w:p w14:paraId="3B9A0F78" w14:textId="77777777" w:rsidR="00B21991" w:rsidRPr="00FB15DB" w:rsidRDefault="00B21991" w:rsidP="00B978E1">
            <w:pPr>
              <w:pStyle w:val="TableTextLeft"/>
              <w:jc w:val="center"/>
            </w:pPr>
            <w:r w:rsidRPr="00FB15DB">
              <w:rPr>
                <w:rFonts w:eastAsia="Calibri"/>
              </w:rPr>
              <w:t>○</w:t>
            </w:r>
          </w:p>
        </w:tc>
        <w:tc>
          <w:tcPr>
            <w:tcW w:w="430" w:type="pct"/>
            <w:tcBorders>
              <w:top w:val="single" w:sz="4" w:space="0" w:color="201547" w:themeColor="text2"/>
              <w:left w:val="nil"/>
              <w:bottom w:val="single" w:sz="4" w:space="0" w:color="201547" w:themeColor="text2"/>
              <w:right w:val="nil"/>
            </w:tcBorders>
            <w:shd w:val="clear" w:color="auto" w:fill="BAADE7" w:themeFill="accent4" w:themeFillTint="40"/>
          </w:tcPr>
          <w:p w14:paraId="2050315B" w14:textId="77777777" w:rsidR="00B21991" w:rsidRPr="00FB15DB" w:rsidRDefault="00B21991" w:rsidP="00B978E1">
            <w:pPr>
              <w:pStyle w:val="TableTextLeft"/>
              <w:jc w:val="center"/>
            </w:pPr>
            <w:r w:rsidRPr="00FB15DB">
              <w:rPr>
                <w:rFonts w:eastAsia="Calibri"/>
              </w:rPr>
              <w:t>○</w:t>
            </w:r>
          </w:p>
        </w:tc>
      </w:tr>
      <w:tr w:rsidR="00B21991" w:rsidRPr="00FB15DB" w14:paraId="4C5761E0" w14:textId="77777777" w:rsidTr="0095209B">
        <w:trPr>
          <w:trHeight w:val="278"/>
        </w:trPr>
        <w:tc>
          <w:tcPr>
            <w:tcW w:w="695" w:type="pct"/>
            <w:gridSpan w:val="2"/>
            <w:tcBorders>
              <w:top w:val="single" w:sz="4" w:space="0" w:color="201547" w:themeColor="text2"/>
              <w:left w:val="nil"/>
              <w:bottom w:val="single" w:sz="4" w:space="0" w:color="201547" w:themeColor="text2"/>
              <w:right w:val="nil"/>
            </w:tcBorders>
            <w:shd w:val="clear" w:color="auto" w:fill="auto"/>
          </w:tcPr>
          <w:p w14:paraId="0370F8B5" w14:textId="77777777" w:rsidR="00B21991" w:rsidRPr="00FB15DB" w:rsidRDefault="00B21991" w:rsidP="00E352F2">
            <w:pPr>
              <w:pStyle w:val="TableTextLeft"/>
            </w:pPr>
            <w:r w:rsidRPr="00FB15DB">
              <w:t>Flood risk regulation</w:t>
            </w:r>
          </w:p>
        </w:tc>
        <w:tc>
          <w:tcPr>
            <w:tcW w:w="430" w:type="pct"/>
            <w:tcBorders>
              <w:top w:val="single" w:sz="4" w:space="0" w:color="201547" w:themeColor="text2"/>
              <w:left w:val="nil"/>
              <w:bottom w:val="single" w:sz="4" w:space="0" w:color="201547" w:themeColor="text2"/>
              <w:right w:val="nil"/>
            </w:tcBorders>
            <w:shd w:val="clear" w:color="auto" w:fill="E7E6E6"/>
          </w:tcPr>
          <w:p w14:paraId="2001DF51" w14:textId="77777777" w:rsidR="00B21991" w:rsidRPr="00FB15DB" w:rsidRDefault="00B21991" w:rsidP="00B978E1">
            <w:pPr>
              <w:pStyle w:val="TableTextLeft"/>
              <w:jc w:val="center"/>
            </w:pP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02E0FCAC"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0C4A0896"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0F381B85"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76846A30"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50EA9CD3"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538F23BE"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355B08BD"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006B16E7"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BAADE7" w:themeFill="accent4" w:themeFillTint="40"/>
          </w:tcPr>
          <w:p w14:paraId="275A4009" w14:textId="77777777" w:rsidR="00B21991" w:rsidRPr="00FB15DB" w:rsidRDefault="00B21991" w:rsidP="00B978E1">
            <w:pPr>
              <w:pStyle w:val="TableTextLeft"/>
              <w:jc w:val="center"/>
            </w:pPr>
            <w:r w:rsidRPr="00FB15DB">
              <w:t>-</w:t>
            </w:r>
          </w:p>
        </w:tc>
      </w:tr>
      <w:tr w:rsidR="00B21991" w:rsidRPr="00FB15DB" w14:paraId="7A389495" w14:textId="77777777" w:rsidTr="0095209B">
        <w:trPr>
          <w:trHeight w:val="278"/>
        </w:trPr>
        <w:tc>
          <w:tcPr>
            <w:tcW w:w="695" w:type="pct"/>
            <w:gridSpan w:val="2"/>
            <w:tcBorders>
              <w:top w:val="single" w:sz="4" w:space="0" w:color="201547" w:themeColor="text2"/>
              <w:left w:val="nil"/>
              <w:bottom w:val="single" w:sz="4" w:space="0" w:color="201547" w:themeColor="text2"/>
              <w:right w:val="nil"/>
            </w:tcBorders>
            <w:shd w:val="clear" w:color="auto" w:fill="auto"/>
          </w:tcPr>
          <w:p w14:paraId="4F52B417" w14:textId="77777777" w:rsidR="00B21991" w:rsidRPr="00FB15DB" w:rsidRDefault="00B21991" w:rsidP="00E352F2">
            <w:pPr>
              <w:pStyle w:val="TableTextLeft"/>
            </w:pPr>
            <w:r w:rsidRPr="00FB15DB">
              <w:t>Food​ (Nutrition)</w:t>
            </w:r>
          </w:p>
        </w:tc>
        <w:tc>
          <w:tcPr>
            <w:tcW w:w="430" w:type="pct"/>
            <w:tcBorders>
              <w:top w:val="single" w:sz="4" w:space="0" w:color="201547" w:themeColor="text2"/>
              <w:left w:val="nil"/>
              <w:bottom w:val="single" w:sz="4" w:space="0" w:color="201547" w:themeColor="text2"/>
              <w:right w:val="nil"/>
            </w:tcBorders>
            <w:shd w:val="clear" w:color="auto" w:fill="E7E6E6"/>
          </w:tcPr>
          <w:p w14:paraId="32D3B31E" w14:textId="77777777" w:rsidR="00B21991" w:rsidRPr="00FB15DB" w:rsidRDefault="00B21991" w:rsidP="00B978E1">
            <w:pPr>
              <w:pStyle w:val="TableTextLeft"/>
              <w:jc w:val="center"/>
            </w:pPr>
          </w:p>
        </w:tc>
        <w:tc>
          <w:tcPr>
            <w:tcW w:w="430" w:type="pct"/>
            <w:tcBorders>
              <w:top w:val="single" w:sz="4" w:space="0" w:color="201547" w:themeColor="text2"/>
              <w:left w:val="nil"/>
              <w:bottom w:val="single" w:sz="4" w:space="0" w:color="201547" w:themeColor="text2"/>
              <w:right w:val="nil"/>
            </w:tcBorders>
            <w:shd w:val="clear" w:color="auto" w:fill="755CCF" w:themeFill="accent4" w:themeFillTint="80"/>
          </w:tcPr>
          <w:p w14:paraId="7E8B5ACA"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BAADE7" w:themeFill="accent4" w:themeFillTint="40"/>
          </w:tcPr>
          <w:p w14:paraId="4326EFDE"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47CCF47C"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1CCC14E9"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5C4AFCA5"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43CB2327"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755CCF" w:themeFill="accent4" w:themeFillTint="80"/>
          </w:tcPr>
          <w:p w14:paraId="63106782"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075FC5FD"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BAADE7" w:themeFill="accent4" w:themeFillTint="40"/>
          </w:tcPr>
          <w:p w14:paraId="003B33A3" w14:textId="77777777" w:rsidR="00B21991" w:rsidRPr="00FB15DB" w:rsidRDefault="00B21991" w:rsidP="00B978E1">
            <w:pPr>
              <w:pStyle w:val="TableTextLeft"/>
              <w:jc w:val="center"/>
            </w:pPr>
            <w:r w:rsidRPr="00FB15DB">
              <w:t>●</w:t>
            </w:r>
          </w:p>
        </w:tc>
      </w:tr>
      <w:tr w:rsidR="00B21991" w:rsidRPr="00FB15DB" w14:paraId="219A0A87" w14:textId="77777777" w:rsidTr="0095209B">
        <w:trPr>
          <w:trHeight w:val="278"/>
        </w:trPr>
        <w:tc>
          <w:tcPr>
            <w:tcW w:w="695" w:type="pct"/>
            <w:gridSpan w:val="2"/>
            <w:tcBorders>
              <w:top w:val="single" w:sz="4" w:space="0" w:color="201547" w:themeColor="text2"/>
              <w:left w:val="nil"/>
              <w:bottom w:val="single" w:sz="4" w:space="0" w:color="201547" w:themeColor="text2"/>
              <w:right w:val="nil"/>
            </w:tcBorders>
            <w:shd w:val="clear" w:color="auto" w:fill="auto"/>
          </w:tcPr>
          <w:p w14:paraId="67A903F3" w14:textId="77777777" w:rsidR="00B21991" w:rsidRPr="00FB15DB" w:rsidRDefault="00B21991" w:rsidP="00E352F2">
            <w:pPr>
              <w:pStyle w:val="TableTextLeft"/>
            </w:pPr>
            <w:r w:rsidRPr="00FB15DB">
              <w:t>Global climate regulation</w:t>
            </w:r>
          </w:p>
        </w:tc>
        <w:tc>
          <w:tcPr>
            <w:tcW w:w="430" w:type="pct"/>
            <w:tcBorders>
              <w:top w:val="single" w:sz="4" w:space="0" w:color="201547" w:themeColor="text2"/>
              <w:left w:val="nil"/>
              <w:bottom w:val="single" w:sz="4" w:space="0" w:color="201547" w:themeColor="text2"/>
              <w:right w:val="nil"/>
            </w:tcBorders>
            <w:shd w:val="clear" w:color="auto" w:fill="E7E6E6"/>
          </w:tcPr>
          <w:p w14:paraId="5A097830" w14:textId="77777777" w:rsidR="00B21991" w:rsidRPr="00FB15DB" w:rsidRDefault="00B21991" w:rsidP="00B978E1">
            <w:pPr>
              <w:pStyle w:val="TableTextLeft"/>
              <w:jc w:val="center"/>
            </w:pPr>
          </w:p>
        </w:tc>
        <w:tc>
          <w:tcPr>
            <w:tcW w:w="430" w:type="pct"/>
            <w:tcBorders>
              <w:top w:val="single" w:sz="4" w:space="0" w:color="201547" w:themeColor="text2"/>
              <w:left w:val="nil"/>
              <w:bottom w:val="single" w:sz="4" w:space="0" w:color="201547" w:themeColor="text2"/>
              <w:right w:val="nil"/>
            </w:tcBorders>
            <w:shd w:val="clear" w:color="auto" w:fill="755CCF" w:themeFill="accent4" w:themeFillTint="80"/>
          </w:tcPr>
          <w:p w14:paraId="3854AD65"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238CBB02"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755CCF" w:themeFill="accent4" w:themeFillTint="80"/>
          </w:tcPr>
          <w:p w14:paraId="68EF01DB"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BAADE7" w:themeFill="accent4" w:themeFillTint="40"/>
          </w:tcPr>
          <w:p w14:paraId="34272F5D"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5E50BF7A"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5ACE8A1A"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755CCF" w:themeFill="accent4" w:themeFillTint="80"/>
          </w:tcPr>
          <w:p w14:paraId="4094FF08"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2F08ABDA"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BAADE7" w:themeFill="accent4" w:themeFillTint="40"/>
          </w:tcPr>
          <w:p w14:paraId="7AB58AC8" w14:textId="77777777" w:rsidR="00B21991" w:rsidRPr="00FB15DB" w:rsidRDefault="00B21991" w:rsidP="00B978E1">
            <w:pPr>
              <w:pStyle w:val="TableTextLeft"/>
              <w:jc w:val="center"/>
            </w:pPr>
            <w:r w:rsidRPr="00FB15DB">
              <w:t>●</w:t>
            </w:r>
          </w:p>
        </w:tc>
      </w:tr>
      <w:tr w:rsidR="00B21991" w:rsidRPr="00FB15DB" w14:paraId="38137963" w14:textId="77777777" w:rsidTr="0095209B">
        <w:trPr>
          <w:trHeight w:val="278"/>
        </w:trPr>
        <w:tc>
          <w:tcPr>
            <w:tcW w:w="695" w:type="pct"/>
            <w:gridSpan w:val="2"/>
            <w:tcBorders>
              <w:top w:val="single" w:sz="4" w:space="0" w:color="201547" w:themeColor="text2"/>
              <w:left w:val="nil"/>
              <w:bottom w:val="single" w:sz="4" w:space="0" w:color="201547" w:themeColor="text2"/>
              <w:right w:val="nil"/>
            </w:tcBorders>
            <w:shd w:val="clear" w:color="auto" w:fill="auto"/>
          </w:tcPr>
          <w:p w14:paraId="2D9297DD" w14:textId="77777777" w:rsidR="00B21991" w:rsidRPr="00FB15DB" w:rsidRDefault="00B21991" w:rsidP="00E352F2">
            <w:pPr>
              <w:pStyle w:val="TableTextLeft"/>
            </w:pPr>
            <w:r w:rsidRPr="00FB15DB">
              <w:t>Landslide regulation</w:t>
            </w:r>
          </w:p>
        </w:tc>
        <w:tc>
          <w:tcPr>
            <w:tcW w:w="430" w:type="pct"/>
            <w:tcBorders>
              <w:top w:val="single" w:sz="4" w:space="0" w:color="201547" w:themeColor="text2"/>
              <w:left w:val="nil"/>
              <w:bottom w:val="single" w:sz="4" w:space="0" w:color="201547" w:themeColor="text2"/>
              <w:right w:val="nil"/>
            </w:tcBorders>
            <w:shd w:val="clear" w:color="auto" w:fill="E7E6E6"/>
          </w:tcPr>
          <w:p w14:paraId="6BD8C350" w14:textId="77777777" w:rsidR="00B21991" w:rsidRPr="00FB15DB" w:rsidRDefault="00B21991" w:rsidP="00B978E1">
            <w:pPr>
              <w:pStyle w:val="TableTextLeft"/>
              <w:jc w:val="center"/>
            </w:pP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75C9BF95"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57C7AA25"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21D72064"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550252BA"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552C7E77"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26FC6D5B"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3CFBF288"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28942745"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56B35011" w14:textId="77777777" w:rsidR="00B21991" w:rsidRPr="00FB15DB" w:rsidRDefault="00B21991" w:rsidP="00B978E1">
            <w:pPr>
              <w:pStyle w:val="TableTextLeft"/>
              <w:jc w:val="center"/>
            </w:pPr>
            <w:r w:rsidRPr="00FB15DB">
              <w:t>-</w:t>
            </w:r>
          </w:p>
        </w:tc>
      </w:tr>
      <w:tr w:rsidR="00B21991" w:rsidRPr="00FB15DB" w14:paraId="72A1B4C7" w14:textId="77777777" w:rsidTr="0095209B">
        <w:trPr>
          <w:trHeight w:val="278"/>
        </w:trPr>
        <w:tc>
          <w:tcPr>
            <w:tcW w:w="695" w:type="pct"/>
            <w:gridSpan w:val="2"/>
            <w:tcBorders>
              <w:top w:val="single" w:sz="4" w:space="0" w:color="201547" w:themeColor="text2"/>
              <w:left w:val="nil"/>
              <w:bottom w:val="single" w:sz="4" w:space="0" w:color="201547" w:themeColor="text2"/>
              <w:right w:val="nil"/>
            </w:tcBorders>
            <w:shd w:val="clear" w:color="auto" w:fill="auto"/>
          </w:tcPr>
          <w:p w14:paraId="5E24A34E" w14:textId="77777777" w:rsidR="00B21991" w:rsidRPr="00FB15DB" w:rsidRDefault="00B21991" w:rsidP="00E352F2">
            <w:pPr>
              <w:pStyle w:val="TableTextLeft"/>
            </w:pPr>
            <w:r w:rsidRPr="00FB15DB">
              <w:t>Local climate regulation</w:t>
            </w:r>
          </w:p>
        </w:tc>
        <w:tc>
          <w:tcPr>
            <w:tcW w:w="430" w:type="pct"/>
            <w:tcBorders>
              <w:top w:val="single" w:sz="4" w:space="0" w:color="201547" w:themeColor="text2"/>
              <w:left w:val="nil"/>
              <w:bottom w:val="single" w:sz="4" w:space="0" w:color="201547" w:themeColor="text2"/>
              <w:right w:val="nil"/>
            </w:tcBorders>
            <w:shd w:val="clear" w:color="auto" w:fill="E7E6E6"/>
          </w:tcPr>
          <w:p w14:paraId="3E99C718" w14:textId="77777777" w:rsidR="00B21991" w:rsidRPr="00FB15DB" w:rsidRDefault="00B21991" w:rsidP="00B978E1">
            <w:pPr>
              <w:pStyle w:val="TableTextLeft"/>
              <w:jc w:val="center"/>
            </w:pP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2C77C2CE"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09791F92"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06BCE980"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18569597"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4CB57D46"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6993C1D7"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64804605"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280B23C1"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BAADE7" w:themeFill="accent4" w:themeFillTint="40"/>
          </w:tcPr>
          <w:p w14:paraId="4E677935" w14:textId="77777777" w:rsidR="00B21991" w:rsidRPr="00FB15DB" w:rsidRDefault="00B21991" w:rsidP="00B978E1">
            <w:pPr>
              <w:pStyle w:val="TableTextLeft"/>
              <w:jc w:val="center"/>
            </w:pPr>
            <w:r w:rsidRPr="00FB15DB">
              <w:t>-</w:t>
            </w:r>
          </w:p>
        </w:tc>
      </w:tr>
      <w:tr w:rsidR="00B21991" w:rsidRPr="00FB15DB" w14:paraId="225E5080" w14:textId="77777777" w:rsidTr="0095209B">
        <w:trPr>
          <w:trHeight w:val="278"/>
        </w:trPr>
        <w:tc>
          <w:tcPr>
            <w:tcW w:w="695" w:type="pct"/>
            <w:gridSpan w:val="2"/>
            <w:tcBorders>
              <w:top w:val="single" w:sz="4" w:space="0" w:color="201547" w:themeColor="text2"/>
              <w:left w:val="nil"/>
              <w:bottom w:val="single" w:sz="4" w:space="0" w:color="201547" w:themeColor="text2"/>
              <w:right w:val="nil"/>
            </w:tcBorders>
            <w:shd w:val="clear" w:color="auto" w:fill="auto"/>
          </w:tcPr>
          <w:p w14:paraId="40A11DEB" w14:textId="77777777" w:rsidR="00B21991" w:rsidRPr="00FB15DB" w:rsidRDefault="00B21991" w:rsidP="00E352F2">
            <w:pPr>
              <w:pStyle w:val="TableTextLeft"/>
            </w:pPr>
            <w:r w:rsidRPr="00FB15DB">
              <w:t xml:space="preserve">Noise and smell </w:t>
            </w:r>
          </w:p>
        </w:tc>
        <w:tc>
          <w:tcPr>
            <w:tcW w:w="430" w:type="pct"/>
            <w:tcBorders>
              <w:top w:val="single" w:sz="4" w:space="0" w:color="201547" w:themeColor="text2"/>
              <w:left w:val="nil"/>
              <w:bottom w:val="single" w:sz="4" w:space="0" w:color="201547" w:themeColor="text2"/>
              <w:right w:val="nil"/>
            </w:tcBorders>
            <w:shd w:val="clear" w:color="auto" w:fill="E7E6E6"/>
          </w:tcPr>
          <w:p w14:paraId="0005A24E" w14:textId="77777777" w:rsidR="00B21991" w:rsidRPr="00FB15DB" w:rsidRDefault="00B21991" w:rsidP="00B978E1">
            <w:pPr>
              <w:pStyle w:val="TableTextLeft"/>
              <w:jc w:val="center"/>
            </w:pP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73304D52"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1F132B78"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3D77526A"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25A192B6"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428620AA"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2E9FFDB7"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4AD514CB"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6B8B9C3D"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65F5D0F6" w14:textId="77777777" w:rsidR="00B21991" w:rsidRPr="00FB15DB" w:rsidRDefault="00B21991" w:rsidP="00B978E1">
            <w:pPr>
              <w:pStyle w:val="TableTextLeft"/>
              <w:jc w:val="center"/>
            </w:pPr>
            <w:r w:rsidRPr="00FB15DB">
              <w:t>-</w:t>
            </w:r>
          </w:p>
        </w:tc>
      </w:tr>
      <w:tr w:rsidR="00B21991" w:rsidRPr="00FB15DB" w14:paraId="39D14402" w14:textId="77777777" w:rsidTr="0095209B">
        <w:trPr>
          <w:trHeight w:val="278"/>
        </w:trPr>
        <w:tc>
          <w:tcPr>
            <w:tcW w:w="695" w:type="pct"/>
            <w:gridSpan w:val="2"/>
            <w:tcBorders>
              <w:top w:val="single" w:sz="4" w:space="0" w:color="201547" w:themeColor="text2"/>
              <w:left w:val="nil"/>
              <w:bottom w:val="single" w:sz="4" w:space="0" w:color="201547" w:themeColor="text2"/>
              <w:right w:val="nil"/>
            </w:tcBorders>
            <w:shd w:val="clear" w:color="auto" w:fill="auto"/>
          </w:tcPr>
          <w:p w14:paraId="1742FDE4" w14:textId="77777777" w:rsidR="00B21991" w:rsidRPr="00FB15DB" w:rsidRDefault="00B21991" w:rsidP="00E352F2">
            <w:pPr>
              <w:pStyle w:val="TableTextLeft"/>
            </w:pPr>
            <w:r w:rsidRPr="00FB15DB">
              <w:t xml:space="preserve">Recreation </w:t>
            </w:r>
          </w:p>
        </w:tc>
        <w:tc>
          <w:tcPr>
            <w:tcW w:w="430" w:type="pct"/>
            <w:tcBorders>
              <w:top w:val="single" w:sz="4" w:space="0" w:color="201547" w:themeColor="text2"/>
              <w:left w:val="nil"/>
              <w:bottom w:val="single" w:sz="4" w:space="0" w:color="201547" w:themeColor="text2"/>
              <w:right w:val="nil"/>
            </w:tcBorders>
            <w:shd w:val="clear" w:color="auto" w:fill="E7E6E6"/>
          </w:tcPr>
          <w:p w14:paraId="0012E0EF" w14:textId="77777777" w:rsidR="00B21991" w:rsidRPr="00FB15DB" w:rsidRDefault="00B21991" w:rsidP="00B978E1">
            <w:pPr>
              <w:pStyle w:val="TableTextLeft"/>
              <w:jc w:val="center"/>
            </w:pPr>
          </w:p>
        </w:tc>
        <w:tc>
          <w:tcPr>
            <w:tcW w:w="430" w:type="pct"/>
            <w:tcBorders>
              <w:top w:val="single" w:sz="4" w:space="0" w:color="201547" w:themeColor="text2"/>
              <w:left w:val="nil"/>
              <w:bottom w:val="single" w:sz="4" w:space="0" w:color="201547" w:themeColor="text2"/>
              <w:right w:val="nil"/>
            </w:tcBorders>
            <w:shd w:val="clear" w:color="auto" w:fill="755CCF" w:themeFill="accent4" w:themeFillTint="80"/>
          </w:tcPr>
          <w:p w14:paraId="6F4BE0C7" w14:textId="77777777" w:rsidR="00B21991" w:rsidRPr="00FB15DB" w:rsidRDefault="00B21991" w:rsidP="00B978E1">
            <w:pPr>
              <w:pStyle w:val="TableTextLeft"/>
              <w:jc w:val="center"/>
              <w:rPr>
                <w:rFonts w:eastAsia="Calibri"/>
              </w:rP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4CFB15B9"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BAADE7" w:themeFill="accent4" w:themeFillTint="40"/>
          </w:tcPr>
          <w:p w14:paraId="577D432E" w14:textId="77777777" w:rsidR="00B21991" w:rsidRPr="00FB15DB" w:rsidRDefault="00B21991" w:rsidP="00B978E1">
            <w:pPr>
              <w:pStyle w:val="TableTextLeft"/>
              <w:jc w:val="center"/>
              <w:rPr>
                <w:rFonts w:eastAsia="Calibri"/>
              </w:rPr>
            </w:pPr>
            <w:r w:rsidRPr="00FB15DB">
              <w:t>●</w:t>
            </w:r>
          </w:p>
        </w:tc>
        <w:tc>
          <w:tcPr>
            <w:tcW w:w="430" w:type="pct"/>
            <w:tcBorders>
              <w:top w:val="single" w:sz="4" w:space="0" w:color="201547" w:themeColor="text2"/>
              <w:left w:val="nil"/>
              <w:bottom w:val="single" w:sz="4" w:space="0" w:color="201547" w:themeColor="text2"/>
              <w:right w:val="nil"/>
            </w:tcBorders>
            <w:shd w:val="clear" w:color="auto" w:fill="BAADE7" w:themeFill="accent4" w:themeFillTint="40"/>
          </w:tcPr>
          <w:p w14:paraId="7B8727E7" w14:textId="77777777" w:rsidR="00B21991" w:rsidRPr="00FB15DB" w:rsidRDefault="00B21991" w:rsidP="00B978E1">
            <w:pPr>
              <w:pStyle w:val="TableTextLeft"/>
              <w:jc w:val="center"/>
              <w:rPr>
                <w:rFonts w:eastAsia="Calibri"/>
              </w:rP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0B12D437" w14:textId="77777777" w:rsidR="00B21991" w:rsidRPr="00FB15DB" w:rsidRDefault="00B21991" w:rsidP="00B978E1">
            <w:pPr>
              <w:pStyle w:val="TableTextLeft"/>
              <w:jc w:val="center"/>
              <w:rPr>
                <w:rFonts w:eastAsia="Calibri"/>
              </w:rPr>
            </w:pPr>
            <w:r w:rsidRPr="00FB15DB">
              <w:rPr>
                <w:rFonts w:eastAsia="Calibri"/>
              </w:rPr>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6C63E8DE" w14:textId="77777777" w:rsidR="00B21991" w:rsidRPr="00FB15DB" w:rsidRDefault="00B21991" w:rsidP="00B978E1">
            <w:pPr>
              <w:pStyle w:val="TableTextLeft"/>
              <w:jc w:val="center"/>
              <w:rPr>
                <w:rFonts w:eastAsia="Calibri"/>
              </w:rPr>
            </w:pPr>
            <w:r w:rsidRPr="00FB15DB">
              <w:rPr>
                <w:rFonts w:eastAsia="Calibri"/>
              </w:rPr>
              <w:t>-</w:t>
            </w:r>
          </w:p>
        </w:tc>
        <w:tc>
          <w:tcPr>
            <w:tcW w:w="430" w:type="pct"/>
            <w:tcBorders>
              <w:top w:val="single" w:sz="4" w:space="0" w:color="201547" w:themeColor="text2"/>
              <w:left w:val="nil"/>
              <w:bottom w:val="single" w:sz="4" w:space="0" w:color="201547" w:themeColor="text2"/>
              <w:right w:val="nil"/>
            </w:tcBorders>
            <w:shd w:val="clear" w:color="auto" w:fill="BAADE7" w:themeFill="accent4" w:themeFillTint="40"/>
          </w:tcPr>
          <w:p w14:paraId="4FE970E7" w14:textId="77777777" w:rsidR="00B21991" w:rsidRPr="00FB15DB" w:rsidRDefault="00B21991" w:rsidP="00B978E1">
            <w:pPr>
              <w:pStyle w:val="TableTextLeft"/>
              <w:jc w:val="center"/>
              <w:rPr>
                <w:rFonts w:eastAsia="Calibri"/>
              </w:rP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499D2941" w14:textId="77777777" w:rsidR="00B21991" w:rsidRPr="00FB15DB" w:rsidRDefault="00B21991" w:rsidP="00B978E1">
            <w:pPr>
              <w:pStyle w:val="TableTextLeft"/>
              <w:jc w:val="center"/>
              <w:rPr>
                <w:rFonts w:eastAsia="Calibri"/>
              </w:rPr>
            </w:pPr>
            <w:r w:rsidRPr="00FB15DB">
              <w:rPr>
                <w:rFonts w:eastAsia="Calibri"/>
              </w:rPr>
              <w:t>-</w:t>
            </w:r>
          </w:p>
        </w:tc>
        <w:tc>
          <w:tcPr>
            <w:tcW w:w="430" w:type="pct"/>
            <w:tcBorders>
              <w:top w:val="single" w:sz="4" w:space="0" w:color="201547" w:themeColor="text2"/>
              <w:left w:val="nil"/>
              <w:bottom w:val="single" w:sz="4" w:space="0" w:color="201547" w:themeColor="text2"/>
              <w:right w:val="nil"/>
            </w:tcBorders>
            <w:shd w:val="clear" w:color="auto" w:fill="BAADE7" w:themeFill="accent4" w:themeFillTint="40"/>
          </w:tcPr>
          <w:p w14:paraId="2D448C90" w14:textId="77777777" w:rsidR="00B21991" w:rsidRPr="00FB15DB" w:rsidRDefault="00B21991" w:rsidP="00B978E1">
            <w:pPr>
              <w:pStyle w:val="TableTextLeft"/>
              <w:jc w:val="center"/>
              <w:rPr>
                <w:rFonts w:eastAsia="Calibri"/>
              </w:rPr>
            </w:pPr>
            <w:r w:rsidRPr="00FB15DB">
              <w:t>●</w:t>
            </w:r>
          </w:p>
        </w:tc>
      </w:tr>
      <w:tr w:rsidR="00B21991" w:rsidRPr="00FB15DB" w14:paraId="31404440" w14:textId="77777777" w:rsidTr="0095209B">
        <w:trPr>
          <w:trHeight w:val="278"/>
        </w:trPr>
        <w:tc>
          <w:tcPr>
            <w:tcW w:w="695" w:type="pct"/>
            <w:gridSpan w:val="2"/>
            <w:tcBorders>
              <w:top w:val="single" w:sz="4" w:space="0" w:color="201547" w:themeColor="text2"/>
              <w:left w:val="nil"/>
              <w:bottom w:val="single" w:sz="4" w:space="0" w:color="201547" w:themeColor="text2"/>
              <w:right w:val="nil"/>
            </w:tcBorders>
            <w:shd w:val="clear" w:color="auto" w:fill="auto"/>
          </w:tcPr>
          <w:p w14:paraId="2C2AD672" w14:textId="77777777" w:rsidR="00B21991" w:rsidRPr="00FB15DB" w:rsidRDefault="00B21991" w:rsidP="00E352F2">
            <w:pPr>
              <w:pStyle w:val="TableTextLeft"/>
            </w:pPr>
            <w:r w:rsidRPr="00FB15DB">
              <w:t>Social / community cohesion</w:t>
            </w:r>
          </w:p>
        </w:tc>
        <w:tc>
          <w:tcPr>
            <w:tcW w:w="430" w:type="pct"/>
            <w:tcBorders>
              <w:top w:val="single" w:sz="4" w:space="0" w:color="201547" w:themeColor="text2"/>
              <w:left w:val="nil"/>
              <w:bottom w:val="single" w:sz="4" w:space="0" w:color="201547" w:themeColor="text2"/>
              <w:right w:val="nil"/>
            </w:tcBorders>
            <w:shd w:val="clear" w:color="auto" w:fill="E7E6E6"/>
          </w:tcPr>
          <w:p w14:paraId="0271A577" w14:textId="77777777" w:rsidR="00B21991" w:rsidRPr="00FB15DB" w:rsidRDefault="00B21991" w:rsidP="00B978E1">
            <w:pPr>
              <w:pStyle w:val="TableTextLeft"/>
              <w:jc w:val="center"/>
            </w:pPr>
          </w:p>
        </w:tc>
        <w:tc>
          <w:tcPr>
            <w:tcW w:w="430" w:type="pct"/>
            <w:tcBorders>
              <w:top w:val="single" w:sz="4" w:space="0" w:color="201547" w:themeColor="text2"/>
              <w:left w:val="nil"/>
              <w:bottom w:val="single" w:sz="4" w:space="0" w:color="201547" w:themeColor="text2"/>
              <w:right w:val="nil"/>
            </w:tcBorders>
            <w:shd w:val="clear" w:color="auto" w:fill="BAADE7" w:themeFill="accent4" w:themeFillTint="40"/>
          </w:tcPr>
          <w:p w14:paraId="5CE575BC" w14:textId="77777777" w:rsidR="00B21991" w:rsidRPr="00FB15DB" w:rsidRDefault="00B21991" w:rsidP="00B978E1">
            <w:pPr>
              <w:pStyle w:val="TableTextLeft"/>
              <w:jc w:val="center"/>
              <w:rPr>
                <w:rFonts w:eastAsia="Calibri"/>
              </w:rPr>
            </w:pPr>
            <w:r w:rsidRPr="00FB15DB">
              <w:rPr>
                <w:rFonts w:eastAsia="Calibri"/>
              </w:rPr>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69E28D48"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3352E7C9" w14:textId="77777777" w:rsidR="00B21991" w:rsidRPr="00FB15DB" w:rsidRDefault="00B21991" w:rsidP="00B978E1">
            <w:pPr>
              <w:pStyle w:val="TableTextLeft"/>
              <w:jc w:val="center"/>
              <w:rPr>
                <w:rFonts w:eastAsia="Calibri"/>
              </w:rP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0E92E1B0" w14:textId="77777777" w:rsidR="00B21991" w:rsidRPr="00FB15DB" w:rsidRDefault="00B21991" w:rsidP="00B978E1">
            <w:pPr>
              <w:pStyle w:val="TableTextLeft"/>
              <w:jc w:val="center"/>
              <w:rPr>
                <w:rFonts w:eastAsia="Calibri"/>
              </w:rP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33E8E458" w14:textId="77777777" w:rsidR="00B21991" w:rsidRPr="00FB15DB" w:rsidRDefault="00B21991" w:rsidP="00B978E1">
            <w:pPr>
              <w:pStyle w:val="TableTextLeft"/>
              <w:jc w:val="center"/>
              <w:rPr>
                <w:rFonts w:eastAsia="Calibri"/>
              </w:rP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088CE1C8" w14:textId="77777777" w:rsidR="00B21991" w:rsidRPr="00FB15DB" w:rsidRDefault="00B21991" w:rsidP="00B978E1">
            <w:pPr>
              <w:pStyle w:val="TableTextLeft"/>
              <w:jc w:val="center"/>
              <w:rPr>
                <w:rFonts w:eastAsia="Calibri"/>
              </w:rP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1FBE7905" w14:textId="77777777" w:rsidR="00B21991" w:rsidRPr="00FB15DB" w:rsidRDefault="00B21991" w:rsidP="00B978E1">
            <w:pPr>
              <w:pStyle w:val="TableTextLeft"/>
              <w:jc w:val="center"/>
              <w:rPr>
                <w:rFonts w:eastAsia="Calibri"/>
              </w:rP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6935739B" w14:textId="77777777" w:rsidR="00B21991" w:rsidRPr="00FB15DB" w:rsidRDefault="00B21991" w:rsidP="00B978E1">
            <w:pPr>
              <w:pStyle w:val="TableTextLeft"/>
              <w:jc w:val="center"/>
              <w:rPr>
                <w:rFonts w:eastAsia="Calibri"/>
              </w:rP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42A0E364" w14:textId="77777777" w:rsidR="00B21991" w:rsidRPr="00FB15DB" w:rsidRDefault="00B21991" w:rsidP="00B978E1">
            <w:pPr>
              <w:pStyle w:val="TableTextLeft"/>
              <w:jc w:val="center"/>
              <w:rPr>
                <w:rFonts w:eastAsia="Calibri"/>
              </w:rPr>
            </w:pPr>
            <w:r w:rsidRPr="00FB15DB">
              <w:t>-</w:t>
            </w:r>
          </w:p>
        </w:tc>
      </w:tr>
      <w:tr w:rsidR="00B21991" w:rsidRPr="00FB15DB" w14:paraId="559A7435" w14:textId="77777777" w:rsidTr="0095209B">
        <w:trPr>
          <w:trHeight w:val="278"/>
        </w:trPr>
        <w:tc>
          <w:tcPr>
            <w:tcW w:w="695" w:type="pct"/>
            <w:gridSpan w:val="2"/>
            <w:tcBorders>
              <w:top w:val="single" w:sz="4" w:space="0" w:color="201547" w:themeColor="text2"/>
              <w:left w:val="nil"/>
              <w:bottom w:val="single" w:sz="4" w:space="0" w:color="201547" w:themeColor="text2"/>
              <w:right w:val="nil"/>
            </w:tcBorders>
            <w:shd w:val="clear" w:color="auto" w:fill="auto"/>
          </w:tcPr>
          <w:p w14:paraId="09872BB0" w14:textId="77777777" w:rsidR="00B21991" w:rsidRPr="00FB15DB" w:rsidRDefault="00B21991" w:rsidP="00E352F2">
            <w:pPr>
              <w:pStyle w:val="TableTextLeft"/>
            </w:pPr>
            <w:r w:rsidRPr="00FB15DB">
              <w:t>Tourism</w:t>
            </w:r>
          </w:p>
        </w:tc>
        <w:tc>
          <w:tcPr>
            <w:tcW w:w="430" w:type="pct"/>
            <w:tcBorders>
              <w:top w:val="single" w:sz="4" w:space="0" w:color="201547" w:themeColor="text2"/>
              <w:left w:val="nil"/>
              <w:bottom w:val="single" w:sz="4" w:space="0" w:color="201547" w:themeColor="text2"/>
              <w:right w:val="nil"/>
            </w:tcBorders>
            <w:shd w:val="clear" w:color="auto" w:fill="E7E6E6"/>
          </w:tcPr>
          <w:p w14:paraId="21A3A9A6" w14:textId="77777777" w:rsidR="00B21991" w:rsidRPr="00FB15DB" w:rsidRDefault="00B21991" w:rsidP="00B978E1">
            <w:pPr>
              <w:pStyle w:val="TableTextLeft"/>
              <w:jc w:val="center"/>
            </w:pP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1EB00D50" w14:textId="77777777" w:rsidR="00B21991" w:rsidRPr="00FB15DB" w:rsidRDefault="00B21991" w:rsidP="00B978E1">
            <w:pPr>
              <w:pStyle w:val="TableTextLeft"/>
              <w:jc w:val="center"/>
              <w:rPr>
                <w:rFonts w:eastAsia="Calibri"/>
              </w:rP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62FB7EE4"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653FDFF2" w14:textId="77777777" w:rsidR="00B21991" w:rsidRPr="00FB15DB" w:rsidRDefault="00B21991" w:rsidP="00B978E1">
            <w:pPr>
              <w:pStyle w:val="TableTextLeft"/>
              <w:jc w:val="center"/>
              <w:rPr>
                <w:rFonts w:eastAsia="Calibri"/>
              </w:rP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5E7F2F10" w14:textId="77777777" w:rsidR="00B21991" w:rsidRPr="00FB15DB" w:rsidRDefault="00B21991" w:rsidP="00B978E1">
            <w:pPr>
              <w:pStyle w:val="TableTextLeft"/>
              <w:jc w:val="center"/>
              <w:rPr>
                <w:rFonts w:eastAsia="Calibri"/>
              </w:rP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503D6515" w14:textId="77777777" w:rsidR="00B21991" w:rsidRPr="00FB15DB" w:rsidRDefault="00B21991" w:rsidP="00B978E1">
            <w:pPr>
              <w:pStyle w:val="TableTextLeft"/>
              <w:jc w:val="center"/>
              <w:rPr>
                <w:rFonts w:eastAsia="Calibri"/>
              </w:rP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5E5BC286" w14:textId="77777777" w:rsidR="00B21991" w:rsidRPr="00FB15DB" w:rsidRDefault="00B21991" w:rsidP="00B978E1">
            <w:pPr>
              <w:pStyle w:val="TableTextLeft"/>
              <w:jc w:val="center"/>
              <w:rPr>
                <w:rFonts w:eastAsia="Calibri"/>
              </w:rP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01427E1A" w14:textId="77777777" w:rsidR="00B21991" w:rsidRPr="00FB15DB" w:rsidRDefault="00B21991" w:rsidP="00B978E1">
            <w:pPr>
              <w:pStyle w:val="TableTextLeft"/>
              <w:jc w:val="center"/>
              <w:rPr>
                <w:rFonts w:eastAsia="Calibri"/>
              </w:rP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6EEC62BD" w14:textId="77777777" w:rsidR="00B21991" w:rsidRPr="00FB15DB" w:rsidRDefault="00B21991" w:rsidP="00B978E1">
            <w:pPr>
              <w:pStyle w:val="TableTextLeft"/>
              <w:jc w:val="center"/>
              <w:rPr>
                <w:rFonts w:eastAsia="Calibri"/>
              </w:rPr>
            </w:pPr>
            <w:r w:rsidRPr="00FB15DB">
              <w:t>-</w:t>
            </w:r>
          </w:p>
        </w:tc>
        <w:tc>
          <w:tcPr>
            <w:tcW w:w="430" w:type="pct"/>
            <w:tcBorders>
              <w:top w:val="single" w:sz="4" w:space="0" w:color="201547" w:themeColor="text2"/>
              <w:left w:val="nil"/>
              <w:bottom w:val="single" w:sz="4" w:space="0" w:color="201547" w:themeColor="text2"/>
              <w:right w:val="nil"/>
            </w:tcBorders>
            <w:shd w:val="clear" w:color="auto" w:fill="755CCF" w:themeFill="accent4" w:themeFillTint="80"/>
          </w:tcPr>
          <w:p w14:paraId="7D94EECF" w14:textId="77777777" w:rsidR="00B21991" w:rsidRPr="00FB15DB" w:rsidRDefault="00B21991" w:rsidP="00B978E1">
            <w:pPr>
              <w:pStyle w:val="TableTextLeft"/>
              <w:jc w:val="center"/>
              <w:rPr>
                <w:rFonts w:eastAsia="Calibri"/>
              </w:rPr>
            </w:pPr>
            <w:r w:rsidRPr="00FB15DB">
              <w:t>●</w:t>
            </w:r>
          </w:p>
        </w:tc>
      </w:tr>
      <w:tr w:rsidR="00B21991" w:rsidRPr="00FB15DB" w14:paraId="6C67DA10" w14:textId="77777777" w:rsidTr="0095209B">
        <w:trPr>
          <w:trHeight w:val="278"/>
        </w:trPr>
        <w:tc>
          <w:tcPr>
            <w:tcW w:w="695" w:type="pct"/>
            <w:gridSpan w:val="2"/>
            <w:tcBorders>
              <w:top w:val="single" w:sz="4" w:space="0" w:color="201547" w:themeColor="text2"/>
              <w:left w:val="nil"/>
              <w:bottom w:val="single" w:sz="4" w:space="0" w:color="201547" w:themeColor="text2"/>
              <w:right w:val="nil"/>
            </w:tcBorders>
            <w:shd w:val="clear" w:color="auto" w:fill="auto"/>
          </w:tcPr>
          <w:p w14:paraId="2168FC95" w14:textId="77777777" w:rsidR="00B21991" w:rsidRPr="00FB15DB" w:rsidRDefault="00B21991" w:rsidP="00E352F2">
            <w:pPr>
              <w:pStyle w:val="TableTextLeft"/>
            </w:pPr>
            <w:r w:rsidRPr="00FB15DB">
              <w:t>Water provision</w:t>
            </w:r>
          </w:p>
        </w:tc>
        <w:tc>
          <w:tcPr>
            <w:tcW w:w="430" w:type="pct"/>
            <w:tcBorders>
              <w:top w:val="single" w:sz="4" w:space="0" w:color="201547" w:themeColor="text2"/>
              <w:left w:val="nil"/>
              <w:bottom w:val="single" w:sz="4" w:space="0" w:color="201547" w:themeColor="text2"/>
              <w:right w:val="nil"/>
            </w:tcBorders>
            <w:shd w:val="clear" w:color="auto" w:fill="E7E6E6"/>
          </w:tcPr>
          <w:p w14:paraId="53AEA61C" w14:textId="77777777" w:rsidR="00B21991" w:rsidRPr="00FB15DB" w:rsidRDefault="00B21991" w:rsidP="00B978E1">
            <w:pPr>
              <w:pStyle w:val="TableTextLeft"/>
              <w:jc w:val="center"/>
            </w:pP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6E277309"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7A750B90"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774997B5"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5D4DF975"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1367DD57"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12A3124C"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1501B039"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7CD24089"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BAADE7" w:themeFill="accent4" w:themeFillTint="40"/>
          </w:tcPr>
          <w:p w14:paraId="2902D310" w14:textId="77777777" w:rsidR="00B21991" w:rsidRPr="00FB15DB" w:rsidRDefault="00B21991" w:rsidP="00B978E1">
            <w:pPr>
              <w:pStyle w:val="TableTextLeft"/>
              <w:jc w:val="center"/>
            </w:pPr>
            <w:r w:rsidRPr="00FB15DB">
              <w:t>-</w:t>
            </w:r>
          </w:p>
        </w:tc>
      </w:tr>
      <w:tr w:rsidR="00B21991" w:rsidRPr="00FB15DB" w14:paraId="230EAE79" w14:textId="77777777" w:rsidTr="0095209B">
        <w:trPr>
          <w:trHeight w:val="278"/>
        </w:trPr>
        <w:tc>
          <w:tcPr>
            <w:tcW w:w="695" w:type="pct"/>
            <w:gridSpan w:val="2"/>
            <w:tcBorders>
              <w:top w:val="single" w:sz="4" w:space="0" w:color="201547" w:themeColor="text2"/>
              <w:left w:val="nil"/>
              <w:bottom w:val="single" w:sz="4" w:space="0" w:color="201547" w:themeColor="text2"/>
              <w:right w:val="nil"/>
            </w:tcBorders>
            <w:shd w:val="clear" w:color="auto" w:fill="auto"/>
          </w:tcPr>
          <w:p w14:paraId="67257C11" w14:textId="77777777" w:rsidR="00B21991" w:rsidRPr="00FB15DB" w:rsidRDefault="00B21991" w:rsidP="00E352F2">
            <w:pPr>
              <w:pStyle w:val="TableTextLeft"/>
            </w:pPr>
            <w:r w:rsidRPr="00FB15DB">
              <w:t>Water quality regulation</w:t>
            </w:r>
          </w:p>
        </w:tc>
        <w:tc>
          <w:tcPr>
            <w:tcW w:w="430" w:type="pct"/>
            <w:tcBorders>
              <w:top w:val="single" w:sz="4" w:space="0" w:color="201547" w:themeColor="text2"/>
              <w:left w:val="nil"/>
              <w:bottom w:val="single" w:sz="4" w:space="0" w:color="201547" w:themeColor="text2"/>
              <w:right w:val="nil"/>
            </w:tcBorders>
            <w:shd w:val="clear" w:color="auto" w:fill="E7E6E6"/>
          </w:tcPr>
          <w:p w14:paraId="24157384" w14:textId="77777777" w:rsidR="00B21991" w:rsidRPr="00FB15DB" w:rsidRDefault="00B21991" w:rsidP="00B978E1">
            <w:pPr>
              <w:pStyle w:val="TableTextLeft"/>
              <w:jc w:val="center"/>
            </w:pP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65FD5289" w14:textId="77777777" w:rsidR="00B21991" w:rsidRPr="00FB15DB" w:rsidRDefault="00B21991" w:rsidP="00B978E1">
            <w:pPr>
              <w:pStyle w:val="TableTextLeft"/>
              <w:jc w:val="center"/>
              <w:rPr>
                <w:rFonts w:eastAsia="Calibri"/>
              </w:rP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42544BD4" w14:textId="77777777" w:rsidR="00B21991" w:rsidRPr="00FB15DB" w:rsidRDefault="00B21991" w:rsidP="00B978E1">
            <w:pPr>
              <w:pStyle w:val="TableTextLeft"/>
              <w:jc w:val="cente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36EDD9BC" w14:textId="77777777" w:rsidR="00B21991" w:rsidRPr="00FB15DB" w:rsidRDefault="00B21991" w:rsidP="00B978E1">
            <w:pPr>
              <w:pStyle w:val="TableTextLeft"/>
              <w:jc w:val="center"/>
              <w:rPr>
                <w:rFonts w:eastAsia="Calibri"/>
              </w:rP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5DC6D358" w14:textId="77777777" w:rsidR="00B21991" w:rsidRPr="00FB15DB" w:rsidRDefault="00B21991" w:rsidP="00B978E1">
            <w:pPr>
              <w:pStyle w:val="TableTextLeft"/>
              <w:jc w:val="center"/>
              <w:rPr>
                <w:rFonts w:eastAsia="Calibri"/>
              </w:rP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2FA6ACD7" w14:textId="77777777" w:rsidR="00B21991" w:rsidRPr="00FB15DB" w:rsidRDefault="00B21991" w:rsidP="00B978E1">
            <w:pPr>
              <w:pStyle w:val="TableTextLeft"/>
              <w:jc w:val="center"/>
              <w:rPr>
                <w:rFonts w:eastAsia="Calibri"/>
              </w:rP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28416DBA" w14:textId="77777777" w:rsidR="00B21991" w:rsidRPr="00FB15DB" w:rsidRDefault="00B21991" w:rsidP="00B978E1">
            <w:pPr>
              <w:pStyle w:val="TableTextLeft"/>
              <w:jc w:val="center"/>
              <w:rPr>
                <w:rFonts w:eastAsia="Calibri"/>
              </w:rP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711B4631" w14:textId="77777777" w:rsidR="00B21991" w:rsidRPr="00FB15DB" w:rsidRDefault="00B21991" w:rsidP="00B978E1">
            <w:pPr>
              <w:pStyle w:val="TableTextLeft"/>
              <w:jc w:val="center"/>
              <w:rPr>
                <w:rFonts w:eastAsia="Calibri"/>
              </w:rPr>
            </w:pPr>
            <w:r w:rsidRPr="00FB15DB">
              <w:t>-</w:t>
            </w:r>
          </w:p>
        </w:tc>
        <w:tc>
          <w:tcPr>
            <w:tcW w:w="430" w:type="pct"/>
            <w:tcBorders>
              <w:top w:val="single" w:sz="4" w:space="0" w:color="201547" w:themeColor="text2"/>
              <w:left w:val="nil"/>
              <w:bottom w:val="single" w:sz="4" w:space="0" w:color="201547" w:themeColor="text2"/>
              <w:right w:val="nil"/>
            </w:tcBorders>
            <w:shd w:val="clear" w:color="auto" w:fill="E3DEF5" w:themeFill="accent4" w:themeFillTint="1A"/>
          </w:tcPr>
          <w:p w14:paraId="3E60CCE6" w14:textId="77777777" w:rsidR="00B21991" w:rsidRPr="00FB15DB" w:rsidRDefault="00B21991" w:rsidP="00B978E1">
            <w:pPr>
              <w:pStyle w:val="TableTextLeft"/>
              <w:jc w:val="center"/>
              <w:rPr>
                <w:rFonts w:eastAsia="Calibri"/>
              </w:rPr>
            </w:pPr>
            <w:r w:rsidRPr="00FB15DB">
              <w:t>-</w:t>
            </w:r>
          </w:p>
        </w:tc>
        <w:tc>
          <w:tcPr>
            <w:tcW w:w="430" w:type="pct"/>
            <w:tcBorders>
              <w:top w:val="single" w:sz="4" w:space="0" w:color="201547" w:themeColor="text2"/>
              <w:left w:val="nil"/>
              <w:bottom w:val="single" w:sz="4" w:space="0" w:color="201547" w:themeColor="text2"/>
              <w:right w:val="nil"/>
            </w:tcBorders>
            <w:shd w:val="clear" w:color="auto" w:fill="BAADE7" w:themeFill="accent4" w:themeFillTint="40"/>
          </w:tcPr>
          <w:p w14:paraId="22A15A37" w14:textId="77777777" w:rsidR="00B21991" w:rsidRPr="00FB15DB" w:rsidRDefault="00B21991" w:rsidP="00B978E1">
            <w:pPr>
              <w:pStyle w:val="TableTextLeft"/>
              <w:jc w:val="center"/>
              <w:rPr>
                <w:rFonts w:eastAsia="Calibri"/>
              </w:rPr>
            </w:pPr>
            <w:r w:rsidRPr="00FB15DB">
              <w:t>-</w:t>
            </w:r>
          </w:p>
        </w:tc>
      </w:tr>
    </w:tbl>
    <w:p w14:paraId="04BBE119" w14:textId="77777777" w:rsidR="00B978E1" w:rsidRDefault="00B978E1" w:rsidP="00B978E1">
      <w:pPr>
        <w:pStyle w:val="BodyText"/>
      </w:pPr>
    </w:p>
    <w:tbl>
      <w:tblPr>
        <w:tblStyle w:val="TableGrid"/>
        <w:tblW w:w="21720" w:type="dxa"/>
        <w:tblLook w:val="04A0" w:firstRow="1" w:lastRow="0" w:firstColumn="1" w:lastColumn="0" w:noHBand="0" w:noVBand="1"/>
      </w:tblPr>
      <w:tblGrid>
        <w:gridCol w:w="1888"/>
        <w:gridCol w:w="236"/>
        <w:gridCol w:w="8731"/>
        <w:gridCol w:w="246"/>
        <w:gridCol w:w="1888"/>
        <w:gridCol w:w="8731"/>
      </w:tblGrid>
      <w:tr w:rsidR="00B978E1" w14:paraId="78B6AF28" w14:textId="77777777" w:rsidTr="00B978E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8" w:type="dxa"/>
            <w:tcBorders>
              <w:top w:val="single" w:sz="4" w:space="0" w:color="201547" w:themeColor="text2"/>
              <w:bottom w:val="single" w:sz="4" w:space="0" w:color="auto"/>
            </w:tcBorders>
            <w:shd w:val="clear" w:color="auto" w:fill="auto"/>
          </w:tcPr>
          <w:p w14:paraId="7A92A2F5" w14:textId="11092D24" w:rsidR="00B978E1" w:rsidRPr="00B978E1" w:rsidRDefault="00B978E1" w:rsidP="00B978E1">
            <w:pPr>
              <w:pStyle w:val="TableTextLeft"/>
              <w:jc w:val="center"/>
              <w:rPr>
                <w:color w:val="201547" w:themeColor="text2"/>
              </w:rPr>
            </w:pPr>
            <w:r w:rsidRPr="00B978E1">
              <w:rPr>
                <w:color w:val="201547" w:themeColor="text2"/>
              </w:rPr>
              <w:t>●</w:t>
            </w:r>
          </w:p>
        </w:tc>
        <w:tc>
          <w:tcPr>
            <w:tcW w:w="236" w:type="dxa"/>
            <w:tcBorders>
              <w:top w:val="single" w:sz="4" w:space="0" w:color="201547" w:themeColor="text2"/>
              <w:bottom w:val="single" w:sz="4" w:space="0" w:color="auto"/>
            </w:tcBorders>
            <w:shd w:val="clear" w:color="auto" w:fill="auto"/>
          </w:tcPr>
          <w:p w14:paraId="66828EBB" w14:textId="77777777" w:rsidR="00B978E1" w:rsidRPr="00B978E1" w:rsidRDefault="00B978E1" w:rsidP="00B978E1">
            <w:pPr>
              <w:pStyle w:val="TableTextLeft"/>
              <w:cnfStyle w:val="100000000000" w:firstRow="1" w:lastRow="0" w:firstColumn="0" w:lastColumn="0" w:oddVBand="0" w:evenVBand="0" w:oddHBand="0" w:evenHBand="0" w:firstRowFirstColumn="0" w:firstRowLastColumn="0" w:lastRowFirstColumn="0" w:lastRowLastColumn="0"/>
              <w:rPr>
                <w:color w:val="201547" w:themeColor="text2"/>
              </w:rPr>
            </w:pPr>
          </w:p>
        </w:tc>
        <w:tc>
          <w:tcPr>
            <w:tcW w:w="8731" w:type="dxa"/>
            <w:shd w:val="clear" w:color="auto" w:fill="auto"/>
            <w:vAlign w:val="center"/>
          </w:tcPr>
          <w:p w14:paraId="39AA9432" w14:textId="38F5174F" w:rsidR="00B978E1" w:rsidRPr="00B978E1" w:rsidRDefault="00B978E1" w:rsidP="00B978E1">
            <w:pPr>
              <w:pStyle w:val="TableTextLeft"/>
              <w:cnfStyle w:val="100000000000" w:firstRow="1" w:lastRow="0" w:firstColumn="0" w:lastColumn="0" w:oddVBand="0" w:evenVBand="0" w:oddHBand="0" w:evenHBand="0" w:firstRowFirstColumn="0" w:firstRowLastColumn="0" w:lastRowFirstColumn="0" w:lastRowLastColumn="0"/>
              <w:rPr>
                <w:color w:val="201547" w:themeColor="text2"/>
              </w:rPr>
            </w:pPr>
            <w:r w:rsidRPr="00B978E1">
              <w:rPr>
                <w:rFonts w:eastAsia="Calibri"/>
                <w:color w:val="201547" w:themeColor="text2"/>
              </w:rPr>
              <w:t>Quantify / value ecosystem service provision in GORCAP region is possible with existing info.</w:t>
            </w:r>
          </w:p>
        </w:tc>
        <w:tc>
          <w:tcPr>
            <w:tcW w:w="246" w:type="dxa"/>
            <w:shd w:val="clear" w:color="auto" w:fill="auto"/>
          </w:tcPr>
          <w:p w14:paraId="60040A18" w14:textId="77777777" w:rsidR="00B978E1" w:rsidRPr="00B978E1" w:rsidRDefault="00B978E1" w:rsidP="00B978E1">
            <w:pPr>
              <w:pStyle w:val="TableTextLeft"/>
              <w:cnfStyle w:val="100000000000" w:firstRow="1" w:lastRow="0" w:firstColumn="0" w:lastColumn="0" w:oddVBand="0" w:evenVBand="0" w:oddHBand="0" w:evenHBand="0" w:firstRowFirstColumn="0" w:firstRowLastColumn="0" w:lastRowFirstColumn="0" w:lastRowLastColumn="0"/>
              <w:rPr>
                <w:color w:val="201547" w:themeColor="text2"/>
              </w:rPr>
            </w:pPr>
          </w:p>
        </w:tc>
        <w:tc>
          <w:tcPr>
            <w:tcW w:w="1888" w:type="dxa"/>
            <w:tcBorders>
              <w:top w:val="single" w:sz="4" w:space="0" w:color="201547" w:themeColor="text2"/>
              <w:bottom w:val="single" w:sz="4" w:space="0" w:color="auto"/>
            </w:tcBorders>
            <w:shd w:val="clear" w:color="auto" w:fill="755CCF" w:themeFill="text2" w:themeFillTint="80"/>
            <w:vAlign w:val="center"/>
          </w:tcPr>
          <w:p w14:paraId="160422F2" w14:textId="77777777" w:rsidR="00B978E1" w:rsidRPr="00B978E1" w:rsidRDefault="00B978E1" w:rsidP="00B978E1">
            <w:pPr>
              <w:pStyle w:val="TableTextLeft"/>
              <w:cnfStyle w:val="100000000000" w:firstRow="1" w:lastRow="0" w:firstColumn="0" w:lastColumn="0" w:oddVBand="0" w:evenVBand="0" w:oddHBand="0" w:evenHBand="0" w:firstRowFirstColumn="0" w:firstRowLastColumn="0" w:lastRowFirstColumn="0" w:lastRowLastColumn="0"/>
              <w:rPr>
                <w:color w:val="201547" w:themeColor="text2"/>
              </w:rPr>
            </w:pPr>
          </w:p>
        </w:tc>
        <w:tc>
          <w:tcPr>
            <w:tcW w:w="8731" w:type="dxa"/>
            <w:shd w:val="clear" w:color="auto" w:fill="auto"/>
            <w:vAlign w:val="center"/>
          </w:tcPr>
          <w:p w14:paraId="37BD6ACB" w14:textId="6B30A5C0" w:rsidR="00B978E1" w:rsidRPr="00B978E1" w:rsidRDefault="00B978E1" w:rsidP="00B978E1">
            <w:pPr>
              <w:pStyle w:val="TableTextLeft"/>
              <w:cnfStyle w:val="100000000000" w:firstRow="1" w:lastRow="0" w:firstColumn="0" w:lastColumn="0" w:oddVBand="0" w:evenVBand="0" w:oddHBand="0" w:evenHBand="0" w:firstRowFirstColumn="0" w:firstRowLastColumn="0" w:lastRowFirstColumn="0" w:lastRowLastColumn="0"/>
              <w:rPr>
                <w:color w:val="201547" w:themeColor="text2"/>
              </w:rPr>
            </w:pPr>
            <w:r w:rsidRPr="00B978E1">
              <w:rPr>
                <w:rFonts w:eastAsia="Calibri"/>
                <w:color w:val="201547" w:themeColor="text2"/>
              </w:rPr>
              <w:t xml:space="preserve">Lots of potentially relevant evidence to GORCAP region available </w:t>
            </w:r>
          </w:p>
        </w:tc>
      </w:tr>
      <w:tr w:rsidR="00B978E1" w14:paraId="638FA1C7" w14:textId="77777777" w:rsidTr="00B978E1">
        <w:tc>
          <w:tcPr>
            <w:cnfStyle w:val="001000000000" w:firstRow="0" w:lastRow="0" w:firstColumn="1" w:lastColumn="0" w:oddVBand="0" w:evenVBand="0" w:oddHBand="0" w:evenHBand="0" w:firstRowFirstColumn="0" w:firstRowLastColumn="0" w:lastRowFirstColumn="0" w:lastRowLastColumn="0"/>
            <w:tcW w:w="1888" w:type="dxa"/>
            <w:tcBorders>
              <w:top w:val="single" w:sz="4" w:space="0" w:color="auto"/>
              <w:bottom w:val="single" w:sz="4" w:space="0" w:color="auto"/>
            </w:tcBorders>
          </w:tcPr>
          <w:p w14:paraId="136A8154" w14:textId="58152419" w:rsidR="00B978E1" w:rsidRPr="00B978E1" w:rsidRDefault="00B978E1" w:rsidP="00B978E1">
            <w:pPr>
              <w:pStyle w:val="TableTextLeft"/>
              <w:jc w:val="center"/>
              <w:rPr>
                <w:color w:val="201547" w:themeColor="text2"/>
              </w:rPr>
            </w:pPr>
            <w:r w:rsidRPr="00B978E1">
              <w:rPr>
                <w:rFonts w:eastAsia="Calibri"/>
                <w:color w:val="201547" w:themeColor="text2"/>
              </w:rPr>
              <w:t>○</w:t>
            </w:r>
          </w:p>
        </w:tc>
        <w:tc>
          <w:tcPr>
            <w:tcW w:w="236" w:type="dxa"/>
            <w:tcBorders>
              <w:top w:val="single" w:sz="4" w:space="0" w:color="auto"/>
              <w:bottom w:val="single" w:sz="4" w:space="0" w:color="auto"/>
            </w:tcBorders>
          </w:tcPr>
          <w:p w14:paraId="77F0274A" w14:textId="77777777" w:rsidR="00B978E1" w:rsidRPr="00B978E1" w:rsidRDefault="00B978E1" w:rsidP="00B978E1">
            <w:pPr>
              <w:pStyle w:val="TableTextLeft"/>
              <w:cnfStyle w:val="000000000000" w:firstRow="0" w:lastRow="0" w:firstColumn="0" w:lastColumn="0" w:oddVBand="0" w:evenVBand="0" w:oddHBand="0" w:evenHBand="0" w:firstRowFirstColumn="0" w:firstRowLastColumn="0" w:lastRowFirstColumn="0" w:lastRowLastColumn="0"/>
              <w:rPr>
                <w:color w:val="201547" w:themeColor="text2"/>
              </w:rPr>
            </w:pPr>
          </w:p>
        </w:tc>
        <w:tc>
          <w:tcPr>
            <w:tcW w:w="8731" w:type="dxa"/>
            <w:tcBorders>
              <w:top w:val="nil"/>
              <w:bottom w:val="nil"/>
            </w:tcBorders>
            <w:vAlign w:val="center"/>
          </w:tcPr>
          <w:p w14:paraId="53202F6D" w14:textId="61386A91" w:rsidR="00B978E1" w:rsidRPr="00B978E1" w:rsidRDefault="00B978E1" w:rsidP="00B978E1">
            <w:pPr>
              <w:pStyle w:val="TableTextLeft"/>
              <w:cnfStyle w:val="000000000000" w:firstRow="0" w:lastRow="0" w:firstColumn="0" w:lastColumn="0" w:oddVBand="0" w:evenVBand="0" w:oddHBand="0" w:evenHBand="0" w:firstRowFirstColumn="0" w:firstRowLastColumn="0" w:lastRowFirstColumn="0" w:lastRowLastColumn="0"/>
              <w:rPr>
                <w:color w:val="201547" w:themeColor="text2"/>
              </w:rPr>
            </w:pPr>
            <w:r w:rsidRPr="00B978E1">
              <w:rPr>
                <w:rFonts w:eastAsia="Calibri"/>
                <w:color w:val="201547" w:themeColor="text2"/>
              </w:rPr>
              <w:t xml:space="preserve">Analysis of ecosystem service capacity in GORCAP region is possible with existing info. </w:t>
            </w:r>
          </w:p>
        </w:tc>
        <w:tc>
          <w:tcPr>
            <w:tcW w:w="246" w:type="dxa"/>
            <w:tcBorders>
              <w:top w:val="nil"/>
              <w:bottom w:val="nil"/>
            </w:tcBorders>
          </w:tcPr>
          <w:p w14:paraId="14C857DE" w14:textId="77777777" w:rsidR="00B978E1" w:rsidRPr="00B978E1" w:rsidRDefault="00B978E1" w:rsidP="00B978E1">
            <w:pPr>
              <w:pStyle w:val="TableTextLeft"/>
              <w:cnfStyle w:val="000000000000" w:firstRow="0" w:lastRow="0" w:firstColumn="0" w:lastColumn="0" w:oddVBand="0" w:evenVBand="0" w:oddHBand="0" w:evenHBand="0" w:firstRowFirstColumn="0" w:firstRowLastColumn="0" w:lastRowFirstColumn="0" w:lastRowLastColumn="0"/>
              <w:rPr>
                <w:color w:val="201547" w:themeColor="text2"/>
              </w:rPr>
            </w:pPr>
          </w:p>
        </w:tc>
        <w:tc>
          <w:tcPr>
            <w:tcW w:w="1888" w:type="dxa"/>
            <w:shd w:val="clear" w:color="auto" w:fill="BAADE7" w:themeFill="text2" w:themeFillTint="40"/>
            <w:vAlign w:val="center"/>
          </w:tcPr>
          <w:p w14:paraId="64DFAF5F" w14:textId="77777777" w:rsidR="00B978E1" w:rsidRPr="00B978E1" w:rsidRDefault="00B978E1" w:rsidP="00B978E1">
            <w:pPr>
              <w:pStyle w:val="TableTextLeft"/>
              <w:cnfStyle w:val="000000000000" w:firstRow="0" w:lastRow="0" w:firstColumn="0" w:lastColumn="0" w:oddVBand="0" w:evenVBand="0" w:oddHBand="0" w:evenHBand="0" w:firstRowFirstColumn="0" w:firstRowLastColumn="0" w:lastRowFirstColumn="0" w:lastRowLastColumn="0"/>
              <w:rPr>
                <w:color w:val="201547" w:themeColor="text2"/>
              </w:rPr>
            </w:pPr>
          </w:p>
        </w:tc>
        <w:tc>
          <w:tcPr>
            <w:tcW w:w="8731" w:type="dxa"/>
            <w:tcBorders>
              <w:top w:val="nil"/>
              <w:bottom w:val="nil"/>
            </w:tcBorders>
            <w:vAlign w:val="center"/>
          </w:tcPr>
          <w:p w14:paraId="7457B38A" w14:textId="25AADEBF" w:rsidR="00B978E1" w:rsidRPr="00B978E1" w:rsidRDefault="00B978E1" w:rsidP="00B978E1">
            <w:pPr>
              <w:pStyle w:val="TableTextLeft"/>
              <w:cnfStyle w:val="000000000000" w:firstRow="0" w:lastRow="0" w:firstColumn="0" w:lastColumn="0" w:oddVBand="0" w:evenVBand="0" w:oddHBand="0" w:evenHBand="0" w:firstRowFirstColumn="0" w:firstRowLastColumn="0" w:lastRowFirstColumn="0" w:lastRowLastColumn="0"/>
              <w:rPr>
                <w:color w:val="201547" w:themeColor="text2"/>
              </w:rPr>
            </w:pPr>
            <w:r w:rsidRPr="00B978E1">
              <w:rPr>
                <w:rFonts w:eastAsia="Calibri"/>
              </w:rPr>
              <w:t xml:space="preserve">Some potentially relevant evidence to GORCAP region available / more research needed </w:t>
            </w:r>
          </w:p>
        </w:tc>
      </w:tr>
      <w:tr w:rsidR="00B978E1" w14:paraId="47B44A88" w14:textId="77777777" w:rsidTr="00B978E1">
        <w:tc>
          <w:tcPr>
            <w:cnfStyle w:val="001000000000" w:firstRow="0" w:lastRow="0" w:firstColumn="1" w:lastColumn="0" w:oddVBand="0" w:evenVBand="0" w:oddHBand="0" w:evenHBand="0" w:firstRowFirstColumn="0" w:firstRowLastColumn="0" w:lastRowFirstColumn="0" w:lastRowLastColumn="0"/>
            <w:tcW w:w="1888" w:type="dxa"/>
            <w:tcBorders>
              <w:bottom w:val="single" w:sz="4" w:space="0" w:color="201547" w:themeColor="text2"/>
            </w:tcBorders>
          </w:tcPr>
          <w:p w14:paraId="183E37AC" w14:textId="4BC7A26C" w:rsidR="00B978E1" w:rsidRPr="00B978E1" w:rsidRDefault="00B978E1" w:rsidP="00B978E1">
            <w:pPr>
              <w:pStyle w:val="TableTextLeft"/>
              <w:jc w:val="center"/>
              <w:rPr>
                <w:color w:val="201547" w:themeColor="text2"/>
              </w:rPr>
            </w:pPr>
            <w:r w:rsidRPr="00B978E1">
              <w:rPr>
                <w:rFonts w:eastAsia="Calibri"/>
              </w:rPr>
              <w:t>-</w:t>
            </w:r>
          </w:p>
        </w:tc>
        <w:tc>
          <w:tcPr>
            <w:tcW w:w="236" w:type="dxa"/>
            <w:tcBorders>
              <w:bottom w:val="single" w:sz="4" w:space="0" w:color="201547" w:themeColor="text2"/>
            </w:tcBorders>
          </w:tcPr>
          <w:p w14:paraId="25EA75F0" w14:textId="77777777" w:rsidR="00B978E1" w:rsidRPr="00B978E1" w:rsidRDefault="00B978E1" w:rsidP="00B978E1">
            <w:pPr>
              <w:pStyle w:val="TableTextLeft"/>
              <w:cnfStyle w:val="000000000000" w:firstRow="0" w:lastRow="0" w:firstColumn="0" w:lastColumn="0" w:oddVBand="0" w:evenVBand="0" w:oddHBand="0" w:evenHBand="0" w:firstRowFirstColumn="0" w:firstRowLastColumn="0" w:lastRowFirstColumn="0" w:lastRowLastColumn="0"/>
              <w:rPr>
                <w:color w:val="201547" w:themeColor="text2"/>
              </w:rPr>
            </w:pPr>
          </w:p>
        </w:tc>
        <w:tc>
          <w:tcPr>
            <w:tcW w:w="8731" w:type="dxa"/>
            <w:tcBorders>
              <w:top w:val="nil"/>
              <w:bottom w:val="nil"/>
            </w:tcBorders>
          </w:tcPr>
          <w:p w14:paraId="2EBB315C" w14:textId="4C5D2739" w:rsidR="00B978E1" w:rsidRPr="00B978E1" w:rsidRDefault="00B978E1" w:rsidP="00B978E1">
            <w:pPr>
              <w:pStyle w:val="TableTextLeft"/>
              <w:cnfStyle w:val="000000000000" w:firstRow="0" w:lastRow="0" w:firstColumn="0" w:lastColumn="0" w:oddVBand="0" w:evenVBand="0" w:oddHBand="0" w:evenHBand="0" w:firstRowFirstColumn="0" w:firstRowLastColumn="0" w:lastRowFirstColumn="0" w:lastRowLastColumn="0"/>
              <w:rPr>
                <w:color w:val="201547" w:themeColor="text2"/>
              </w:rPr>
            </w:pPr>
            <w:r w:rsidRPr="00B978E1">
              <w:rPr>
                <w:rFonts w:eastAsia="Calibri"/>
                <w:color w:val="201547" w:themeColor="text2"/>
              </w:rPr>
              <w:t>No analysis of ecosystem services from GORCAP region is currently possible</w:t>
            </w:r>
          </w:p>
        </w:tc>
        <w:tc>
          <w:tcPr>
            <w:tcW w:w="246" w:type="dxa"/>
            <w:tcBorders>
              <w:top w:val="nil"/>
              <w:bottom w:val="nil"/>
            </w:tcBorders>
          </w:tcPr>
          <w:p w14:paraId="5E616099" w14:textId="77777777" w:rsidR="00B978E1" w:rsidRPr="00B978E1" w:rsidRDefault="00B978E1" w:rsidP="00B978E1">
            <w:pPr>
              <w:pStyle w:val="TableTextLeft"/>
              <w:cnfStyle w:val="000000000000" w:firstRow="0" w:lastRow="0" w:firstColumn="0" w:lastColumn="0" w:oddVBand="0" w:evenVBand="0" w:oddHBand="0" w:evenHBand="0" w:firstRowFirstColumn="0" w:firstRowLastColumn="0" w:lastRowFirstColumn="0" w:lastRowLastColumn="0"/>
              <w:rPr>
                <w:color w:val="201547" w:themeColor="text2"/>
              </w:rPr>
            </w:pPr>
          </w:p>
        </w:tc>
        <w:tc>
          <w:tcPr>
            <w:tcW w:w="1888" w:type="dxa"/>
            <w:shd w:val="clear" w:color="auto" w:fill="E3DEF5" w:themeFill="text2" w:themeFillTint="1A"/>
          </w:tcPr>
          <w:p w14:paraId="58C3C70A" w14:textId="77777777" w:rsidR="00B978E1" w:rsidRPr="00B978E1" w:rsidRDefault="00B978E1" w:rsidP="00B978E1">
            <w:pPr>
              <w:pStyle w:val="TableTextLeft"/>
              <w:cnfStyle w:val="000000000000" w:firstRow="0" w:lastRow="0" w:firstColumn="0" w:lastColumn="0" w:oddVBand="0" w:evenVBand="0" w:oddHBand="0" w:evenHBand="0" w:firstRowFirstColumn="0" w:firstRowLastColumn="0" w:lastRowFirstColumn="0" w:lastRowLastColumn="0"/>
              <w:rPr>
                <w:color w:val="201547" w:themeColor="text2"/>
              </w:rPr>
            </w:pPr>
          </w:p>
        </w:tc>
        <w:tc>
          <w:tcPr>
            <w:tcW w:w="8731" w:type="dxa"/>
            <w:tcBorders>
              <w:top w:val="nil"/>
              <w:bottom w:val="nil"/>
            </w:tcBorders>
            <w:vAlign w:val="center"/>
          </w:tcPr>
          <w:p w14:paraId="69B7B554" w14:textId="273013EA" w:rsidR="00B978E1" w:rsidRPr="00B978E1" w:rsidRDefault="00B978E1" w:rsidP="00B978E1">
            <w:pPr>
              <w:pStyle w:val="TableTextLeft"/>
              <w:cnfStyle w:val="000000000000" w:firstRow="0" w:lastRow="0" w:firstColumn="0" w:lastColumn="0" w:oddVBand="0" w:evenVBand="0" w:oddHBand="0" w:evenHBand="0" w:firstRowFirstColumn="0" w:firstRowLastColumn="0" w:lastRowFirstColumn="0" w:lastRowLastColumn="0"/>
              <w:rPr>
                <w:color w:val="201547" w:themeColor="text2"/>
              </w:rPr>
            </w:pPr>
            <w:r w:rsidRPr="00B978E1">
              <w:rPr>
                <w:rFonts w:eastAsia="Calibri"/>
              </w:rPr>
              <w:t xml:space="preserve">Additional research required </w:t>
            </w:r>
          </w:p>
        </w:tc>
      </w:tr>
      <w:tr w:rsidR="00B978E1" w14:paraId="041B8E4F" w14:textId="77777777" w:rsidTr="00B978E1">
        <w:tc>
          <w:tcPr>
            <w:cnfStyle w:val="001000000000" w:firstRow="0" w:lastRow="0" w:firstColumn="1" w:lastColumn="0" w:oddVBand="0" w:evenVBand="0" w:oddHBand="0" w:evenHBand="0" w:firstRowFirstColumn="0" w:firstRowLastColumn="0" w:lastRowFirstColumn="0" w:lastRowLastColumn="0"/>
            <w:tcW w:w="1888" w:type="dxa"/>
            <w:tcBorders>
              <w:top w:val="single" w:sz="4" w:space="0" w:color="201547" w:themeColor="text2"/>
              <w:bottom w:val="single" w:sz="4" w:space="0" w:color="FFFFFF" w:themeColor="background1"/>
            </w:tcBorders>
          </w:tcPr>
          <w:p w14:paraId="6A9C1646" w14:textId="77777777" w:rsidR="00B978E1" w:rsidRPr="00B978E1" w:rsidRDefault="00B978E1" w:rsidP="00B978E1">
            <w:pPr>
              <w:pStyle w:val="TableTextLeft"/>
              <w:jc w:val="center"/>
              <w:rPr>
                <w:color w:val="201547" w:themeColor="text2"/>
              </w:rPr>
            </w:pPr>
          </w:p>
        </w:tc>
        <w:tc>
          <w:tcPr>
            <w:tcW w:w="236" w:type="dxa"/>
            <w:tcBorders>
              <w:top w:val="single" w:sz="4" w:space="0" w:color="201547" w:themeColor="text2"/>
              <w:bottom w:val="single" w:sz="4" w:space="0" w:color="FFFFFF" w:themeColor="background1"/>
            </w:tcBorders>
          </w:tcPr>
          <w:p w14:paraId="010F7797" w14:textId="77777777" w:rsidR="00B978E1" w:rsidRPr="00B978E1" w:rsidRDefault="00B978E1" w:rsidP="00B978E1">
            <w:pPr>
              <w:pStyle w:val="TableTextLeft"/>
              <w:cnfStyle w:val="000000000000" w:firstRow="0" w:lastRow="0" w:firstColumn="0" w:lastColumn="0" w:oddVBand="0" w:evenVBand="0" w:oddHBand="0" w:evenHBand="0" w:firstRowFirstColumn="0" w:firstRowLastColumn="0" w:lastRowFirstColumn="0" w:lastRowLastColumn="0"/>
              <w:rPr>
                <w:color w:val="201547" w:themeColor="text2"/>
              </w:rPr>
            </w:pPr>
          </w:p>
        </w:tc>
        <w:tc>
          <w:tcPr>
            <w:tcW w:w="8731" w:type="dxa"/>
            <w:tcBorders>
              <w:top w:val="nil"/>
              <w:bottom w:val="single" w:sz="4" w:space="0" w:color="FFFFFF" w:themeColor="background1"/>
            </w:tcBorders>
          </w:tcPr>
          <w:p w14:paraId="496B8E82" w14:textId="77777777" w:rsidR="00B978E1" w:rsidRPr="00B978E1" w:rsidRDefault="00B978E1" w:rsidP="00B978E1">
            <w:pPr>
              <w:pStyle w:val="TableTextLeft"/>
              <w:cnfStyle w:val="000000000000" w:firstRow="0" w:lastRow="0" w:firstColumn="0" w:lastColumn="0" w:oddVBand="0" w:evenVBand="0" w:oddHBand="0" w:evenHBand="0" w:firstRowFirstColumn="0" w:firstRowLastColumn="0" w:lastRowFirstColumn="0" w:lastRowLastColumn="0"/>
              <w:rPr>
                <w:color w:val="201547" w:themeColor="text2"/>
              </w:rPr>
            </w:pPr>
          </w:p>
        </w:tc>
        <w:tc>
          <w:tcPr>
            <w:tcW w:w="246" w:type="dxa"/>
            <w:tcBorders>
              <w:top w:val="nil"/>
              <w:bottom w:val="nil"/>
            </w:tcBorders>
          </w:tcPr>
          <w:p w14:paraId="3E46E2FA" w14:textId="77777777" w:rsidR="00B978E1" w:rsidRPr="00B978E1" w:rsidRDefault="00B978E1" w:rsidP="00B978E1">
            <w:pPr>
              <w:pStyle w:val="TableTextLeft"/>
              <w:cnfStyle w:val="000000000000" w:firstRow="0" w:lastRow="0" w:firstColumn="0" w:lastColumn="0" w:oddVBand="0" w:evenVBand="0" w:oddHBand="0" w:evenHBand="0" w:firstRowFirstColumn="0" w:firstRowLastColumn="0" w:lastRowFirstColumn="0" w:lastRowLastColumn="0"/>
              <w:rPr>
                <w:color w:val="201547" w:themeColor="text2"/>
              </w:rPr>
            </w:pPr>
          </w:p>
        </w:tc>
        <w:tc>
          <w:tcPr>
            <w:tcW w:w="1888" w:type="dxa"/>
            <w:shd w:val="clear" w:color="auto" w:fill="E8E8E8" w:themeFill="text1" w:themeFillTint="1A"/>
          </w:tcPr>
          <w:p w14:paraId="407E5647" w14:textId="77777777" w:rsidR="00B978E1" w:rsidRPr="00B978E1" w:rsidRDefault="00B978E1" w:rsidP="00B978E1">
            <w:pPr>
              <w:pStyle w:val="TableTextLeft"/>
              <w:cnfStyle w:val="000000000000" w:firstRow="0" w:lastRow="0" w:firstColumn="0" w:lastColumn="0" w:oddVBand="0" w:evenVBand="0" w:oddHBand="0" w:evenHBand="0" w:firstRowFirstColumn="0" w:firstRowLastColumn="0" w:lastRowFirstColumn="0" w:lastRowLastColumn="0"/>
              <w:rPr>
                <w:color w:val="201547" w:themeColor="text2"/>
              </w:rPr>
            </w:pPr>
          </w:p>
        </w:tc>
        <w:tc>
          <w:tcPr>
            <w:tcW w:w="8731" w:type="dxa"/>
            <w:tcBorders>
              <w:top w:val="nil"/>
              <w:bottom w:val="nil"/>
            </w:tcBorders>
            <w:vAlign w:val="center"/>
          </w:tcPr>
          <w:p w14:paraId="49C0CA3E" w14:textId="7A78B944" w:rsidR="00B978E1" w:rsidRPr="00B978E1" w:rsidRDefault="00B978E1" w:rsidP="00B978E1">
            <w:pPr>
              <w:pStyle w:val="TableTextLeft"/>
              <w:cnfStyle w:val="000000000000" w:firstRow="0" w:lastRow="0" w:firstColumn="0" w:lastColumn="0" w:oddVBand="0" w:evenVBand="0" w:oddHBand="0" w:evenHBand="0" w:firstRowFirstColumn="0" w:firstRowLastColumn="0" w:lastRowFirstColumn="0" w:lastRowLastColumn="0"/>
              <w:rPr>
                <w:color w:val="201547" w:themeColor="text2"/>
              </w:rPr>
            </w:pPr>
            <w:r w:rsidRPr="00B978E1">
              <w:rPr>
                <w:rFonts w:eastAsia="Calibri"/>
              </w:rPr>
              <w:t>Not relevant ecosystem / ecosystem service in GORCAP region</w:t>
            </w:r>
          </w:p>
        </w:tc>
      </w:tr>
    </w:tbl>
    <w:p w14:paraId="0C1177D7" w14:textId="77777777" w:rsidR="00B21991" w:rsidRPr="00FB15DB" w:rsidRDefault="00B21991" w:rsidP="00E85B64">
      <w:pPr>
        <w:pStyle w:val="NoteHeading"/>
        <w:rPr>
          <w:rFonts w:eastAsia="Calibri"/>
        </w:rPr>
        <w:sectPr w:rsidR="00B21991" w:rsidRPr="00FB15DB" w:rsidSect="00E52A9A">
          <w:headerReference w:type="even" r:id="rId94"/>
          <w:headerReference w:type="default" r:id="rId95"/>
          <w:footerReference w:type="even" r:id="rId96"/>
          <w:footerReference w:type="default" r:id="rId97"/>
          <w:pgSz w:w="23811" w:h="16838" w:orient="landscape" w:code="8"/>
          <w:pgMar w:top="1134" w:right="1134" w:bottom="1134" w:left="1134" w:header="283" w:footer="283" w:gutter="0"/>
          <w:cols w:space="284"/>
          <w:docGrid w:linePitch="360"/>
        </w:sectPr>
      </w:pPr>
      <w:proofErr w:type="spellStart"/>
      <w:r w:rsidRPr="00FB15DB">
        <w:rPr>
          <w:rFonts w:eastAsia="Calibri"/>
          <w:i/>
          <w:vertAlign w:val="superscript"/>
        </w:rPr>
        <w:t>a</w:t>
      </w:r>
      <w:proofErr w:type="spellEnd"/>
      <w:r w:rsidRPr="00FB15DB">
        <w:rPr>
          <w:rFonts w:eastAsia="Calibri"/>
          <w:vertAlign w:val="superscript"/>
        </w:rPr>
        <w:t xml:space="preserve"> </w:t>
      </w:r>
      <w:r w:rsidRPr="00FB15DB">
        <w:rPr>
          <w:rFonts w:eastAsia="Calibri"/>
        </w:rPr>
        <w:t xml:space="preserve"> There is currently no firewood collection or harvesting occurring on public land within the GORCAP EEA assessment boundary. Planning for forest parks (of which the </w:t>
      </w:r>
      <w:proofErr w:type="spellStart"/>
      <w:r w:rsidRPr="00FB15DB">
        <w:rPr>
          <w:rFonts w:eastAsia="Calibri"/>
        </w:rPr>
        <w:t>Otways</w:t>
      </w:r>
      <w:proofErr w:type="spellEnd"/>
      <w:r w:rsidRPr="00FB15DB">
        <w:rPr>
          <w:rFonts w:eastAsia="Calibri"/>
        </w:rPr>
        <w:t xml:space="preserve"> forest park is within the assessment boundary) occurs annually to consider a three year operations period. Therefore, it is feasible that firewood collection could exist in the future on public land within the GORCAP EEA boundary. </w:t>
      </w:r>
    </w:p>
    <w:p w14:paraId="152F3CB0" w14:textId="77777777" w:rsidR="00B21991" w:rsidRPr="00FB15DB" w:rsidRDefault="00B21991" w:rsidP="0004232F">
      <w:pPr>
        <w:pStyle w:val="Heading1"/>
      </w:pPr>
      <w:bookmarkStart w:id="145" w:name="_Toc98854653"/>
      <w:bookmarkStart w:id="146" w:name="_Toc163547027"/>
      <w:r w:rsidRPr="00FB15DB">
        <w:lastRenderedPageBreak/>
        <w:t>Methodology</w:t>
      </w:r>
      <w:bookmarkEnd w:id="145"/>
      <w:bookmarkEnd w:id="146"/>
    </w:p>
    <w:p w14:paraId="5037EDA6" w14:textId="77777777" w:rsidR="00B21991" w:rsidRPr="00FB15DB" w:rsidRDefault="00B21991" w:rsidP="00B21991">
      <w:pPr>
        <w:pStyle w:val="BodyText"/>
      </w:pPr>
      <w:r w:rsidRPr="00FB15DB">
        <w:t xml:space="preserve">The methodological approach to GORCAP EEA development was agreed with the project steering group following the study teams’ review of economic assessments of coastal, marine and protected area assets globally, international guidance on environmental-economic accounting as well as existing information on the Great Ocean Road (see Annex 4 for further information on scoping phase) </w:t>
      </w:r>
    </w:p>
    <w:p w14:paraId="0CA4DE9C" w14:textId="77777777" w:rsidR="00B21991" w:rsidRPr="00FB15DB" w:rsidRDefault="00B21991" w:rsidP="0082099E">
      <w:pPr>
        <w:pStyle w:val="Heading2"/>
      </w:pPr>
      <w:bookmarkStart w:id="147" w:name="_Toc98854654"/>
      <w:bookmarkStart w:id="148" w:name="_Toc163547028"/>
      <w:r w:rsidRPr="00FB15DB">
        <w:t>Stock assessment</w:t>
      </w:r>
      <w:bookmarkEnd w:id="147"/>
      <w:bookmarkEnd w:id="148"/>
    </w:p>
    <w:p w14:paraId="2BFCD054" w14:textId="77777777" w:rsidR="00B21991" w:rsidRPr="00FB15DB" w:rsidRDefault="00B21991" w:rsidP="00B21991">
      <w:pPr>
        <w:pStyle w:val="BodyText"/>
      </w:pPr>
      <w:r w:rsidRPr="00FB15DB">
        <w:t>The ecosystem asset stock account reports information on ecosystem extent and condition. Tracking changes in these metrics over time can be useful to inform decision making. For example, extent or condition metrics that are consistently tracking down (or up) might be a cause for concern (i.e., if this reflects a loss of ecosystem extent or asset degradation) and warrant further investigation and potentially a policy and/or management response.</w:t>
      </w:r>
    </w:p>
    <w:p w14:paraId="1CD0EF33" w14:textId="77777777" w:rsidR="00B21991" w:rsidRPr="00FB15DB" w:rsidRDefault="00B21991" w:rsidP="0082099E">
      <w:pPr>
        <w:pStyle w:val="Heading3"/>
      </w:pPr>
      <w:bookmarkStart w:id="149" w:name="_Toc98854655"/>
      <w:bookmarkStart w:id="150" w:name="_Toc163547029"/>
      <w:r w:rsidRPr="00FB15DB">
        <w:t>Ecosystem asset extent</w:t>
      </w:r>
      <w:bookmarkEnd w:id="149"/>
      <w:bookmarkEnd w:id="150"/>
    </w:p>
    <w:p w14:paraId="16753259" w14:textId="77777777" w:rsidR="00B21991" w:rsidRPr="00FB15DB" w:rsidRDefault="00B21991" w:rsidP="00B21991">
      <w:pPr>
        <w:pStyle w:val="BodyText"/>
      </w:pPr>
      <w:r w:rsidRPr="00FB15DB">
        <w:t>Ecosystem assets must be classified so they can be consistently organised within the environmental economic accounting framework over time. This is particularly important for coastal areas which are considerably diverse and complex as transition areas between freshwater and marine systems, and between aquatic and terrestrial systems (Sousa et al, 2016). The classification of ecosystem assets used in this GORCAP EEA is:</w:t>
      </w:r>
    </w:p>
    <w:p w14:paraId="29194A5D" w14:textId="77777777" w:rsidR="00B21991" w:rsidRPr="00FB15DB" w:rsidRDefault="00B21991" w:rsidP="00B21991">
      <w:pPr>
        <w:pStyle w:val="ListBullet"/>
      </w:pPr>
      <w:r w:rsidRPr="00FB15DB">
        <w:t>Comprehensive to cover entire land area and mutually exclusive to avoid double counting</w:t>
      </w:r>
    </w:p>
    <w:p w14:paraId="4A4696F2" w14:textId="77777777" w:rsidR="00B21991" w:rsidRPr="00FB15DB" w:rsidRDefault="00B21991" w:rsidP="00B21991">
      <w:pPr>
        <w:pStyle w:val="ListBullet"/>
      </w:pPr>
      <w:r w:rsidRPr="00FB15DB">
        <w:t>Based on broad habitat types and narrow habitat types where ecosystem service provision can be quantified</w:t>
      </w:r>
    </w:p>
    <w:p w14:paraId="11198E7E" w14:textId="77777777" w:rsidR="00B21991" w:rsidRPr="00FB15DB" w:rsidRDefault="00B21991" w:rsidP="00B21991">
      <w:pPr>
        <w:pStyle w:val="ListBullet"/>
      </w:pPr>
      <w:r w:rsidRPr="00FB15DB">
        <w:t>Based on land cover, with land use descriptors where relevant for informing ecosystem service provision</w:t>
      </w:r>
    </w:p>
    <w:p w14:paraId="1C7C43AE" w14:textId="77777777" w:rsidR="00B21991" w:rsidRPr="00FB15DB" w:rsidRDefault="00B21991" w:rsidP="00B21991">
      <w:pPr>
        <w:pStyle w:val="ListBullet"/>
      </w:pPr>
      <w:r w:rsidRPr="00FB15DB">
        <w:t xml:space="preserve">Based on existing classifications used by the Victorian Government (including </w:t>
      </w:r>
      <w:proofErr w:type="spellStart"/>
      <w:r w:rsidRPr="00FB15DB">
        <w:t>CBiCS</w:t>
      </w:r>
      <w:proofErr w:type="spellEnd"/>
      <w:r w:rsidRPr="00FB15DB">
        <w:t xml:space="preserve"> and EVCs) where this is useful for the purposes of environmental-economic accounting (i.e., there are clear links to ecosystem service provision)</w:t>
      </w:r>
    </w:p>
    <w:p w14:paraId="663D1DC2" w14:textId="77777777" w:rsidR="00B21991" w:rsidRPr="00FB15DB" w:rsidRDefault="00B21991" w:rsidP="00B21991">
      <w:pPr>
        <w:pStyle w:val="BodyText12ptBefore"/>
      </w:pPr>
      <w:r w:rsidRPr="00FB15DB">
        <w:t>The extent account is fundamentally based on land cover. However, the condition account captures the extent of different classifications of land (i.e., other than land cover), including land uses (e.g., agricultural production) and designations (e.g., national park - for recreation). It can be relevant to add further sub-classifications for certain land cover extents to acknowledge land uses (e.g., crop production, sports grounds) or designations (e.g., national park) in order to be informative from an ecosystem services perspective (based on information from the ecosystem condition account). Therefore, the extent classification is hierarchical, with narrow assets and other classifications (e.g., land uses, designations) being a subset of the broader asset classification. In order to avoid double counting, the study team overlaid different datasets to ensure that a given land area only enters into the account once.</w:t>
      </w:r>
    </w:p>
    <w:p w14:paraId="51AB9A7B" w14:textId="77777777" w:rsidR="00B21991" w:rsidRPr="00FB15DB" w:rsidRDefault="00B21991" w:rsidP="00B21991">
      <w:pPr>
        <w:pStyle w:val="BodyText"/>
      </w:pPr>
      <w:r w:rsidRPr="00FB15DB">
        <w:t xml:space="preserve">Based on the review of global literature and Victoria specific information (see Annex 5), the GORCAP EEA uses the following classifications of ecosystem asset stocks (a) broad assets (b) narrow assets, which are explained in more detail in the following sections. </w:t>
      </w:r>
    </w:p>
    <w:p w14:paraId="3F5235F4" w14:textId="77777777" w:rsidR="00B21991" w:rsidRPr="00FB15DB" w:rsidRDefault="00B21991" w:rsidP="004F1561">
      <w:pPr>
        <w:pStyle w:val="Heading4"/>
      </w:pPr>
      <w:bookmarkStart w:id="151" w:name="_Toc98854656"/>
      <w:bookmarkStart w:id="152" w:name="_Toc163547030"/>
      <w:r w:rsidRPr="00FB15DB">
        <w:t>Broad assets</w:t>
      </w:r>
      <w:bookmarkEnd w:id="151"/>
      <w:bookmarkEnd w:id="152"/>
    </w:p>
    <w:p w14:paraId="4FECA03D" w14:textId="77777777" w:rsidR="00B21991" w:rsidRPr="00FB15DB" w:rsidRDefault="00B21991" w:rsidP="00B21991">
      <w:pPr>
        <w:pStyle w:val="BodyText"/>
      </w:pPr>
      <w:r w:rsidRPr="00FB15DB">
        <w:t>The ecosystems that are referred to in Victorian Parks account (PV and DELWP, 2014) were considered by the study team for use as the broad asset classification within Victoria that meets the following criteria: is mutually exclusive (no overlaps), aligns with differences in ecosystem service provision, is easily understood and of a reasonable number. However, in order to be suitable for this purpose, the ecosystem classification needs to be comprehensive (i.e., cover entire land area of Victoria). On further consideration of ecosystem categories used by Parks Victoria (n.d.) and in the suite of comprehensive and mutually exclusive environmental-economic accounts within the UK (ONS, 2018), it was proposed that farmland and urban ecosystem classes be added to those identified in the Victorian Parks account (PV and DELWP, 2014). The following broad ecosystem asset types therefore represent the set of mutually exclusive ecosystems for which accounts could be developed in Victoria for use in the GORCAP EEA:</w:t>
      </w:r>
    </w:p>
    <w:p w14:paraId="43CC32C1" w14:textId="77777777" w:rsidR="00B21991" w:rsidRPr="00FB15DB" w:rsidRDefault="00B21991" w:rsidP="00B21991">
      <w:pPr>
        <w:pStyle w:val="BodyText"/>
      </w:pPr>
    </w:p>
    <w:tbl>
      <w:tblPr>
        <w:tblW w:w="0" w:type="auto"/>
        <w:tblLook w:val="04A0" w:firstRow="1" w:lastRow="0" w:firstColumn="1" w:lastColumn="0" w:noHBand="0" w:noVBand="1"/>
      </w:tblPr>
      <w:tblGrid>
        <w:gridCol w:w="4840"/>
        <w:gridCol w:w="4798"/>
      </w:tblGrid>
      <w:tr w:rsidR="00B21991" w:rsidRPr="00FB15DB" w14:paraId="4E37D350" w14:textId="77777777" w:rsidTr="00666947">
        <w:tc>
          <w:tcPr>
            <w:tcW w:w="5102" w:type="dxa"/>
          </w:tcPr>
          <w:p w14:paraId="0BC3F3DA" w14:textId="77777777" w:rsidR="00B21991" w:rsidRPr="00FB15DB" w:rsidRDefault="00B21991" w:rsidP="00666947">
            <w:pPr>
              <w:pStyle w:val="TableTextLeft"/>
            </w:pPr>
            <w:r w:rsidRPr="00FB15DB">
              <w:lastRenderedPageBreak/>
              <w:t xml:space="preserve">1.  </w:t>
            </w:r>
            <w:r w:rsidRPr="00FB15DB">
              <w:tab/>
              <w:t>Marine</w:t>
            </w:r>
          </w:p>
          <w:p w14:paraId="776EAE96" w14:textId="53D2FD9A" w:rsidR="00B21991" w:rsidRPr="00FB15DB" w:rsidRDefault="00B21991" w:rsidP="00666947">
            <w:pPr>
              <w:pStyle w:val="TableTextLeft"/>
            </w:pPr>
            <w:r w:rsidRPr="00FB15DB">
              <w:t>2.</w:t>
            </w:r>
            <w:r w:rsidRPr="00FB15DB">
              <w:tab/>
              <w:t>Alpine</w:t>
            </w:r>
          </w:p>
          <w:p w14:paraId="6C2C99C4" w14:textId="77777777" w:rsidR="00B21991" w:rsidRPr="00FB15DB" w:rsidRDefault="00B21991" w:rsidP="00666947">
            <w:pPr>
              <w:pStyle w:val="TableTextLeft"/>
            </w:pPr>
            <w:r w:rsidRPr="00FB15DB">
              <w:t xml:space="preserve">3. </w:t>
            </w:r>
            <w:r w:rsidRPr="00FB15DB">
              <w:tab/>
              <w:t>Shrubland</w:t>
            </w:r>
          </w:p>
          <w:p w14:paraId="0613D5FD" w14:textId="77777777" w:rsidR="00B21991" w:rsidRPr="00FB15DB" w:rsidRDefault="00B21991" w:rsidP="00666947">
            <w:pPr>
              <w:pStyle w:val="TableTextLeft"/>
            </w:pPr>
            <w:r w:rsidRPr="00FB15DB">
              <w:t xml:space="preserve">4. </w:t>
            </w:r>
            <w:r w:rsidRPr="00FB15DB">
              <w:tab/>
              <w:t>Grassland</w:t>
            </w:r>
          </w:p>
          <w:p w14:paraId="42050009" w14:textId="77777777" w:rsidR="00B21991" w:rsidRPr="00FB15DB" w:rsidRDefault="00B21991" w:rsidP="00666947">
            <w:pPr>
              <w:pStyle w:val="TableTextLeft"/>
            </w:pPr>
            <w:r w:rsidRPr="00FB15DB">
              <w:t xml:space="preserve">5. </w:t>
            </w:r>
            <w:r w:rsidRPr="00FB15DB">
              <w:tab/>
              <w:t>Forest/woodland</w:t>
            </w:r>
          </w:p>
        </w:tc>
        <w:tc>
          <w:tcPr>
            <w:tcW w:w="5103" w:type="dxa"/>
          </w:tcPr>
          <w:p w14:paraId="54DF2ACA" w14:textId="77777777" w:rsidR="00B21991" w:rsidRPr="00FB15DB" w:rsidRDefault="00B21991" w:rsidP="00666947">
            <w:pPr>
              <w:pStyle w:val="TableTextLeft"/>
            </w:pPr>
            <w:r w:rsidRPr="00FB15DB">
              <w:t xml:space="preserve">6. </w:t>
            </w:r>
            <w:r w:rsidRPr="00FB15DB">
              <w:tab/>
              <w:t>Coastal margins</w:t>
            </w:r>
          </w:p>
          <w:p w14:paraId="10797934" w14:textId="77777777" w:rsidR="00B21991" w:rsidRPr="00FB15DB" w:rsidRDefault="00B21991" w:rsidP="00666947">
            <w:pPr>
              <w:pStyle w:val="TableTextLeft"/>
            </w:pPr>
            <w:r w:rsidRPr="00FB15DB">
              <w:t xml:space="preserve">7. </w:t>
            </w:r>
            <w:r w:rsidRPr="00FB15DB">
              <w:tab/>
              <w:t>Farmland</w:t>
            </w:r>
          </w:p>
          <w:p w14:paraId="1F2B6FFF" w14:textId="77777777" w:rsidR="00B21991" w:rsidRPr="00FB15DB" w:rsidRDefault="00B21991" w:rsidP="00666947">
            <w:pPr>
              <w:pStyle w:val="TableTextLeft"/>
            </w:pPr>
            <w:r w:rsidRPr="00FB15DB">
              <w:t xml:space="preserve">8. </w:t>
            </w:r>
            <w:r w:rsidRPr="00FB15DB">
              <w:tab/>
              <w:t>Freshwater and wetland</w:t>
            </w:r>
          </w:p>
          <w:p w14:paraId="607454A3" w14:textId="77777777" w:rsidR="00B21991" w:rsidRPr="00FB15DB" w:rsidRDefault="00B21991" w:rsidP="00666947">
            <w:pPr>
              <w:pStyle w:val="TableTextLeft"/>
            </w:pPr>
            <w:r w:rsidRPr="00FB15DB">
              <w:t xml:space="preserve">9. </w:t>
            </w:r>
            <w:r w:rsidRPr="00FB15DB">
              <w:tab/>
              <w:t xml:space="preserve">Urban </w:t>
            </w:r>
          </w:p>
          <w:p w14:paraId="69DFEA99" w14:textId="77777777" w:rsidR="00B21991" w:rsidRPr="00FB15DB" w:rsidRDefault="00B21991" w:rsidP="00666947">
            <w:pPr>
              <w:pStyle w:val="TableTextLeft"/>
            </w:pPr>
          </w:p>
        </w:tc>
      </w:tr>
    </w:tbl>
    <w:p w14:paraId="2F39083D" w14:textId="77777777" w:rsidR="00B21991" w:rsidRPr="00FB15DB" w:rsidRDefault="00B21991" w:rsidP="00B21991">
      <w:pPr>
        <w:pStyle w:val="BodyText"/>
      </w:pPr>
      <w:r w:rsidRPr="00FB15DB">
        <w:t xml:space="preserve">These nine ecosystem types align with major ecological vegetation classes (EVC) and the groups within the Australian Vegetation Attribute Manual version 7 (Department of the Environment and Energy, 2017). </w:t>
      </w:r>
    </w:p>
    <w:p w14:paraId="39FDE57A" w14:textId="77777777" w:rsidR="00B21991" w:rsidRPr="00FB15DB" w:rsidRDefault="00B21991" w:rsidP="00B21991">
      <w:pPr>
        <w:pStyle w:val="BodyText"/>
      </w:pPr>
      <w:r w:rsidRPr="00FB15DB">
        <w:t>There is no dataset that classifies ecosystems according to the nine broad ecosystem assets that are listed above. Annex 5 includes a non-exhaustive list of potential metrics and data sources for the extent assessment within the GOR Coast and Parks Area boundary. The study team considered the following datasets to capture the extent of broad assets within the GORCAP region:</w:t>
      </w:r>
    </w:p>
    <w:p w14:paraId="5C594093" w14:textId="77777777" w:rsidR="00B21991" w:rsidRPr="00FB15DB" w:rsidRDefault="00B21991" w:rsidP="00B21991">
      <w:pPr>
        <w:pStyle w:val="ListBullet"/>
      </w:pPr>
      <w:r w:rsidRPr="00FB15DB">
        <w:rPr>
          <w:b/>
        </w:rPr>
        <w:t>Victorian Land Cover Time Series (VLCTS)</w:t>
      </w:r>
      <w:r w:rsidRPr="00FB15DB">
        <w:t xml:space="preserve">: this provides a consistent through time, whole-of-state, spatial land cover dataset with 19 land cover classes. This dataset is comprehensive insofar as it covers the entire land area and mutually exclusive insofar as there will be no overlaps (so one land/water area is only included once). </w:t>
      </w:r>
    </w:p>
    <w:p w14:paraId="670F3DA3" w14:textId="77777777" w:rsidR="00B21991" w:rsidRPr="00FB15DB" w:rsidRDefault="00B21991" w:rsidP="00B21991">
      <w:pPr>
        <w:pStyle w:val="ListBullet"/>
      </w:pPr>
      <w:proofErr w:type="spellStart"/>
      <w:r w:rsidRPr="00FB15DB">
        <w:rPr>
          <w:b/>
        </w:rPr>
        <w:t>CBiCS</w:t>
      </w:r>
      <w:proofErr w:type="spellEnd"/>
      <w:r w:rsidRPr="00FB15DB">
        <w:rPr>
          <w:b/>
        </w:rPr>
        <w:t xml:space="preserve"> and EVCs</w:t>
      </w:r>
      <w:r w:rsidRPr="00FB15DB">
        <w:t xml:space="preserve">: these datasets are technical ecological classifications which have too many categories to provide a broad classification but could usefully form the hierarchy of more specific sub-habitats. </w:t>
      </w:r>
    </w:p>
    <w:p w14:paraId="4EBC882E" w14:textId="77777777" w:rsidR="00B21991" w:rsidRPr="00FB15DB" w:rsidRDefault="00B21991" w:rsidP="00B21991">
      <w:pPr>
        <w:pStyle w:val="BodyText12ptBefore"/>
      </w:pPr>
      <w:r w:rsidRPr="00FB15DB">
        <w:t xml:space="preserve">The approach to capturing the extent of the nine broad assets within the GORCAP EEA area is to use the VLCTS database with disaggregation to more specific habitats using the </w:t>
      </w:r>
      <w:proofErr w:type="spellStart"/>
      <w:r w:rsidRPr="00FB15DB">
        <w:t>CBiCS</w:t>
      </w:r>
      <w:proofErr w:type="spellEnd"/>
      <w:r w:rsidRPr="00FB15DB">
        <w:t xml:space="preserve"> and EVC datasets where this is useful for assessing the provision of ecosystem services.</w:t>
      </w:r>
    </w:p>
    <w:p w14:paraId="31C1311E" w14:textId="77777777" w:rsidR="00B21991" w:rsidRPr="00FB15DB" w:rsidRDefault="00B21991" w:rsidP="00B21991">
      <w:pPr>
        <w:pStyle w:val="BodyText"/>
      </w:pPr>
      <w:r w:rsidRPr="00FB15DB">
        <w:t xml:space="preserve">The VLCTS has 19 land cover classes, which the study team has mapped across to the nine broad assets. This mapping of VLCTS land cover classes to the broad assets has been informed by the descriptions of each class (detailed in Annex 6), as well as interrogating other datasets such as the Victorian Land Use Information System (VLUIS). For example, investigating the VLCTS and VLUIS datasets together indicates that the </w:t>
      </w:r>
      <w:r w:rsidRPr="00FB15DB">
        <w:rPr>
          <w:i/>
        </w:rPr>
        <w:t>Exotic pasture / grassland</w:t>
      </w:r>
      <w:r w:rsidRPr="00FB15DB">
        <w:t xml:space="preserve"> land cover class areas, which are defined as ‘herbaceous pastures that are predominantly composed of nonindigenous species’ (DELWP 2020), predominantly cover farming land use areas. Therefore, this land cover class has been attributed to the </w:t>
      </w:r>
      <w:r w:rsidRPr="00FB15DB">
        <w:rPr>
          <w:i/>
        </w:rPr>
        <w:t>Farmland</w:t>
      </w:r>
      <w:r w:rsidRPr="00FB15DB">
        <w:t xml:space="preserve"> broad asset class rather than to </w:t>
      </w:r>
      <w:r w:rsidRPr="00FB15DB">
        <w:rPr>
          <w:i/>
        </w:rPr>
        <w:t>Grassland</w:t>
      </w:r>
      <w:r w:rsidRPr="00FB15DB">
        <w:t>.</w:t>
      </w:r>
    </w:p>
    <w:p w14:paraId="5B860EA8" w14:textId="77777777" w:rsidR="00B21991" w:rsidRPr="00FB15DB" w:rsidRDefault="00B21991" w:rsidP="00755C97">
      <w:pPr>
        <w:pStyle w:val="Heading4"/>
      </w:pPr>
      <w:bookmarkStart w:id="153" w:name="_Toc98854657"/>
      <w:bookmarkStart w:id="154" w:name="_Toc163547031"/>
      <w:r w:rsidRPr="00FB15DB">
        <w:t>Narrow assets</w:t>
      </w:r>
      <w:bookmarkEnd w:id="153"/>
      <w:bookmarkEnd w:id="154"/>
    </w:p>
    <w:p w14:paraId="40ED3D2A" w14:textId="77777777" w:rsidR="00B21991" w:rsidRPr="00FB15DB" w:rsidRDefault="00B21991" w:rsidP="00B21991">
      <w:pPr>
        <w:pStyle w:val="BodyText"/>
      </w:pPr>
      <w:r w:rsidRPr="00FB15DB">
        <w:t xml:space="preserve">It is necessary to breakdown the broad ecosystem asset classification into narrower classification to provide more insight into the productivity of ecosystem assets from an ecosystem service perspective. This might be breaking down marine ecosystems into constituent habitats that have unique characteristics that determine a specific capacity to deliver ecosystem services (e.g., </w:t>
      </w:r>
      <w:proofErr w:type="spellStart"/>
      <w:r w:rsidRPr="00FB15DB">
        <w:t>rhodolith</w:t>
      </w:r>
      <w:proofErr w:type="spellEnd"/>
      <w:r w:rsidRPr="00FB15DB">
        <w:t xml:space="preserve"> marine habitat that has a very high carbon sequestration rate).</w:t>
      </w:r>
    </w:p>
    <w:p w14:paraId="685050F1" w14:textId="77777777" w:rsidR="00B21991" w:rsidRPr="00FB15DB" w:rsidRDefault="00B21991" w:rsidP="00B21991">
      <w:pPr>
        <w:pStyle w:val="BodyText"/>
      </w:pPr>
      <w:r w:rsidRPr="00FB15DB">
        <w:t xml:space="preserve">For example, the </w:t>
      </w:r>
      <w:proofErr w:type="spellStart"/>
      <w:r w:rsidRPr="00FB15DB">
        <w:t>CBiCS</w:t>
      </w:r>
      <w:proofErr w:type="spellEnd"/>
      <w:r w:rsidRPr="00FB15DB">
        <w:t xml:space="preserve"> dataset is used to provide narrower classifications for the marine assets and the EVC dataset is used to provide narrower classifications for terrestrial assets, while the </w:t>
      </w:r>
      <w:proofErr w:type="spellStart"/>
      <w:r w:rsidRPr="00FB15DB">
        <w:t>VicMap</w:t>
      </w:r>
      <w:proofErr w:type="spellEnd"/>
      <w:r w:rsidRPr="00FB15DB">
        <w:t xml:space="preserve"> Hydro dataset is used to provide narrower classifications for freshwater assets. The main reason for the use of these datasets to provide a more detailed breakdown of sub-habitats is that it is the study teams understanding form liaison with DELWP policy teams that these are the datasets that are used within DELWP policy areas.</w:t>
      </w:r>
    </w:p>
    <w:p w14:paraId="6C3E21D6" w14:textId="7C09B7FE" w:rsidR="00755C97" w:rsidRDefault="00B21991" w:rsidP="00B21991">
      <w:pPr>
        <w:pStyle w:val="BodyText"/>
      </w:pPr>
      <w:r w:rsidRPr="00FB15DB">
        <w:t xml:space="preserve">When it is useful to breakdown the broader land cover classes into narrower classifications to provide more insight into the productivity of that asset from an ecosystem service perspective, the </w:t>
      </w:r>
      <w:proofErr w:type="spellStart"/>
      <w:r w:rsidRPr="00FB15DB">
        <w:t>CBiCS</w:t>
      </w:r>
      <w:proofErr w:type="spellEnd"/>
      <w:r w:rsidRPr="00FB15DB">
        <w:t xml:space="preserve">, EVC and Hydro datasets are matched to specific land cover classes from the VLCTS dataset, so as to provide more detail about the types of marine habitats or vegetation in those areas. For example, Figure 3 illustrates an area of the Great Otway National Park with the VLCTS land cover class of </w:t>
      </w:r>
      <w:r w:rsidRPr="00FB15DB">
        <w:rPr>
          <w:i/>
        </w:rPr>
        <w:t>Treed native vegetation</w:t>
      </w:r>
      <w:r w:rsidRPr="00FB15DB">
        <w:t xml:space="preserve"> (which falls into the </w:t>
      </w:r>
      <w:r w:rsidRPr="00FB15DB">
        <w:rPr>
          <w:i/>
        </w:rPr>
        <w:t>Forest / woodland</w:t>
      </w:r>
      <w:r w:rsidRPr="00FB15DB">
        <w:t xml:space="preserve"> broad habitat as detailed in Section 3.2.2) substituted with the EVC dataset (with other terrestrial areas shown in light yellow). </w:t>
      </w:r>
      <w:r w:rsidR="00755C97">
        <w:br w:type="page"/>
      </w:r>
    </w:p>
    <w:p w14:paraId="26A50B5A" w14:textId="77777777" w:rsidR="00B21991" w:rsidRPr="00FB15DB" w:rsidRDefault="00B21991" w:rsidP="00E85B64">
      <w:pPr>
        <w:pStyle w:val="Caption"/>
      </w:pPr>
      <w:r w:rsidRPr="00FB15DB">
        <w:rPr>
          <w:rFonts w:eastAsia="Arial"/>
        </w:rPr>
        <w:lastRenderedPageBreak/>
        <w:t>Figure 3. EVCs within the ‘Treed native vegetation’ land cover class - Great Otway National Park</w:t>
      </w:r>
    </w:p>
    <w:p w14:paraId="24B131DF" w14:textId="77777777" w:rsidR="00B21991" w:rsidRPr="00FB15DB" w:rsidRDefault="00B21991" w:rsidP="00B21991">
      <w:pPr>
        <w:pStyle w:val="BodyText"/>
      </w:pPr>
      <w:r w:rsidRPr="00FB15DB">
        <w:rPr>
          <w:noProof/>
        </w:rPr>
        <w:drawing>
          <wp:inline distT="0" distB="0" distL="0" distR="0" wp14:anchorId="403BFC2F" wp14:editId="2B59C4D4">
            <wp:extent cx="5252483" cy="7428887"/>
            <wp:effectExtent l="0" t="0" r="5715" b="63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pic:nvPicPr>
                  <pic:blipFill>
                    <a:blip r:embed="rId98" cstate="email">
                      <a:extLst>
                        <a:ext uri="{28A0092B-C50C-407E-A947-70E740481C1C}">
                          <a14:useLocalDpi xmlns:a14="http://schemas.microsoft.com/office/drawing/2010/main"/>
                        </a:ext>
                      </a:extLst>
                    </a:blip>
                    <a:stretch>
                      <a:fillRect/>
                    </a:stretch>
                  </pic:blipFill>
                  <pic:spPr>
                    <a:xfrm>
                      <a:off x="0" y="0"/>
                      <a:ext cx="5307716" cy="7507006"/>
                    </a:xfrm>
                    <a:prstGeom prst="rect">
                      <a:avLst/>
                    </a:prstGeom>
                  </pic:spPr>
                </pic:pic>
              </a:graphicData>
            </a:graphic>
          </wp:inline>
        </w:drawing>
      </w:r>
    </w:p>
    <w:p w14:paraId="53B9BE45" w14:textId="77777777" w:rsidR="00CE2B5D" w:rsidRDefault="00CE2B5D" w:rsidP="00B21991">
      <w:pPr>
        <w:pStyle w:val="BodyText"/>
      </w:pPr>
      <w:r>
        <w:br w:type="page"/>
      </w:r>
    </w:p>
    <w:p w14:paraId="3CD2F800" w14:textId="5C58BF8F" w:rsidR="00B21991" w:rsidRPr="00FB15DB" w:rsidRDefault="00B21991" w:rsidP="00B21991">
      <w:pPr>
        <w:pStyle w:val="BodyText"/>
      </w:pPr>
      <w:r w:rsidRPr="00FB15DB">
        <w:lastRenderedPageBreak/>
        <w:t xml:space="preserve">Figure 3 illustrates the wide variety of vegetation classes within just one land cover class designation (Treed native vegetation VLCTS category within forest / woodland broad asset type) in the localised region, including: </w:t>
      </w:r>
    </w:p>
    <w:tbl>
      <w:tblPr>
        <w:tblW w:w="0" w:type="auto"/>
        <w:tblLook w:val="04A0" w:firstRow="1" w:lastRow="0" w:firstColumn="1" w:lastColumn="0" w:noHBand="0" w:noVBand="1"/>
      </w:tblPr>
      <w:tblGrid>
        <w:gridCol w:w="4819"/>
        <w:gridCol w:w="4819"/>
      </w:tblGrid>
      <w:tr w:rsidR="00B21991" w:rsidRPr="00FB15DB" w14:paraId="417B396F" w14:textId="77777777" w:rsidTr="00CE2B5D">
        <w:tc>
          <w:tcPr>
            <w:tcW w:w="4819" w:type="dxa"/>
          </w:tcPr>
          <w:p w14:paraId="627CCEC2" w14:textId="77777777" w:rsidR="00B21991" w:rsidRPr="00FB15DB" w:rsidRDefault="00B21991" w:rsidP="00666947">
            <w:pPr>
              <w:pStyle w:val="TableTextBullet"/>
            </w:pPr>
            <w:r w:rsidRPr="00FB15DB">
              <w:t xml:space="preserve">Coastal scrubs grasslands and woodlands </w:t>
            </w:r>
          </w:p>
          <w:p w14:paraId="6914CEE7" w14:textId="77777777" w:rsidR="00B21991" w:rsidRPr="00FB15DB" w:rsidRDefault="00B21991" w:rsidP="00666947">
            <w:pPr>
              <w:pStyle w:val="TableTextBullet"/>
            </w:pPr>
            <w:r w:rsidRPr="00FB15DB">
              <w:t>Dry forests</w:t>
            </w:r>
          </w:p>
          <w:p w14:paraId="5E52595F" w14:textId="77777777" w:rsidR="00B21991" w:rsidRPr="00FB15DB" w:rsidRDefault="00B21991" w:rsidP="00666947">
            <w:pPr>
              <w:pStyle w:val="TableTextBullet"/>
            </w:pPr>
            <w:r w:rsidRPr="00FB15DB">
              <w:t>Heathlands</w:t>
            </w:r>
          </w:p>
          <w:p w14:paraId="183B691B" w14:textId="77777777" w:rsidR="00B21991" w:rsidRPr="00FB15DB" w:rsidRDefault="00B21991" w:rsidP="00666947">
            <w:pPr>
              <w:pStyle w:val="TableTextBullet"/>
            </w:pPr>
            <w:r w:rsidRPr="00FB15DB">
              <w:t>Heathy woodlands</w:t>
            </w:r>
          </w:p>
          <w:p w14:paraId="3A3BF13F" w14:textId="77777777" w:rsidR="00B21991" w:rsidRPr="00FB15DB" w:rsidRDefault="00B21991" w:rsidP="00666947">
            <w:pPr>
              <w:pStyle w:val="TableTextBullet"/>
            </w:pPr>
            <w:r w:rsidRPr="00FB15DB">
              <w:t>Herb-rich woodlands</w:t>
            </w:r>
          </w:p>
          <w:p w14:paraId="28A2DFD2" w14:textId="77777777" w:rsidR="00B21991" w:rsidRPr="00FB15DB" w:rsidRDefault="00B21991" w:rsidP="00666947">
            <w:pPr>
              <w:pStyle w:val="TableTextBullet"/>
            </w:pPr>
            <w:r w:rsidRPr="00FB15DB">
              <w:t>Lowland forests</w:t>
            </w:r>
          </w:p>
        </w:tc>
        <w:tc>
          <w:tcPr>
            <w:tcW w:w="4820" w:type="dxa"/>
          </w:tcPr>
          <w:p w14:paraId="0B713E47" w14:textId="77777777" w:rsidR="00B21991" w:rsidRPr="00FB15DB" w:rsidRDefault="00B21991" w:rsidP="00666947">
            <w:pPr>
              <w:pStyle w:val="TableTextBullet"/>
            </w:pPr>
            <w:r w:rsidRPr="00FB15DB">
              <w:t>Rainforests</w:t>
            </w:r>
          </w:p>
          <w:p w14:paraId="126EEC1C" w14:textId="77777777" w:rsidR="00B21991" w:rsidRPr="00FB15DB" w:rsidRDefault="00B21991" w:rsidP="00666947">
            <w:pPr>
              <w:pStyle w:val="TableTextBullet"/>
            </w:pPr>
            <w:r w:rsidRPr="00FB15DB">
              <w:t>Riparian / swampy scrubs and woodlands</w:t>
            </w:r>
          </w:p>
          <w:p w14:paraId="44649822" w14:textId="77777777" w:rsidR="00B21991" w:rsidRPr="00FB15DB" w:rsidRDefault="00B21991" w:rsidP="00666947">
            <w:pPr>
              <w:pStyle w:val="TableTextBullet"/>
            </w:pPr>
            <w:r w:rsidRPr="00FB15DB">
              <w:t>Riverine grassy woodlands or forests</w:t>
            </w:r>
          </w:p>
          <w:p w14:paraId="622D1F66" w14:textId="77777777" w:rsidR="00B21991" w:rsidRPr="00FB15DB" w:rsidRDefault="00B21991" w:rsidP="00666947">
            <w:pPr>
              <w:pStyle w:val="TableTextBullet"/>
            </w:pPr>
            <w:r w:rsidRPr="00FB15DB">
              <w:t>Wet or damp forests</w:t>
            </w:r>
          </w:p>
          <w:p w14:paraId="781A7E18" w14:textId="77777777" w:rsidR="00B21991" w:rsidRPr="00FB15DB" w:rsidRDefault="00B21991" w:rsidP="00666947">
            <w:pPr>
              <w:pStyle w:val="TableTextBullet"/>
            </w:pPr>
            <w:r w:rsidRPr="00FB15DB">
              <w:t>Wetlands</w:t>
            </w:r>
          </w:p>
          <w:p w14:paraId="2B644A18" w14:textId="77777777" w:rsidR="00B21991" w:rsidRPr="00FB15DB" w:rsidRDefault="00B21991" w:rsidP="00666947">
            <w:pPr>
              <w:pStyle w:val="TableTextLeft"/>
            </w:pPr>
          </w:p>
        </w:tc>
      </w:tr>
    </w:tbl>
    <w:p w14:paraId="3F36C7BB" w14:textId="77777777" w:rsidR="00B21991" w:rsidRPr="00FB15DB" w:rsidRDefault="00B21991" w:rsidP="00B21991">
      <w:pPr>
        <w:pStyle w:val="BodyText"/>
      </w:pPr>
      <w:r w:rsidRPr="00FB15DB">
        <w:t>Each of the ecological vegetation classes listed above (and illustrated in Figure 3) may be assessed differently from an ecosystem services perspective, for example, each may have different rates of carbon sequestration.</w:t>
      </w:r>
    </w:p>
    <w:p w14:paraId="339930FE" w14:textId="77777777" w:rsidR="00B21991" w:rsidRPr="00FB15DB" w:rsidRDefault="00B21991" w:rsidP="00CE2B5D">
      <w:pPr>
        <w:pStyle w:val="Heading3"/>
      </w:pPr>
      <w:bookmarkStart w:id="155" w:name="_Toc98854658"/>
      <w:bookmarkStart w:id="156" w:name="_Toc163547032"/>
      <w:r w:rsidRPr="00FB15DB">
        <w:t>Ecosystem asset condition</w:t>
      </w:r>
      <w:bookmarkEnd w:id="155"/>
      <w:bookmarkEnd w:id="156"/>
    </w:p>
    <w:p w14:paraId="16F954DF" w14:textId="77777777" w:rsidR="00B21991" w:rsidRPr="00FB15DB" w:rsidRDefault="00B21991" w:rsidP="00B21991">
      <w:pPr>
        <w:pStyle w:val="BodyText"/>
      </w:pPr>
      <w:r w:rsidRPr="00FB15DB">
        <w:t xml:space="preserve">The key objective of the condition account is to monitor changes in the </w:t>
      </w:r>
      <w:r w:rsidRPr="00FB15DB">
        <w:rPr>
          <w:i/>
        </w:rPr>
        <w:t>capacity</w:t>
      </w:r>
      <w:r w:rsidRPr="00FB15DB">
        <w:t xml:space="preserve"> of ecosystems to deliver ecosystem services (</w:t>
      </w:r>
      <w:proofErr w:type="spellStart"/>
      <w:r w:rsidRPr="00FB15DB">
        <w:t>eftec</w:t>
      </w:r>
      <w:proofErr w:type="spellEnd"/>
      <w:r w:rsidRPr="00FB15DB">
        <w:t xml:space="preserve"> et al, 2017). Relevant metrics/indicators included in this account </w:t>
      </w:r>
      <w:r w:rsidRPr="00FB15DB">
        <w:rPr>
          <w:i/>
        </w:rPr>
        <w:t>do</w:t>
      </w:r>
      <w:r w:rsidRPr="00FB15DB">
        <w:t xml:space="preserve"> include conventional ecological definitions of ecosystem condition (e.g., ranging from degraded to pristine ecological condition). In addition, to be useful from a policy perspective, the reviewed accounts also include broader “socio-economic” metrics related to ecosystem management and productivity, as follows (see Annex 7 for more information on the review of global and Victoria specific literature of relevance):</w:t>
      </w:r>
    </w:p>
    <w:p w14:paraId="7639A542" w14:textId="77777777" w:rsidR="00B21991" w:rsidRPr="00FB15DB" w:rsidRDefault="00B21991" w:rsidP="00B21991">
      <w:pPr>
        <w:pStyle w:val="ListBullet"/>
        <w:rPr>
          <w:b/>
        </w:rPr>
      </w:pPr>
      <w:r w:rsidRPr="00FB15DB">
        <w:rPr>
          <w:b/>
        </w:rPr>
        <w:t>Ecological condition metrics</w:t>
      </w:r>
      <w:r w:rsidRPr="00FB15DB">
        <w:t>: indicators of ecosystem health (as measured for the purposes of informing the ecological management of assets) measuring the concept of ecological integrity which is of relevance in its own right as per SEEA-EA guidance (pers. comm Carl Obst). It can also be assumed that ecosystem assets that are in good ecological health will generally have a greater capacity to generate ecosystem services than assets in poor ecological condition. Ecological condition is captured in the account through metrics which capture:</w:t>
      </w:r>
    </w:p>
    <w:p w14:paraId="1C85C24D" w14:textId="77777777" w:rsidR="00B21991" w:rsidRPr="00FB15DB" w:rsidRDefault="00B21991" w:rsidP="00E85B64">
      <w:pPr>
        <w:pStyle w:val="ListBullet2"/>
      </w:pPr>
      <w:r w:rsidRPr="00FB15DB">
        <w:t xml:space="preserve">The intrinsic value of biodiversity, which will </w:t>
      </w:r>
      <w:r w:rsidRPr="00FB15DB">
        <w:rPr>
          <w:i/>
        </w:rPr>
        <w:t>not</w:t>
      </w:r>
      <w:r w:rsidRPr="00FB15DB">
        <w:t xml:space="preserve"> be valued in monetary terms in the account, but which are valued by society in both “use” (e.g., nature watching) and “non-use” (e.g., existence and option value) terms, see Table 2. </w:t>
      </w:r>
    </w:p>
    <w:p w14:paraId="527BB80C" w14:textId="77777777" w:rsidR="00B21991" w:rsidRPr="00FB15DB" w:rsidRDefault="00B21991" w:rsidP="00E85B64">
      <w:pPr>
        <w:pStyle w:val="ListBullet2"/>
      </w:pPr>
      <w:r w:rsidRPr="00FB15DB">
        <w:t xml:space="preserve">Ecosystem asset characteristics for which there is scientific consensus on their importance in underlying the productive capacity of ecosystems, such as the type of tree species being an important characteristic in determining the provision of carbon capture and storage by forests (for example). </w:t>
      </w:r>
    </w:p>
    <w:p w14:paraId="6F508769" w14:textId="77777777" w:rsidR="00B21991" w:rsidRPr="00FB15DB" w:rsidRDefault="00B21991" w:rsidP="00B21991">
      <w:pPr>
        <w:pStyle w:val="BodyText12ptBefore"/>
      </w:pPr>
      <w:r w:rsidRPr="00FB15DB">
        <w:t>The UK scoping account for coastal areas (ONS, 2016) and protected area account (AECOM, 2016) classify these ecological condition indicators based on the SEEA EEA common condition categories of biodiversity, soil, water and carbon and this is used in the GORCAP EEA.</w:t>
      </w:r>
    </w:p>
    <w:p w14:paraId="7F67CC4A" w14:textId="77777777" w:rsidR="00B21991" w:rsidRPr="00FB15DB" w:rsidRDefault="00B21991" w:rsidP="00B21991">
      <w:pPr>
        <w:pStyle w:val="ListBullet"/>
        <w:rPr>
          <w:b/>
        </w:rPr>
      </w:pPr>
      <w:r w:rsidRPr="00FB15DB">
        <w:rPr>
          <w:b/>
        </w:rPr>
        <w:t>Socio-economic characteristic metrics:</w:t>
      </w:r>
      <w:r w:rsidRPr="00FB15DB">
        <w:t xml:space="preserve"> which capture the human interaction with the environment including ecosystem location relative to beneficiaries, cultural assets, built assets, governance and management. These broader characteristics are important determinants of the delivery of ecosystem services and the associated socio-economic benefits by ecosystem assets as follows:</w:t>
      </w:r>
    </w:p>
    <w:p w14:paraId="4C152A8B" w14:textId="77777777" w:rsidR="00B21991" w:rsidRPr="00FB15DB" w:rsidRDefault="00B21991" w:rsidP="00E85B64">
      <w:pPr>
        <w:pStyle w:val="ListBullet2"/>
        <w:rPr>
          <w:b/>
        </w:rPr>
      </w:pPr>
      <w:r w:rsidRPr="00FB15DB">
        <w:t xml:space="preserve">Location of ecosystem assets relative to beneficiaries. For example, accessible green space within 400m of residence could be a relevant metric to understand the “condition” of the environment for recreation opportunities. </w:t>
      </w:r>
    </w:p>
    <w:p w14:paraId="630DF37B" w14:textId="77777777" w:rsidR="00B21991" w:rsidRPr="00FB15DB" w:rsidRDefault="00B21991" w:rsidP="00E85B64">
      <w:pPr>
        <w:pStyle w:val="ListBullet2"/>
        <w:rPr>
          <w:b/>
        </w:rPr>
      </w:pPr>
      <w:r w:rsidRPr="00FB15DB">
        <w:t xml:space="preserve">Cultural assets that are tangible/physical ecosystem assets that are of non-Indigenous historic or contemporary cultural heritage (e.g., arboreal avenues of culture) or of value to Traditional Owners living cultural heritage as were captured (from Aboriginal Affairs Victoria) in the Valuing Victoria’s Parks account (DELWP and PV, 2015) through a “cultural assets account". The actual inclusion of such information will depend on what is deemed to be appropriate by the Traditional Owners of the lands on which the study was undertaken (in the case of the geographic boundary of this Great Ocean Road Coast and Parks environmental-economic account, this is the Eastern Maar Aboriginal Corporation and </w:t>
      </w:r>
      <w:proofErr w:type="spellStart"/>
      <w:r w:rsidRPr="00FB15DB">
        <w:t>Wadawurrung</w:t>
      </w:r>
      <w:proofErr w:type="spellEnd"/>
      <w:r w:rsidRPr="00FB15DB">
        <w:t xml:space="preserve"> Traditional Owners Aboriginal Corporation).  </w:t>
      </w:r>
    </w:p>
    <w:p w14:paraId="29429F7C" w14:textId="77777777" w:rsidR="00B21991" w:rsidRPr="00FB15DB" w:rsidRDefault="00B21991" w:rsidP="00E85B64">
      <w:pPr>
        <w:pStyle w:val="ListBullet2"/>
        <w:rPr>
          <w:b/>
        </w:rPr>
      </w:pPr>
      <w:r w:rsidRPr="00FB15DB">
        <w:t>Built assets provide an important contribution to economic activity such as access facilities (e.g., paths and bridleways which are important for recreation services) and built</w:t>
      </w:r>
      <w:r w:rsidRPr="00FB15DB">
        <w:rPr>
          <w:i/>
        </w:rPr>
        <w:t xml:space="preserve"> </w:t>
      </w:r>
      <w:r w:rsidRPr="00FB15DB">
        <w:t xml:space="preserve">assets of historic and </w:t>
      </w:r>
      <w:r w:rsidRPr="00FB15DB">
        <w:lastRenderedPageBreak/>
        <w:t>contemporary non-Indigenous cultural heritage (e.g., shipwrecks), as captured in a built asset account as part of the DELWP and PV (2015) study on Victoria’s Parks. The visitor experience to the natural environment is enhanced by these other (non-natural) capitals and this should be accounted for as it is useful to understand from a policy perspective.</w:t>
      </w:r>
    </w:p>
    <w:p w14:paraId="7BED1DCD" w14:textId="77777777" w:rsidR="00B21991" w:rsidRPr="00FB15DB" w:rsidRDefault="00B21991" w:rsidP="00E85B64">
      <w:pPr>
        <w:pStyle w:val="ListBullet2"/>
        <w:rPr>
          <w:b/>
        </w:rPr>
      </w:pPr>
      <w:r w:rsidRPr="00FB15DB">
        <w:t xml:space="preserve">Governance and management practices including protected status designations (important for conservation) capture how humans are managing the natural environment to deliver ecosystems services of value to society as included in UK environmental-economic accounts (ONS, 2016; AECOM, 2016).  </w:t>
      </w:r>
    </w:p>
    <w:p w14:paraId="529D45CC" w14:textId="77777777" w:rsidR="00B21991" w:rsidRPr="00FB15DB" w:rsidRDefault="00B21991" w:rsidP="00B21991">
      <w:pPr>
        <w:pStyle w:val="BodyText12ptBefore"/>
      </w:pPr>
      <w:r w:rsidRPr="00FB15DB">
        <w:t xml:space="preserve">The GORCAP EEA condition account will therefore (subject to data availability) include information related to ecological integrity as per SEEA-EA guidance but extend beyond this to also capture other variables that are necessary to co-produce ecosystem services from ecosystem assets (Dickie et al, 2014). </w:t>
      </w:r>
    </w:p>
    <w:p w14:paraId="768B748E" w14:textId="77777777" w:rsidR="00B21991" w:rsidRPr="00FB15DB" w:rsidRDefault="00B21991" w:rsidP="00B21991">
      <w:pPr>
        <w:pStyle w:val="BodyText"/>
      </w:pPr>
      <w:r w:rsidRPr="00FB15DB">
        <w:t xml:space="preserve">The study team has reviewed potentially relevant ecosystem condition information for Victoria, including the information in </w:t>
      </w:r>
      <w:proofErr w:type="spellStart"/>
      <w:r w:rsidRPr="00FB15DB">
        <w:t>CoastKit</w:t>
      </w:r>
      <w:proofErr w:type="spellEnd"/>
      <w:r w:rsidRPr="00FB15DB">
        <w:rPr>
          <w:vertAlign w:val="superscript"/>
        </w:rPr>
        <w:footnoteReference w:id="7"/>
      </w:r>
      <w:r w:rsidRPr="00FB15DB">
        <w:t xml:space="preserve"> and the OCES’s coastal and marine indicator set and specific metrics on the basis that these are key determinants of the quantity and/or quality of ecosystem service provision from those assets. The OCES indicators include a range of metrics covering ecosystem asset stock condition, abiotic factors, human induced pressures and planning and institutional management arrangements. Annex 8 sets out how these metrics align with / fit into the environmental-economic accounting framework. The data that will populate the OCES coastal and marine indicator set is still in development and so datasets have not yet been identified for these metrics.</w:t>
      </w:r>
    </w:p>
    <w:p w14:paraId="5F03566F" w14:textId="77777777" w:rsidR="00B21991" w:rsidRPr="00FB15DB" w:rsidRDefault="00B21991" w:rsidP="00B21991">
      <w:pPr>
        <w:pStyle w:val="BodyText"/>
        <w:rPr>
          <w:b/>
        </w:rPr>
      </w:pPr>
      <w:r w:rsidRPr="00FB15DB">
        <w:rPr>
          <w:b/>
        </w:rPr>
        <w:t xml:space="preserve">Table 2. Indicative ecosystem condition indicators  </w:t>
      </w:r>
    </w:p>
    <w:tbl>
      <w:tblPr>
        <w:tblStyle w:val="TableGrid"/>
        <w:tblW w:w="5000" w:type="pct"/>
        <w:tblLook w:val="04A0" w:firstRow="1" w:lastRow="0" w:firstColumn="1" w:lastColumn="0" w:noHBand="0" w:noVBand="1"/>
      </w:tblPr>
      <w:tblGrid>
        <w:gridCol w:w="3242"/>
        <w:gridCol w:w="2088"/>
        <w:gridCol w:w="2737"/>
        <w:gridCol w:w="1571"/>
      </w:tblGrid>
      <w:tr w:rsidR="002957E3" w:rsidRPr="00FB15DB" w14:paraId="3D6148C4" w14:textId="77777777" w:rsidTr="002957E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682" w:type="pct"/>
          </w:tcPr>
          <w:p w14:paraId="0F702D62" w14:textId="77777777" w:rsidR="00B21991" w:rsidRPr="00FB15DB" w:rsidRDefault="00B21991" w:rsidP="002957E3">
            <w:pPr>
              <w:pStyle w:val="TableHeadingLeft"/>
            </w:pPr>
            <w:r w:rsidRPr="00FB15DB">
              <w:t xml:space="preserve">Condition category / Indicator </w:t>
            </w:r>
          </w:p>
        </w:tc>
        <w:tc>
          <w:tcPr>
            <w:tcW w:w="1083" w:type="pct"/>
          </w:tcPr>
          <w:p w14:paraId="5D89B089" w14:textId="77777777" w:rsidR="00B21991" w:rsidRPr="00FB15DB" w:rsidRDefault="00B21991" w:rsidP="002957E3">
            <w:pPr>
              <w:pStyle w:val="TableHeadingLeft"/>
              <w:cnfStyle w:val="100000000000" w:firstRow="1" w:lastRow="0" w:firstColumn="0" w:lastColumn="0" w:oddVBand="0" w:evenVBand="0" w:oddHBand="0" w:evenHBand="0" w:firstRowFirstColumn="0" w:firstRowLastColumn="0" w:lastRowFirstColumn="0" w:lastRowLastColumn="0"/>
            </w:pPr>
            <w:r w:rsidRPr="00FB15DB">
              <w:t xml:space="preserve">Ecosystem </w:t>
            </w:r>
          </w:p>
        </w:tc>
        <w:tc>
          <w:tcPr>
            <w:tcW w:w="1420" w:type="pct"/>
          </w:tcPr>
          <w:p w14:paraId="064670DC" w14:textId="77777777" w:rsidR="00B21991" w:rsidRPr="00FB15DB" w:rsidRDefault="00B21991" w:rsidP="002957E3">
            <w:pPr>
              <w:pStyle w:val="TableHeadingLeft"/>
              <w:cnfStyle w:val="100000000000" w:firstRow="1" w:lastRow="0" w:firstColumn="0" w:lastColumn="0" w:oddVBand="0" w:evenVBand="0" w:oddHBand="0" w:evenHBand="0" w:firstRowFirstColumn="0" w:firstRowLastColumn="0" w:lastRowFirstColumn="0" w:lastRowLastColumn="0"/>
            </w:pPr>
            <w:r w:rsidRPr="00FB15DB">
              <w:t>Primary ecosystem service being supported</w:t>
            </w:r>
          </w:p>
        </w:tc>
        <w:tc>
          <w:tcPr>
            <w:tcW w:w="814" w:type="pct"/>
          </w:tcPr>
          <w:p w14:paraId="5764496A" w14:textId="77777777" w:rsidR="00B21991" w:rsidRPr="00FB15DB" w:rsidRDefault="00B21991" w:rsidP="002957E3">
            <w:pPr>
              <w:pStyle w:val="TableHeadingLeft"/>
              <w:cnfStyle w:val="100000000000" w:firstRow="1" w:lastRow="0" w:firstColumn="0" w:lastColumn="0" w:oddVBand="0" w:evenVBand="0" w:oddHBand="0" w:evenHBand="0" w:firstRowFirstColumn="0" w:firstRowLastColumn="0" w:lastRowFirstColumn="0" w:lastRowLastColumn="0"/>
            </w:pPr>
            <w:r w:rsidRPr="00FB15DB">
              <w:t>Metric (indicative)</w:t>
            </w:r>
          </w:p>
        </w:tc>
      </w:tr>
      <w:tr w:rsidR="00B21991" w:rsidRPr="00FB15DB" w14:paraId="781183ED" w14:textId="77777777" w:rsidTr="008923E6">
        <w:trPr>
          <w:cantSplit/>
        </w:trPr>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201547" w:themeFill="text2"/>
          </w:tcPr>
          <w:p w14:paraId="58315833" w14:textId="77777777" w:rsidR="00B21991" w:rsidRPr="008923E6" w:rsidRDefault="00B21991" w:rsidP="00AB0268">
            <w:pPr>
              <w:pStyle w:val="TableTextLeftBold"/>
            </w:pPr>
            <w:r w:rsidRPr="008923E6">
              <w:t>Ecological condition - Biodiversity</w:t>
            </w:r>
          </w:p>
        </w:tc>
      </w:tr>
      <w:tr w:rsidR="002957E3" w:rsidRPr="00FB15DB" w14:paraId="5DF1304C"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52FF0E69" w14:textId="77777777" w:rsidR="00B21991" w:rsidRPr="00FB15DB" w:rsidRDefault="00B21991" w:rsidP="002957E3">
            <w:pPr>
              <w:pStyle w:val="TableTextLeft"/>
            </w:pPr>
            <w:r w:rsidRPr="00FB15DB">
              <w:t>Native vegetation condition</w:t>
            </w:r>
          </w:p>
        </w:tc>
        <w:tc>
          <w:tcPr>
            <w:tcW w:w="1083" w:type="pct"/>
          </w:tcPr>
          <w:p w14:paraId="1DD8C0F7"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All</w:t>
            </w:r>
          </w:p>
        </w:tc>
        <w:tc>
          <w:tcPr>
            <w:tcW w:w="1420" w:type="pct"/>
          </w:tcPr>
          <w:p w14:paraId="1F6F9003"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Existence / option value</w:t>
            </w:r>
          </w:p>
        </w:tc>
        <w:tc>
          <w:tcPr>
            <w:tcW w:w="814" w:type="pct"/>
          </w:tcPr>
          <w:p w14:paraId="15F4731F"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 xml:space="preserve">Score </w:t>
            </w:r>
          </w:p>
        </w:tc>
      </w:tr>
      <w:tr w:rsidR="002957E3" w:rsidRPr="00FB15DB" w14:paraId="78A2E54C"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08D6AAC1" w14:textId="77777777" w:rsidR="00B21991" w:rsidRPr="00FB15DB" w:rsidRDefault="00B21991" w:rsidP="002957E3">
            <w:pPr>
              <w:pStyle w:val="TableTextLeft"/>
            </w:pPr>
            <w:r w:rsidRPr="00FB15DB">
              <w:t>Wetland condition</w:t>
            </w:r>
          </w:p>
        </w:tc>
        <w:tc>
          <w:tcPr>
            <w:tcW w:w="1083" w:type="pct"/>
          </w:tcPr>
          <w:p w14:paraId="2E616B1B"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Wetland</w:t>
            </w:r>
          </w:p>
        </w:tc>
        <w:tc>
          <w:tcPr>
            <w:tcW w:w="1420" w:type="pct"/>
          </w:tcPr>
          <w:p w14:paraId="6A56BF1A"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Existence / option value</w:t>
            </w:r>
          </w:p>
        </w:tc>
        <w:tc>
          <w:tcPr>
            <w:tcW w:w="814" w:type="pct"/>
          </w:tcPr>
          <w:p w14:paraId="1CEE2F8D"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Score 1-10</w:t>
            </w:r>
          </w:p>
        </w:tc>
      </w:tr>
      <w:tr w:rsidR="002957E3" w:rsidRPr="00FB15DB" w14:paraId="16CE2D1F"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1C4393D7" w14:textId="77777777" w:rsidR="00B21991" w:rsidRPr="00FB15DB" w:rsidRDefault="00B21991" w:rsidP="002957E3">
            <w:pPr>
              <w:pStyle w:val="TableTextLeft"/>
            </w:pPr>
            <w:r w:rsidRPr="00FB15DB">
              <w:t>Marine habitat condition</w:t>
            </w:r>
          </w:p>
        </w:tc>
        <w:tc>
          <w:tcPr>
            <w:tcW w:w="1083" w:type="pct"/>
          </w:tcPr>
          <w:p w14:paraId="678B6310"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Marine</w:t>
            </w:r>
          </w:p>
        </w:tc>
        <w:tc>
          <w:tcPr>
            <w:tcW w:w="1420" w:type="pct"/>
          </w:tcPr>
          <w:p w14:paraId="69645359"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Existence / option value</w:t>
            </w:r>
          </w:p>
        </w:tc>
        <w:tc>
          <w:tcPr>
            <w:tcW w:w="814" w:type="pct"/>
          </w:tcPr>
          <w:p w14:paraId="48DE64CF"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 xml:space="preserve">Qualitative </w:t>
            </w:r>
          </w:p>
        </w:tc>
      </w:tr>
      <w:tr w:rsidR="002957E3" w:rsidRPr="00FB15DB" w14:paraId="2786BB70"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7EA5C285" w14:textId="77777777" w:rsidR="00B21991" w:rsidRPr="00FB15DB" w:rsidRDefault="00B21991" w:rsidP="002957E3">
            <w:pPr>
              <w:pStyle w:val="TableTextLeft"/>
            </w:pPr>
            <w:r w:rsidRPr="00FB15DB">
              <w:t>Rare and threatened species</w:t>
            </w:r>
          </w:p>
        </w:tc>
        <w:tc>
          <w:tcPr>
            <w:tcW w:w="1083" w:type="pct"/>
          </w:tcPr>
          <w:p w14:paraId="3824545D"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Parks</w:t>
            </w:r>
          </w:p>
        </w:tc>
        <w:tc>
          <w:tcPr>
            <w:tcW w:w="1420" w:type="pct"/>
          </w:tcPr>
          <w:p w14:paraId="64C54AED"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Existence / option value</w:t>
            </w:r>
          </w:p>
        </w:tc>
        <w:tc>
          <w:tcPr>
            <w:tcW w:w="814" w:type="pct"/>
          </w:tcPr>
          <w:p w14:paraId="7FD84973"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 xml:space="preserve">Number </w:t>
            </w:r>
          </w:p>
        </w:tc>
      </w:tr>
      <w:tr w:rsidR="002957E3" w:rsidRPr="00FB15DB" w14:paraId="698071AA"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76D1787F" w14:textId="77777777" w:rsidR="00B21991" w:rsidRPr="00FB15DB" w:rsidRDefault="00B21991" w:rsidP="002957E3">
            <w:pPr>
              <w:pStyle w:val="TableTextLeft"/>
            </w:pPr>
            <w:r w:rsidRPr="00FB15DB">
              <w:t>Threatened flora</w:t>
            </w:r>
          </w:p>
        </w:tc>
        <w:tc>
          <w:tcPr>
            <w:tcW w:w="1083" w:type="pct"/>
          </w:tcPr>
          <w:p w14:paraId="5D08A4E8"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All</w:t>
            </w:r>
          </w:p>
        </w:tc>
        <w:tc>
          <w:tcPr>
            <w:tcW w:w="1420" w:type="pct"/>
          </w:tcPr>
          <w:p w14:paraId="2FAB5364"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Existence / option value</w:t>
            </w:r>
          </w:p>
        </w:tc>
        <w:tc>
          <w:tcPr>
            <w:tcW w:w="814" w:type="pct"/>
          </w:tcPr>
          <w:p w14:paraId="5AAAE783"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Abundance</w:t>
            </w:r>
          </w:p>
        </w:tc>
      </w:tr>
      <w:tr w:rsidR="002957E3" w:rsidRPr="00FB15DB" w14:paraId="3B692EB3"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7F95883B" w14:textId="77777777" w:rsidR="00B21991" w:rsidRPr="00FB15DB" w:rsidRDefault="00B21991" w:rsidP="002957E3">
            <w:pPr>
              <w:pStyle w:val="TableTextLeft"/>
            </w:pPr>
            <w:r w:rsidRPr="00FB15DB">
              <w:t>Threatened fauna</w:t>
            </w:r>
          </w:p>
        </w:tc>
        <w:tc>
          <w:tcPr>
            <w:tcW w:w="1083" w:type="pct"/>
          </w:tcPr>
          <w:p w14:paraId="26983AD8"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All</w:t>
            </w:r>
          </w:p>
        </w:tc>
        <w:tc>
          <w:tcPr>
            <w:tcW w:w="1420" w:type="pct"/>
          </w:tcPr>
          <w:p w14:paraId="39162A3D"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Existence / option value</w:t>
            </w:r>
          </w:p>
        </w:tc>
        <w:tc>
          <w:tcPr>
            <w:tcW w:w="814" w:type="pct"/>
          </w:tcPr>
          <w:p w14:paraId="225F41BA"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Abundance</w:t>
            </w:r>
          </w:p>
        </w:tc>
      </w:tr>
      <w:tr w:rsidR="002957E3" w:rsidRPr="00FB15DB" w14:paraId="3A034B8A"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4D31505C" w14:textId="77777777" w:rsidR="00B21991" w:rsidRPr="00FB15DB" w:rsidRDefault="00B21991" w:rsidP="002957E3">
            <w:pPr>
              <w:pStyle w:val="TableTextLeft"/>
            </w:pPr>
            <w:r w:rsidRPr="00FB15DB">
              <w:t>Habitat importance-threatened species</w:t>
            </w:r>
          </w:p>
        </w:tc>
        <w:tc>
          <w:tcPr>
            <w:tcW w:w="1083" w:type="pct"/>
          </w:tcPr>
          <w:p w14:paraId="77E4B043"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All</w:t>
            </w:r>
          </w:p>
        </w:tc>
        <w:tc>
          <w:tcPr>
            <w:tcW w:w="1420" w:type="pct"/>
          </w:tcPr>
          <w:p w14:paraId="1B4AE830"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Existence / option value</w:t>
            </w:r>
          </w:p>
        </w:tc>
        <w:tc>
          <w:tcPr>
            <w:tcW w:w="814" w:type="pct"/>
          </w:tcPr>
          <w:p w14:paraId="23BA3801"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 xml:space="preserve">Ha / Score </w:t>
            </w:r>
          </w:p>
        </w:tc>
      </w:tr>
      <w:tr w:rsidR="002957E3" w:rsidRPr="00FB15DB" w14:paraId="6310A1F4"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2B75CA6C" w14:textId="77777777" w:rsidR="00B21991" w:rsidRPr="00FB15DB" w:rsidRDefault="00B21991" w:rsidP="002957E3">
            <w:pPr>
              <w:pStyle w:val="TableTextLeft"/>
            </w:pPr>
            <w:r w:rsidRPr="00FB15DB">
              <w:t>Plankton</w:t>
            </w:r>
          </w:p>
        </w:tc>
        <w:tc>
          <w:tcPr>
            <w:tcW w:w="1083" w:type="pct"/>
          </w:tcPr>
          <w:p w14:paraId="60E34A2E"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Marine</w:t>
            </w:r>
          </w:p>
        </w:tc>
        <w:tc>
          <w:tcPr>
            <w:tcW w:w="1420" w:type="pct"/>
          </w:tcPr>
          <w:p w14:paraId="0AA1A25A"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Supporting service</w:t>
            </w:r>
          </w:p>
        </w:tc>
        <w:tc>
          <w:tcPr>
            <w:tcW w:w="814" w:type="pct"/>
          </w:tcPr>
          <w:p w14:paraId="75DE0FCA"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Composition</w:t>
            </w:r>
          </w:p>
        </w:tc>
      </w:tr>
      <w:tr w:rsidR="002957E3" w:rsidRPr="00FB15DB" w14:paraId="0556E980"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10220B4C" w14:textId="77777777" w:rsidR="00B21991" w:rsidRPr="00FB15DB" w:rsidRDefault="00B21991" w:rsidP="002957E3">
            <w:pPr>
              <w:pStyle w:val="TableTextLeft"/>
            </w:pPr>
            <w:r w:rsidRPr="00FB15DB">
              <w:t>Invertebrates</w:t>
            </w:r>
          </w:p>
        </w:tc>
        <w:tc>
          <w:tcPr>
            <w:tcW w:w="1083" w:type="pct"/>
          </w:tcPr>
          <w:p w14:paraId="05182D8B"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Marine / Coastal margin</w:t>
            </w:r>
          </w:p>
        </w:tc>
        <w:tc>
          <w:tcPr>
            <w:tcW w:w="1420" w:type="pct"/>
          </w:tcPr>
          <w:p w14:paraId="0B97D330"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Recreation, Food, Supporting</w:t>
            </w:r>
          </w:p>
        </w:tc>
        <w:tc>
          <w:tcPr>
            <w:tcW w:w="814" w:type="pct"/>
          </w:tcPr>
          <w:p w14:paraId="5A8D99EC"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Abundance</w:t>
            </w:r>
          </w:p>
        </w:tc>
      </w:tr>
      <w:tr w:rsidR="002957E3" w:rsidRPr="00FB15DB" w14:paraId="045498E0"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72488327" w14:textId="77777777" w:rsidR="00B21991" w:rsidRPr="00FB15DB" w:rsidRDefault="00B21991" w:rsidP="002957E3">
            <w:pPr>
              <w:pStyle w:val="TableTextLeft"/>
            </w:pPr>
            <w:r w:rsidRPr="00FB15DB">
              <w:t>Waterbirds and Migratory shorebirds</w:t>
            </w:r>
          </w:p>
        </w:tc>
        <w:tc>
          <w:tcPr>
            <w:tcW w:w="1083" w:type="pct"/>
          </w:tcPr>
          <w:p w14:paraId="62DC5D16"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Marine / Coastal margin</w:t>
            </w:r>
          </w:p>
        </w:tc>
        <w:tc>
          <w:tcPr>
            <w:tcW w:w="1420" w:type="pct"/>
          </w:tcPr>
          <w:p w14:paraId="3AEC00D1"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Recreation, Existence/option</w:t>
            </w:r>
          </w:p>
        </w:tc>
        <w:tc>
          <w:tcPr>
            <w:tcW w:w="814" w:type="pct"/>
          </w:tcPr>
          <w:p w14:paraId="0AE81404"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Abundance</w:t>
            </w:r>
          </w:p>
        </w:tc>
      </w:tr>
      <w:tr w:rsidR="002957E3" w:rsidRPr="00FB15DB" w14:paraId="64309D7F"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3C797E6D" w14:textId="77777777" w:rsidR="00B21991" w:rsidRPr="00FB15DB" w:rsidRDefault="00B21991" w:rsidP="002957E3">
            <w:pPr>
              <w:pStyle w:val="TableTextLeft"/>
            </w:pPr>
            <w:r w:rsidRPr="00FB15DB">
              <w:t>Piscivorous (fish-eating) birds</w:t>
            </w:r>
          </w:p>
        </w:tc>
        <w:tc>
          <w:tcPr>
            <w:tcW w:w="1083" w:type="pct"/>
          </w:tcPr>
          <w:p w14:paraId="1BF3E627"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Marine / Coastal margin</w:t>
            </w:r>
          </w:p>
        </w:tc>
        <w:tc>
          <w:tcPr>
            <w:tcW w:w="1420" w:type="pct"/>
          </w:tcPr>
          <w:p w14:paraId="76D135BD"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Recreation, Existence/option</w:t>
            </w:r>
          </w:p>
        </w:tc>
        <w:tc>
          <w:tcPr>
            <w:tcW w:w="814" w:type="pct"/>
          </w:tcPr>
          <w:p w14:paraId="5307901D"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Abundance</w:t>
            </w:r>
          </w:p>
        </w:tc>
      </w:tr>
      <w:tr w:rsidR="002957E3" w:rsidRPr="00FB15DB" w14:paraId="1BDDC404"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3816FFBB" w14:textId="77777777" w:rsidR="00B21991" w:rsidRPr="00FB15DB" w:rsidRDefault="00B21991" w:rsidP="002957E3">
            <w:pPr>
              <w:pStyle w:val="TableTextLeft"/>
            </w:pPr>
            <w:r w:rsidRPr="00FB15DB">
              <w:t>Seagrass-dependent and reef fish</w:t>
            </w:r>
          </w:p>
        </w:tc>
        <w:tc>
          <w:tcPr>
            <w:tcW w:w="1083" w:type="pct"/>
          </w:tcPr>
          <w:p w14:paraId="655D86AB"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Marine</w:t>
            </w:r>
          </w:p>
        </w:tc>
        <w:tc>
          <w:tcPr>
            <w:tcW w:w="1420" w:type="pct"/>
          </w:tcPr>
          <w:p w14:paraId="500430E0"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Food, Recreation, Existence/op</w:t>
            </w:r>
          </w:p>
        </w:tc>
        <w:tc>
          <w:tcPr>
            <w:tcW w:w="814" w:type="pct"/>
          </w:tcPr>
          <w:p w14:paraId="4BD3EAA6"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Abundance</w:t>
            </w:r>
          </w:p>
        </w:tc>
      </w:tr>
      <w:tr w:rsidR="002957E3" w:rsidRPr="00FB15DB" w14:paraId="77E5C06F"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25B57B89" w14:textId="77777777" w:rsidR="00B21991" w:rsidRPr="00FB15DB" w:rsidRDefault="00B21991" w:rsidP="002957E3">
            <w:pPr>
              <w:pStyle w:val="TableTextLeft"/>
            </w:pPr>
            <w:r w:rsidRPr="00FB15DB">
              <w:t>Commercial &amp; recreation valuable fish</w:t>
            </w:r>
          </w:p>
        </w:tc>
        <w:tc>
          <w:tcPr>
            <w:tcW w:w="1083" w:type="pct"/>
          </w:tcPr>
          <w:p w14:paraId="3E510572"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Marine</w:t>
            </w:r>
          </w:p>
        </w:tc>
        <w:tc>
          <w:tcPr>
            <w:tcW w:w="1420" w:type="pct"/>
          </w:tcPr>
          <w:p w14:paraId="454AB59D"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Food and Recreation</w:t>
            </w:r>
          </w:p>
        </w:tc>
        <w:tc>
          <w:tcPr>
            <w:tcW w:w="814" w:type="pct"/>
          </w:tcPr>
          <w:p w14:paraId="5E2621A6"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Abundance</w:t>
            </w:r>
          </w:p>
        </w:tc>
      </w:tr>
      <w:tr w:rsidR="002957E3" w:rsidRPr="00FB15DB" w14:paraId="07CCB724"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44144814" w14:textId="77777777" w:rsidR="00B21991" w:rsidRPr="00FB15DB" w:rsidRDefault="00B21991" w:rsidP="002957E3">
            <w:pPr>
              <w:pStyle w:val="TableTextLeft"/>
            </w:pPr>
            <w:r w:rsidRPr="00FB15DB">
              <w:lastRenderedPageBreak/>
              <w:t>Diadromous fish</w:t>
            </w:r>
          </w:p>
        </w:tc>
        <w:tc>
          <w:tcPr>
            <w:tcW w:w="1083" w:type="pct"/>
          </w:tcPr>
          <w:p w14:paraId="591DF484"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Marine / Coastal margin</w:t>
            </w:r>
          </w:p>
        </w:tc>
        <w:tc>
          <w:tcPr>
            <w:tcW w:w="1420" w:type="pct"/>
          </w:tcPr>
          <w:p w14:paraId="6D3A5034"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Existence / option, Supporting</w:t>
            </w:r>
          </w:p>
        </w:tc>
        <w:tc>
          <w:tcPr>
            <w:tcW w:w="814" w:type="pct"/>
          </w:tcPr>
          <w:p w14:paraId="7123DC70"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Abundance</w:t>
            </w:r>
          </w:p>
        </w:tc>
      </w:tr>
      <w:tr w:rsidR="002957E3" w:rsidRPr="00FB15DB" w14:paraId="444E6A84"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539A9CB2" w14:textId="77777777" w:rsidR="00B21991" w:rsidRPr="00FB15DB" w:rsidRDefault="00B21991" w:rsidP="002957E3">
            <w:pPr>
              <w:pStyle w:val="TableTextLeft"/>
            </w:pPr>
            <w:r w:rsidRPr="00FB15DB">
              <w:t>Marine Mammals</w:t>
            </w:r>
          </w:p>
        </w:tc>
        <w:tc>
          <w:tcPr>
            <w:tcW w:w="1083" w:type="pct"/>
          </w:tcPr>
          <w:p w14:paraId="6D7A307A"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Marine</w:t>
            </w:r>
          </w:p>
        </w:tc>
        <w:tc>
          <w:tcPr>
            <w:tcW w:w="1420" w:type="pct"/>
          </w:tcPr>
          <w:p w14:paraId="03A2B408"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 xml:space="preserve">Existence / option, Recreation </w:t>
            </w:r>
          </w:p>
        </w:tc>
        <w:tc>
          <w:tcPr>
            <w:tcW w:w="814" w:type="pct"/>
          </w:tcPr>
          <w:p w14:paraId="13E14630"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Abundance</w:t>
            </w:r>
          </w:p>
        </w:tc>
      </w:tr>
      <w:tr w:rsidR="002957E3" w:rsidRPr="00FB15DB" w14:paraId="79A2E32A"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0F5923F2" w14:textId="77777777" w:rsidR="00B21991" w:rsidRPr="00FB15DB" w:rsidRDefault="00B21991" w:rsidP="002957E3">
            <w:pPr>
              <w:pStyle w:val="TableTextLeft"/>
            </w:pPr>
            <w:r w:rsidRPr="00FB15DB">
              <w:t>Macro algae (Kelp forests)</w:t>
            </w:r>
          </w:p>
        </w:tc>
        <w:tc>
          <w:tcPr>
            <w:tcW w:w="1083" w:type="pct"/>
          </w:tcPr>
          <w:p w14:paraId="69C4B428"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Marine</w:t>
            </w:r>
          </w:p>
        </w:tc>
        <w:tc>
          <w:tcPr>
            <w:tcW w:w="1420" w:type="pct"/>
          </w:tcPr>
          <w:p w14:paraId="3A405A0B"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Supporting service</w:t>
            </w:r>
          </w:p>
        </w:tc>
        <w:tc>
          <w:tcPr>
            <w:tcW w:w="814" w:type="pct"/>
          </w:tcPr>
          <w:p w14:paraId="51CB26F8"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Abundance</w:t>
            </w:r>
          </w:p>
        </w:tc>
      </w:tr>
      <w:tr w:rsidR="002957E3" w:rsidRPr="00FB15DB" w14:paraId="64DF3982"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78F1B1BF" w14:textId="77777777" w:rsidR="00B21991" w:rsidRPr="00FB15DB" w:rsidRDefault="00B21991" w:rsidP="002957E3">
            <w:pPr>
              <w:pStyle w:val="TableTextLeft"/>
            </w:pPr>
            <w:r w:rsidRPr="00FB15DB">
              <w:t>Insectivorous species</w:t>
            </w:r>
          </w:p>
        </w:tc>
        <w:tc>
          <w:tcPr>
            <w:tcW w:w="1083" w:type="pct"/>
          </w:tcPr>
          <w:p w14:paraId="6B3CF760"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All</w:t>
            </w:r>
          </w:p>
        </w:tc>
        <w:tc>
          <w:tcPr>
            <w:tcW w:w="1420" w:type="pct"/>
          </w:tcPr>
          <w:p w14:paraId="1CEB1BFB"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Supporting (pests and disease)</w:t>
            </w:r>
          </w:p>
        </w:tc>
        <w:tc>
          <w:tcPr>
            <w:tcW w:w="814" w:type="pct"/>
          </w:tcPr>
          <w:p w14:paraId="029D3AA3"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Abundance</w:t>
            </w:r>
          </w:p>
        </w:tc>
      </w:tr>
      <w:tr w:rsidR="002957E3" w:rsidRPr="00FB15DB" w14:paraId="3F63D5AE"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62AE1634" w14:textId="77777777" w:rsidR="00B21991" w:rsidRPr="00FB15DB" w:rsidRDefault="00B21991" w:rsidP="002957E3">
            <w:pPr>
              <w:pStyle w:val="TableTextLeft"/>
            </w:pPr>
            <w:r w:rsidRPr="00FB15DB">
              <w:t>Vegetation biomass</w:t>
            </w:r>
          </w:p>
        </w:tc>
        <w:tc>
          <w:tcPr>
            <w:tcW w:w="1083" w:type="pct"/>
          </w:tcPr>
          <w:p w14:paraId="4B96C1E6"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Terrestrial</w:t>
            </w:r>
          </w:p>
        </w:tc>
        <w:tc>
          <w:tcPr>
            <w:tcW w:w="1420" w:type="pct"/>
          </w:tcPr>
          <w:p w14:paraId="71997BCE"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Timber/Global Climate Reg</w:t>
            </w:r>
          </w:p>
        </w:tc>
        <w:tc>
          <w:tcPr>
            <w:tcW w:w="814" w:type="pct"/>
          </w:tcPr>
          <w:p w14:paraId="282F7337"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Tonnes/Ha</w:t>
            </w:r>
          </w:p>
        </w:tc>
      </w:tr>
      <w:tr w:rsidR="002957E3" w:rsidRPr="00FB15DB" w14:paraId="16B9FCBA"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74093FBC" w14:textId="77777777" w:rsidR="00B21991" w:rsidRPr="00FB15DB" w:rsidRDefault="00B21991" w:rsidP="002957E3">
            <w:pPr>
              <w:pStyle w:val="TableTextLeft"/>
            </w:pPr>
            <w:r w:rsidRPr="00FB15DB">
              <w:t xml:space="preserve">Abalone biomass </w:t>
            </w:r>
          </w:p>
        </w:tc>
        <w:tc>
          <w:tcPr>
            <w:tcW w:w="1083" w:type="pct"/>
          </w:tcPr>
          <w:p w14:paraId="21DF1319"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Marine / Coastal Margin</w:t>
            </w:r>
          </w:p>
        </w:tc>
        <w:tc>
          <w:tcPr>
            <w:tcW w:w="1420" w:type="pct"/>
          </w:tcPr>
          <w:p w14:paraId="05EC6D0B"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Food</w:t>
            </w:r>
          </w:p>
        </w:tc>
        <w:tc>
          <w:tcPr>
            <w:tcW w:w="814" w:type="pct"/>
          </w:tcPr>
          <w:p w14:paraId="5A1FF2FF"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High/Low</w:t>
            </w:r>
          </w:p>
        </w:tc>
      </w:tr>
      <w:tr w:rsidR="002957E3" w:rsidRPr="00FB15DB" w14:paraId="1EA8B109"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7821281C" w14:textId="77777777" w:rsidR="00B21991" w:rsidRPr="00FB15DB" w:rsidRDefault="00B21991" w:rsidP="002957E3">
            <w:pPr>
              <w:pStyle w:val="TableTextLeft"/>
            </w:pPr>
            <w:r w:rsidRPr="00FB15DB">
              <w:t xml:space="preserve">Southern Rock Lobster biomass </w:t>
            </w:r>
          </w:p>
        </w:tc>
        <w:tc>
          <w:tcPr>
            <w:tcW w:w="1083" w:type="pct"/>
          </w:tcPr>
          <w:p w14:paraId="2B0CB162"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Marine / Coastal Margin</w:t>
            </w:r>
          </w:p>
        </w:tc>
        <w:tc>
          <w:tcPr>
            <w:tcW w:w="1420" w:type="pct"/>
          </w:tcPr>
          <w:p w14:paraId="20FDD625"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Food</w:t>
            </w:r>
          </w:p>
        </w:tc>
        <w:tc>
          <w:tcPr>
            <w:tcW w:w="814" w:type="pct"/>
          </w:tcPr>
          <w:p w14:paraId="450CFF3D"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Grams / pot</w:t>
            </w:r>
          </w:p>
        </w:tc>
      </w:tr>
      <w:tr w:rsidR="002957E3" w:rsidRPr="00FB15DB" w14:paraId="0930EFFD"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489C72FF" w14:textId="77777777" w:rsidR="00B21991" w:rsidRPr="00FB15DB" w:rsidRDefault="00B21991" w:rsidP="002957E3">
            <w:pPr>
              <w:pStyle w:val="TableTextLeft"/>
            </w:pPr>
            <w:r w:rsidRPr="00FB15DB">
              <w:t>Apiary sites on public land</w:t>
            </w:r>
          </w:p>
        </w:tc>
        <w:tc>
          <w:tcPr>
            <w:tcW w:w="1083" w:type="pct"/>
          </w:tcPr>
          <w:p w14:paraId="34F47A7A"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All</w:t>
            </w:r>
          </w:p>
        </w:tc>
        <w:tc>
          <w:tcPr>
            <w:tcW w:w="1420" w:type="pct"/>
          </w:tcPr>
          <w:p w14:paraId="220B6BFF"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Food</w:t>
            </w:r>
          </w:p>
        </w:tc>
        <w:tc>
          <w:tcPr>
            <w:tcW w:w="814" w:type="pct"/>
          </w:tcPr>
          <w:p w14:paraId="2B3AC8AA"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Location</w:t>
            </w:r>
          </w:p>
        </w:tc>
      </w:tr>
      <w:tr w:rsidR="00B21991" w:rsidRPr="00FB15DB" w14:paraId="268EEFF4" w14:textId="77777777" w:rsidTr="008923E6">
        <w:trPr>
          <w:cantSplit/>
        </w:trPr>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201547" w:themeFill="text2"/>
          </w:tcPr>
          <w:p w14:paraId="3573624D" w14:textId="77777777" w:rsidR="00B21991" w:rsidRPr="008923E6" w:rsidRDefault="00B21991" w:rsidP="00AB0268">
            <w:pPr>
              <w:pStyle w:val="TableTextLeftBold"/>
            </w:pPr>
            <w:r w:rsidRPr="008923E6">
              <w:t>Ecological condition - Soil</w:t>
            </w:r>
          </w:p>
        </w:tc>
      </w:tr>
      <w:tr w:rsidR="002957E3" w:rsidRPr="00FB15DB" w14:paraId="139E34C0"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54981E29" w14:textId="77777777" w:rsidR="00B21991" w:rsidRPr="00FB15DB" w:rsidRDefault="00B21991" w:rsidP="002957E3">
            <w:pPr>
              <w:pStyle w:val="TableTextLeft"/>
            </w:pPr>
            <w:r w:rsidRPr="00FB15DB">
              <w:t>Coastal acid sulphate soils</w:t>
            </w:r>
          </w:p>
        </w:tc>
        <w:tc>
          <w:tcPr>
            <w:tcW w:w="1083" w:type="pct"/>
          </w:tcPr>
          <w:p w14:paraId="6AC9DF69"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Any / All</w:t>
            </w:r>
          </w:p>
        </w:tc>
        <w:tc>
          <w:tcPr>
            <w:tcW w:w="1420" w:type="pct"/>
          </w:tcPr>
          <w:p w14:paraId="5D8CBB26"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Any / All</w:t>
            </w:r>
          </w:p>
        </w:tc>
        <w:tc>
          <w:tcPr>
            <w:tcW w:w="814" w:type="pct"/>
          </w:tcPr>
          <w:p w14:paraId="7AF49251"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Ha/pH</w:t>
            </w:r>
          </w:p>
        </w:tc>
      </w:tr>
      <w:tr w:rsidR="002957E3" w:rsidRPr="00FB15DB" w14:paraId="7FF0F1E7"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375A5F06" w14:textId="77777777" w:rsidR="00B21991" w:rsidRPr="00FB15DB" w:rsidRDefault="00B21991" w:rsidP="002957E3">
            <w:pPr>
              <w:pStyle w:val="TableTextLeft"/>
            </w:pPr>
            <w:r w:rsidRPr="00FB15DB">
              <w:t>Contaminated land</w:t>
            </w:r>
          </w:p>
        </w:tc>
        <w:tc>
          <w:tcPr>
            <w:tcW w:w="1083" w:type="pct"/>
          </w:tcPr>
          <w:p w14:paraId="20FC48A4"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Any / All</w:t>
            </w:r>
          </w:p>
        </w:tc>
        <w:tc>
          <w:tcPr>
            <w:tcW w:w="1420" w:type="pct"/>
          </w:tcPr>
          <w:p w14:paraId="097B7ECB"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Any / All</w:t>
            </w:r>
          </w:p>
        </w:tc>
        <w:tc>
          <w:tcPr>
            <w:tcW w:w="814" w:type="pct"/>
          </w:tcPr>
          <w:p w14:paraId="61BBE299"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Ha</w:t>
            </w:r>
          </w:p>
        </w:tc>
      </w:tr>
      <w:tr w:rsidR="002957E3" w:rsidRPr="00FB15DB" w14:paraId="16CA15D0"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597D2174" w14:textId="77777777" w:rsidR="00B21991" w:rsidRPr="00FB15DB" w:rsidRDefault="00B21991" w:rsidP="002957E3">
            <w:pPr>
              <w:pStyle w:val="TableTextLeft"/>
            </w:pPr>
            <w:r w:rsidRPr="00FB15DB">
              <w:t>Sediment toxicants</w:t>
            </w:r>
          </w:p>
        </w:tc>
        <w:tc>
          <w:tcPr>
            <w:tcW w:w="1083" w:type="pct"/>
          </w:tcPr>
          <w:p w14:paraId="307946C5"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Any / All</w:t>
            </w:r>
          </w:p>
        </w:tc>
        <w:tc>
          <w:tcPr>
            <w:tcW w:w="1420" w:type="pct"/>
          </w:tcPr>
          <w:p w14:paraId="379CAF0F"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Any / All</w:t>
            </w:r>
          </w:p>
        </w:tc>
        <w:tc>
          <w:tcPr>
            <w:tcW w:w="814" w:type="pct"/>
          </w:tcPr>
          <w:p w14:paraId="10F4B4D5"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Ha/LD</w:t>
            </w:r>
            <w:r w:rsidRPr="00FB15DB">
              <w:rPr>
                <w:vertAlign w:val="subscript"/>
              </w:rPr>
              <w:t>50</w:t>
            </w:r>
          </w:p>
        </w:tc>
      </w:tr>
      <w:tr w:rsidR="002957E3" w:rsidRPr="00FB15DB" w14:paraId="69638D14"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61B39C82" w14:textId="77777777" w:rsidR="00B21991" w:rsidRPr="00FB15DB" w:rsidRDefault="00B21991" w:rsidP="002957E3">
            <w:pPr>
              <w:pStyle w:val="TableTextLeft"/>
            </w:pPr>
            <w:r w:rsidRPr="00FB15DB">
              <w:t>Landslip susceptibility</w:t>
            </w:r>
          </w:p>
        </w:tc>
        <w:tc>
          <w:tcPr>
            <w:tcW w:w="1083" w:type="pct"/>
          </w:tcPr>
          <w:p w14:paraId="42882029"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Any/All</w:t>
            </w:r>
          </w:p>
        </w:tc>
        <w:tc>
          <w:tcPr>
            <w:tcW w:w="1420" w:type="pct"/>
          </w:tcPr>
          <w:p w14:paraId="7B46A52D"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Erosion regulation</w:t>
            </w:r>
          </w:p>
        </w:tc>
        <w:tc>
          <w:tcPr>
            <w:tcW w:w="814" w:type="pct"/>
          </w:tcPr>
          <w:p w14:paraId="603B98D8"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Ha (high/</w:t>
            </w:r>
            <w:proofErr w:type="spellStart"/>
            <w:r w:rsidRPr="00FB15DB">
              <w:t>v.high</w:t>
            </w:r>
            <w:proofErr w:type="spellEnd"/>
            <w:r w:rsidRPr="00FB15DB">
              <w:t>)</w:t>
            </w:r>
          </w:p>
        </w:tc>
      </w:tr>
      <w:tr w:rsidR="00B21991" w:rsidRPr="00FB15DB" w14:paraId="3E61E3EB" w14:textId="77777777" w:rsidTr="008923E6">
        <w:trPr>
          <w:cantSplit/>
        </w:trPr>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201547" w:themeFill="text2"/>
          </w:tcPr>
          <w:p w14:paraId="2B2826B6" w14:textId="77777777" w:rsidR="00B21991" w:rsidRPr="008923E6" w:rsidRDefault="00B21991" w:rsidP="00AB0268">
            <w:pPr>
              <w:pStyle w:val="TableTextLeftBold"/>
            </w:pPr>
            <w:r w:rsidRPr="008923E6">
              <w:t>Ecological condition - Water</w:t>
            </w:r>
          </w:p>
        </w:tc>
      </w:tr>
      <w:tr w:rsidR="002957E3" w:rsidRPr="00FB15DB" w14:paraId="14C42770"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4C717301" w14:textId="77777777" w:rsidR="00B21991" w:rsidRPr="00FB15DB" w:rsidRDefault="00B21991" w:rsidP="002957E3">
            <w:pPr>
              <w:pStyle w:val="TableTextLeft"/>
            </w:pPr>
            <w:r w:rsidRPr="00FB15DB">
              <w:t>Stream condition</w:t>
            </w:r>
          </w:p>
        </w:tc>
        <w:tc>
          <w:tcPr>
            <w:tcW w:w="1083" w:type="pct"/>
          </w:tcPr>
          <w:p w14:paraId="3755D5E4"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Freshwater</w:t>
            </w:r>
          </w:p>
        </w:tc>
        <w:tc>
          <w:tcPr>
            <w:tcW w:w="1420" w:type="pct"/>
          </w:tcPr>
          <w:p w14:paraId="72FB4E36"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Freshwater ecosystem services</w:t>
            </w:r>
          </w:p>
        </w:tc>
        <w:tc>
          <w:tcPr>
            <w:tcW w:w="814" w:type="pct"/>
          </w:tcPr>
          <w:p w14:paraId="2DF46B46"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Score 1- 50</w:t>
            </w:r>
          </w:p>
        </w:tc>
      </w:tr>
      <w:tr w:rsidR="002957E3" w:rsidRPr="00FB15DB" w14:paraId="17AB1F7C"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4429A058" w14:textId="77777777" w:rsidR="00B21991" w:rsidRPr="00FB15DB" w:rsidRDefault="00B21991" w:rsidP="002957E3">
            <w:pPr>
              <w:pStyle w:val="TableTextLeft"/>
            </w:pPr>
            <w:r w:rsidRPr="00FB15DB">
              <w:t>Estuary condition</w:t>
            </w:r>
          </w:p>
        </w:tc>
        <w:tc>
          <w:tcPr>
            <w:tcW w:w="1083" w:type="pct"/>
          </w:tcPr>
          <w:p w14:paraId="0BF933B4"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Coastal margin</w:t>
            </w:r>
          </w:p>
        </w:tc>
        <w:tc>
          <w:tcPr>
            <w:tcW w:w="1420" w:type="pct"/>
          </w:tcPr>
          <w:p w14:paraId="72412ACC"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Water ecosystem services</w:t>
            </w:r>
          </w:p>
        </w:tc>
        <w:tc>
          <w:tcPr>
            <w:tcW w:w="814" w:type="pct"/>
          </w:tcPr>
          <w:p w14:paraId="4913CCF8"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Score</w:t>
            </w:r>
            <w:r w:rsidRPr="00FB15DB">
              <w:tab/>
            </w:r>
          </w:p>
        </w:tc>
      </w:tr>
      <w:tr w:rsidR="002957E3" w:rsidRPr="00FB15DB" w14:paraId="234877E8"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1AE3A646" w14:textId="77777777" w:rsidR="00B21991" w:rsidRPr="00FB15DB" w:rsidRDefault="00B21991" w:rsidP="002957E3">
            <w:pPr>
              <w:pStyle w:val="TableTextLeft"/>
            </w:pPr>
            <w:r w:rsidRPr="00FB15DB">
              <w:t>Quality (physio-chem) Dissolved O</w:t>
            </w:r>
            <w:r w:rsidRPr="00FB15DB">
              <w:rPr>
                <w:vertAlign w:val="subscript"/>
              </w:rPr>
              <w:t>2</w:t>
            </w:r>
          </w:p>
        </w:tc>
        <w:tc>
          <w:tcPr>
            <w:tcW w:w="1083" w:type="pct"/>
          </w:tcPr>
          <w:p w14:paraId="2A6E972F"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Freshwater and marine</w:t>
            </w:r>
          </w:p>
        </w:tc>
        <w:tc>
          <w:tcPr>
            <w:tcW w:w="1420" w:type="pct"/>
          </w:tcPr>
          <w:p w14:paraId="6FAAB20D"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Water ecosystem services</w:t>
            </w:r>
          </w:p>
        </w:tc>
        <w:tc>
          <w:tcPr>
            <w:tcW w:w="814" w:type="pct"/>
          </w:tcPr>
          <w:p w14:paraId="027D7D9C"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MG/L or %</w:t>
            </w:r>
          </w:p>
        </w:tc>
      </w:tr>
      <w:tr w:rsidR="002957E3" w:rsidRPr="00FB15DB" w14:paraId="21C19BFC"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2E2CB588" w14:textId="77777777" w:rsidR="00B21991" w:rsidRPr="00FB15DB" w:rsidRDefault="00B21991" w:rsidP="002957E3">
            <w:pPr>
              <w:pStyle w:val="TableTextLeft"/>
            </w:pPr>
            <w:r w:rsidRPr="00FB15DB">
              <w:t>Quality (physio-chem) Turbidity</w:t>
            </w:r>
          </w:p>
        </w:tc>
        <w:tc>
          <w:tcPr>
            <w:tcW w:w="1083" w:type="pct"/>
          </w:tcPr>
          <w:p w14:paraId="043D005F"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Freshwater and marine</w:t>
            </w:r>
          </w:p>
        </w:tc>
        <w:tc>
          <w:tcPr>
            <w:tcW w:w="1420" w:type="pct"/>
          </w:tcPr>
          <w:p w14:paraId="3343E772"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Water ecosystem services</w:t>
            </w:r>
          </w:p>
        </w:tc>
        <w:tc>
          <w:tcPr>
            <w:tcW w:w="814" w:type="pct"/>
          </w:tcPr>
          <w:p w14:paraId="4F12DD53"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NTU</w:t>
            </w:r>
          </w:p>
        </w:tc>
      </w:tr>
      <w:tr w:rsidR="002957E3" w:rsidRPr="00FB15DB" w14:paraId="1C16EEEE"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1B89DC6E" w14:textId="77777777" w:rsidR="00B21991" w:rsidRPr="00FB15DB" w:rsidRDefault="00B21991" w:rsidP="002957E3">
            <w:pPr>
              <w:pStyle w:val="TableTextLeft"/>
            </w:pPr>
            <w:r w:rsidRPr="00FB15DB">
              <w:t>Quality (physio-chem) Conductivity</w:t>
            </w:r>
          </w:p>
        </w:tc>
        <w:tc>
          <w:tcPr>
            <w:tcW w:w="1083" w:type="pct"/>
          </w:tcPr>
          <w:p w14:paraId="12DA1F30"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Freshwater and marine</w:t>
            </w:r>
          </w:p>
        </w:tc>
        <w:tc>
          <w:tcPr>
            <w:tcW w:w="1420" w:type="pct"/>
          </w:tcPr>
          <w:p w14:paraId="54EB22E4"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Water ecosystem services</w:t>
            </w:r>
          </w:p>
        </w:tc>
        <w:tc>
          <w:tcPr>
            <w:tcW w:w="814" w:type="pct"/>
          </w:tcPr>
          <w:p w14:paraId="5BA67658"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µS/cm</w:t>
            </w:r>
          </w:p>
        </w:tc>
      </w:tr>
      <w:tr w:rsidR="002957E3" w:rsidRPr="00FB15DB" w14:paraId="2C7167C1"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36D8D596" w14:textId="77777777" w:rsidR="00B21991" w:rsidRPr="00FB15DB" w:rsidRDefault="00B21991" w:rsidP="002957E3">
            <w:pPr>
              <w:pStyle w:val="TableTextLeft"/>
            </w:pPr>
            <w:r w:rsidRPr="00FB15DB">
              <w:t>Quality (physio-chem) pH</w:t>
            </w:r>
          </w:p>
        </w:tc>
        <w:tc>
          <w:tcPr>
            <w:tcW w:w="1083" w:type="pct"/>
          </w:tcPr>
          <w:p w14:paraId="3786AD04"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Marine</w:t>
            </w:r>
          </w:p>
        </w:tc>
        <w:tc>
          <w:tcPr>
            <w:tcW w:w="1420" w:type="pct"/>
          </w:tcPr>
          <w:p w14:paraId="44A83DE8"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Marine ecosystem services</w:t>
            </w:r>
          </w:p>
        </w:tc>
        <w:tc>
          <w:tcPr>
            <w:tcW w:w="814" w:type="pct"/>
          </w:tcPr>
          <w:p w14:paraId="055BC3C1"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pH</w:t>
            </w:r>
          </w:p>
        </w:tc>
      </w:tr>
      <w:tr w:rsidR="002957E3" w:rsidRPr="00FB15DB" w14:paraId="4807E352"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15A62A23" w14:textId="77777777" w:rsidR="00B21991" w:rsidRPr="00FB15DB" w:rsidRDefault="00B21991" w:rsidP="002957E3">
            <w:pPr>
              <w:pStyle w:val="TableTextLeft"/>
            </w:pPr>
            <w:r w:rsidRPr="00FB15DB">
              <w:t>Quality (toxicants)</w:t>
            </w:r>
          </w:p>
        </w:tc>
        <w:tc>
          <w:tcPr>
            <w:tcW w:w="1083" w:type="pct"/>
          </w:tcPr>
          <w:p w14:paraId="22AB3E15"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Freshwater and marine</w:t>
            </w:r>
          </w:p>
        </w:tc>
        <w:tc>
          <w:tcPr>
            <w:tcW w:w="1420" w:type="pct"/>
          </w:tcPr>
          <w:p w14:paraId="1E797C67"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Water ecosystem services</w:t>
            </w:r>
          </w:p>
        </w:tc>
        <w:tc>
          <w:tcPr>
            <w:tcW w:w="814" w:type="pct"/>
          </w:tcPr>
          <w:p w14:paraId="35A64DEA"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LD</w:t>
            </w:r>
            <w:r w:rsidRPr="00FB15DB">
              <w:rPr>
                <w:vertAlign w:val="subscript"/>
              </w:rPr>
              <w:t>50</w:t>
            </w:r>
          </w:p>
        </w:tc>
      </w:tr>
      <w:tr w:rsidR="002957E3" w:rsidRPr="00FB15DB" w14:paraId="303F2035"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71A8AE68" w14:textId="77777777" w:rsidR="00B21991" w:rsidRPr="00FB15DB" w:rsidRDefault="00B21991" w:rsidP="002957E3">
            <w:pPr>
              <w:pStyle w:val="TableTextLeft"/>
            </w:pPr>
            <w:r w:rsidRPr="00FB15DB">
              <w:t>Quality - Denitrification efficiency</w:t>
            </w:r>
          </w:p>
        </w:tc>
        <w:tc>
          <w:tcPr>
            <w:tcW w:w="1083" w:type="pct"/>
          </w:tcPr>
          <w:p w14:paraId="6F37C204"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Freshwater and marine</w:t>
            </w:r>
          </w:p>
        </w:tc>
        <w:tc>
          <w:tcPr>
            <w:tcW w:w="1420" w:type="pct"/>
          </w:tcPr>
          <w:p w14:paraId="491B0592"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Water ecosystem services</w:t>
            </w:r>
          </w:p>
        </w:tc>
        <w:tc>
          <w:tcPr>
            <w:tcW w:w="814" w:type="pct"/>
          </w:tcPr>
          <w:p w14:paraId="2CB17E18"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Kilogram N / m3</w:t>
            </w:r>
          </w:p>
        </w:tc>
      </w:tr>
      <w:tr w:rsidR="002957E3" w:rsidRPr="00FB15DB" w14:paraId="4D833103"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00C361A8" w14:textId="77777777" w:rsidR="00B21991" w:rsidRPr="00FB15DB" w:rsidRDefault="00B21991" w:rsidP="002957E3">
            <w:pPr>
              <w:pStyle w:val="TableTextLeft"/>
            </w:pPr>
            <w:r w:rsidRPr="00FB15DB">
              <w:t>Phytoplankton</w:t>
            </w:r>
          </w:p>
        </w:tc>
        <w:tc>
          <w:tcPr>
            <w:tcW w:w="1083" w:type="pct"/>
          </w:tcPr>
          <w:p w14:paraId="628619AF"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Freshwater and marine</w:t>
            </w:r>
          </w:p>
        </w:tc>
        <w:tc>
          <w:tcPr>
            <w:tcW w:w="1420" w:type="pct"/>
          </w:tcPr>
          <w:p w14:paraId="4D943C7F"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Water ecosystem services</w:t>
            </w:r>
          </w:p>
        </w:tc>
        <w:tc>
          <w:tcPr>
            <w:tcW w:w="814" w:type="pct"/>
          </w:tcPr>
          <w:p w14:paraId="4AE1A4FC"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TBC</w:t>
            </w:r>
          </w:p>
        </w:tc>
      </w:tr>
      <w:tr w:rsidR="00B21991" w:rsidRPr="00FB15DB" w14:paraId="2DC95927" w14:textId="77777777" w:rsidTr="008923E6">
        <w:trPr>
          <w:cantSplit/>
        </w:trPr>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201547" w:themeFill="text2"/>
          </w:tcPr>
          <w:p w14:paraId="3CFC1549" w14:textId="77777777" w:rsidR="00B21991" w:rsidRPr="008923E6" w:rsidRDefault="00B21991" w:rsidP="00AB0268">
            <w:pPr>
              <w:pStyle w:val="TableTextLeftBold"/>
            </w:pPr>
            <w:r w:rsidRPr="008923E6">
              <w:t>Ecological condition - Carbon</w:t>
            </w:r>
          </w:p>
        </w:tc>
      </w:tr>
      <w:tr w:rsidR="002957E3" w:rsidRPr="00FB15DB" w14:paraId="472266E9"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206DF986" w14:textId="77777777" w:rsidR="00B21991" w:rsidRPr="00FB15DB" w:rsidRDefault="00B21991" w:rsidP="002957E3">
            <w:pPr>
              <w:pStyle w:val="TableTextLeft"/>
            </w:pPr>
            <w:r w:rsidRPr="00FB15DB">
              <w:t>Carbon stock</w:t>
            </w:r>
          </w:p>
        </w:tc>
        <w:tc>
          <w:tcPr>
            <w:tcW w:w="1083" w:type="pct"/>
          </w:tcPr>
          <w:p w14:paraId="360A40AE"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All</w:t>
            </w:r>
          </w:p>
        </w:tc>
        <w:tc>
          <w:tcPr>
            <w:tcW w:w="1420" w:type="pct"/>
          </w:tcPr>
          <w:p w14:paraId="42601320"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Global climate regulation</w:t>
            </w:r>
          </w:p>
        </w:tc>
        <w:tc>
          <w:tcPr>
            <w:tcW w:w="814" w:type="pct"/>
          </w:tcPr>
          <w:p w14:paraId="7ACA8A23"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tCO2e</w:t>
            </w:r>
          </w:p>
        </w:tc>
      </w:tr>
      <w:tr w:rsidR="00B21991" w:rsidRPr="00FB15DB" w14:paraId="6DB91B82"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5000" w:type="pct"/>
            <w:gridSpan w:val="4"/>
          </w:tcPr>
          <w:p w14:paraId="0DD2DEC6" w14:textId="77777777" w:rsidR="00B21991" w:rsidRPr="00FB15DB" w:rsidRDefault="00B21991" w:rsidP="002957E3">
            <w:pPr>
              <w:pStyle w:val="TableTextLeft"/>
            </w:pPr>
            <w:r w:rsidRPr="00FB15DB">
              <w:t>Ecological condition - Atmosphere</w:t>
            </w:r>
          </w:p>
        </w:tc>
      </w:tr>
      <w:tr w:rsidR="002957E3" w:rsidRPr="00FB15DB" w14:paraId="45B829C8"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7161324D" w14:textId="77777777" w:rsidR="00B21991" w:rsidRPr="00FB15DB" w:rsidRDefault="00B21991" w:rsidP="002957E3">
            <w:pPr>
              <w:pStyle w:val="TableTextLeft"/>
            </w:pPr>
            <w:r w:rsidRPr="00FB15DB">
              <w:t>Air quality</w:t>
            </w:r>
          </w:p>
        </w:tc>
        <w:tc>
          <w:tcPr>
            <w:tcW w:w="1083" w:type="pct"/>
          </w:tcPr>
          <w:p w14:paraId="38D3995A"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All</w:t>
            </w:r>
          </w:p>
        </w:tc>
        <w:tc>
          <w:tcPr>
            <w:tcW w:w="1420" w:type="pct"/>
          </w:tcPr>
          <w:p w14:paraId="28AEE265"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Air quality regulation</w:t>
            </w:r>
          </w:p>
        </w:tc>
        <w:tc>
          <w:tcPr>
            <w:tcW w:w="814" w:type="pct"/>
          </w:tcPr>
          <w:p w14:paraId="58300838"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TBC</w:t>
            </w:r>
          </w:p>
        </w:tc>
      </w:tr>
      <w:tr w:rsidR="00B21991" w:rsidRPr="00FB15DB" w14:paraId="1CE01588" w14:textId="77777777" w:rsidTr="008923E6">
        <w:trPr>
          <w:cantSplit/>
        </w:trPr>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201547" w:themeFill="text2"/>
          </w:tcPr>
          <w:p w14:paraId="4527A48A" w14:textId="77777777" w:rsidR="00B21991" w:rsidRPr="008923E6" w:rsidRDefault="00B21991" w:rsidP="00AB0268">
            <w:pPr>
              <w:pStyle w:val="TableTextLeftBold"/>
            </w:pPr>
            <w:r w:rsidRPr="008923E6">
              <w:lastRenderedPageBreak/>
              <w:t>Socio-economic characteristics - Location</w:t>
            </w:r>
          </w:p>
        </w:tc>
      </w:tr>
      <w:tr w:rsidR="002957E3" w:rsidRPr="00FB15DB" w14:paraId="17443C93"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5BA6BC40" w14:textId="77777777" w:rsidR="00B21991" w:rsidRPr="00FB15DB" w:rsidRDefault="00B21991" w:rsidP="002957E3">
            <w:pPr>
              <w:pStyle w:val="TableTextLeft"/>
            </w:pPr>
            <w:r w:rsidRPr="00FB15DB">
              <w:t>Landscape/seascape views from road</w:t>
            </w:r>
          </w:p>
        </w:tc>
        <w:tc>
          <w:tcPr>
            <w:tcW w:w="1083" w:type="pct"/>
          </w:tcPr>
          <w:p w14:paraId="2690C5C8"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 xml:space="preserve">All </w:t>
            </w:r>
          </w:p>
        </w:tc>
        <w:tc>
          <w:tcPr>
            <w:tcW w:w="1420" w:type="pct"/>
          </w:tcPr>
          <w:p w14:paraId="1B005E07"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Aesthetics / Recreation</w:t>
            </w:r>
          </w:p>
        </w:tc>
        <w:tc>
          <w:tcPr>
            <w:tcW w:w="814" w:type="pct"/>
          </w:tcPr>
          <w:p w14:paraId="7823FA3F"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 of viewshed</w:t>
            </w:r>
          </w:p>
        </w:tc>
      </w:tr>
      <w:tr w:rsidR="002957E3" w:rsidRPr="00FB15DB" w14:paraId="5EB43870"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2FD48648" w14:textId="77777777" w:rsidR="00B21991" w:rsidRPr="00FB15DB" w:rsidRDefault="00B21991" w:rsidP="002957E3">
            <w:pPr>
              <w:pStyle w:val="TableTextLeft"/>
            </w:pPr>
            <w:r w:rsidRPr="00FB15DB">
              <w:t>Areas at risk of natural hazards</w:t>
            </w:r>
          </w:p>
        </w:tc>
        <w:tc>
          <w:tcPr>
            <w:tcW w:w="1083" w:type="pct"/>
          </w:tcPr>
          <w:p w14:paraId="07303873"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 xml:space="preserve">All </w:t>
            </w:r>
          </w:p>
        </w:tc>
        <w:tc>
          <w:tcPr>
            <w:tcW w:w="1420" w:type="pct"/>
          </w:tcPr>
          <w:p w14:paraId="5FF24168"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Hazard protection</w:t>
            </w:r>
          </w:p>
        </w:tc>
        <w:tc>
          <w:tcPr>
            <w:tcW w:w="814" w:type="pct"/>
          </w:tcPr>
          <w:p w14:paraId="6BC4245F"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 xml:space="preserve">Ha by risk </w:t>
            </w:r>
          </w:p>
        </w:tc>
      </w:tr>
      <w:tr w:rsidR="002957E3" w:rsidRPr="00FB15DB" w14:paraId="2E273C1B"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42E5F821" w14:textId="77777777" w:rsidR="00B21991" w:rsidRPr="00FB15DB" w:rsidRDefault="00B21991" w:rsidP="002957E3">
            <w:pPr>
              <w:pStyle w:val="TableTextLeft"/>
            </w:pPr>
            <w:r w:rsidRPr="00FB15DB">
              <w:t>Light pollution</w:t>
            </w:r>
          </w:p>
        </w:tc>
        <w:tc>
          <w:tcPr>
            <w:tcW w:w="1083" w:type="pct"/>
          </w:tcPr>
          <w:p w14:paraId="0B6CE2DB"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All</w:t>
            </w:r>
          </w:p>
        </w:tc>
        <w:tc>
          <w:tcPr>
            <w:tcW w:w="1420" w:type="pct"/>
          </w:tcPr>
          <w:p w14:paraId="6B47AF5E"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Various</w:t>
            </w:r>
          </w:p>
        </w:tc>
        <w:tc>
          <w:tcPr>
            <w:tcW w:w="814" w:type="pct"/>
          </w:tcPr>
          <w:p w14:paraId="381F91C0"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Score</w:t>
            </w:r>
          </w:p>
        </w:tc>
      </w:tr>
      <w:tr w:rsidR="002957E3" w:rsidRPr="00FB15DB" w14:paraId="21BD4162"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3239AAFB" w14:textId="77777777" w:rsidR="00B21991" w:rsidRPr="00FB15DB" w:rsidRDefault="00B21991" w:rsidP="002957E3">
            <w:pPr>
              <w:pStyle w:val="TableTextLeft"/>
            </w:pPr>
            <w:r w:rsidRPr="00FB15DB">
              <w:t>Level of tranquillity</w:t>
            </w:r>
          </w:p>
        </w:tc>
        <w:tc>
          <w:tcPr>
            <w:tcW w:w="1083" w:type="pct"/>
          </w:tcPr>
          <w:p w14:paraId="69612A7C"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All</w:t>
            </w:r>
          </w:p>
        </w:tc>
        <w:tc>
          <w:tcPr>
            <w:tcW w:w="1420" w:type="pct"/>
          </w:tcPr>
          <w:p w14:paraId="4FA7C5F1"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Various</w:t>
            </w:r>
          </w:p>
        </w:tc>
        <w:tc>
          <w:tcPr>
            <w:tcW w:w="814" w:type="pct"/>
          </w:tcPr>
          <w:p w14:paraId="726181CB"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Score</w:t>
            </w:r>
          </w:p>
        </w:tc>
      </w:tr>
      <w:tr w:rsidR="002957E3" w:rsidRPr="00FB15DB" w14:paraId="3CCB0F17"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74821128" w14:textId="77777777" w:rsidR="00B21991" w:rsidRPr="00FB15DB" w:rsidRDefault="00B21991" w:rsidP="002957E3">
            <w:pPr>
              <w:pStyle w:val="TableTextLeft"/>
            </w:pPr>
            <w:r w:rsidRPr="00FB15DB">
              <w:t>Proximity of habitats to urban area</w:t>
            </w:r>
          </w:p>
        </w:tc>
        <w:tc>
          <w:tcPr>
            <w:tcW w:w="1083" w:type="pct"/>
          </w:tcPr>
          <w:p w14:paraId="3CD93374"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All</w:t>
            </w:r>
          </w:p>
        </w:tc>
        <w:tc>
          <w:tcPr>
            <w:tcW w:w="1420" w:type="pct"/>
          </w:tcPr>
          <w:p w14:paraId="7397AFCC"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All</w:t>
            </w:r>
          </w:p>
        </w:tc>
        <w:tc>
          <w:tcPr>
            <w:tcW w:w="814" w:type="pct"/>
          </w:tcPr>
          <w:p w14:paraId="1D4009F7"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Ha by proximity</w:t>
            </w:r>
          </w:p>
        </w:tc>
      </w:tr>
      <w:tr w:rsidR="00B21991" w:rsidRPr="00FB15DB" w14:paraId="2F42EFF0" w14:textId="77777777" w:rsidTr="008923E6">
        <w:trPr>
          <w:cantSplit/>
        </w:trPr>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201547" w:themeFill="text2"/>
          </w:tcPr>
          <w:p w14:paraId="550EAE56" w14:textId="77777777" w:rsidR="00B21991" w:rsidRPr="008923E6" w:rsidRDefault="00B21991" w:rsidP="00AB0268">
            <w:pPr>
              <w:pStyle w:val="TableTextLeftBold"/>
            </w:pPr>
            <w:r w:rsidRPr="008923E6">
              <w:t>Socio-economic characteristics - Cultural assets</w:t>
            </w:r>
          </w:p>
        </w:tc>
      </w:tr>
      <w:tr w:rsidR="002957E3" w:rsidRPr="00FB15DB" w14:paraId="7559715F"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35FB83BC" w14:textId="77777777" w:rsidR="00B21991" w:rsidRPr="00FB15DB" w:rsidRDefault="00B21991" w:rsidP="002957E3">
            <w:pPr>
              <w:pStyle w:val="TableTextLeft"/>
            </w:pPr>
            <w:r w:rsidRPr="00FB15DB">
              <w:t>Arboreal Avenues of Honour</w:t>
            </w:r>
          </w:p>
        </w:tc>
        <w:tc>
          <w:tcPr>
            <w:tcW w:w="1083" w:type="pct"/>
          </w:tcPr>
          <w:p w14:paraId="0CF989F5"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w:t>
            </w:r>
          </w:p>
        </w:tc>
        <w:tc>
          <w:tcPr>
            <w:tcW w:w="1420" w:type="pct"/>
          </w:tcPr>
          <w:p w14:paraId="5C2E3A7E"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Cultural value</w:t>
            </w:r>
          </w:p>
        </w:tc>
        <w:tc>
          <w:tcPr>
            <w:tcW w:w="814" w:type="pct"/>
          </w:tcPr>
          <w:p w14:paraId="7486E057"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No./Condition</w:t>
            </w:r>
          </w:p>
        </w:tc>
      </w:tr>
      <w:tr w:rsidR="002957E3" w:rsidRPr="00FB15DB" w14:paraId="38336323"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035F4ED0" w14:textId="77777777" w:rsidR="00B21991" w:rsidRPr="00FB15DB" w:rsidRDefault="00B21991" w:rsidP="002957E3">
            <w:pPr>
              <w:pStyle w:val="TableTextLeft"/>
            </w:pPr>
            <w:r w:rsidRPr="00FB15DB">
              <w:t>Shipwrecks</w:t>
            </w:r>
          </w:p>
        </w:tc>
        <w:tc>
          <w:tcPr>
            <w:tcW w:w="1083" w:type="pct"/>
          </w:tcPr>
          <w:p w14:paraId="7A5F3A6E"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Marine</w:t>
            </w:r>
          </w:p>
        </w:tc>
        <w:tc>
          <w:tcPr>
            <w:tcW w:w="1420" w:type="pct"/>
          </w:tcPr>
          <w:p w14:paraId="325188FF"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Cultural value</w:t>
            </w:r>
          </w:p>
        </w:tc>
        <w:tc>
          <w:tcPr>
            <w:tcW w:w="814" w:type="pct"/>
          </w:tcPr>
          <w:p w14:paraId="7D015C00"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No./Condition</w:t>
            </w:r>
          </w:p>
        </w:tc>
      </w:tr>
      <w:tr w:rsidR="00B21991" w:rsidRPr="00FB15DB" w14:paraId="0CA098AD"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5000" w:type="pct"/>
            <w:gridSpan w:val="4"/>
          </w:tcPr>
          <w:p w14:paraId="266F085D" w14:textId="77777777" w:rsidR="00B21991" w:rsidRPr="00FB15DB" w:rsidRDefault="00B21991" w:rsidP="002957E3">
            <w:pPr>
              <w:pStyle w:val="TableTextLeft"/>
            </w:pPr>
            <w:r w:rsidRPr="00FB15DB">
              <w:t>Socio-economic characteristics - Governance and management</w:t>
            </w:r>
          </w:p>
        </w:tc>
      </w:tr>
      <w:tr w:rsidR="002957E3" w:rsidRPr="00FB15DB" w14:paraId="3E4CDE49"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080DE3DE" w14:textId="77777777" w:rsidR="00B21991" w:rsidRPr="00FB15DB" w:rsidRDefault="00B21991" w:rsidP="002957E3">
            <w:pPr>
              <w:pStyle w:val="TableTextLeft"/>
            </w:pPr>
            <w:proofErr w:type="spellStart"/>
            <w:r w:rsidRPr="00FB15DB">
              <w:t>CoastCare</w:t>
            </w:r>
            <w:proofErr w:type="spellEnd"/>
          </w:p>
        </w:tc>
        <w:tc>
          <w:tcPr>
            <w:tcW w:w="1083" w:type="pct"/>
          </w:tcPr>
          <w:p w14:paraId="17EB65E9"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Coastal margin</w:t>
            </w:r>
          </w:p>
        </w:tc>
        <w:tc>
          <w:tcPr>
            <w:tcW w:w="1420" w:type="pct"/>
          </w:tcPr>
          <w:p w14:paraId="3CB16034"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Community cohesion</w:t>
            </w:r>
          </w:p>
        </w:tc>
        <w:tc>
          <w:tcPr>
            <w:tcW w:w="814" w:type="pct"/>
          </w:tcPr>
          <w:p w14:paraId="7BC48C72"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Ha / Number</w:t>
            </w:r>
          </w:p>
        </w:tc>
      </w:tr>
      <w:tr w:rsidR="002957E3" w:rsidRPr="00FB15DB" w14:paraId="72FD15C8"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25F86D83" w14:textId="77777777" w:rsidR="00B21991" w:rsidRPr="00FB15DB" w:rsidRDefault="00B21991" w:rsidP="002957E3">
            <w:pPr>
              <w:pStyle w:val="TableTextLeft"/>
            </w:pPr>
            <w:r w:rsidRPr="00FB15DB">
              <w:t>Community stewardship</w:t>
            </w:r>
          </w:p>
        </w:tc>
        <w:tc>
          <w:tcPr>
            <w:tcW w:w="1083" w:type="pct"/>
          </w:tcPr>
          <w:p w14:paraId="468E1002"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All</w:t>
            </w:r>
          </w:p>
        </w:tc>
        <w:tc>
          <w:tcPr>
            <w:tcW w:w="1420" w:type="pct"/>
          </w:tcPr>
          <w:p w14:paraId="5308F943"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Community cohesion</w:t>
            </w:r>
          </w:p>
        </w:tc>
        <w:tc>
          <w:tcPr>
            <w:tcW w:w="814" w:type="pct"/>
          </w:tcPr>
          <w:p w14:paraId="1A4F65B2"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TBC</w:t>
            </w:r>
          </w:p>
        </w:tc>
      </w:tr>
      <w:tr w:rsidR="002957E3" w:rsidRPr="00FB15DB" w14:paraId="6BBDE16C"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72399BBB" w14:textId="77777777" w:rsidR="00B21991" w:rsidRPr="00FB15DB" w:rsidRDefault="00B21991" w:rsidP="002957E3">
            <w:pPr>
              <w:pStyle w:val="TableTextLeft"/>
            </w:pPr>
            <w:r w:rsidRPr="00FB15DB">
              <w:t>Protected areas</w:t>
            </w:r>
          </w:p>
        </w:tc>
        <w:tc>
          <w:tcPr>
            <w:tcW w:w="1083" w:type="pct"/>
          </w:tcPr>
          <w:p w14:paraId="27183B5D"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All</w:t>
            </w:r>
          </w:p>
        </w:tc>
        <w:tc>
          <w:tcPr>
            <w:tcW w:w="1420" w:type="pct"/>
          </w:tcPr>
          <w:p w14:paraId="67AA1DF3"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Various</w:t>
            </w:r>
          </w:p>
        </w:tc>
        <w:tc>
          <w:tcPr>
            <w:tcW w:w="814" w:type="pct"/>
          </w:tcPr>
          <w:p w14:paraId="044BD1D7"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Ha</w:t>
            </w:r>
          </w:p>
        </w:tc>
      </w:tr>
      <w:tr w:rsidR="002957E3" w:rsidRPr="00FB15DB" w14:paraId="5EDD03AA"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6E7DCE8A" w14:textId="77777777" w:rsidR="00B21991" w:rsidRPr="00FB15DB" w:rsidRDefault="00B21991" w:rsidP="002957E3">
            <w:pPr>
              <w:pStyle w:val="TableTextLeft"/>
            </w:pPr>
            <w:r w:rsidRPr="00FB15DB">
              <w:t>Conservation status</w:t>
            </w:r>
          </w:p>
        </w:tc>
        <w:tc>
          <w:tcPr>
            <w:tcW w:w="1083" w:type="pct"/>
          </w:tcPr>
          <w:p w14:paraId="6B6969F5"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All</w:t>
            </w:r>
          </w:p>
        </w:tc>
        <w:tc>
          <w:tcPr>
            <w:tcW w:w="1420" w:type="pct"/>
          </w:tcPr>
          <w:p w14:paraId="4612D683"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Various</w:t>
            </w:r>
          </w:p>
        </w:tc>
        <w:tc>
          <w:tcPr>
            <w:tcW w:w="814" w:type="pct"/>
          </w:tcPr>
          <w:p w14:paraId="5BBC38D4"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Ha by condition</w:t>
            </w:r>
          </w:p>
        </w:tc>
      </w:tr>
      <w:tr w:rsidR="002957E3" w:rsidRPr="00FB15DB" w14:paraId="355E02C1"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5FE28B1D" w14:textId="77777777" w:rsidR="00B21991" w:rsidRPr="00FB15DB" w:rsidRDefault="00B21991" w:rsidP="002957E3">
            <w:pPr>
              <w:pStyle w:val="TableTextLeft"/>
            </w:pPr>
            <w:r w:rsidRPr="00FB15DB">
              <w:t>Landscapes of significance</w:t>
            </w:r>
          </w:p>
        </w:tc>
        <w:tc>
          <w:tcPr>
            <w:tcW w:w="1083" w:type="pct"/>
          </w:tcPr>
          <w:p w14:paraId="10FFC921"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All</w:t>
            </w:r>
          </w:p>
        </w:tc>
        <w:tc>
          <w:tcPr>
            <w:tcW w:w="1420" w:type="pct"/>
          </w:tcPr>
          <w:p w14:paraId="3FD3B88D"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 xml:space="preserve">Recreation </w:t>
            </w:r>
          </w:p>
        </w:tc>
        <w:tc>
          <w:tcPr>
            <w:tcW w:w="814" w:type="pct"/>
          </w:tcPr>
          <w:p w14:paraId="385BD097"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TBC</w:t>
            </w:r>
          </w:p>
        </w:tc>
      </w:tr>
      <w:tr w:rsidR="002957E3" w:rsidRPr="00FB15DB" w14:paraId="40342979"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729C6E0B" w14:textId="77777777" w:rsidR="00B21991" w:rsidRPr="00FB15DB" w:rsidRDefault="00B21991" w:rsidP="002957E3">
            <w:pPr>
              <w:pStyle w:val="TableTextLeft"/>
            </w:pPr>
            <w:r w:rsidRPr="00FB15DB">
              <w:t>Pastoral agriculture</w:t>
            </w:r>
          </w:p>
        </w:tc>
        <w:tc>
          <w:tcPr>
            <w:tcW w:w="1083" w:type="pct"/>
          </w:tcPr>
          <w:p w14:paraId="76368438"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Enclosed Farmland</w:t>
            </w:r>
          </w:p>
        </w:tc>
        <w:tc>
          <w:tcPr>
            <w:tcW w:w="1420" w:type="pct"/>
          </w:tcPr>
          <w:p w14:paraId="247B4BA9"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Biomass - Food</w:t>
            </w:r>
          </w:p>
        </w:tc>
        <w:tc>
          <w:tcPr>
            <w:tcW w:w="814" w:type="pct"/>
          </w:tcPr>
          <w:p w14:paraId="29125ADA"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Ha</w:t>
            </w:r>
          </w:p>
        </w:tc>
      </w:tr>
      <w:tr w:rsidR="002957E3" w:rsidRPr="00FB15DB" w14:paraId="26EE3646"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2C27DD5A" w14:textId="77777777" w:rsidR="00B21991" w:rsidRPr="00FB15DB" w:rsidRDefault="00B21991" w:rsidP="002957E3">
            <w:pPr>
              <w:pStyle w:val="TableTextLeft"/>
            </w:pPr>
            <w:r w:rsidRPr="00FB15DB">
              <w:t>Arable agriculture</w:t>
            </w:r>
          </w:p>
        </w:tc>
        <w:tc>
          <w:tcPr>
            <w:tcW w:w="1083" w:type="pct"/>
          </w:tcPr>
          <w:p w14:paraId="106389BC"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Enclosed Farmland</w:t>
            </w:r>
          </w:p>
        </w:tc>
        <w:tc>
          <w:tcPr>
            <w:tcW w:w="1420" w:type="pct"/>
          </w:tcPr>
          <w:p w14:paraId="55A7A213"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Biomass - Food</w:t>
            </w:r>
          </w:p>
        </w:tc>
        <w:tc>
          <w:tcPr>
            <w:tcW w:w="814" w:type="pct"/>
          </w:tcPr>
          <w:p w14:paraId="1B019643"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Ha</w:t>
            </w:r>
          </w:p>
        </w:tc>
      </w:tr>
      <w:tr w:rsidR="002957E3" w:rsidRPr="00FB15DB" w14:paraId="27557A6B"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1BA4DC2C" w14:textId="77777777" w:rsidR="00B21991" w:rsidRPr="00FB15DB" w:rsidRDefault="00B21991" w:rsidP="002957E3">
            <w:pPr>
              <w:pStyle w:val="TableTextLeft"/>
            </w:pPr>
            <w:r w:rsidRPr="00FB15DB">
              <w:t>Mixed use forest</w:t>
            </w:r>
          </w:p>
        </w:tc>
        <w:tc>
          <w:tcPr>
            <w:tcW w:w="1083" w:type="pct"/>
          </w:tcPr>
          <w:p w14:paraId="1E9F3511"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Forest</w:t>
            </w:r>
          </w:p>
        </w:tc>
        <w:tc>
          <w:tcPr>
            <w:tcW w:w="1420" w:type="pct"/>
          </w:tcPr>
          <w:p w14:paraId="5CC37FAD"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Various</w:t>
            </w:r>
          </w:p>
        </w:tc>
        <w:tc>
          <w:tcPr>
            <w:tcW w:w="814" w:type="pct"/>
          </w:tcPr>
          <w:p w14:paraId="5305FA05"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Ha</w:t>
            </w:r>
          </w:p>
        </w:tc>
      </w:tr>
      <w:tr w:rsidR="002957E3" w:rsidRPr="00FB15DB" w14:paraId="0D617C1C"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1546243B" w14:textId="77777777" w:rsidR="00B21991" w:rsidRPr="00FB15DB" w:rsidRDefault="00B21991" w:rsidP="002957E3">
            <w:pPr>
              <w:pStyle w:val="TableTextLeft"/>
            </w:pPr>
            <w:r w:rsidRPr="00FB15DB">
              <w:t>Plantation forest</w:t>
            </w:r>
          </w:p>
        </w:tc>
        <w:tc>
          <w:tcPr>
            <w:tcW w:w="1083" w:type="pct"/>
          </w:tcPr>
          <w:p w14:paraId="3EE8983E"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Forest</w:t>
            </w:r>
          </w:p>
        </w:tc>
        <w:tc>
          <w:tcPr>
            <w:tcW w:w="1420" w:type="pct"/>
          </w:tcPr>
          <w:p w14:paraId="7C254DD3"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Biomass - Timber</w:t>
            </w:r>
          </w:p>
        </w:tc>
        <w:tc>
          <w:tcPr>
            <w:tcW w:w="814" w:type="pct"/>
          </w:tcPr>
          <w:p w14:paraId="3E27868C"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Ha</w:t>
            </w:r>
          </w:p>
        </w:tc>
      </w:tr>
      <w:tr w:rsidR="002957E3" w:rsidRPr="00FB15DB" w14:paraId="3069B2B7"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6FE2EA14" w14:textId="77777777" w:rsidR="00B21991" w:rsidRPr="00FB15DB" w:rsidRDefault="00B21991" w:rsidP="002957E3">
            <w:pPr>
              <w:pStyle w:val="TableTextLeft"/>
            </w:pPr>
            <w:r w:rsidRPr="00FB15DB">
              <w:t xml:space="preserve">National park </w:t>
            </w:r>
          </w:p>
        </w:tc>
        <w:tc>
          <w:tcPr>
            <w:tcW w:w="1083" w:type="pct"/>
          </w:tcPr>
          <w:p w14:paraId="6F3AEC09"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All</w:t>
            </w:r>
          </w:p>
        </w:tc>
        <w:tc>
          <w:tcPr>
            <w:tcW w:w="1420" w:type="pct"/>
          </w:tcPr>
          <w:p w14:paraId="427E0F54"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Various</w:t>
            </w:r>
          </w:p>
        </w:tc>
        <w:tc>
          <w:tcPr>
            <w:tcW w:w="814" w:type="pct"/>
          </w:tcPr>
          <w:p w14:paraId="791EDF4E"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 xml:space="preserve">Ha </w:t>
            </w:r>
          </w:p>
        </w:tc>
      </w:tr>
      <w:tr w:rsidR="002957E3" w:rsidRPr="00FB15DB" w14:paraId="4477A3CB"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61F9E83A" w14:textId="77777777" w:rsidR="00B21991" w:rsidRPr="00FB15DB" w:rsidRDefault="00B21991" w:rsidP="002957E3">
            <w:pPr>
              <w:pStyle w:val="TableTextLeft"/>
            </w:pPr>
            <w:r w:rsidRPr="00FB15DB">
              <w:t>Ramsar wetland</w:t>
            </w:r>
          </w:p>
        </w:tc>
        <w:tc>
          <w:tcPr>
            <w:tcW w:w="1083" w:type="pct"/>
          </w:tcPr>
          <w:p w14:paraId="4B4ED96D"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 xml:space="preserve">Wetland </w:t>
            </w:r>
          </w:p>
        </w:tc>
        <w:tc>
          <w:tcPr>
            <w:tcW w:w="1420" w:type="pct"/>
          </w:tcPr>
          <w:p w14:paraId="2AF81B11"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Various</w:t>
            </w:r>
          </w:p>
        </w:tc>
        <w:tc>
          <w:tcPr>
            <w:tcW w:w="814" w:type="pct"/>
          </w:tcPr>
          <w:p w14:paraId="0B33274E"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Ha</w:t>
            </w:r>
          </w:p>
        </w:tc>
      </w:tr>
      <w:tr w:rsidR="002957E3" w:rsidRPr="00FB15DB" w14:paraId="1E25195F"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3CD36F06" w14:textId="77777777" w:rsidR="00B21991" w:rsidRPr="00FB15DB" w:rsidRDefault="00B21991" w:rsidP="002957E3">
            <w:pPr>
              <w:pStyle w:val="TableTextLeft"/>
            </w:pPr>
            <w:r w:rsidRPr="00FB15DB">
              <w:t>Nature Conservation Reserves</w:t>
            </w:r>
          </w:p>
        </w:tc>
        <w:tc>
          <w:tcPr>
            <w:tcW w:w="1083" w:type="pct"/>
          </w:tcPr>
          <w:p w14:paraId="16570F93"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All</w:t>
            </w:r>
          </w:p>
        </w:tc>
        <w:tc>
          <w:tcPr>
            <w:tcW w:w="1420" w:type="pct"/>
          </w:tcPr>
          <w:p w14:paraId="24FD3E70"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Various</w:t>
            </w:r>
          </w:p>
        </w:tc>
        <w:tc>
          <w:tcPr>
            <w:tcW w:w="814" w:type="pct"/>
          </w:tcPr>
          <w:p w14:paraId="225125D5"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Ha</w:t>
            </w:r>
          </w:p>
        </w:tc>
      </w:tr>
      <w:tr w:rsidR="002957E3" w:rsidRPr="00FB15DB" w14:paraId="49E5A7DE"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104B25CF" w14:textId="77777777" w:rsidR="00B21991" w:rsidRPr="00FB15DB" w:rsidRDefault="00B21991" w:rsidP="002957E3">
            <w:pPr>
              <w:pStyle w:val="TableTextLeft"/>
            </w:pPr>
            <w:r w:rsidRPr="00FB15DB">
              <w:t>Biogeographic regions</w:t>
            </w:r>
          </w:p>
        </w:tc>
        <w:tc>
          <w:tcPr>
            <w:tcW w:w="1083" w:type="pct"/>
          </w:tcPr>
          <w:p w14:paraId="2DF636F0"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All</w:t>
            </w:r>
          </w:p>
        </w:tc>
        <w:tc>
          <w:tcPr>
            <w:tcW w:w="1420" w:type="pct"/>
          </w:tcPr>
          <w:p w14:paraId="59A66CA1"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Various</w:t>
            </w:r>
          </w:p>
        </w:tc>
        <w:tc>
          <w:tcPr>
            <w:tcW w:w="814" w:type="pct"/>
          </w:tcPr>
          <w:p w14:paraId="60A2355A"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Ha</w:t>
            </w:r>
          </w:p>
        </w:tc>
      </w:tr>
      <w:tr w:rsidR="002957E3" w:rsidRPr="00FB15DB" w14:paraId="5164E2D4"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0A65D840" w14:textId="77777777" w:rsidR="00B21991" w:rsidRPr="00FB15DB" w:rsidRDefault="00B21991" w:rsidP="002957E3">
            <w:pPr>
              <w:pStyle w:val="TableTextLeft"/>
            </w:pPr>
            <w:r w:rsidRPr="00FB15DB">
              <w:t xml:space="preserve">Bioregional Conservation Status </w:t>
            </w:r>
          </w:p>
        </w:tc>
        <w:tc>
          <w:tcPr>
            <w:tcW w:w="1083" w:type="pct"/>
          </w:tcPr>
          <w:p w14:paraId="0025D89C"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All</w:t>
            </w:r>
          </w:p>
        </w:tc>
        <w:tc>
          <w:tcPr>
            <w:tcW w:w="1420" w:type="pct"/>
          </w:tcPr>
          <w:p w14:paraId="46F3857B"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Various</w:t>
            </w:r>
          </w:p>
        </w:tc>
        <w:tc>
          <w:tcPr>
            <w:tcW w:w="814" w:type="pct"/>
          </w:tcPr>
          <w:p w14:paraId="07548AFE"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Ha</w:t>
            </w:r>
          </w:p>
        </w:tc>
      </w:tr>
      <w:tr w:rsidR="002957E3" w:rsidRPr="00FB15DB" w14:paraId="31697668"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265EAD78" w14:textId="77777777" w:rsidR="00B21991" w:rsidRPr="00FB15DB" w:rsidRDefault="00B21991" w:rsidP="002957E3">
            <w:pPr>
              <w:pStyle w:val="TableTextLeft"/>
            </w:pPr>
            <w:r w:rsidRPr="00FB15DB">
              <w:t>Coastal classifications</w:t>
            </w:r>
          </w:p>
        </w:tc>
        <w:tc>
          <w:tcPr>
            <w:tcW w:w="1083" w:type="pct"/>
          </w:tcPr>
          <w:p w14:paraId="19318EE4"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Coastal margin</w:t>
            </w:r>
          </w:p>
        </w:tc>
        <w:tc>
          <w:tcPr>
            <w:tcW w:w="1420" w:type="pct"/>
          </w:tcPr>
          <w:p w14:paraId="1D438072"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Various</w:t>
            </w:r>
          </w:p>
        </w:tc>
        <w:tc>
          <w:tcPr>
            <w:tcW w:w="814" w:type="pct"/>
          </w:tcPr>
          <w:p w14:paraId="41A3510F"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Ha</w:t>
            </w:r>
          </w:p>
        </w:tc>
      </w:tr>
      <w:tr w:rsidR="002957E3" w:rsidRPr="00FB15DB" w14:paraId="36483759"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35F031F9" w14:textId="77777777" w:rsidR="00B21991" w:rsidRPr="00FB15DB" w:rsidRDefault="00B21991" w:rsidP="002957E3">
            <w:pPr>
              <w:pStyle w:val="TableTextLeft"/>
            </w:pPr>
            <w:r w:rsidRPr="00FB15DB">
              <w:t>Coastline</w:t>
            </w:r>
          </w:p>
        </w:tc>
        <w:tc>
          <w:tcPr>
            <w:tcW w:w="1083" w:type="pct"/>
          </w:tcPr>
          <w:p w14:paraId="5AB9EE27"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Coastal margin</w:t>
            </w:r>
          </w:p>
        </w:tc>
        <w:tc>
          <w:tcPr>
            <w:tcW w:w="1420" w:type="pct"/>
          </w:tcPr>
          <w:p w14:paraId="29F24010"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Various</w:t>
            </w:r>
          </w:p>
        </w:tc>
        <w:tc>
          <w:tcPr>
            <w:tcW w:w="814" w:type="pct"/>
          </w:tcPr>
          <w:p w14:paraId="4D905CE2"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Ha</w:t>
            </w:r>
          </w:p>
        </w:tc>
      </w:tr>
      <w:tr w:rsidR="00B21991" w:rsidRPr="00FB15DB" w14:paraId="4E0DD3C7" w14:textId="77777777" w:rsidTr="008923E6">
        <w:trPr>
          <w:cantSplit/>
        </w:trPr>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201547" w:themeFill="text2"/>
          </w:tcPr>
          <w:p w14:paraId="0B8024BB" w14:textId="77777777" w:rsidR="00B21991" w:rsidRPr="008923E6" w:rsidRDefault="00B21991" w:rsidP="00AB0268">
            <w:pPr>
              <w:pStyle w:val="TableTextLeftBold"/>
            </w:pPr>
            <w:r w:rsidRPr="008923E6">
              <w:t>Socio-economic characteristics - Built assets</w:t>
            </w:r>
          </w:p>
        </w:tc>
      </w:tr>
      <w:tr w:rsidR="002957E3" w:rsidRPr="00FB15DB" w14:paraId="134E7243"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03825BD4" w14:textId="77777777" w:rsidR="00B21991" w:rsidRPr="00FB15DB" w:rsidRDefault="00B21991" w:rsidP="002957E3">
            <w:pPr>
              <w:pStyle w:val="TableTextLeft"/>
            </w:pPr>
            <w:r w:rsidRPr="00FB15DB">
              <w:t xml:space="preserve">Car parks </w:t>
            </w:r>
          </w:p>
        </w:tc>
        <w:tc>
          <w:tcPr>
            <w:tcW w:w="1083" w:type="pct"/>
          </w:tcPr>
          <w:p w14:paraId="3B098206"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w:t>
            </w:r>
          </w:p>
        </w:tc>
        <w:tc>
          <w:tcPr>
            <w:tcW w:w="1420" w:type="pct"/>
          </w:tcPr>
          <w:p w14:paraId="76CDE7E2"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Recreation and tourism</w:t>
            </w:r>
          </w:p>
        </w:tc>
        <w:tc>
          <w:tcPr>
            <w:tcW w:w="814" w:type="pct"/>
          </w:tcPr>
          <w:p w14:paraId="5445C2C9"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 xml:space="preserve">Ha / No. </w:t>
            </w:r>
          </w:p>
        </w:tc>
      </w:tr>
      <w:tr w:rsidR="002957E3" w:rsidRPr="00FB15DB" w14:paraId="03ABC36E"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438234A1" w14:textId="77777777" w:rsidR="00B21991" w:rsidRPr="00FB15DB" w:rsidRDefault="00B21991" w:rsidP="002957E3">
            <w:pPr>
              <w:pStyle w:val="TableTextLeft"/>
            </w:pPr>
            <w:r w:rsidRPr="00FB15DB">
              <w:t>Roads</w:t>
            </w:r>
          </w:p>
        </w:tc>
        <w:tc>
          <w:tcPr>
            <w:tcW w:w="1083" w:type="pct"/>
          </w:tcPr>
          <w:p w14:paraId="7529D87B"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w:t>
            </w:r>
          </w:p>
        </w:tc>
        <w:tc>
          <w:tcPr>
            <w:tcW w:w="1420" w:type="pct"/>
          </w:tcPr>
          <w:p w14:paraId="6162D846"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Recreation and tourism</w:t>
            </w:r>
          </w:p>
        </w:tc>
        <w:tc>
          <w:tcPr>
            <w:tcW w:w="814" w:type="pct"/>
          </w:tcPr>
          <w:p w14:paraId="280FDD5B"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Km/Condition</w:t>
            </w:r>
          </w:p>
        </w:tc>
      </w:tr>
      <w:tr w:rsidR="002957E3" w:rsidRPr="00FB15DB" w14:paraId="7BDF52E4"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6F74FE7E" w14:textId="77777777" w:rsidR="00B21991" w:rsidRPr="00FB15DB" w:rsidRDefault="00B21991" w:rsidP="002957E3">
            <w:pPr>
              <w:pStyle w:val="TableTextLeft"/>
            </w:pPr>
            <w:r w:rsidRPr="00FB15DB">
              <w:t>Toilet facilities</w:t>
            </w:r>
          </w:p>
        </w:tc>
        <w:tc>
          <w:tcPr>
            <w:tcW w:w="1083" w:type="pct"/>
          </w:tcPr>
          <w:p w14:paraId="76541611"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w:t>
            </w:r>
          </w:p>
        </w:tc>
        <w:tc>
          <w:tcPr>
            <w:tcW w:w="1420" w:type="pct"/>
          </w:tcPr>
          <w:p w14:paraId="12DF7267"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Recreation and tourism</w:t>
            </w:r>
          </w:p>
        </w:tc>
        <w:tc>
          <w:tcPr>
            <w:tcW w:w="814" w:type="pct"/>
          </w:tcPr>
          <w:p w14:paraId="2134A65F"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No</w:t>
            </w:r>
          </w:p>
        </w:tc>
      </w:tr>
      <w:tr w:rsidR="002957E3" w:rsidRPr="00FB15DB" w14:paraId="46435F54"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417BE080" w14:textId="77777777" w:rsidR="00B21991" w:rsidRPr="00FB15DB" w:rsidRDefault="00B21991" w:rsidP="002957E3">
            <w:pPr>
              <w:pStyle w:val="TableTextLeft"/>
            </w:pPr>
            <w:r w:rsidRPr="00FB15DB">
              <w:t>Boating points (piers/jetties)</w:t>
            </w:r>
          </w:p>
        </w:tc>
        <w:tc>
          <w:tcPr>
            <w:tcW w:w="1083" w:type="pct"/>
          </w:tcPr>
          <w:p w14:paraId="48606917"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w:t>
            </w:r>
          </w:p>
        </w:tc>
        <w:tc>
          <w:tcPr>
            <w:tcW w:w="1420" w:type="pct"/>
          </w:tcPr>
          <w:p w14:paraId="35AC61FC"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Recreation and tourism</w:t>
            </w:r>
          </w:p>
        </w:tc>
        <w:tc>
          <w:tcPr>
            <w:tcW w:w="814" w:type="pct"/>
          </w:tcPr>
          <w:p w14:paraId="3137D717"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No. /Condition</w:t>
            </w:r>
          </w:p>
        </w:tc>
      </w:tr>
      <w:tr w:rsidR="002957E3" w:rsidRPr="00FB15DB" w14:paraId="0D95D096"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21ACE86B" w14:textId="77777777" w:rsidR="00B21991" w:rsidRPr="00FB15DB" w:rsidRDefault="00B21991" w:rsidP="002957E3">
            <w:pPr>
              <w:pStyle w:val="TableTextLeft"/>
            </w:pPr>
            <w:r w:rsidRPr="00FB15DB">
              <w:t>Bicycle paths</w:t>
            </w:r>
          </w:p>
        </w:tc>
        <w:tc>
          <w:tcPr>
            <w:tcW w:w="1083" w:type="pct"/>
          </w:tcPr>
          <w:p w14:paraId="015D0E9E"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w:t>
            </w:r>
          </w:p>
        </w:tc>
        <w:tc>
          <w:tcPr>
            <w:tcW w:w="1420" w:type="pct"/>
          </w:tcPr>
          <w:p w14:paraId="6A066A49"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Recreation and tourism</w:t>
            </w:r>
          </w:p>
        </w:tc>
        <w:tc>
          <w:tcPr>
            <w:tcW w:w="814" w:type="pct"/>
          </w:tcPr>
          <w:p w14:paraId="132856C7"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Km</w:t>
            </w:r>
          </w:p>
        </w:tc>
      </w:tr>
      <w:tr w:rsidR="002957E3" w:rsidRPr="00FB15DB" w14:paraId="5DFB8F62"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476FB820" w14:textId="77777777" w:rsidR="00B21991" w:rsidRPr="00FB15DB" w:rsidRDefault="00B21991" w:rsidP="002957E3">
            <w:pPr>
              <w:pStyle w:val="TableTextLeft"/>
            </w:pPr>
            <w:r w:rsidRPr="00FB15DB">
              <w:t>Mountain bike trails</w:t>
            </w:r>
          </w:p>
        </w:tc>
        <w:tc>
          <w:tcPr>
            <w:tcW w:w="1083" w:type="pct"/>
          </w:tcPr>
          <w:p w14:paraId="23F76EDB"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Terrestrial</w:t>
            </w:r>
          </w:p>
        </w:tc>
        <w:tc>
          <w:tcPr>
            <w:tcW w:w="1420" w:type="pct"/>
          </w:tcPr>
          <w:p w14:paraId="6664891E"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Recreation and Tourism</w:t>
            </w:r>
          </w:p>
        </w:tc>
        <w:tc>
          <w:tcPr>
            <w:tcW w:w="814" w:type="pct"/>
          </w:tcPr>
          <w:p w14:paraId="39ED41A1"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Km</w:t>
            </w:r>
          </w:p>
        </w:tc>
      </w:tr>
      <w:tr w:rsidR="002957E3" w:rsidRPr="00FB15DB" w14:paraId="572909B0"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16B890E6" w14:textId="77777777" w:rsidR="00B21991" w:rsidRPr="00FB15DB" w:rsidRDefault="00B21991" w:rsidP="002957E3">
            <w:pPr>
              <w:pStyle w:val="TableTextLeft"/>
            </w:pPr>
            <w:r w:rsidRPr="00FB15DB">
              <w:lastRenderedPageBreak/>
              <w:t xml:space="preserve">Waterway/boating zone </w:t>
            </w:r>
          </w:p>
        </w:tc>
        <w:tc>
          <w:tcPr>
            <w:tcW w:w="1083" w:type="pct"/>
          </w:tcPr>
          <w:p w14:paraId="419B896B"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w:t>
            </w:r>
          </w:p>
        </w:tc>
        <w:tc>
          <w:tcPr>
            <w:tcW w:w="1420" w:type="pct"/>
          </w:tcPr>
          <w:p w14:paraId="06F39AC0"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Recreation and tourism</w:t>
            </w:r>
          </w:p>
        </w:tc>
        <w:tc>
          <w:tcPr>
            <w:tcW w:w="814" w:type="pct"/>
          </w:tcPr>
          <w:p w14:paraId="4A847929"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Type</w:t>
            </w:r>
          </w:p>
        </w:tc>
      </w:tr>
      <w:tr w:rsidR="002957E3" w:rsidRPr="00FB15DB" w14:paraId="64163DA4"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5C657F13" w14:textId="77777777" w:rsidR="00B21991" w:rsidRPr="00FB15DB" w:rsidRDefault="00B21991" w:rsidP="002957E3">
            <w:pPr>
              <w:pStyle w:val="TableTextLeft"/>
            </w:pPr>
            <w:r w:rsidRPr="00FB15DB">
              <w:t>Walking tracks</w:t>
            </w:r>
          </w:p>
        </w:tc>
        <w:tc>
          <w:tcPr>
            <w:tcW w:w="1083" w:type="pct"/>
          </w:tcPr>
          <w:p w14:paraId="3CC8E973"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w:t>
            </w:r>
          </w:p>
        </w:tc>
        <w:tc>
          <w:tcPr>
            <w:tcW w:w="1420" w:type="pct"/>
          </w:tcPr>
          <w:p w14:paraId="02B0A9B0"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Recreation and tourism</w:t>
            </w:r>
          </w:p>
        </w:tc>
        <w:tc>
          <w:tcPr>
            <w:tcW w:w="814" w:type="pct"/>
          </w:tcPr>
          <w:p w14:paraId="4E6A6E4C"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Km/Condition</w:t>
            </w:r>
          </w:p>
        </w:tc>
      </w:tr>
      <w:tr w:rsidR="002957E3" w:rsidRPr="00FB15DB" w14:paraId="6811DC2D"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444799DD" w14:textId="77777777" w:rsidR="00B21991" w:rsidRPr="00FB15DB" w:rsidRDefault="00B21991" w:rsidP="002957E3">
            <w:pPr>
              <w:pStyle w:val="TableTextLeft"/>
              <w:rPr>
                <w:highlight w:val="yellow"/>
              </w:rPr>
            </w:pPr>
            <w:r w:rsidRPr="00FB15DB">
              <w:t>State Forest recreation assets</w:t>
            </w:r>
          </w:p>
        </w:tc>
        <w:tc>
          <w:tcPr>
            <w:tcW w:w="1083" w:type="pct"/>
          </w:tcPr>
          <w:p w14:paraId="09E69299"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Forest</w:t>
            </w:r>
          </w:p>
        </w:tc>
        <w:tc>
          <w:tcPr>
            <w:tcW w:w="1420" w:type="pct"/>
          </w:tcPr>
          <w:p w14:paraId="6D92ACDB"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Recreation and tourism</w:t>
            </w:r>
          </w:p>
        </w:tc>
        <w:tc>
          <w:tcPr>
            <w:tcW w:w="814" w:type="pct"/>
          </w:tcPr>
          <w:p w14:paraId="2EFE2D05"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No.</w:t>
            </w:r>
          </w:p>
        </w:tc>
      </w:tr>
      <w:tr w:rsidR="002957E3" w:rsidRPr="00FB15DB" w14:paraId="2286929B" w14:textId="77777777" w:rsidTr="002957E3">
        <w:trPr>
          <w:cantSplit/>
        </w:trPr>
        <w:tc>
          <w:tcPr>
            <w:cnfStyle w:val="001000000000" w:firstRow="0" w:lastRow="0" w:firstColumn="1" w:lastColumn="0" w:oddVBand="0" w:evenVBand="0" w:oddHBand="0" w:evenHBand="0" w:firstRowFirstColumn="0" w:firstRowLastColumn="0" w:lastRowFirstColumn="0" w:lastRowLastColumn="0"/>
            <w:tcW w:w="1682" w:type="pct"/>
          </w:tcPr>
          <w:p w14:paraId="10388F81" w14:textId="77777777" w:rsidR="00B21991" w:rsidRPr="00FB15DB" w:rsidRDefault="00B21991" w:rsidP="002957E3">
            <w:pPr>
              <w:pStyle w:val="TableTextLeft"/>
            </w:pPr>
            <w:r w:rsidRPr="00FB15DB">
              <w:t>Visitor Facilities</w:t>
            </w:r>
          </w:p>
        </w:tc>
        <w:tc>
          <w:tcPr>
            <w:tcW w:w="1083" w:type="pct"/>
          </w:tcPr>
          <w:p w14:paraId="64E60394"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w:t>
            </w:r>
          </w:p>
        </w:tc>
        <w:tc>
          <w:tcPr>
            <w:tcW w:w="1420" w:type="pct"/>
          </w:tcPr>
          <w:p w14:paraId="67243C0D"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Recreation and tourism</w:t>
            </w:r>
          </w:p>
        </w:tc>
        <w:tc>
          <w:tcPr>
            <w:tcW w:w="814" w:type="pct"/>
          </w:tcPr>
          <w:p w14:paraId="74209F27" w14:textId="77777777" w:rsidR="00B21991" w:rsidRPr="00FB15DB" w:rsidRDefault="00B21991" w:rsidP="002957E3">
            <w:pPr>
              <w:pStyle w:val="TableTextLeft"/>
              <w:cnfStyle w:val="000000000000" w:firstRow="0" w:lastRow="0" w:firstColumn="0" w:lastColumn="0" w:oddVBand="0" w:evenVBand="0" w:oddHBand="0" w:evenHBand="0" w:firstRowFirstColumn="0" w:firstRowLastColumn="0" w:lastRowFirstColumn="0" w:lastRowLastColumn="0"/>
            </w:pPr>
            <w:r w:rsidRPr="00FB15DB">
              <w:t>No./Condition</w:t>
            </w:r>
          </w:p>
        </w:tc>
      </w:tr>
    </w:tbl>
    <w:p w14:paraId="32F20800" w14:textId="77777777" w:rsidR="00B21991" w:rsidRPr="00FB15DB" w:rsidRDefault="00B21991" w:rsidP="00DA5604">
      <w:pPr>
        <w:pStyle w:val="Heading2"/>
      </w:pPr>
      <w:bookmarkStart w:id="157" w:name="_Toc98854659"/>
      <w:bookmarkStart w:id="158" w:name="_Toc163547033"/>
      <w:r w:rsidRPr="00FB15DB">
        <w:t>Flow assessment</w:t>
      </w:r>
      <w:bookmarkEnd w:id="157"/>
      <w:bookmarkEnd w:id="158"/>
    </w:p>
    <w:p w14:paraId="0A29A884" w14:textId="77777777" w:rsidR="00B21991" w:rsidRPr="00FB15DB" w:rsidRDefault="00B21991" w:rsidP="00B21991">
      <w:pPr>
        <w:pStyle w:val="BodyText"/>
      </w:pPr>
      <w:r w:rsidRPr="00FB15DB">
        <w:t xml:space="preserve">The SEEA-EEA flow accounts focus on measuring and reporting on the contribution of the environment to the economy and society via ecosystem services. Ecosystem services are (a) quantified in physical terms, and (b) valued in monetary terms for environmental-economic accounts. </w:t>
      </w:r>
    </w:p>
    <w:p w14:paraId="7B32927C" w14:textId="77777777" w:rsidR="00B21991" w:rsidRPr="00FB15DB" w:rsidRDefault="00B21991" w:rsidP="00B21991">
      <w:pPr>
        <w:pStyle w:val="BodyText"/>
      </w:pPr>
      <w:r w:rsidRPr="00FB15DB">
        <w:t>The metrics used to estimate the physical flows of ecosystem services in the reviewed assessments depend on the type of service as set out in Table 3 which shows:</w:t>
      </w:r>
    </w:p>
    <w:p w14:paraId="5E2AAAA3" w14:textId="77777777" w:rsidR="00B21991" w:rsidRPr="00FB15DB" w:rsidRDefault="00B21991" w:rsidP="00B21991">
      <w:pPr>
        <w:pStyle w:val="ListBullet"/>
      </w:pPr>
      <w:r w:rsidRPr="00FB15DB">
        <w:t>Provisioning services are measured through physical output such as kilograms of food.</w:t>
      </w:r>
    </w:p>
    <w:p w14:paraId="25E11857" w14:textId="77777777" w:rsidR="00B21991" w:rsidRPr="00FB15DB" w:rsidRDefault="00B21991" w:rsidP="00B21991">
      <w:pPr>
        <w:pStyle w:val="ListBullet"/>
      </w:pPr>
      <w:r w:rsidRPr="00FB15DB">
        <w:t xml:space="preserve">Regulating services are measured through reductions in environmental harm such as global climate change (measured through carbon capture and storage) and pollution of clean water (waste assimilation - removal of nutrient excess). </w:t>
      </w:r>
    </w:p>
    <w:p w14:paraId="476F9560" w14:textId="77777777" w:rsidR="00B21991" w:rsidRPr="00FB15DB" w:rsidRDefault="00B21991" w:rsidP="00B21991">
      <w:pPr>
        <w:pStyle w:val="ListBullet"/>
      </w:pPr>
      <w:r w:rsidRPr="00FB15DB">
        <w:t>Cultural services are measured through number of interactions such as recreational visit numbers.</w:t>
      </w:r>
    </w:p>
    <w:p w14:paraId="1EC26090" w14:textId="77777777" w:rsidR="00B21991" w:rsidRPr="00FB15DB" w:rsidRDefault="00B21991" w:rsidP="00B21991">
      <w:pPr>
        <w:pStyle w:val="BodyText12ptBefore"/>
      </w:pPr>
      <w:r w:rsidRPr="00FB15DB">
        <w:t>Further detail on the approaches taken to quantify the physical provision of ecosystem services in the literature are provided in Annex 9.</w:t>
      </w:r>
    </w:p>
    <w:p w14:paraId="21FF423D" w14:textId="77777777" w:rsidR="00B21991" w:rsidRPr="00FB15DB" w:rsidRDefault="00B21991" w:rsidP="008923E6">
      <w:pPr>
        <w:pStyle w:val="Caption"/>
      </w:pPr>
      <w:r w:rsidRPr="00FB15DB">
        <w:t>Table 3. Example metrics for physical provision of ecosystem services</w:t>
      </w:r>
    </w:p>
    <w:tbl>
      <w:tblPr>
        <w:tblStyle w:val="TableGrid"/>
        <w:tblW w:w="5000" w:type="pct"/>
        <w:tblLook w:val="04A0" w:firstRow="1" w:lastRow="0" w:firstColumn="1" w:lastColumn="0" w:noHBand="0" w:noVBand="1"/>
      </w:tblPr>
      <w:tblGrid>
        <w:gridCol w:w="1316"/>
        <w:gridCol w:w="2373"/>
        <w:gridCol w:w="3959"/>
        <w:gridCol w:w="1990"/>
      </w:tblGrid>
      <w:tr w:rsidR="00DA5604" w:rsidRPr="00FB15DB" w14:paraId="621A64FC" w14:textId="77777777" w:rsidTr="0060022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88" w:type="pct"/>
            <w:gridSpan w:val="2"/>
          </w:tcPr>
          <w:p w14:paraId="1858EFE2" w14:textId="77777777" w:rsidR="00B21991" w:rsidRPr="00FB15DB" w:rsidRDefault="00B21991" w:rsidP="00DA5604">
            <w:pPr>
              <w:pStyle w:val="TableHeadingLeft"/>
              <w:rPr>
                <w:i/>
              </w:rPr>
            </w:pPr>
            <w:r w:rsidRPr="00FB15DB">
              <w:t>Ecosystem service</w:t>
            </w:r>
          </w:p>
        </w:tc>
        <w:tc>
          <w:tcPr>
            <w:tcW w:w="2067" w:type="pct"/>
          </w:tcPr>
          <w:p w14:paraId="26F76A20" w14:textId="77777777" w:rsidR="00B21991" w:rsidRPr="00FB15DB" w:rsidRDefault="00B21991" w:rsidP="00DA5604">
            <w:pPr>
              <w:pStyle w:val="TableHeadingLeft"/>
              <w:cnfStyle w:val="100000000000" w:firstRow="1" w:lastRow="0" w:firstColumn="0" w:lastColumn="0" w:oddVBand="0" w:evenVBand="0" w:oddHBand="0" w:evenHBand="0" w:firstRowFirstColumn="0" w:firstRowLastColumn="0" w:lastRowFirstColumn="0" w:lastRowLastColumn="0"/>
            </w:pPr>
            <w:r w:rsidRPr="00FB15DB">
              <w:t>Measurement</w:t>
            </w:r>
          </w:p>
        </w:tc>
        <w:tc>
          <w:tcPr>
            <w:tcW w:w="1045" w:type="pct"/>
          </w:tcPr>
          <w:p w14:paraId="7CAF09DD" w14:textId="77777777" w:rsidR="00B21991" w:rsidRPr="00FB15DB" w:rsidRDefault="00B21991" w:rsidP="00DA5604">
            <w:pPr>
              <w:pStyle w:val="TableHeadingLeft"/>
              <w:cnfStyle w:val="100000000000" w:firstRow="1" w:lastRow="0" w:firstColumn="0" w:lastColumn="0" w:oddVBand="0" w:evenVBand="0" w:oddHBand="0" w:evenHBand="0" w:firstRowFirstColumn="0" w:firstRowLastColumn="0" w:lastRowFirstColumn="0" w:lastRowLastColumn="0"/>
            </w:pPr>
            <w:r w:rsidRPr="00FB15DB">
              <w:t>Metric (per year)</w:t>
            </w:r>
          </w:p>
        </w:tc>
      </w:tr>
      <w:tr w:rsidR="00DA5604" w:rsidRPr="00FB15DB" w14:paraId="269C2C47" w14:textId="77777777" w:rsidTr="00DA5604">
        <w:tc>
          <w:tcPr>
            <w:cnfStyle w:val="001000000000" w:firstRow="0" w:lastRow="0" w:firstColumn="1" w:lastColumn="0" w:oddVBand="0" w:evenVBand="0" w:oddHBand="0" w:evenHBand="0" w:firstRowFirstColumn="0" w:firstRowLastColumn="0" w:lastRowFirstColumn="0" w:lastRowLastColumn="0"/>
            <w:tcW w:w="644" w:type="pct"/>
            <w:vMerge w:val="restart"/>
          </w:tcPr>
          <w:p w14:paraId="29A10192" w14:textId="77777777" w:rsidR="00B21991" w:rsidRPr="00FB15DB" w:rsidRDefault="00B21991" w:rsidP="00DA5604">
            <w:pPr>
              <w:pStyle w:val="TableTextLeft"/>
            </w:pPr>
            <w:r w:rsidRPr="00FB15DB">
              <w:t>Provisioning</w:t>
            </w:r>
          </w:p>
        </w:tc>
        <w:tc>
          <w:tcPr>
            <w:tcW w:w="1244" w:type="pct"/>
          </w:tcPr>
          <w:p w14:paraId="20C618B4"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 xml:space="preserve">Biomass - Food </w:t>
            </w:r>
          </w:p>
        </w:tc>
        <w:tc>
          <w:tcPr>
            <w:tcW w:w="2067" w:type="pct"/>
          </w:tcPr>
          <w:p w14:paraId="6AAE82FC"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 xml:space="preserve">Physical output </w:t>
            </w:r>
          </w:p>
          <w:p w14:paraId="43E3F655"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Recruitment enhancement</w:t>
            </w:r>
          </w:p>
        </w:tc>
        <w:tc>
          <w:tcPr>
            <w:tcW w:w="1045" w:type="pct"/>
          </w:tcPr>
          <w:p w14:paraId="1B6DED3A"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Kilogram</w:t>
            </w:r>
          </w:p>
          <w:p w14:paraId="63329572"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rPr>
                <w:vertAlign w:val="superscript"/>
              </w:rPr>
            </w:pPr>
            <w:r w:rsidRPr="00FB15DB">
              <w:t>g/m</w:t>
            </w:r>
            <w:r w:rsidRPr="00FB15DB">
              <w:rPr>
                <w:vertAlign w:val="superscript"/>
              </w:rPr>
              <w:t>2</w:t>
            </w:r>
          </w:p>
        </w:tc>
      </w:tr>
      <w:tr w:rsidR="00DA5604" w:rsidRPr="00FB15DB" w14:paraId="0A5A7C31" w14:textId="77777777" w:rsidTr="00DA5604">
        <w:tc>
          <w:tcPr>
            <w:cnfStyle w:val="001000000000" w:firstRow="0" w:lastRow="0" w:firstColumn="1" w:lastColumn="0" w:oddVBand="0" w:evenVBand="0" w:oddHBand="0" w:evenHBand="0" w:firstRowFirstColumn="0" w:firstRowLastColumn="0" w:lastRowFirstColumn="0" w:lastRowLastColumn="0"/>
            <w:tcW w:w="644" w:type="pct"/>
            <w:vMerge/>
          </w:tcPr>
          <w:p w14:paraId="505B6EEB" w14:textId="77777777" w:rsidR="00B21991" w:rsidRPr="00FB15DB" w:rsidRDefault="00B21991" w:rsidP="00DA5604">
            <w:pPr>
              <w:pStyle w:val="TableTextLeft"/>
            </w:pPr>
          </w:p>
        </w:tc>
        <w:tc>
          <w:tcPr>
            <w:tcW w:w="1244" w:type="pct"/>
          </w:tcPr>
          <w:p w14:paraId="5EBB0004"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Biomass - Timber</w:t>
            </w:r>
          </w:p>
        </w:tc>
        <w:tc>
          <w:tcPr>
            <w:tcW w:w="2067" w:type="pct"/>
          </w:tcPr>
          <w:p w14:paraId="46FC80B4"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Timber harvest</w:t>
            </w:r>
          </w:p>
        </w:tc>
        <w:tc>
          <w:tcPr>
            <w:tcW w:w="1045" w:type="pct"/>
          </w:tcPr>
          <w:p w14:paraId="5FE25EC4"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Tonnes</w:t>
            </w:r>
          </w:p>
        </w:tc>
      </w:tr>
      <w:tr w:rsidR="00DA5604" w:rsidRPr="00FB15DB" w14:paraId="38AFB0CC" w14:textId="77777777" w:rsidTr="00DA5604">
        <w:tc>
          <w:tcPr>
            <w:cnfStyle w:val="001000000000" w:firstRow="0" w:lastRow="0" w:firstColumn="1" w:lastColumn="0" w:oddVBand="0" w:evenVBand="0" w:oddHBand="0" w:evenHBand="0" w:firstRowFirstColumn="0" w:firstRowLastColumn="0" w:lastRowFirstColumn="0" w:lastRowLastColumn="0"/>
            <w:tcW w:w="644" w:type="pct"/>
            <w:vMerge/>
          </w:tcPr>
          <w:p w14:paraId="4C5B285C" w14:textId="77777777" w:rsidR="00B21991" w:rsidRPr="00FB15DB" w:rsidRDefault="00B21991" w:rsidP="00DA5604">
            <w:pPr>
              <w:pStyle w:val="TableTextLeft"/>
            </w:pPr>
          </w:p>
        </w:tc>
        <w:tc>
          <w:tcPr>
            <w:tcW w:w="1244" w:type="pct"/>
          </w:tcPr>
          <w:p w14:paraId="602832FA"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Biomass - Energy</w:t>
            </w:r>
          </w:p>
        </w:tc>
        <w:tc>
          <w:tcPr>
            <w:tcW w:w="2067" w:type="pct"/>
          </w:tcPr>
          <w:p w14:paraId="01388DB2"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Wood fuel harvested</w:t>
            </w:r>
          </w:p>
        </w:tc>
        <w:tc>
          <w:tcPr>
            <w:tcW w:w="1045" w:type="pct"/>
          </w:tcPr>
          <w:p w14:paraId="71A09637"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Tonnes</w:t>
            </w:r>
          </w:p>
        </w:tc>
      </w:tr>
      <w:tr w:rsidR="00DA5604" w:rsidRPr="00FB15DB" w14:paraId="43DF3CCD" w14:textId="77777777" w:rsidTr="00DA5604">
        <w:tc>
          <w:tcPr>
            <w:cnfStyle w:val="001000000000" w:firstRow="0" w:lastRow="0" w:firstColumn="1" w:lastColumn="0" w:oddVBand="0" w:evenVBand="0" w:oddHBand="0" w:evenHBand="0" w:firstRowFirstColumn="0" w:firstRowLastColumn="0" w:lastRowFirstColumn="0" w:lastRowLastColumn="0"/>
            <w:tcW w:w="644" w:type="pct"/>
            <w:vMerge/>
          </w:tcPr>
          <w:p w14:paraId="471E4804" w14:textId="77777777" w:rsidR="00B21991" w:rsidRPr="00FB15DB" w:rsidRDefault="00B21991" w:rsidP="00DA5604">
            <w:pPr>
              <w:pStyle w:val="TableTextLeft"/>
            </w:pPr>
          </w:p>
        </w:tc>
        <w:tc>
          <w:tcPr>
            <w:tcW w:w="1244" w:type="pct"/>
          </w:tcPr>
          <w:p w14:paraId="6FBDAD59"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Water provision</w:t>
            </w:r>
          </w:p>
        </w:tc>
        <w:tc>
          <w:tcPr>
            <w:tcW w:w="2067" w:type="pct"/>
          </w:tcPr>
          <w:p w14:paraId="5AB01EC0"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 xml:space="preserve">Water runoff </w:t>
            </w:r>
            <w:r w:rsidRPr="00FB15DB">
              <w:rPr>
                <w:vertAlign w:val="superscript"/>
              </w:rPr>
              <w:footnoteReference w:id="8"/>
            </w:r>
          </w:p>
        </w:tc>
        <w:tc>
          <w:tcPr>
            <w:tcW w:w="1045" w:type="pct"/>
          </w:tcPr>
          <w:p w14:paraId="3198897D"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proofErr w:type="spellStart"/>
            <w:r w:rsidRPr="00FB15DB">
              <w:t>Ml</w:t>
            </w:r>
            <w:proofErr w:type="spellEnd"/>
          </w:p>
        </w:tc>
      </w:tr>
      <w:tr w:rsidR="00DA5604" w:rsidRPr="00FB15DB" w14:paraId="2BECCC2D" w14:textId="77777777" w:rsidTr="00DA5604">
        <w:tc>
          <w:tcPr>
            <w:cnfStyle w:val="001000000000" w:firstRow="0" w:lastRow="0" w:firstColumn="1" w:lastColumn="0" w:oddVBand="0" w:evenVBand="0" w:oddHBand="0" w:evenHBand="0" w:firstRowFirstColumn="0" w:firstRowLastColumn="0" w:lastRowFirstColumn="0" w:lastRowLastColumn="0"/>
            <w:tcW w:w="644" w:type="pct"/>
            <w:vMerge w:val="restart"/>
          </w:tcPr>
          <w:p w14:paraId="662C6DBF" w14:textId="77777777" w:rsidR="00B21991" w:rsidRPr="00FB15DB" w:rsidRDefault="00B21991" w:rsidP="00DA5604">
            <w:pPr>
              <w:pStyle w:val="TableTextLeft"/>
            </w:pPr>
            <w:r w:rsidRPr="00FB15DB">
              <w:t>Regulating</w:t>
            </w:r>
          </w:p>
        </w:tc>
        <w:tc>
          <w:tcPr>
            <w:tcW w:w="1244" w:type="pct"/>
          </w:tcPr>
          <w:p w14:paraId="517B1A18"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Air quality regulation</w:t>
            </w:r>
          </w:p>
        </w:tc>
        <w:tc>
          <w:tcPr>
            <w:tcW w:w="2067" w:type="pct"/>
          </w:tcPr>
          <w:p w14:paraId="7AA4DF29"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Pollutant reduction</w:t>
            </w:r>
          </w:p>
        </w:tc>
        <w:tc>
          <w:tcPr>
            <w:tcW w:w="1045" w:type="pct"/>
          </w:tcPr>
          <w:p w14:paraId="22121CEF"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Tonnes or μ</w:t>
            </w:r>
            <w:r w:rsidRPr="00FB15DB">
              <w:rPr>
                <w:vertAlign w:val="superscript"/>
              </w:rPr>
              <w:t>3</w:t>
            </w:r>
          </w:p>
        </w:tc>
      </w:tr>
      <w:tr w:rsidR="00DA5604" w:rsidRPr="00FB15DB" w14:paraId="6EE2F17C" w14:textId="77777777" w:rsidTr="00DA5604">
        <w:tc>
          <w:tcPr>
            <w:cnfStyle w:val="001000000000" w:firstRow="0" w:lastRow="0" w:firstColumn="1" w:lastColumn="0" w:oddVBand="0" w:evenVBand="0" w:oddHBand="0" w:evenHBand="0" w:firstRowFirstColumn="0" w:firstRowLastColumn="0" w:lastRowFirstColumn="0" w:lastRowLastColumn="0"/>
            <w:tcW w:w="644" w:type="pct"/>
            <w:vMerge/>
          </w:tcPr>
          <w:p w14:paraId="36619B89" w14:textId="77777777" w:rsidR="00B21991" w:rsidRPr="00FB15DB" w:rsidRDefault="00B21991" w:rsidP="00DA5604">
            <w:pPr>
              <w:pStyle w:val="TableTextLeft"/>
            </w:pPr>
          </w:p>
        </w:tc>
        <w:tc>
          <w:tcPr>
            <w:tcW w:w="1244" w:type="pct"/>
          </w:tcPr>
          <w:p w14:paraId="5998B1A8"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 xml:space="preserve">Water quality regulation </w:t>
            </w:r>
          </w:p>
        </w:tc>
        <w:tc>
          <w:tcPr>
            <w:tcW w:w="2067" w:type="pct"/>
          </w:tcPr>
          <w:p w14:paraId="51E46088"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 xml:space="preserve">Wastewater discharge (Pollution assimilation)  </w:t>
            </w:r>
          </w:p>
        </w:tc>
        <w:tc>
          <w:tcPr>
            <w:tcW w:w="1045" w:type="pct"/>
          </w:tcPr>
          <w:p w14:paraId="41582DD4"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Kilogram pollutant / m</w:t>
            </w:r>
            <w:r w:rsidRPr="00FB15DB">
              <w:rPr>
                <w:vertAlign w:val="superscript"/>
              </w:rPr>
              <w:t>3</w:t>
            </w:r>
          </w:p>
        </w:tc>
      </w:tr>
      <w:tr w:rsidR="00DA5604" w:rsidRPr="00FB15DB" w14:paraId="3EB257E8" w14:textId="77777777" w:rsidTr="00DA5604">
        <w:tc>
          <w:tcPr>
            <w:cnfStyle w:val="001000000000" w:firstRow="0" w:lastRow="0" w:firstColumn="1" w:lastColumn="0" w:oddVBand="0" w:evenVBand="0" w:oddHBand="0" w:evenHBand="0" w:firstRowFirstColumn="0" w:firstRowLastColumn="0" w:lastRowFirstColumn="0" w:lastRowLastColumn="0"/>
            <w:tcW w:w="644" w:type="pct"/>
            <w:vMerge/>
          </w:tcPr>
          <w:p w14:paraId="1357093A" w14:textId="77777777" w:rsidR="00B21991" w:rsidRPr="00FB15DB" w:rsidRDefault="00B21991" w:rsidP="00DA5604">
            <w:pPr>
              <w:pStyle w:val="TableTextLeft"/>
            </w:pPr>
          </w:p>
        </w:tc>
        <w:tc>
          <w:tcPr>
            <w:tcW w:w="1244" w:type="pct"/>
          </w:tcPr>
          <w:p w14:paraId="0D09AE32"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Flood risk regulation</w:t>
            </w:r>
          </w:p>
        </w:tc>
        <w:tc>
          <w:tcPr>
            <w:tcW w:w="2067" w:type="pct"/>
          </w:tcPr>
          <w:p w14:paraId="476C6983"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Range of 100-year peak flows</w:t>
            </w:r>
          </w:p>
        </w:tc>
        <w:tc>
          <w:tcPr>
            <w:tcW w:w="1045" w:type="pct"/>
          </w:tcPr>
          <w:p w14:paraId="2518AD05"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m</w:t>
            </w:r>
            <w:r w:rsidRPr="00FB15DB">
              <w:rPr>
                <w:vertAlign w:val="superscript"/>
              </w:rPr>
              <w:t xml:space="preserve">3 </w:t>
            </w:r>
            <w:r w:rsidRPr="00FB15DB">
              <w:t>/ s</w:t>
            </w:r>
          </w:p>
        </w:tc>
      </w:tr>
      <w:tr w:rsidR="00DA5604" w:rsidRPr="00FB15DB" w14:paraId="14582CF1" w14:textId="77777777" w:rsidTr="00DA5604">
        <w:tc>
          <w:tcPr>
            <w:cnfStyle w:val="001000000000" w:firstRow="0" w:lastRow="0" w:firstColumn="1" w:lastColumn="0" w:oddVBand="0" w:evenVBand="0" w:oddHBand="0" w:evenHBand="0" w:firstRowFirstColumn="0" w:firstRowLastColumn="0" w:lastRowFirstColumn="0" w:lastRowLastColumn="0"/>
            <w:tcW w:w="644" w:type="pct"/>
            <w:vMerge/>
          </w:tcPr>
          <w:p w14:paraId="5AE336DF" w14:textId="77777777" w:rsidR="00B21991" w:rsidRPr="00FB15DB" w:rsidRDefault="00B21991" w:rsidP="00DA5604">
            <w:pPr>
              <w:pStyle w:val="TableTextLeft"/>
            </w:pPr>
          </w:p>
        </w:tc>
        <w:tc>
          <w:tcPr>
            <w:tcW w:w="1244" w:type="pct"/>
          </w:tcPr>
          <w:p w14:paraId="59BCEFD0"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Landslide regulation</w:t>
            </w:r>
          </w:p>
        </w:tc>
        <w:tc>
          <w:tcPr>
            <w:tcW w:w="2067" w:type="pct"/>
          </w:tcPr>
          <w:p w14:paraId="4048E07E"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Quantity soil loss</w:t>
            </w:r>
          </w:p>
        </w:tc>
        <w:tc>
          <w:tcPr>
            <w:tcW w:w="1045" w:type="pct"/>
          </w:tcPr>
          <w:p w14:paraId="46D92B1F"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Tonnes</w:t>
            </w:r>
          </w:p>
        </w:tc>
      </w:tr>
      <w:tr w:rsidR="00DA5604" w:rsidRPr="00FB15DB" w14:paraId="77CEAA8C" w14:textId="77777777" w:rsidTr="00DA5604">
        <w:tc>
          <w:tcPr>
            <w:cnfStyle w:val="001000000000" w:firstRow="0" w:lastRow="0" w:firstColumn="1" w:lastColumn="0" w:oddVBand="0" w:evenVBand="0" w:oddHBand="0" w:evenHBand="0" w:firstRowFirstColumn="0" w:firstRowLastColumn="0" w:lastRowFirstColumn="0" w:lastRowLastColumn="0"/>
            <w:tcW w:w="644" w:type="pct"/>
            <w:vMerge/>
          </w:tcPr>
          <w:p w14:paraId="15C0C383" w14:textId="77777777" w:rsidR="00B21991" w:rsidRPr="00FB15DB" w:rsidRDefault="00B21991" w:rsidP="00DA5604">
            <w:pPr>
              <w:pStyle w:val="TableTextLeft"/>
            </w:pPr>
          </w:p>
        </w:tc>
        <w:tc>
          <w:tcPr>
            <w:tcW w:w="1244" w:type="pct"/>
          </w:tcPr>
          <w:p w14:paraId="1F1947A4"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Coastal protection</w:t>
            </w:r>
          </w:p>
        </w:tc>
        <w:tc>
          <w:tcPr>
            <w:tcW w:w="2067" w:type="pct"/>
          </w:tcPr>
          <w:p w14:paraId="27DE2A42"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Length of coastal mangrove/saltmarsh/wetland</w:t>
            </w:r>
          </w:p>
        </w:tc>
        <w:tc>
          <w:tcPr>
            <w:tcW w:w="1045" w:type="pct"/>
          </w:tcPr>
          <w:p w14:paraId="1107EAFD"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Kilometre</w:t>
            </w:r>
          </w:p>
        </w:tc>
      </w:tr>
      <w:tr w:rsidR="00DA5604" w:rsidRPr="00FB15DB" w14:paraId="23D338AA" w14:textId="77777777" w:rsidTr="00DA5604">
        <w:tc>
          <w:tcPr>
            <w:cnfStyle w:val="001000000000" w:firstRow="0" w:lastRow="0" w:firstColumn="1" w:lastColumn="0" w:oddVBand="0" w:evenVBand="0" w:oddHBand="0" w:evenHBand="0" w:firstRowFirstColumn="0" w:firstRowLastColumn="0" w:lastRowFirstColumn="0" w:lastRowLastColumn="0"/>
            <w:tcW w:w="644" w:type="pct"/>
            <w:vMerge/>
          </w:tcPr>
          <w:p w14:paraId="4E71B75E" w14:textId="77777777" w:rsidR="00B21991" w:rsidRPr="00FB15DB" w:rsidRDefault="00B21991" w:rsidP="00DA5604">
            <w:pPr>
              <w:pStyle w:val="TableTextLeft"/>
            </w:pPr>
          </w:p>
        </w:tc>
        <w:tc>
          <w:tcPr>
            <w:tcW w:w="1244" w:type="pct"/>
          </w:tcPr>
          <w:p w14:paraId="7B946A62"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Global climate regulation</w:t>
            </w:r>
          </w:p>
        </w:tc>
        <w:tc>
          <w:tcPr>
            <w:tcW w:w="2067" w:type="pct"/>
          </w:tcPr>
          <w:p w14:paraId="07C23E9F"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 xml:space="preserve">Carbon sequestration and storage </w:t>
            </w:r>
          </w:p>
        </w:tc>
        <w:tc>
          <w:tcPr>
            <w:tcW w:w="1045" w:type="pct"/>
          </w:tcPr>
          <w:p w14:paraId="41E9078B"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tCO</w:t>
            </w:r>
            <w:r w:rsidRPr="00FB15DB">
              <w:rPr>
                <w:vertAlign w:val="subscript"/>
              </w:rPr>
              <w:t>2</w:t>
            </w:r>
            <w:r w:rsidRPr="00FB15DB">
              <w:t xml:space="preserve">e </w:t>
            </w:r>
          </w:p>
        </w:tc>
      </w:tr>
      <w:tr w:rsidR="00DA5604" w:rsidRPr="00FB15DB" w14:paraId="68E1B755" w14:textId="77777777" w:rsidTr="00DA5604">
        <w:tc>
          <w:tcPr>
            <w:cnfStyle w:val="001000000000" w:firstRow="0" w:lastRow="0" w:firstColumn="1" w:lastColumn="0" w:oddVBand="0" w:evenVBand="0" w:oddHBand="0" w:evenHBand="0" w:firstRowFirstColumn="0" w:firstRowLastColumn="0" w:lastRowFirstColumn="0" w:lastRowLastColumn="0"/>
            <w:tcW w:w="644" w:type="pct"/>
            <w:vMerge/>
          </w:tcPr>
          <w:p w14:paraId="79318B13" w14:textId="77777777" w:rsidR="00B21991" w:rsidRPr="00FB15DB" w:rsidRDefault="00B21991" w:rsidP="00DA5604">
            <w:pPr>
              <w:pStyle w:val="TableTextLeft"/>
            </w:pPr>
          </w:p>
        </w:tc>
        <w:tc>
          <w:tcPr>
            <w:tcW w:w="1244" w:type="pct"/>
          </w:tcPr>
          <w:p w14:paraId="7CB15661"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Local climate regulation</w:t>
            </w:r>
          </w:p>
        </w:tc>
        <w:tc>
          <w:tcPr>
            <w:tcW w:w="2067" w:type="pct"/>
          </w:tcPr>
          <w:p w14:paraId="3A4BB875"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 xml:space="preserve">Temperature differential </w:t>
            </w:r>
          </w:p>
        </w:tc>
        <w:tc>
          <w:tcPr>
            <w:tcW w:w="1045" w:type="pct"/>
          </w:tcPr>
          <w:p w14:paraId="05F025AB"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°C</w:t>
            </w:r>
          </w:p>
        </w:tc>
      </w:tr>
      <w:tr w:rsidR="00DA5604" w:rsidRPr="00FB15DB" w14:paraId="2D091036" w14:textId="77777777" w:rsidTr="00DA5604">
        <w:tc>
          <w:tcPr>
            <w:cnfStyle w:val="001000000000" w:firstRow="0" w:lastRow="0" w:firstColumn="1" w:lastColumn="0" w:oddVBand="0" w:evenVBand="0" w:oddHBand="0" w:evenHBand="0" w:firstRowFirstColumn="0" w:firstRowLastColumn="0" w:lastRowFirstColumn="0" w:lastRowLastColumn="0"/>
            <w:tcW w:w="644" w:type="pct"/>
            <w:vMerge/>
          </w:tcPr>
          <w:p w14:paraId="36432A25" w14:textId="77777777" w:rsidR="00B21991" w:rsidRPr="00FB15DB" w:rsidRDefault="00B21991" w:rsidP="00DA5604">
            <w:pPr>
              <w:pStyle w:val="TableTextLeft"/>
            </w:pPr>
          </w:p>
        </w:tc>
        <w:tc>
          <w:tcPr>
            <w:tcW w:w="1244" w:type="pct"/>
          </w:tcPr>
          <w:p w14:paraId="49B4A75B"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 xml:space="preserve">Noise regulation </w:t>
            </w:r>
          </w:p>
        </w:tc>
        <w:tc>
          <w:tcPr>
            <w:tcW w:w="2067" w:type="pct"/>
          </w:tcPr>
          <w:p w14:paraId="328526B3"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Decibel differential</w:t>
            </w:r>
          </w:p>
        </w:tc>
        <w:tc>
          <w:tcPr>
            <w:tcW w:w="1045" w:type="pct"/>
          </w:tcPr>
          <w:p w14:paraId="392A764C"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dBA</w:t>
            </w:r>
          </w:p>
        </w:tc>
      </w:tr>
      <w:tr w:rsidR="00DA5604" w:rsidRPr="00FB15DB" w14:paraId="2E319E81" w14:textId="77777777" w:rsidTr="00DA5604">
        <w:tc>
          <w:tcPr>
            <w:cnfStyle w:val="001000000000" w:firstRow="0" w:lastRow="0" w:firstColumn="1" w:lastColumn="0" w:oddVBand="0" w:evenVBand="0" w:oddHBand="0" w:evenHBand="0" w:firstRowFirstColumn="0" w:firstRowLastColumn="0" w:lastRowFirstColumn="0" w:lastRowLastColumn="0"/>
            <w:tcW w:w="644" w:type="pct"/>
            <w:vMerge w:val="restart"/>
          </w:tcPr>
          <w:p w14:paraId="4FBFAFD9" w14:textId="77777777" w:rsidR="00B21991" w:rsidRPr="00FB15DB" w:rsidRDefault="00B21991" w:rsidP="00DA5604">
            <w:pPr>
              <w:pStyle w:val="TableTextLeft"/>
            </w:pPr>
            <w:r w:rsidRPr="00FB15DB">
              <w:t>Cultural</w:t>
            </w:r>
          </w:p>
        </w:tc>
        <w:tc>
          <w:tcPr>
            <w:tcW w:w="1244" w:type="pct"/>
          </w:tcPr>
          <w:p w14:paraId="07C9F592"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Recreation</w:t>
            </w:r>
          </w:p>
        </w:tc>
        <w:tc>
          <w:tcPr>
            <w:tcW w:w="2067" w:type="pct"/>
          </w:tcPr>
          <w:p w14:paraId="69DE9E6E"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No. of interactions</w:t>
            </w:r>
          </w:p>
        </w:tc>
        <w:tc>
          <w:tcPr>
            <w:tcW w:w="1045" w:type="pct"/>
          </w:tcPr>
          <w:p w14:paraId="1C70CB3D"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Number</w:t>
            </w:r>
          </w:p>
        </w:tc>
      </w:tr>
      <w:tr w:rsidR="00DA5604" w:rsidRPr="00FB15DB" w14:paraId="039F8F16" w14:textId="77777777" w:rsidTr="00DA5604">
        <w:tc>
          <w:tcPr>
            <w:cnfStyle w:val="001000000000" w:firstRow="0" w:lastRow="0" w:firstColumn="1" w:lastColumn="0" w:oddVBand="0" w:evenVBand="0" w:oddHBand="0" w:evenHBand="0" w:firstRowFirstColumn="0" w:firstRowLastColumn="0" w:lastRowFirstColumn="0" w:lastRowLastColumn="0"/>
            <w:tcW w:w="644" w:type="pct"/>
            <w:vMerge/>
          </w:tcPr>
          <w:p w14:paraId="409A8F4F" w14:textId="77777777" w:rsidR="00B21991" w:rsidRPr="00FB15DB" w:rsidRDefault="00B21991" w:rsidP="00DA5604">
            <w:pPr>
              <w:pStyle w:val="TableTextLeft"/>
            </w:pPr>
          </w:p>
        </w:tc>
        <w:tc>
          <w:tcPr>
            <w:tcW w:w="1244" w:type="pct"/>
          </w:tcPr>
          <w:p w14:paraId="04789861"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Tourism</w:t>
            </w:r>
          </w:p>
        </w:tc>
        <w:tc>
          <w:tcPr>
            <w:tcW w:w="2067" w:type="pct"/>
          </w:tcPr>
          <w:p w14:paraId="217A6A14"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No. overnight stays</w:t>
            </w:r>
          </w:p>
        </w:tc>
        <w:tc>
          <w:tcPr>
            <w:tcW w:w="1045" w:type="pct"/>
          </w:tcPr>
          <w:p w14:paraId="70443484"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Number</w:t>
            </w:r>
          </w:p>
        </w:tc>
      </w:tr>
      <w:tr w:rsidR="00DA5604" w:rsidRPr="00FB15DB" w14:paraId="716F25B4" w14:textId="77777777" w:rsidTr="00DA5604">
        <w:tc>
          <w:tcPr>
            <w:cnfStyle w:val="001000000000" w:firstRow="0" w:lastRow="0" w:firstColumn="1" w:lastColumn="0" w:oddVBand="0" w:evenVBand="0" w:oddHBand="0" w:evenHBand="0" w:firstRowFirstColumn="0" w:firstRowLastColumn="0" w:lastRowFirstColumn="0" w:lastRowLastColumn="0"/>
            <w:tcW w:w="644" w:type="pct"/>
            <w:vMerge/>
          </w:tcPr>
          <w:p w14:paraId="1B40FE76" w14:textId="77777777" w:rsidR="00B21991" w:rsidRPr="00FB15DB" w:rsidRDefault="00B21991" w:rsidP="00DA5604">
            <w:pPr>
              <w:pStyle w:val="TableTextLeft"/>
            </w:pPr>
          </w:p>
        </w:tc>
        <w:tc>
          <w:tcPr>
            <w:tcW w:w="1244" w:type="pct"/>
          </w:tcPr>
          <w:p w14:paraId="276EA293"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Aesthetic</w:t>
            </w:r>
          </w:p>
        </w:tc>
        <w:tc>
          <w:tcPr>
            <w:tcW w:w="2067" w:type="pct"/>
          </w:tcPr>
          <w:p w14:paraId="5A5FB399"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No. photographs uploaded to internet</w:t>
            </w:r>
          </w:p>
        </w:tc>
        <w:tc>
          <w:tcPr>
            <w:tcW w:w="1045" w:type="pct"/>
          </w:tcPr>
          <w:p w14:paraId="2479D863"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 xml:space="preserve">Number </w:t>
            </w:r>
          </w:p>
        </w:tc>
      </w:tr>
      <w:tr w:rsidR="00DA5604" w:rsidRPr="00FB15DB" w14:paraId="7D0AD5A5" w14:textId="77777777" w:rsidTr="00DA5604">
        <w:tc>
          <w:tcPr>
            <w:cnfStyle w:val="001000000000" w:firstRow="0" w:lastRow="0" w:firstColumn="1" w:lastColumn="0" w:oddVBand="0" w:evenVBand="0" w:oddHBand="0" w:evenHBand="0" w:firstRowFirstColumn="0" w:firstRowLastColumn="0" w:lastRowFirstColumn="0" w:lastRowLastColumn="0"/>
            <w:tcW w:w="644" w:type="pct"/>
            <w:vMerge/>
          </w:tcPr>
          <w:p w14:paraId="50065F21" w14:textId="77777777" w:rsidR="00B21991" w:rsidRPr="00FB15DB" w:rsidRDefault="00B21991" w:rsidP="00DA5604">
            <w:pPr>
              <w:pStyle w:val="TableTextLeft"/>
            </w:pPr>
          </w:p>
        </w:tc>
        <w:tc>
          <w:tcPr>
            <w:tcW w:w="1244" w:type="pct"/>
          </w:tcPr>
          <w:p w14:paraId="1F7C4ED4"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Education and research</w:t>
            </w:r>
          </w:p>
        </w:tc>
        <w:tc>
          <w:tcPr>
            <w:tcW w:w="2067" w:type="pct"/>
          </w:tcPr>
          <w:p w14:paraId="7EE8ECAF"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Educational visits / research permits</w:t>
            </w:r>
          </w:p>
          <w:p w14:paraId="48CCF554"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Citizen Science</w:t>
            </w:r>
          </w:p>
        </w:tc>
        <w:tc>
          <w:tcPr>
            <w:tcW w:w="1045" w:type="pct"/>
          </w:tcPr>
          <w:p w14:paraId="79EC65D0"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Number</w:t>
            </w:r>
          </w:p>
        </w:tc>
      </w:tr>
      <w:tr w:rsidR="00DA5604" w:rsidRPr="00FB15DB" w14:paraId="111BC28D" w14:textId="77777777" w:rsidTr="00DA5604">
        <w:tc>
          <w:tcPr>
            <w:cnfStyle w:val="001000000000" w:firstRow="0" w:lastRow="0" w:firstColumn="1" w:lastColumn="0" w:oddVBand="0" w:evenVBand="0" w:oddHBand="0" w:evenHBand="0" w:firstRowFirstColumn="0" w:firstRowLastColumn="0" w:lastRowFirstColumn="0" w:lastRowLastColumn="0"/>
            <w:tcW w:w="644" w:type="pct"/>
            <w:vMerge/>
          </w:tcPr>
          <w:p w14:paraId="23B3092A" w14:textId="77777777" w:rsidR="00B21991" w:rsidRPr="00FB15DB" w:rsidRDefault="00B21991" w:rsidP="00DA5604">
            <w:pPr>
              <w:pStyle w:val="TableTextLeft"/>
            </w:pPr>
          </w:p>
        </w:tc>
        <w:tc>
          <w:tcPr>
            <w:tcW w:w="1244" w:type="pct"/>
          </w:tcPr>
          <w:p w14:paraId="26734B3A"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Traditional Owners living cultural heritage</w:t>
            </w:r>
          </w:p>
        </w:tc>
        <w:tc>
          <w:tcPr>
            <w:tcW w:w="2067" w:type="pct"/>
          </w:tcPr>
          <w:p w14:paraId="3019C80A"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No. of species of importance</w:t>
            </w:r>
          </w:p>
        </w:tc>
        <w:tc>
          <w:tcPr>
            <w:tcW w:w="1045" w:type="pct"/>
          </w:tcPr>
          <w:p w14:paraId="681BE48C"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Number</w:t>
            </w:r>
          </w:p>
        </w:tc>
      </w:tr>
      <w:tr w:rsidR="00DA5604" w:rsidRPr="00FB15DB" w14:paraId="0EE1953A" w14:textId="77777777" w:rsidTr="00DA5604">
        <w:tc>
          <w:tcPr>
            <w:cnfStyle w:val="001000000000" w:firstRow="0" w:lastRow="0" w:firstColumn="1" w:lastColumn="0" w:oddVBand="0" w:evenVBand="0" w:oddHBand="0" w:evenHBand="0" w:firstRowFirstColumn="0" w:firstRowLastColumn="0" w:lastRowFirstColumn="0" w:lastRowLastColumn="0"/>
            <w:tcW w:w="644" w:type="pct"/>
            <w:vMerge/>
          </w:tcPr>
          <w:p w14:paraId="71036014" w14:textId="77777777" w:rsidR="00B21991" w:rsidRPr="00FB15DB" w:rsidRDefault="00B21991" w:rsidP="00DA5604">
            <w:pPr>
              <w:pStyle w:val="TableTextLeft"/>
            </w:pPr>
          </w:p>
        </w:tc>
        <w:tc>
          <w:tcPr>
            <w:tcW w:w="1244" w:type="pct"/>
          </w:tcPr>
          <w:p w14:paraId="2989DCB3"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Historic and contemporary non-Indigenous cultural heritage</w:t>
            </w:r>
          </w:p>
        </w:tc>
        <w:tc>
          <w:tcPr>
            <w:tcW w:w="2067" w:type="pct"/>
          </w:tcPr>
          <w:p w14:paraId="28E47534"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 xml:space="preserve">Visits to sites of post-contact cultural significance </w:t>
            </w:r>
          </w:p>
        </w:tc>
        <w:tc>
          <w:tcPr>
            <w:tcW w:w="1045" w:type="pct"/>
          </w:tcPr>
          <w:p w14:paraId="5F710BE1"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Number</w:t>
            </w:r>
          </w:p>
        </w:tc>
      </w:tr>
      <w:tr w:rsidR="00DA5604" w:rsidRPr="00FB15DB" w14:paraId="19FE1C1D" w14:textId="77777777" w:rsidTr="00DA5604">
        <w:tc>
          <w:tcPr>
            <w:cnfStyle w:val="001000000000" w:firstRow="0" w:lastRow="0" w:firstColumn="1" w:lastColumn="0" w:oddVBand="0" w:evenVBand="0" w:oddHBand="0" w:evenHBand="0" w:firstRowFirstColumn="0" w:firstRowLastColumn="0" w:lastRowFirstColumn="0" w:lastRowLastColumn="0"/>
            <w:tcW w:w="644" w:type="pct"/>
            <w:vMerge/>
          </w:tcPr>
          <w:p w14:paraId="7F26876A" w14:textId="77777777" w:rsidR="00B21991" w:rsidRPr="00FB15DB" w:rsidRDefault="00B21991" w:rsidP="00DA5604">
            <w:pPr>
              <w:pStyle w:val="TableTextLeft"/>
            </w:pPr>
          </w:p>
        </w:tc>
        <w:tc>
          <w:tcPr>
            <w:tcW w:w="1244" w:type="pct"/>
          </w:tcPr>
          <w:p w14:paraId="0425FA4D"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Existence / Option value</w:t>
            </w:r>
          </w:p>
        </w:tc>
        <w:tc>
          <w:tcPr>
            <w:tcW w:w="2067" w:type="pct"/>
          </w:tcPr>
          <w:p w14:paraId="40001B23"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Designated sites / charismatic species (proxy)</w:t>
            </w:r>
          </w:p>
        </w:tc>
        <w:tc>
          <w:tcPr>
            <w:tcW w:w="1045" w:type="pct"/>
          </w:tcPr>
          <w:p w14:paraId="5F1DEC46"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Number</w:t>
            </w:r>
          </w:p>
        </w:tc>
      </w:tr>
      <w:tr w:rsidR="00DA5604" w:rsidRPr="00FB15DB" w14:paraId="00C34EEC" w14:textId="77777777" w:rsidTr="00DA5604">
        <w:tc>
          <w:tcPr>
            <w:cnfStyle w:val="001000000000" w:firstRow="0" w:lastRow="0" w:firstColumn="1" w:lastColumn="0" w:oddVBand="0" w:evenVBand="0" w:oddHBand="0" w:evenHBand="0" w:firstRowFirstColumn="0" w:firstRowLastColumn="0" w:lastRowFirstColumn="0" w:lastRowLastColumn="0"/>
            <w:tcW w:w="644" w:type="pct"/>
            <w:vMerge/>
          </w:tcPr>
          <w:p w14:paraId="4489407A" w14:textId="77777777" w:rsidR="00B21991" w:rsidRPr="00FB15DB" w:rsidRDefault="00B21991" w:rsidP="00DA5604">
            <w:pPr>
              <w:pStyle w:val="TableTextLeft"/>
            </w:pPr>
          </w:p>
        </w:tc>
        <w:tc>
          <w:tcPr>
            <w:tcW w:w="1244" w:type="pct"/>
          </w:tcPr>
          <w:p w14:paraId="607B6E25"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Social cohesion/community</w:t>
            </w:r>
          </w:p>
        </w:tc>
        <w:tc>
          <w:tcPr>
            <w:tcW w:w="2067" w:type="pct"/>
          </w:tcPr>
          <w:p w14:paraId="7A3D7BDF"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Volunteer time</w:t>
            </w:r>
          </w:p>
        </w:tc>
        <w:tc>
          <w:tcPr>
            <w:tcW w:w="1045" w:type="pct"/>
          </w:tcPr>
          <w:p w14:paraId="23C61293"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FTE</w:t>
            </w:r>
          </w:p>
        </w:tc>
      </w:tr>
      <w:tr w:rsidR="00DA5604" w:rsidRPr="00FB15DB" w14:paraId="38424431" w14:textId="77777777" w:rsidTr="00DA5604">
        <w:tc>
          <w:tcPr>
            <w:cnfStyle w:val="001000000000" w:firstRow="0" w:lastRow="0" w:firstColumn="1" w:lastColumn="0" w:oddVBand="0" w:evenVBand="0" w:oddHBand="0" w:evenHBand="0" w:firstRowFirstColumn="0" w:firstRowLastColumn="0" w:lastRowFirstColumn="0" w:lastRowLastColumn="0"/>
            <w:tcW w:w="644" w:type="pct"/>
          </w:tcPr>
          <w:p w14:paraId="5FB76C14" w14:textId="77777777" w:rsidR="00B21991" w:rsidRPr="00FB15DB" w:rsidRDefault="00B21991" w:rsidP="00DA5604">
            <w:pPr>
              <w:pStyle w:val="TableTextLeft"/>
            </w:pPr>
            <w:r w:rsidRPr="00FB15DB">
              <w:t>Bundle</w:t>
            </w:r>
          </w:p>
        </w:tc>
        <w:tc>
          <w:tcPr>
            <w:tcW w:w="1244" w:type="pct"/>
          </w:tcPr>
          <w:p w14:paraId="1ABA2BE3"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Amenity</w:t>
            </w:r>
          </w:p>
        </w:tc>
        <w:tc>
          <w:tcPr>
            <w:tcW w:w="2067" w:type="pct"/>
          </w:tcPr>
          <w:p w14:paraId="733262A0"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No. households in proximity to coast</w:t>
            </w:r>
          </w:p>
        </w:tc>
        <w:tc>
          <w:tcPr>
            <w:tcW w:w="1045" w:type="pct"/>
          </w:tcPr>
          <w:p w14:paraId="6EFE990C" w14:textId="77777777" w:rsidR="00B21991" w:rsidRPr="00FB15DB" w:rsidRDefault="00B21991" w:rsidP="00DA5604">
            <w:pPr>
              <w:pStyle w:val="TableTextLeft"/>
              <w:cnfStyle w:val="000000000000" w:firstRow="0" w:lastRow="0" w:firstColumn="0" w:lastColumn="0" w:oddVBand="0" w:evenVBand="0" w:oddHBand="0" w:evenHBand="0" w:firstRowFirstColumn="0" w:firstRowLastColumn="0" w:lastRowFirstColumn="0" w:lastRowLastColumn="0"/>
            </w:pPr>
            <w:r w:rsidRPr="00FB15DB">
              <w:t>Number</w:t>
            </w:r>
          </w:p>
        </w:tc>
      </w:tr>
      <w:tr w:rsidR="00DA5604" w:rsidRPr="00FB15DB" w14:paraId="3C606B5D" w14:textId="77777777" w:rsidTr="003936F7">
        <w:tc>
          <w:tcPr>
            <w:cnfStyle w:val="001000000000" w:firstRow="0" w:lastRow="0" w:firstColumn="1" w:lastColumn="0" w:oddVBand="0" w:evenVBand="0" w:oddHBand="0" w:evenHBand="0" w:firstRowFirstColumn="0" w:firstRowLastColumn="0" w:lastRowFirstColumn="0" w:lastRowLastColumn="0"/>
            <w:tcW w:w="644" w:type="pct"/>
            <w:vMerge w:val="restart"/>
            <w:shd w:val="clear" w:color="auto" w:fill="auto"/>
          </w:tcPr>
          <w:p w14:paraId="613ED5C1" w14:textId="77777777" w:rsidR="00B21991" w:rsidRPr="008923E6" w:rsidRDefault="00B21991" w:rsidP="00DA5604">
            <w:pPr>
              <w:pStyle w:val="TableTextLeft"/>
              <w:rPr>
                <w:i/>
                <w:iCs/>
              </w:rPr>
            </w:pPr>
            <w:r w:rsidRPr="008923E6">
              <w:rPr>
                <w:i/>
                <w:iCs/>
              </w:rPr>
              <w:t>Supporting</w:t>
            </w:r>
          </w:p>
        </w:tc>
        <w:tc>
          <w:tcPr>
            <w:tcW w:w="1244" w:type="pct"/>
            <w:shd w:val="clear" w:color="auto" w:fill="auto"/>
          </w:tcPr>
          <w:p w14:paraId="429B31AB" w14:textId="77777777" w:rsidR="00B21991" w:rsidRPr="008923E6" w:rsidRDefault="00B21991" w:rsidP="00DA5604">
            <w:pPr>
              <w:pStyle w:val="TableTextLeft"/>
              <w:cnfStyle w:val="000000000000" w:firstRow="0" w:lastRow="0" w:firstColumn="0" w:lastColumn="0" w:oddVBand="0" w:evenVBand="0" w:oddHBand="0" w:evenHBand="0" w:firstRowFirstColumn="0" w:firstRowLastColumn="0" w:lastRowFirstColumn="0" w:lastRowLastColumn="0"/>
              <w:rPr>
                <w:i/>
                <w:iCs/>
              </w:rPr>
            </w:pPr>
            <w:r w:rsidRPr="008923E6">
              <w:rPr>
                <w:i/>
                <w:iCs/>
              </w:rPr>
              <w:t>Habitat provision</w:t>
            </w:r>
          </w:p>
        </w:tc>
        <w:tc>
          <w:tcPr>
            <w:tcW w:w="2067" w:type="pct"/>
            <w:shd w:val="clear" w:color="auto" w:fill="auto"/>
          </w:tcPr>
          <w:p w14:paraId="56CD3DD1" w14:textId="77777777" w:rsidR="00B21991" w:rsidRPr="008923E6" w:rsidRDefault="00B21991" w:rsidP="00DA5604">
            <w:pPr>
              <w:pStyle w:val="TableTextLeft"/>
              <w:cnfStyle w:val="000000000000" w:firstRow="0" w:lastRow="0" w:firstColumn="0" w:lastColumn="0" w:oddVBand="0" w:evenVBand="0" w:oddHBand="0" w:evenHBand="0" w:firstRowFirstColumn="0" w:firstRowLastColumn="0" w:lastRowFirstColumn="0" w:lastRowLastColumn="0"/>
              <w:rPr>
                <w:i/>
                <w:iCs/>
              </w:rPr>
            </w:pPr>
            <w:r w:rsidRPr="008923E6">
              <w:rPr>
                <w:i/>
                <w:iCs/>
              </w:rPr>
              <w:t>Habitat suitability</w:t>
            </w:r>
          </w:p>
        </w:tc>
        <w:tc>
          <w:tcPr>
            <w:tcW w:w="1045" w:type="pct"/>
            <w:shd w:val="clear" w:color="auto" w:fill="auto"/>
          </w:tcPr>
          <w:p w14:paraId="1AC96CD2" w14:textId="77777777" w:rsidR="00B21991" w:rsidRPr="008923E6" w:rsidRDefault="00B21991" w:rsidP="00DA5604">
            <w:pPr>
              <w:pStyle w:val="TableTextLeft"/>
              <w:cnfStyle w:val="000000000000" w:firstRow="0" w:lastRow="0" w:firstColumn="0" w:lastColumn="0" w:oddVBand="0" w:evenVBand="0" w:oddHBand="0" w:evenHBand="0" w:firstRowFirstColumn="0" w:firstRowLastColumn="0" w:lastRowFirstColumn="0" w:lastRowLastColumn="0"/>
              <w:rPr>
                <w:i/>
                <w:iCs/>
              </w:rPr>
            </w:pPr>
            <w:r w:rsidRPr="008923E6">
              <w:rPr>
                <w:i/>
                <w:iCs/>
              </w:rPr>
              <w:t>Score</w:t>
            </w:r>
          </w:p>
        </w:tc>
      </w:tr>
      <w:tr w:rsidR="00DA5604" w:rsidRPr="00FB15DB" w14:paraId="6D3480F7" w14:textId="77777777" w:rsidTr="003936F7">
        <w:tc>
          <w:tcPr>
            <w:cnfStyle w:val="001000000000" w:firstRow="0" w:lastRow="0" w:firstColumn="1" w:lastColumn="0" w:oddVBand="0" w:evenVBand="0" w:oddHBand="0" w:evenHBand="0" w:firstRowFirstColumn="0" w:firstRowLastColumn="0" w:lastRowFirstColumn="0" w:lastRowLastColumn="0"/>
            <w:tcW w:w="644" w:type="pct"/>
            <w:vMerge/>
            <w:shd w:val="clear" w:color="auto" w:fill="auto"/>
          </w:tcPr>
          <w:p w14:paraId="5A0395AB" w14:textId="77777777" w:rsidR="00B21991" w:rsidRPr="008923E6" w:rsidRDefault="00B21991" w:rsidP="00DA5604">
            <w:pPr>
              <w:pStyle w:val="TableTextLeft"/>
              <w:rPr>
                <w:i/>
                <w:iCs/>
              </w:rPr>
            </w:pPr>
          </w:p>
        </w:tc>
        <w:tc>
          <w:tcPr>
            <w:tcW w:w="1244" w:type="pct"/>
            <w:shd w:val="clear" w:color="auto" w:fill="auto"/>
          </w:tcPr>
          <w:p w14:paraId="56919484" w14:textId="77777777" w:rsidR="00B21991" w:rsidRPr="008923E6" w:rsidRDefault="00B21991" w:rsidP="00DA5604">
            <w:pPr>
              <w:pStyle w:val="TableTextLeft"/>
              <w:cnfStyle w:val="000000000000" w:firstRow="0" w:lastRow="0" w:firstColumn="0" w:lastColumn="0" w:oddVBand="0" w:evenVBand="0" w:oddHBand="0" w:evenHBand="0" w:firstRowFirstColumn="0" w:firstRowLastColumn="0" w:lastRowFirstColumn="0" w:lastRowLastColumn="0"/>
              <w:rPr>
                <w:i/>
                <w:iCs/>
              </w:rPr>
            </w:pPr>
            <w:r w:rsidRPr="008923E6">
              <w:rPr>
                <w:i/>
                <w:iCs/>
              </w:rPr>
              <w:t>Genetic diversity</w:t>
            </w:r>
          </w:p>
        </w:tc>
        <w:tc>
          <w:tcPr>
            <w:tcW w:w="2067" w:type="pct"/>
            <w:shd w:val="clear" w:color="auto" w:fill="auto"/>
          </w:tcPr>
          <w:p w14:paraId="29FB6C2A" w14:textId="77777777" w:rsidR="00B21991" w:rsidRPr="008923E6" w:rsidRDefault="00B21991" w:rsidP="00DA5604">
            <w:pPr>
              <w:pStyle w:val="TableTextLeft"/>
              <w:cnfStyle w:val="000000000000" w:firstRow="0" w:lastRow="0" w:firstColumn="0" w:lastColumn="0" w:oddVBand="0" w:evenVBand="0" w:oddHBand="0" w:evenHBand="0" w:firstRowFirstColumn="0" w:firstRowLastColumn="0" w:lastRowFirstColumn="0" w:lastRowLastColumn="0"/>
              <w:rPr>
                <w:i/>
                <w:iCs/>
              </w:rPr>
            </w:pPr>
            <w:r w:rsidRPr="008923E6">
              <w:rPr>
                <w:i/>
                <w:iCs/>
              </w:rPr>
              <w:t>Rare and threatened species / habitat</w:t>
            </w:r>
          </w:p>
        </w:tc>
        <w:tc>
          <w:tcPr>
            <w:tcW w:w="1045" w:type="pct"/>
            <w:shd w:val="clear" w:color="auto" w:fill="auto"/>
          </w:tcPr>
          <w:p w14:paraId="2D71436D" w14:textId="77777777" w:rsidR="00B21991" w:rsidRPr="008923E6" w:rsidRDefault="00B21991" w:rsidP="00DA5604">
            <w:pPr>
              <w:pStyle w:val="TableTextLeft"/>
              <w:cnfStyle w:val="000000000000" w:firstRow="0" w:lastRow="0" w:firstColumn="0" w:lastColumn="0" w:oddVBand="0" w:evenVBand="0" w:oddHBand="0" w:evenHBand="0" w:firstRowFirstColumn="0" w:firstRowLastColumn="0" w:lastRowFirstColumn="0" w:lastRowLastColumn="0"/>
              <w:rPr>
                <w:i/>
                <w:iCs/>
              </w:rPr>
            </w:pPr>
            <w:r w:rsidRPr="008923E6">
              <w:rPr>
                <w:i/>
                <w:iCs/>
              </w:rPr>
              <w:t>Number / Ha</w:t>
            </w:r>
          </w:p>
        </w:tc>
      </w:tr>
      <w:tr w:rsidR="00DA5604" w:rsidRPr="00FB15DB" w14:paraId="37F9E6BA" w14:textId="77777777" w:rsidTr="003936F7">
        <w:tc>
          <w:tcPr>
            <w:cnfStyle w:val="001000000000" w:firstRow="0" w:lastRow="0" w:firstColumn="1" w:lastColumn="0" w:oddVBand="0" w:evenVBand="0" w:oddHBand="0" w:evenHBand="0" w:firstRowFirstColumn="0" w:firstRowLastColumn="0" w:lastRowFirstColumn="0" w:lastRowLastColumn="0"/>
            <w:tcW w:w="644" w:type="pct"/>
            <w:vMerge/>
            <w:shd w:val="clear" w:color="auto" w:fill="auto"/>
          </w:tcPr>
          <w:p w14:paraId="124471CE" w14:textId="77777777" w:rsidR="00B21991" w:rsidRPr="008923E6" w:rsidRDefault="00B21991" w:rsidP="00DA5604">
            <w:pPr>
              <w:pStyle w:val="TableTextLeft"/>
              <w:rPr>
                <w:i/>
                <w:iCs/>
              </w:rPr>
            </w:pPr>
          </w:p>
        </w:tc>
        <w:tc>
          <w:tcPr>
            <w:tcW w:w="1244" w:type="pct"/>
            <w:shd w:val="clear" w:color="auto" w:fill="auto"/>
          </w:tcPr>
          <w:p w14:paraId="66CE98DE" w14:textId="77777777" w:rsidR="00B21991" w:rsidRPr="008923E6" w:rsidRDefault="00B21991" w:rsidP="00DA5604">
            <w:pPr>
              <w:pStyle w:val="TableTextLeft"/>
              <w:cnfStyle w:val="000000000000" w:firstRow="0" w:lastRow="0" w:firstColumn="0" w:lastColumn="0" w:oddVBand="0" w:evenVBand="0" w:oddHBand="0" w:evenHBand="0" w:firstRowFirstColumn="0" w:firstRowLastColumn="0" w:lastRowFirstColumn="0" w:lastRowLastColumn="0"/>
              <w:rPr>
                <w:i/>
                <w:iCs/>
              </w:rPr>
            </w:pPr>
            <w:r w:rsidRPr="008923E6">
              <w:rPr>
                <w:i/>
                <w:iCs/>
              </w:rPr>
              <w:t>Nursery populations</w:t>
            </w:r>
          </w:p>
        </w:tc>
        <w:tc>
          <w:tcPr>
            <w:tcW w:w="2067" w:type="pct"/>
            <w:shd w:val="clear" w:color="auto" w:fill="auto"/>
          </w:tcPr>
          <w:p w14:paraId="1ECB5CDC" w14:textId="77777777" w:rsidR="00B21991" w:rsidRPr="008923E6" w:rsidRDefault="00B21991" w:rsidP="00DA5604">
            <w:pPr>
              <w:pStyle w:val="TableTextLeft"/>
              <w:cnfStyle w:val="000000000000" w:firstRow="0" w:lastRow="0" w:firstColumn="0" w:lastColumn="0" w:oddVBand="0" w:evenVBand="0" w:oddHBand="0" w:evenHBand="0" w:firstRowFirstColumn="0" w:firstRowLastColumn="0" w:lastRowFirstColumn="0" w:lastRowLastColumn="0"/>
              <w:rPr>
                <w:i/>
                <w:iCs/>
              </w:rPr>
            </w:pPr>
            <w:r w:rsidRPr="008923E6">
              <w:rPr>
                <w:i/>
                <w:iCs/>
              </w:rPr>
              <w:t>Enhancement of biomass</w:t>
            </w:r>
          </w:p>
        </w:tc>
        <w:tc>
          <w:tcPr>
            <w:tcW w:w="1045" w:type="pct"/>
            <w:shd w:val="clear" w:color="auto" w:fill="auto"/>
          </w:tcPr>
          <w:p w14:paraId="7AB62016" w14:textId="77777777" w:rsidR="00B21991" w:rsidRPr="008923E6" w:rsidRDefault="00B21991" w:rsidP="00DA5604">
            <w:pPr>
              <w:pStyle w:val="TableTextLeft"/>
              <w:cnfStyle w:val="000000000000" w:firstRow="0" w:lastRow="0" w:firstColumn="0" w:lastColumn="0" w:oddVBand="0" w:evenVBand="0" w:oddHBand="0" w:evenHBand="0" w:firstRowFirstColumn="0" w:firstRowLastColumn="0" w:lastRowFirstColumn="0" w:lastRowLastColumn="0"/>
              <w:rPr>
                <w:i/>
                <w:iCs/>
              </w:rPr>
            </w:pPr>
            <w:r w:rsidRPr="008923E6">
              <w:rPr>
                <w:i/>
                <w:iCs/>
              </w:rPr>
              <w:t>Tonnes</w:t>
            </w:r>
          </w:p>
        </w:tc>
      </w:tr>
      <w:tr w:rsidR="00DA5604" w:rsidRPr="00FB15DB" w14:paraId="5D44F1DC" w14:textId="77777777" w:rsidTr="003936F7">
        <w:tc>
          <w:tcPr>
            <w:cnfStyle w:val="001000000000" w:firstRow="0" w:lastRow="0" w:firstColumn="1" w:lastColumn="0" w:oddVBand="0" w:evenVBand="0" w:oddHBand="0" w:evenHBand="0" w:firstRowFirstColumn="0" w:firstRowLastColumn="0" w:lastRowFirstColumn="0" w:lastRowLastColumn="0"/>
            <w:tcW w:w="644" w:type="pct"/>
            <w:vMerge/>
            <w:shd w:val="clear" w:color="auto" w:fill="auto"/>
          </w:tcPr>
          <w:p w14:paraId="0915356E" w14:textId="77777777" w:rsidR="00B21991" w:rsidRPr="008923E6" w:rsidRDefault="00B21991" w:rsidP="00DA5604">
            <w:pPr>
              <w:pStyle w:val="TableTextLeft"/>
              <w:rPr>
                <w:i/>
                <w:iCs/>
              </w:rPr>
            </w:pPr>
          </w:p>
        </w:tc>
        <w:tc>
          <w:tcPr>
            <w:tcW w:w="1244" w:type="pct"/>
            <w:shd w:val="clear" w:color="auto" w:fill="auto"/>
          </w:tcPr>
          <w:p w14:paraId="0DAF77DC" w14:textId="77777777" w:rsidR="00B21991" w:rsidRPr="008923E6" w:rsidRDefault="00B21991" w:rsidP="00DA5604">
            <w:pPr>
              <w:pStyle w:val="TableTextLeft"/>
              <w:cnfStyle w:val="000000000000" w:firstRow="0" w:lastRow="0" w:firstColumn="0" w:lastColumn="0" w:oddVBand="0" w:evenVBand="0" w:oddHBand="0" w:evenHBand="0" w:firstRowFirstColumn="0" w:firstRowLastColumn="0" w:lastRowFirstColumn="0" w:lastRowLastColumn="0"/>
              <w:rPr>
                <w:i/>
                <w:iCs/>
              </w:rPr>
            </w:pPr>
            <w:r w:rsidRPr="008923E6">
              <w:rPr>
                <w:i/>
                <w:iCs/>
              </w:rPr>
              <w:t>Pollination</w:t>
            </w:r>
          </w:p>
        </w:tc>
        <w:tc>
          <w:tcPr>
            <w:tcW w:w="2067" w:type="pct"/>
            <w:shd w:val="clear" w:color="auto" w:fill="auto"/>
          </w:tcPr>
          <w:p w14:paraId="1F95DD8F" w14:textId="77777777" w:rsidR="00B21991" w:rsidRPr="008923E6" w:rsidRDefault="00B21991" w:rsidP="00DA5604">
            <w:pPr>
              <w:pStyle w:val="TableTextLeft"/>
              <w:cnfStyle w:val="000000000000" w:firstRow="0" w:lastRow="0" w:firstColumn="0" w:lastColumn="0" w:oddVBand="0" w:evenVBand="0" w:oddHBand="0" w:evenHBand="0" w:firstRowFirstColumn="0" w:firstRowLastColumn="0" w:lastRowFirstColumn="0" w:lastRowLastColumn="0"/>
              <w:rPr>
                <w:i/>
                <w:iCs/>
              </w:rPr>
            </w:pPr>
            <w:r w:rsidRPr="008923E6">
              <w:rPr>
                <w:i/>
                <w:iCs/>
              </w:rPr>
              <w:t>Apiary sites</w:t>
            </w:r>
          </w:p>
        </w:tc>
        <w:tc>
          <w:tcPr>
            <w:tcW w:w="1045" w:type="pct"/>
            <w:shd w:val="clear" w:color="auto" w:fill="auto"/>
          </w:tcPr>
          <w:p w14:paraId="536177FC" w14:textId="77777777" w:rsidR="00B21991" w:rsidRPr="008923E6" w:rsidRDefault="00B21991" w:rsidP="00DA5604">
            <w:pPr>
              <w:pStyle w:val="TableTextLeft"/>
              <w:cnfStyle w:val="000000000000" w:firstRow="0" w:lastRow="0" w:firstColumn="0" w:lastColumn="0" w:oddVBand="0" w:evenVBand="0" w:oddHBand="0" w:evenHBand="0" w:firstRowFirstColumn="0" w:firstRowLastColumn="0" w:lastRowFirstColumn="0" w:lastRowLastColumn="0"/>
              <w:rPr>
                <w:i/>
                <w:iCs/>
              </w:rPr>
            </w:pPr>
            <w:r w:rsidRPr="008923E6">
              <w:rPr>
                <w:i/>
                <w:iCs/>
              </w:rPr>
              <w:t>Number</w:t>
            </w:r>
          </w:p>
        </w:tc>
      </w:tr>
      <w:tr w:rsidR="00DA5604" w:rsidRPr="00FB15DB" w14:paraId="231BD8D9" w14:textId="77777777" w:rsidTr="003936F7">
        <w:tc>
          <w:tcPr>
            <w:cnfStyle w:val="001000000000" w:firstRow="0" w:lastRow="0" w:firstColumn="1" w:lastColumn="0" w:oddVBand="0" w:evenVBand="0" w:oddHBand="0" w:evenHBand="0" w:firstRowFirstColumn="0" w:firstRowLastColumn="0" w:lastRowFirstColumn="0" w:lastRowLastColumn="0"/>
            <w:tcW w:w="644" w:type="pct"/>
            <w:vMerge/>
            <w:shd w:val="clear" w:color="auto" w:fill="auto"/>
          </w:tcPr>
          <w:p w14:paraId="38FF73AB" w14:textId="77777777" w:rsidR="00B21991" w:rsidRPr="008923E6" w:rsidRDefault="00B21991" w:rsidP="00DA5604">
            <w:pPr>
              <w:pStyle w:val="TableTextLeft"/>
              <w:rPr>
                <w:i/>
                <w:iCs/>
              </w:rPr>
            </w:pPr>
          </w:p>
        </w:tc>
        <w:tc>
          <w:tcPr>
            <w:tcW w:w="1244" w:type="pct"/>
            <w:shd w:val="clear" w:color="auto" w:fill="auto"/>
          </w:tcPr>
          <w:p w14:paraId="3B052C6E" w14:textId="77777777" w:rsidR="00B21991" w:rsidRPr="008923E6" w:rsidRDefault="00B21991" w:rsidP="00DA5604">
            <w:pPr>
              <w:pStyle w:val="TableTextLeft"/>
              <w:cnfStyle w:val="000000000000" w:firstRow="0" w:lastRow="0" w:firstColumn="0" w:lastColumn="0" w:oddVBand="0" w:evenVBand="0" w:oddHBand="0" w:evenHBand="0" w:firstRowFirstColumn="0" w:firstRowLastColumn="0" w:lastRowFirstColumn="0" w:lastRowLastColumn="0"/>
              <w:rPr>
                <w:i/>
                <w:iCs/>
              </w:rPr>
            </w:pPr>
            <w:r w:rsidRPr="008923E6">
              <w:rPr>
                <w:i/>
                <w:iCs/>
              </w:rPr>
              <w:t>Soil cycle regulation</w:t>
            </w:r>
          </w:p>
        </w:tc>
        <w:tc>
          <w:tcPr>
            <w:tcW w:w="2067" w:type="pct"/>
            <w:shd w:val="clear" w:color="auto" w:fill="auto"/>
          </w:tcPr>
          <w:p w14:paraId="50865279" w14:textId="77777777" w:rsidR="00B21991" w:rsidRPr="008923E6" w:rsidRDefault="00B21991" w:rsidP="00DA5604">
            <w:pPr>
              <w:pStyle w:val="TableTextLeft"/>
              <w:cnfStyle w:val="000000000000" w:firstRow="0" w:lastRow="0" w:firstColumn="0" w:lastColumn="0" w:oddVBand="0" w:evenVBand="0" w:oddHBand="0" w:evenHBand="0" w:firstRowFirstColumn="0" w:firstRowLastColumn="0" w:lastRowFirstColumn="0" w:lastRowLastColumn="0"/>
              <w:rPr>
                <w:i/>
                <w:iCs/>
              </w:rPr>
            </w:pPr>
            <w:r w:rsidRPr="008923E6">
              <w:rPr>
                <w:i/>
                <w:iCs/>
              </w:rPr>
              <w:t>Soil health index</w:t>
            </w:r>
          </w:p>
        </w:tc>
        <w:tc>
          <w:tcPr>
            <w:tcW w:w="1045" w:type="pct"/>
            <w:shd w:val="clear" w:color="auto" w:fill="auto"/>
          </w:tcPr>
          <w:p w14:paraId="4C16D5FB" w14:textId="77777777" w:rsidR="00B21991" w:rsidRPr="008923E6" w:rsidRDefault="00B21991" w:rsidP="00DA5604">
            <w:pPr>
              <w:pStyle w:val="TableTextLeft"/>
              <w:cnfStyle w:val="000000000000" w:firstRow="0" w:lastRow="0" w:firstColumn="0" w:lastColumn="0" w:oddVBand="0" w:evenVBand="0" w:oddHBand="0" w:evenHBand="0" w:firstRowFirstColumn="0" w:firstRowLastColumn="0" w:lastRowFirstColumn="0" w:lastRowLastColumn="0"/>
              <w:rPr>
                <w:i/>
                <w:iCs/>
              </w:rPr>
            </w:pPr>
            <w:r w:rsidRPr="008923E6">
              <w:rPr>
                <w:i/>
                <w:iCs/>
              </w:rPr>
              <w:t>Score</w:t>
            </w:r>
          </w:p>
        </w:tc>
      </w:tr>
      <w:tr w:rsidR="00DA5604" w:rsidRPr="00FB15DB" w14:paraId="47431A67" w14:textId="77777777" w:rsidTr="003936F7">
        <w:tc>
          <w:tcPr>
            <w:cnfStyle w:val="001000000000" w:firstRow="0" w:lastRow="0" w:firstColumn="1" w:lastColumn="0" w:oddVBand="0" w:evenVBand="0" w:oddHBand="0" w:evenHBand="0" w:firstRowFirstColumn="0" w:firstRowLastColumn="0" w:lastRowFirstColumn="0" w:lastRowLastColumn="0"/>
            <w:tcW w:w="644" w:type="pct"/>
            <w:vMerge/>
            <w:shd w:val="clear" w:color="auto" w:fill="auto"/>
          </w:tcPr>
          <w:p w14:paraId="7E5ACE6D" w14:textId="77777777" w:rsidR="00B21991" w:rsidRPr="008923E6" w:rsidRDefault="00B21991" w:rsidP="00DA5604">
            <w:pPr>
              <w:pStyle w:val="TableTextLeft"/>
              <w:rPr>
                <w:i/>
                <w:iCs/>
              </w:rPr>
            </w:pPr>
          </w:p>
        </w:tc>
        <w:tc>
          <w:tcPr>
            <w:tcW w:w="1244" w:type="pct"/>
            <w:shd w:val="clear" w:color="auto" w:fill="auto"/>
          </w:tcPr>
          <w:p w14:paraId="7CAE2461" w14:textId="77777777" w:rsidR="00B21991" w:rsidRPr="008923E6" w:rsidRDefault="00B21991" w:rsidP="00DA5604">
            <w:pPr>
              <w:pStyle w:val="TableTextLeft"/>
              <w:cnfStyle w:val="000000000000" w:firstRow="0" w:lastRow="0" w:firstColumn="0" w:lastColumn="0" w:oddVBand="0" w:evenVBand="0" w:oddHBand="0" w:evenHBand="0" w:firstRowFirstColumn="0" w:firstRowLastColumn="0" w:lastRowFirstColumn="0" w:lastRowLastColumn="0"/>
              <w:rPr>
                <w:i/>
                <w:iCs/>
              </w:rPr>
            </w:pPr>
            <w:r w:rsidRPr="008923E6">
              <w:rPr>
                <w:i/>
                <w:iCs/>
              </w:rPr>
              <w:t>Water cycle regulation</w:t>
            </w:r>
          </w:p>
        </w:tc>
        <w:tc>
          <w:tcPr>
            <w:tcW w:w="2067" w:type="pct"/>
            <w:shd w:val="clear" w:color="auto" w:fill="auto"/>
          </w:tcPr>
          <w:p w14:paraId="3FB695F3" w14:textId="77777777" w:rsidR="00B21991" w:rsidRPr="008923E6" w:rsidRDefault="00B21991" w:rsidP="00DA5604">
            <w:pPr>
              <w:pStyle w:val="TableTextLeft"/>
              <w:cnfStyle w:val="000000000000" w:firstRow="0" w:lastRow="0" w:firstColumn="0" w:lastColumn="0" w:oddVBand="0" w:evenVBand="0" w:oddHBand="0" w:evenHBand="0" w:firstRowFirstColumn="0" w:firstRowLastColumn="0" w:lastRowFirstColumn="0" w:lastRowLastColumn="0"/>
              <w:rPr>
                <w:i/>
                <w:iCs/>
              </w:rPr>
            </w:pPr>
            <w:r w:rsidRPr="008923E6">
              <w:rPr>
                <w:i/>
                <w:iCs/>
              </w:rPr>
              <w:t>Dissolved oxygen</w:t>
            </w:r>
          </w:p>
        </w:tc>
        <w:tc>
          <w:tcPr>
            <w:tcW w:w="1045" w:type="pct"/>
            <w:shd w:val="clear" w:color="auto" w:fill="auto"/>
          </w:tcPr>
          <w:p w14:paraId="5AA356BB" w14:textId="77777777" w:rsidR="00B21991" w:rsidRPr="008923E6" w:rsidRDefault="00B21991" w:rsidP="00DA5604">
            <w:pPr>
              <w:pStyle w:val="TableTextLeft"/>
              <w:cnfStyle w:val="000000000000" w:firstRow="0" w:lastRow="0" w:firstColumn="0" w:lastColumn="0" w:oddVBand="0" w:evenVBand="0" w:oddHBand="0" w:evenHBand="0" w:firstRowFirstColumn="0" w:firstRowLastColumn="0" w:lastRowFirstColumn="0" w:lastRowLastColumn="0"/>
              <w:rPr>
                <w:i/>
                <w:iCs/>
              </w:rPr>
            </w:pPr>
            <w:r w:rsidRPr="008923E6">
              <w:rPr>
                <w:i/>
                <w:iCs/>
              </w:rPr>
              <w:t>Mg / L or % saturation</w:t>
            </w:r>
          </w:p>
        </w:tc>
      </w:tr>
      <w:tr w:rsidR="00DA5604" w:rsidRPr="00FB15DB" w14:paraId="68F62A84" w14:textId="77777777" w:rsidTr="003936F7">
        <w:tc>
          <w:tcPr>
            <w:cnfStyle w:val="001000000000" w:firstRow="0" w:lastRow="0" w:firstColumn="1" w:lastColumn="0" w:oddVBand="0" w:evenVBand="0" w:oddHBand="0" w:evenHBand="0" w:firstRowFirstColumn="0" w:firstRowLastColumn="0" w:lastRowFirstColumn="0" w:lastRowLastColumn="0"/>
            <w:tcW w:w="644" w:type="pct"/>
            <w:vMerge/>
            <w:shd w:val="clear" w:color="auto" w:fill="auto"/>
          </w:tcPr>
          <w:p w14:paraId="7458AC6B" w14:textId="77777777" w:rsidR="00B21991" w:rsidRPr="008923E6" w:rsidRDefault="00B21991" w:rsidP="00DA5604">
            <w:pPr>
              <w:pStyle w:val="TableTextLeft"/>
              <w:rPr>
                <w:i/>
                <w:iCs/>
              </w:rPr>
            </w:pPr>
          </w:p>
        </w:tc>
        <w:tc>
          <w:tcPr>
            <w:tcW w:w="1244" w:type="pct"/>
            <w:shd w:val="clear" w:color="auto" w:fill="auto"/>
          </w:tcPr>
          <w:p w14:paraId="08DB7E42" w14:textId="77777777" w:rsidR="00B21991" w:rsidRPr="008923E6" w:rsidRDefault="00B21991" w:rsidP="00DA5604">
            <w:pPr>
              <w:pStyle w:val="TableTextLeft"/>
              <w:cnfStyle w:val="000000000000" w:firstRow="0" w:lastRow="0" w:firstColumn="0" w:lastColumn="0" w:oddVBand="0" w:evenVBand="0" w:oddHBand="0" w:evenHBand="0" w:firstRowFirstColumn="0" w:firstRowLastColumn="0" w:lastRowFirstColumn="0" w:lastRowLastColumn="0"/>
              <w:rPr>
                <w:i/>
                <w:iCs/>
              </w:rPr>
            </w:pPr>
            <w:r w:rsidRPr="008923E6">
              <w:rPr>
                <w:i/>
                <w:iCs/>
              </w:rPr>
              <w:t>Nitrogen cycling</w:t>
            </w:r>
          </w:p>
        </w:tc>
        <w:tc>
          <w:tcPr>
            <w:tcW w:w="2067" w:type="pct"/>
            <w:shd w:val="clear" w:color="auto" w:fill="auto"/>
          </w:tcPr>
          <w:p w14:paraId="67876757" w14:textId="77777777" w:rsidR="00B21991" w:rsidRPr="008923E6" w:rsidRDefault="00B21991" w:rsidP="00DA5604">
            <w:pPr>
              <w:pStyle w:val="TableTextLeft"/>
              <w:cnfStyle w:val="000000000000" w:firstRow="0" w:lastRow="0" w:firstColumn="0" w:lastColumn="0" w:oddVBand="0" w:evenVBand="0" w:oddHBand="0" w:evenHBand="0" w:firstRowFirstColumn="0" w:firstRowLastColumn="0" w:lastRowFirstColumn="0" w:lastRowLastColumn="0"/>
              <w:rPr>
                <w:i/>
                <w:iCs/>
              </w:rPr>
            </w:pPr>
            <w:r w:rsidRPr="008923E6">
              <w:rPr>
                <w:i/>
                <w:iCs/>
              </w:rPr>
              <w:t xml:space="preserve">Denitrification </w:t>
            </w:r>
          </w:p>
        </w:tc>
        <w:tc>
          <w:tcPr>
            <w:tcW w:w="1045" w:type="pct"/>
            <w:shd w:val="clear" w:color="auto" w:fill="auto"/>
          </w:tcPr>
          <w:p w14:paraId="50946BBE" w14:textId="77777777" w:rsidR="00B21991" w:rsidRPr="008923E6" w:rsidRDefault="00B21991" w:rsidP="00DA5604">
            <w:pPr>
              <w:pStyle w:val="TableTextLeft"/>
              <w:cnfStyle w:val="000000000000" w:firstRow="0" w:lastRow="0" w:firstColumn="0" w:lastColumn="0" w:oddVBand="0" w:evenVBand="0" w:oddHBand="0" w:evenHBand="0" w:firstRowFirstColumn="0" w:firstRowLastColumn="0" w:lastRowFirstColumn="0" w:lastRowLastColumn="0"/>
              <w:rPr>
                <w:i/>
                <w:iCs/>
              </w:rPr>
            </w:pPr>
            <w:r w:rsidRPr="008923E6">
              <w:rPr>
                <w:i/>
                <w:iCs/>
              </w:rPr>
              <w:t>Kilogram N / m</w:t>
            </w:r>
            <w:r w:rsidRPr="008923E6">
              <w:rPr>
                <w:i/>
                <w:iCs/>
                <w:vertAlign w:val="superscript"/>
              </w:rPr>
              <w:t>3</w:t>
            </w:r>
          </w:p>
        </w:tc>
      </w:tr>
      <w:tr w:rsidR="00DA5604" w:rsidRPr="00FB15DB" w14:paraId="1FF6CDD9" w14:textId="77777777" w:rsidTr="003936F7">
        <w:tc>
          <w:tcPr>
            <w:cnfStyle w:val="001000000000" w:firstRow="0" w:lastRow="0" w:firstColumn="1" w:lastColumn="0" w:oddVBand="0" w:evenVBand="0" w:oddHBand="0" w:evenHBand="0" w:firstRowFirstColumn="0" w:firstRowLastColumn="0" w:lastRowFirstColumn="0" w:lastRowLastColumn="0"/>
            <w:tcW w:w="644" w:type="pct"/>
            <w:vMerge/>
            <w:shd w:val="clear" w:color="auto" w:fill="auto"/>
          </w:tcPr>
          <w:p w14:paraId="46CA09A1" w14:textId="77777777" w:rsidR="00B21991" w:rsidRPr="008923E6" w:rsidRDefault="00B21991" w:rsidP="00DA5604">
            <w:pPr>
              <w:pStyle w:val="TableTextLeft"/>
              <w:rPr>
                <w:i/>
                <w:iCs/>
              </w:rPr>
            </w:pPr>
          </w:p>
        </w:tc>
        <w:tc>
          <w:tcPr>
            <w:tcW w:w="1244" w:type="pct"/>
            <w:shd w:val="clear" w:color="auto" w:fill="auto"/>
          </w:tcPr>
          <w:p w14:paraId="4FE0531C" w14:textId="77777777" w:rsidR="00B21991" w:rsidRPr="008923E6" w:rsidRDefault="00B21991" w:rsidP="00DA5604">
            <w:pPr>
              <w:pStyle w:val="TableTextLeft"/>
              <w:cnfStyle w:val="000000000000" w:firstRow="0" w:lastRow="0" w:firstColumn="0" w:lastColumn="0" w:oddVBand="0" w:evenVBand="0" w:oddHBand="0" w:evenHBand="0" w:firstRowFirstColumn="0" w:firstRowLastColumn="0" w:lastRowFirstColumn="0" w:lastRowLastColumn="0"/>
              <w:rPr>
                <w:i/>
                <w:iCs/>
              </w:rPr>
            </w:pPr>
            <w:r w:rsidRPr="008923E6">
              <w:rPr>
                <w:i/>
                <w:iCs/>
              </w:rPr>
              <w:t>Pest and disease control</w:t>
            </w:r>
          </w:p>
        </w:tc>
        <w:tc>
          <w:tcPr>
            <w:tcW w:w="2067" w:type="pct"/>
            <w:shd w:val="clear" w:color="auto" w:fill="auto"/>
          </w:tcPr>
          <w:p w14:paraId="6BE1290B" w14:textId="77777777" w:rsidR="00B21991" w:rsidRPr="008923E6" w:rsidRDefault="00B21991" w:rsidP="00DA5604">
            <w:pPr>
              <w:pStyle w:val="TableTextLeft"/>
              <w:cnfStyle w:val="000000000000" w:firstRow="0" w:lastRow="0" w:firstColumn="0" w:lastColumn="0" w:oddVBand="0" w:evenVBand="0" w:oddHBand="0" w:evenHBand="0" w:firstRowFirstColumn="0" w:firstRowLastColumn="0" w:lastRowFirstColumn="0" w:lastRowLastColumn="0"/>
              <w:rPr>
                <w:i/>
                <w:iCs/>
              </w:rPr>
            </w:pPr>
            <w:r w:rsidRPr="008923E6">
              <w:rPr>
                <w:i/>
                <w:iCs/>
              </w:rPr>
              <w:t>Insectivorous birds and bats</w:t>
            </w:r>
          </w:p>
        </w:tc>
        <w:tc>
          <w:tcPr>
            <w:tcW w:w="1045" w:type="pct"/>
            <w:shd w:val="clear" w:color="auto" w:fill="auto"/>
          </w:tcPr>
          <w:p w14:paraId="37F07CF6" w14:textId="77777777" w:rsidR="00B21991" w:rsidRPr="008923E6" w:rsidRDefault="00B21991" w:rsidP="00DA5604">
            <w:pPr>
              <w:pStyle w:val="TableTextLeft"/>
              <w:cnfStyle w:val="000000000000" w:firstRow="0" w:lastRow="0" w:firstColumn="0" w:lastColumn="0" w:oddVBand="0" w:evenVBand="0" w:oddHBand="0" w:evenHBand="0" w:firstRowFirstColumn="0" w:firstRowLastColumn="0" w:lastRowFirstColumn="0" w:lastRowLastColumn="0"/>
              <w:rPr>
                <w:i/>
                <w:iCs/>
              </w:rPr>
            </w:pPr>
            <w:r w:rsidRPr="008923E6">
              <w:rPr>
                <w:i/>
                <w:iCs/>
              </w:rPr>
              <w:t xml:space="preserve">No./diversity </w:t>
            </w:r>
          </w:p>
        </w:tc>
      </w:tr>
    </w:tbl>
    <w:p w14:paraId="754BAEF5" w14:textId="77777777" w:rsidR="00B21991" w:rsidRPr="00FB15DB" w:rsidRDefault="00B21991" w:rsidP="00B21991">
      <w:pPr>
        <w:pStyle w:val="BodyText"/>
      </w:pPr>
      <w:r w:rsidRPr="00FB15DB">
        <w:t>The range of monetary valuation approaches used to value ecosystem service provision in the reviewed assessments are set out in Table 4 (non-exhaustive list).</w:t>
      </w:r>
    </w:p>
    <w:p w14:paraId="7383F06D" w14:textId="77777777" w:rsidR="00B21991" w:rsidRPr="00FB15DB" w:rsidRDefault="00B21991" w:rsidP="00B21991">
      <w:pPr>
        <w:pStyle w:val="BodyText"/>
      </w:pPr>
      <w:r w:rsidRPr="00FB15DB">
        <w:t xml:space="preserve">Table 4 shows that the reviewed studies use a mix of exchange and welfare values to monetise ($) the physical provision of ecosystem services. In order to satisfy the requirements of the SEEA-EA and also be useful for informing government decision-making, the GORCAP EEA will develop estimates of exchange values (in order to develop SEEA-EA compliant environmental-economic account) alongside welfare values (for informing policy decisions). </w:t>
      </w:r>
    </w:p>
    <w:p w14:paraId="27AB7684" w14:textId="77777777" w:rsidR="00B21991" w:rsidRPr="00FB15DB" w:rsidRDefault="00B21991" w:rsidP="00B21991">
      <w:pPr>
        <w:pStyle w:val="BodyText"/>
      </w:pPr>
      <w:r w:rsidRPr="00FB15DB">
        <w:t>Irrespective of the method used, economic input costs (including labour, produced capital and intermediate inputs) need to be deducted to arrive at the value of an ecosystem service (SEEA-EEA, 2020e). Further detail on the approaches taken to monetise the provision of ecosystem services in the literature are provided in Annex 9.</w:t>
      </w:r>
    </w:p>
    <w:p w14:paraId="12227202" w14:textId="77777777" w:rsidR="00B21991" w:rsidRPr="00FB15DB" w:rsidRDefault="00B21991" w:rsidP="008923E6">
      <w:pPr>
        <w:pStyle w:val="Caption"/>
      </w:pPr>
      <w:r w:rsidRPr="00FB15DB">
        <w:lastRenderedPageBreak/>
        <w:t xml:space="preserve">Table 4. Example metrics for ecosystem service valuation </w:t>
      </w:r>
    </w:p>
    <w:tbl>
      <w:tblPr>
        <w:tblStyle w:val="TableGrid"/>
        <w:tblW w:w="5000" w:type="pct"/>
        <w:tblLook w:val="04A0" w:firstRow="1" w:lastRow="0" w:firstColumn="1" w:lastColumn="0" w:noHBand="0" w:noVBand="1"/>
      </w:tblPr>
      <w:tblGrid>
        <w:gridCol w:w="1338"/>
        <w:gridCol w:w="2498"/>
        <w:gridCol w:w="1699"/>
        <w:gridCol w:w="4103"/>
      </w:tblGrid>
      <w:tr w:rsidR="003D5B2E" w:rsidRPr="00FB15DB" w14:paraId="7CA50CCC" w14:textId="77777777" w:rsidTr="0060022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57" w:type="pct"/>
            <w:gridSpan w:val="2"/>
          </w:tcPr>
          <w:p w14:paraId="197876BC" w14:textId="77777777" w:rsidR="00B21991" w:rsidRPr="00FB15DB" w:rsidRDefault="00B21991" w:rsidP="003D5B2E">
            <w:pPr>
              <w:pStyle w:val="TableHeadingLeft"/>
              <w:rPr>
                <w:i/>
              </w:rPr>
            </w:pPr>
            <w:r w:rsidRPr="00FB15DB">
              <w:t>Ecosystem service</w:t>
            </w:r>
          </w:p>
        </w:tc>
        <w:tc>
          <w:tcPr>
            <w:tcW w:w="898" w:type="pct"/>
          </w:tcPr>
          <w:p w14:paraId="3D6FBA07" w14:textId="77777777" w:rsidR="00B21991" w:rsidRPr="00FB15DB" w:rsidRDefault="00B21991" w:rsidP="003D5B2E">
            <w:pPr>
              <w:pStyle w:val="TableHeadingLeft"/>
              <w:cnfStyle w:val="100000000000" w:firstRow="1" w:lastRow="0" w:firstColumn="0" w:lastColumn="0" w:oddVBand="0" w:evenVBand="0" w:oddHBand="0" w:evenHBand="0" w:firstRowFirstColumn="0" w:firstRowLastColumn="0" w:lastRowFirstColumn="0" w:lastRowLastColumn="0"/>
            </w:pPr>
            <w:r w:rsidRPr="00FB15DB">
              <w:t>Monetary metric (per year)</w:t>
            </w:r>
          </w:p>
        </w:tc>
        <w:tc>
          <w:tcPr>
            <w:tcW w:w="2145" w:type="pct"/>
          </w:tcPr>
          <w:p w14:paraId="02406D12" w14:textId="77777777" w:rsidR="00B21991" w:rsidRPr="00FB15DB" w:rsidRDefault="00B21991" w:rsidP="003D5B2E">
            <w:pPr>
              <w:pStyle w:val="TableHeadingLeft"/>
              <w:cnfStyle w:val="100000000000" w:firstRow="1" w:lastRow="0" w:firstColumn="0" w:lastColumn="0" w:oddVBand="0" w:evenVBand="0" w:oddHBand="0" w:evenHBand="0" w:firstRowFirstColumn="0" w:firstRowLastColumn="0" w:lastRowFirstColumn="0" w:lastRowLastColumn="0"/>
            </w:pPr>
            <w:r w:rsidRPr="00FB15DB">
              <w:t>Monetary approaches</w:t>
            </w:r>
          </w:p>
        </w:tc>
      </w:tr>
      <w:tr w:rsidR="003D5B2E" w:rsidRPr="00FB15DB" w14:paraId="476B9105" w14:textId="77777777" w:rsidTr="003D5B2E">
        <w:tc>
          <w:tcPr>
            <w:cnfStyle w:val="001000000000" w:firstRow="0" w:lastRow="0" w:firstColumn="1" w:lastColumn="0" w:oddVBand="0" w:evenVBand="0" w:oddHBand="0" w:evenHBand="0" w:firstRowFirstColumn="0" w:firstRowLastColumn="0" w:lastRowFirstColumn="0" w:lastRowLastColumn="0"/>
            <w:tcW w:w="644" w:type="pct"/>
            <w:vMerge w:val="restart"/>
          </w:tcPr>
          <w:p w14:paraId="62E8F654" w14:textId="77777777" w:rsidR="00B21991" w:rsidRPr="00FB15DB" w:rsidRDefault="00B21991" w:rsidP="003D5B2E">
            <w:pPr>
              <w:pStyle w:val="TableTextLeft"/>
            </w:pPr>
            <w:r w:rsidRPr="00FB15DB">
              <w:t>Provisioning</w:t>
            </w:r>
          </w:p>
        </w:tc>
        <w:tc>
          <w:tcPr>
            <w:tcW w:w="1313" w:type="pct"/>
          </w:tcPr>
          <w:p w14:paraId="1E3EEDFA"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 xml:space="preserve">Biomass - Food </w:t>
            </w:r>
          </w:p>
        </w:tc>
        <w:tc>
          <w:tcPr>
            <w:tcW w:w="898" w:type="pct"/>
          </w:tcPr>
          <w:p w14:paraId="6F3C5427"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 / kilograms</w:t>
            </w:r>
          </w:p>
        </w:tc>
        <w:tc>
          <w:tcPr>
            <w:tcW w:w="2145" w:type="pct"/>
          </w:tcPr>
          <w:p w14:paraId="78754F2E"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rPr>
                <w:vertAlign w:val="superscript"/>
              </w:rPr>
            </w:pPr>
            <w:r w:rsidRPr="00FB15DB">
              <w:t>Resource rent from market prices</w:t>
            </w:r>
          </w:p>
        </w:tc>
      </w:tr>
      <w:tr w:rsidR="003D5B2E" w:rsidRPr="00FB15DB" w14:paraId="2C743C9E" w14:textId="77777777" w:rsidTr="003D5B2E">
        <w:tc>
          <w:tcPr>
            <w:cnfStyle w:val="001000000000" w:firstRow="0" w:lastRow="0" w:firstColumn="1" w:lastColumn="0" w:oddVBand="0" w:evenVBand="0" w:oddHBand="0" w:evenHBand="0" w:firstRowFirstColumn="0" w:firstRowLastColumn="0" w:lastRowFirstColumn="0" w:lastRowLastColumn="0"/>
            <w:tcW w:w="644" w:type="pct"/>
            <w:vMerge/>
          </w:tcPr>
          <w:p w14:paraId="04A749A8" w14:textId="77777777" w:rsidR="00B21991" w:rsidRPr="00FB15DB" w:rsidRDefault="00B21991" w:rsidP="003D5B2E">
            <w:pPr>
              <w:pStyle w:val="TableTextLeft"/>
            </w:pPr>
          </w:p>
        </w:tc>
        <w:tc>
          <w:tcPr>
            <w:tcW w:w="1313" w:type="pct"/>
          </w:tcPr>
          <w:p w14:paraId="20C16788"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Biomass - Timber</w:t>
            </w:r>
          </w:p>
        </w:tc>
        <w:tc>
          <w:tcPr>
            <w:tcW w:w="898" w:type="pct"/>
          </w:tcPr>
          <w:p w14:paraId="36AD9A68"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 xml:space="preserve">$ / tonne </w:t>
            </w:r>
          </w:p>
        </w:tc>
        <w:tc>
          <w:tcPr>
            <w:tcW w:w="2145" w:type="pct"/>
          </w:tcPr>
          <w:p w14:paraId="3D0964FE"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Stumpage price of timber harvested</w:t>
            </w:r>
          </w:p>
        </w:tc>
      </w:tr>
      <w:tr w:rsidR="003D5B2E" w:rsidRPr="00FB15DB" w14:paraId="52C20005" w14:textId="77777777" w:rsidTr="003D5B2E">
        <w:tc>
          <w:tcPr>
            <w:cnfStyle w:val="001000000000" w:firstRow="0" w:lastRow="0" w:firstColumn="1" w:lastColumn="0" w:oddVBand="0" w:evenVBand="0" w:oddHBand="0" w:evenHBand="0" w:firstRowFirstColumn="0" w:firstRowLastColumn="0" w:lastRowFirstColumn="0" w:lastRowLastColumn="0"/>
            <w:tcW w:w="644" w:type="pct"/>
            <w:vMerge/>
          </w:tcPr>
          <w:p w14:paraId="024632CC" w14:textId="77777777" w:rsidR="00B21991" w:rsidRPr="00FB15DB" w:rsidRDefault="00B21991" w:rsidP="003D5B2E">
            <w:pPr>
              <w:pStyle w:val="TableTextLeft"/>
            </w:pPr>
          </w:p>
        </w:tc>
        <w:tc>
          <w:tcPr>
            <w:tcW w:w="1313" w:type="pct"/>
          </w:tcPr>
          <w:p w14:paraId="5A1774D4"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Biomass - Energy</w:t>
            </w:r>
          </w:p>
        </w:tc>
        <w:tc>
          <w:tcPr>
            <w:tcW w:w="898" w:type="pct"/>
          </w:tcPr>
          <w:p w14:paraId="50E9D61D"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 / tonne</w:t>
            </w:r>
          </w:p>
        </w:tc>
        <w:tc>
          <w:tcPr>
            <w:tcW w:w="2145" w:type="pct"/>
          </w:tcPr>
          <w:p w14:paraId="35C7F2FF"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Resource rent of wood fuel harvested</w:t>
            </w:r>
          </w:p>
        </w:tc>
      </w:tr>
      <w:tr w:rsidR="003D5B2E" w:rsidRPr="00FB15DB" w14:paraId="03A430EC" w14:textId="77777777" w:rsidTr="003D5B2E">
        <w:tc>
          <w:tcPr>
            <w:cnfStyle w:val="001000000000" w:firstRow="0" w:lastRow="0" w:firstColumn="1" w:lastColumn="0" w:oddVBand="0" w:evenVBand="0" w:oddHBand="0" w:evenHBand="0" w:firstRowFirstColumn="0" w:firstRowLastColumn="0" w:lastRowFirstColumn="0" w:lastRowLastColumn="0"/>
            <w:tcW w:w="644" w:type="pct"/>
            <w:vMerge/>
          </w:tcPr>
          <w:p w14:paraId="7787A26B" w14:textId="77777777" w:rsidR="00B21991" w:rsidRPr="00FB15DB" w:rsidRDefault="00B21991" w:rsidP="003D5B2E">
            <w:pPr>
              <w:pStyle w:val="TableTextLeft"/>
            </w:pPr>
          </w:p>
        </w:tc>
        <w:tc>
          <w:tcPr>
            <w:tcW w:w="1313" w:type="pct"/>
          </w:tcPr>
          <w:p w14:paraId="296EE493"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Water provision</w:t>
            </w:r>
          </w:p>
        </w:tc>
        <w:tc>
          <w:tcPr>
            <w:tcW w:w="898" w:type="pct"/>
          </w:tcPr>
          <w:p w14:paraId="1E439F11"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 xml:space="preserve">$ / </w:t>
            </w:r>
            <w:proofErr w:type="spellStart"/>
            <w:r w:rsidRPr="00FB15DB">
              <w:t>Ml</w:t>
            </w:r>
            <w:proofErr w:type="spellEnd"/>
          </w:p>
        </w:tc>
        <w:tc>
          <w:tcPr>
            <w:tcW w:w="2145" w:type="pct"/>
          </w:tcPr>
          <w:p w14:paraId="233A037A"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Replacement cost of supplying water</w:t>
            </w:r>
          </w:p>
        </w:tc>
      </w:tr>
      <w:tr w:rsidR="003D5B2E" w:rsidRPr="00FB15DB" w14:paraId="7D4C4AA3" w14:textId="77777777" w:rsidTr="003D5B2E">
        <w:tc>
          <w:tcPr>
            <w:cnfStyle w:val="001000000000" w:firstRow="0" w:lastRow="0" w:firstColumn="1" w:lastColumn="0" w:oddVBand="0" w:evenVBand="0" w:oddHBand="0" w:evenHBand="0" w:firstRowFirstColumn="0" w:firstRowLastColumn="0" w:lastRowFirstColumn="0" w:lastRowLastColumn="0"/>
            <w:tcW w:w="644" w:type="pct"/>
            <w:vMerge w:val="restart"/>
          </w:tcPr>
          <w:p w14:paraId="4CF579CB" w14:textId="77777777" w:rsidR="00B21991" w:rsidRPr="00FB15DB" w:rsidRDefault="00B21991" w:rsidP="003D5B2E">
            <w:pPr>
              <w:pStyle w:val="TableTextLeft"/>
            </w:pPr>
            <w:r w:rsidRPr="00FB15DB">
              <w:t>Regulating</w:t>
            </w:r>
          </w:p>
        </w:tc>
        <w:tc>
          <w:tcPr>
            <w:tcW w:w="1313" w:type="pct"/>
          </w:tcPr>
          <w:p w14:paraId="004E3319"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Air quality regulation</w:t>
            </w:r>
          </w:p>
        </w:tc>
        <w:tc>
          <w:tcPr>
            <w:tcW w:w="898" w:type="pct"/>
          </w:tcPr>
          <w:p w14:paraId="530AEB19"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 / tonnes or μ</w:t>
            </w:r>
            <w:r w:rsidRPr="00FB15DB">
              <w:rPr>
                <w:vertAlign w:val="superscript"/>
              </w:rPr>
              <w:t>3</w:t>
            </w:r>
          </w:p>
        </w:tc>
        <w:tc>
          <w:tcPr>
            <w:tcW w:w="2145" w:type="pct"/>
          </w:tcPr>
          <w:p w14:paraId="64E9ED95"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Avoided health costs to population exposed</w:t>
            </w:r>
          </w:p>
        </w:tc>
      </w:tr>
      <w:tr w:rsidR="003D5B2E" w:rsidRPr="00FB15DB" w14:paraId="67F3CF7E" w14:textId="77777777" w:rsidTr="003D5B2E">
        <w:tc>
          <w:tcPr>
            <w:cnfStyle w:val="001000000000" w:firstRow="0" w:lastRow="0" w:firstColumn="1" w:lastColumn="0" w:oddVBand="0" w:evenVBand="0" w:oddHBand="0" w:evenHBand="0" w:firstRowFirstColumn="0" w:firstRowLastColumn="0" w:lastRowFirstColumn="0" w:lastRowLastColumn="0"/>
            <w:tcW w:w="644" w:type="pct"/>
            <w:vMerge/>
          </w:tcPr>
          <w:p w14:paraId="72D8436D" w14:textId="77777777" w:rsidR="00B21991" w:rsidRPr="00FB15DB" w:rsidRDefault="00B21991" w:rsidP="003D5B2E">
            <w:pPr>
              <w:pStyle w:val="TableTextLeft"/>
            </w:pPr>
          </w:p>
        </w:tc>
        <w:tc>
          <w:tcPr>
            <w:tcW w:w="1313" w:type="pct"/>
          </w:tcPr>
          <w:p w14:paraId="6D9FA24F"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 xml:space="preserve">Water quality regulation </w:t>
            </w:r>
          </w:p>
        </w:tc>
        <w:tc>
          <w:tcPr>
            <w:tcW w:w="898" w:type="pct"/>
          </w:tcPr>
          <w:p w14:paraId="20229854"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 xml:space="preserve">$ / km or </w:t>
            </w:r>
            <w:proofErr w:type="spellStart"/>
            <w:r w:rsidRPr="00FB15DB">
              <w:t>Ml</w:t>
            </w:r>
            <w:proofErr w:type="spellEnd"/>
          </w:p>
        </w:tc>
        <w:tc>
          <w:tcPr>
            <w:tcW w:w="2145" w:type="pct"/>
          </w:tcPr>
          <w:p w14:paraId="6A3A8A15"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Avoided cost of infrastructure / wetlands</w:t>
            </w:r>
          </w:p>
          <w:p w14:paraId="62D030FA"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Avoided cost of treating polluted water</w:t>
            </w:r>
          </w:p>
        </w:tc>
      </w:tr>
      <w:tr w:rsidR="003D5B2E" w:rsidRPr="00FB15DB" w14:paraId="76772CEF" w14:textId="77777777" w:rsidTr="003D5B2E">
        <w:tc>
          <w:tcPr>
            <w:cnfStyle w:val="001000000000" w:firstRow="0" w:lastRow="0" w:firstColumn="1" w:lastColumn="0" w:oddVBand="0" w:evenVBand="0" w:oddHBand="0" w:evenHBand="0" w:firstRowFirstColumn="0" w:firstRowLastColumn="0" w:lastRowFirstColumn="0" w:lastRowLastColumn="0"/>
            <w:tcW w:w="644" w:type="pct"/>
            <w:vMerge/>
          </w:tcPr>
          <w:p w14:paraId="0F6C0B77" w14:textId="77777777" w:rsidR="00B21991" w:rsidRPr="00FB15DB" w:rsidRDefault="00B21991" w:rsidP="003D5B2E">
            <w:pPr>
              <w:pStyle w:val="TableTextLeft"/>
            </w:pPr>
          </w:p>
        </w:tc>
        <w:tc>
          <w:tcPr>
            <w:tcW w:w="1313" w:type="pct"/>
          </w:tcPr>
          <w:p w14:paraId="3F007CEB"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Flood risk regulation</w:t>
            </w:r>
          </w:p>
        </w:tc>
        <w:tc>
          <w:tcPr>
            <w:tcW w:w="898" w:type="pct"/>
          </w:tcPr>
          <w:p w14:paraId="10C50F0D"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 / km</w:t>
            </w:r>
          </w:p>
        </w:tc>
        <w:tc>
          <w:tcPr>
            <w:tcW w:w="2145" w:type="pct"/>
          </w:tcPr>
          <w:p w14:paraId="72DF2ABB"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Replacement cost of flood control infrastructure</w:t>
            </w:r>
          </w:p>
        </w:tc>
      </w:tr>
      <w:tr w:rsidR="003D5B2E" w:rsidRPr="00FB15DB" w14:paraId="67D8E292" w14:textId="77777777" w:rsidTr="003D5B2E">
        <w:tc>
          <w:tcPr>
            <w:cnfStyle w:val="001000000000" w:firstRow="0" w:lastRow="0" w:firstColumn="1" w:lastColumn="0" w:oddVBand="0" w:evenVBand="0" w:oddHBand="0" w:evenHBand="0" w:firstRowFirstColumn="0" w:firstRowLastColumn="0" w:lastRowFirstColumn="0" w:lastRowLastColumn="0"/>
            <w:tcW w:w="644" w:type="pct"/>
            <w:vMerge/>
          </w:tcPr>
          <w:p w14:paraId="5503C755" w14:textId="77777777" w:rsidR="00B21991" w:rsidRPr="00FB15DB" w:rsidRDefault="00B21991" w:rsidP="003D5B2E">
            <w:pPr>
              <w:pStyle w:val="TableTextLeft"/>
            </w:pPr>
          </w:p>
        </w:tc>
        <w:tc>
          <w:tcPr>
            <w:tcW w:w="1313" w:type="pct"/>
          </w:tcPr>
          <w:p w14:paraId="0D02E11F"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Landslide regulation</w:t>
            </w:r>
          </w:p>
        </w:tc>
        <w:tc>
          <w:tcPr>
            <w:tcW w:w="898" w:type="pct"/>
          </w:tcPr>
          <w:p w14:paraId="4283228D"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 / ha</w:t>
            </w:r>
          </w:p>
        </w:tc>
        <w:tc>
          <w:tcPr>
            <w:tcW w:w="2145" w:type="pct"/>
          </w:tcPr>
          <w:p w14:paraId="3BD14F38"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Avoided costs of land rehabilitation costs</w:t>
            </w:r>
          </w:p>
        </w:tc>
      </w:tr>
      <w:tr w:rsidR="003D5B2E" w:rsidRPr="00FB15DB" w14:paraId="149567B8" w14:textId="77777777" w:rsidTr="003D5B2E">
        <w:tc>
          <w:tcPr>
            <w:cnfStyle w:val="001000000000" w:firstRow="0" w:lastRow="0" w:firstColumn="1" w:lastColumn="0" w:oddVBand="0" w:evenVBand="0" w:oddHBand="0" w:evenHBand="0" w:firstRowFirstColumn="0" w:firstRowLastColumn="0" w:lastRowFirstColumn="0" w:lastRowLastColumn="0"/>
            <w:tcW w:w="644" w:type="pct"/>
            <w:vMerge/>
          </w:tcPr>
          <w:p w14:paraId="0678E2F8" w14:textId="77777777" w:rsidR="00B21991" w:rsidRPr="00FB15DB" w:rsidRDefault="00B21991" w:rsidP="003D5B2E">
            <w:pPr>
              <w:pStyle w:val="TableTextLeft"/>
            </w:pPr>
          </w:p>
        </w:tc>
        <w:tc>
          <w:tcPr>
            <w:tcW w:w="1313" w:type="pct"/>
          </w:tcPr>
          <w:p w14:paraId="66A7F518"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Coastal protection</w:t>
            </w:r>
          </w:p>
        </w:tc>
        <w:tc>
          <w:tcPr>
            <w:tcW w:w="898" w:type="pct"/>
          </w:tcPr>
          <w:p w14:paraId="547291FA"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 / km</w:t>
            </w:r>
          </w:p>
        </w:tc>
        <w:tc>
          <w:tcPr>
            <w:tcW w:w="2145" w:type="pct"/>
          </w:tcPr>
          <w:p w14:paraId="4A57121D"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Avoided cost of infrastructure (e.g., sea wall)</w:t>
            </w:r>
          </w:p>
          <w:p w14:paraId="095ECAC4"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Avoided damage costs</w:t>
            </w:r>
          </w:p>
        </w:tc>
      </w:tr>
      <w:tr w:rsidR="003D5B2E" w:rsidRPr="00FB15DB" w14:paraId="3698F284" w14:textId="77777777" w:rsidTr="003D5B2E">
        <w:tc>
          <w:tcPr>
            <w:cnfStyle w:val="001000000000" w:firstRow="0" w:lastRow="0" w:firstColumn="1" w:lastColumn="0" w:oddVBand="0" w:evenVBand="0" w:oddHBand="0" w:evenHBand="0" w:firstRowFirstColumn="0" w:firstRowLastColumn="0" w:lastRowFirstColumn="0" w:lastRowLastColumn="0"/>
            <w:tcW w:w="644" w:type="pct"/>
            <w:vMerge/>
          </w:tcPr>
          <w:p w14:paraId="42B8BF42" w14:textId="77777777" w:rsidR="00B21991" w:rsidRPr="00FB15DB" w:rsidRDefault="00B21991" w:rsidP="003D5B2E">
            <w:pPr>
              <w:pStyle w:val="TableTextLeft"/>
            </w:pPr>
          </w:p>
        </w:tc>
        <w:tc>
          <w:tcPr>
            <w:tcW w:w="1313" w:type="pct"/>
          </w:tcPr>
          <w:p w14:paraId="448E1068"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Global climate regulation</w:t>
            </w:r>
          </w:p>
        </w:tc>
        <w:tc>
          <w:tcPr>
            <w:tcW w:w="898" w:type="pct"/>
          </w:tcPr>
          <w:p w14:paraId="19183FEC"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 / tCO</w:t>
            </w:r>
            <w:r w:rsidRPr="00FB15DB">
              <w:rPr>
                <w:vertAlign w:val="subscript"/>
              </w:rPr>
              <w:t>2</w:t>
            </w:r>
            <w:r w:rsidRPr="00FB15DB">
              <w:t xml:space="preserve">e </w:t>
            </w:r>
          </w:p>
        </w:tc>
        <w:tc>
          <w:tcPr>
            <w:tcW w:w="2145" w:type="pct"/>
          </w:tcPr>
          <w:p w14:paraId="525907EA"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Social cost of carbon</w:t>
            </w:r>
          </w:p>
          <w:p w14:paraId="3C918B47"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Market prices for carbon</w:t>
            </w:r>
          </w:p>
        </w:tc>
      </w:tr>
      <w:tr w:rsidR="003D5B2E" w:rsidRPr="00FB15DB" w14:paraId="6CB3869C" w14:textId="77777777" w:rsidTr="003D5B2E">
        <w:tc>
          <w:tcPr>
            <w:cnfStyle w:val="001000000000" w:firstRow="0" w:lastRow="0" w:firstColumn="1" w:lastColumn="0" w:oddVBand="0" w:evenVBand="0" w:oddHBand="0" w:evenHBand="0" w:firstRowFirstColumn="0" w:firstRowLastColumn="0" w:lastRowFirstColumn="0" w:lastRowLastColumn="0"/>
            <w:tcW w:w="644" w:type="pct"/>
            <w:vMerge/>
          </w:tcPr>
          <w:p w14:paraId="249C95FC" w14:textId="77777777" w:rsidR="00B21991" w:rsidRPr="00FB15DB" w:rsidRDefault="00B21991" w:rsidP="003D5B2E">
            <w:pPr>
              <w:pStyle w:val="TableTextLeft"/>
            </w:pPr>
          </w:p>
        </w:tc>
        <w:tc>
          <w:tcPr>
            <w:tcW w:w="1313" w:type="pct"/>
          </w:tcPr>
          <w:p w14:paraId="2632AAD5"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Local climate regulation</w:t>
            </w:r>
          </w:p>
        </w:tc>
        <w:tc>
          <w:tcPr>
            <w:tcW w:w="898" w:type="pct"/>
          </w:tcPr>
          <w:p w14:paraId="00D06F65"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 / °C</w:t>
            </w:r>
          </w:p>
        </w:tc>
        <w:tc>
          <w:tcPr>
            <w:tcW w:w="2145" w:type="pct"/>
          </w:tcPr>
          <w:p w14:paraId="574E2A24"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Avoided health costs</w:t>
            </w:r>
          </w:p>
        </w:tc>
      </w:tr>
      <w:tr w:rsidR="003D5B2E" w:rsidRPr="00FB15DB" w14:paraId="14B9C71D" w14:textId="77777777" w:rsidTr="003D5B2E">
        <w:tc>
          <w:tcPr>
            <w:cnfStyle w:val="001000000000" w:firstRow="0" w:lastRow="0" w:firstColumn="1" w:lastColumn="0" w:oddVBand="0" w:evenVBand="0" w:oddHBand="0" w:evenHBand="0" w:firstRowFirstColumn="0" w:firstRowLastColumn="0" w:lastRowFirstColumn="0" w:lastRowLastColumn="0"/>
            <w:tcW w:w="644" w:type="pct"/>
            <w:vMerge/>
          </w:tcPr>
          <w:p w14:paraId="3E400AAE" w14:textId="77777777" w:rsidR="00B21991" w:rsidRPr="00FB15DB" w:rsidRDefault="00B21991" w:rsidP="003D5B2E">
            <w:pPr>
              <w:pStyle w:val="TableTextLeft"/>
            </w:pPr>
          </w:p>
        </w:tc>
        <w:tc>
          <w:tcPr>
            <w:tcW w:w="1313" w:type="pct"/>
          </w:tcPr>
          <w:p w14:paraId="39E6805D"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Noise regulation</w:t>
            </w:r>
          </w:p>
        </w:tc>
        <w:tc>
          <w:tcPr>
            <w:tcW w:w="898" w:type="pct"/>
          </w:tcPr>
          <w:p w14:paraId="5AD750BE"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 / dBA</w:t>
            </w:r>
          </w:p>
        </w:tc>
        <w:tc>
          <w:tcPr>
            <w:tcW w:w="2145" w:type="pct"/>
          </w:tcPr>
          <w:p w14:paraId="11416484"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Avoided health costs</w:t>
            </w:r>
          </w:p>
        </w:tc>
      </w:tr>
      <w:tr w:rsidR="003D5B2E" w:rsidRPr="00FB15DB" w14:paraId="38A858D8" w14:textId="77777777" w:rsidTr="003D5B2E">
        <w:tc>
          <w:tcPr>
            <w:cnfStyle w:val="001000000000" w:firstRow="0" w:lastRow="0" w:firstColumn="1" w:lastColumn="0" w:oddVBand="0" w:evenVBand="0" w:oddHBand="0" w:evenHBand="0" w:firstRowFirstColumn="0" w:firstRowLastColumn="0" w:lastRowFirstColumn="0" w:lastRowLastColumn="0"/>
            <w:tcW w:w="644" w:type="pct"/>
            <w:vMerge w:val="restart"/>
          </w:tcPr>
          <w:p w14:paraId="36186EFD" w14:textId="77777777" w:rsidR="00B21991" w:rsidRPr="00FB15DB" w:rsidRDefault="00B21991" w:rsidP="003D5B2E">
            <w:pPr>
              <w:pStyle w:val="TableTextLeft"/>
            </w:pPr>
            <w:r w:rsidRPr="00FB15DB">
              <w:t>Cultural</w:t>
            </w:r>
          </w:p>
        </w:tc>
        <w:tc>
          <w:tcPr>
            <w:tcW w:w="1313" w:type="pct"/>
          </w:tcPr>
          <w:p w14:paraId="6266B660"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Recreation</w:t>
            </w:r>
          </w:p>
        </w:tc>
        <w:tc>
          <w:tcPr>
            <w:tcW w:w="898" w:type="pct"/>
          </w:tcPr>
          <w:p w14:paraId="196F723F"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 / number visits</w:t>
            </w:r>
          </w:p>
        </w:tc>
        <w:tc>
          <w:tcPr>
            <w:tcW w:w="2145" w:type="pct"/>
          </w:tcPr>
          <w:p w14:paraId="637E878B"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Willingness to pay for recreational activity</w:t>
            </w:r>
          </w:p>
          <w:p w14:paraId="0822C33B"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Tourism expenditure/GVA</w:t>
            </w:r>
          </w:p>
        </w:tc>
      </w:tr>
      <w:tr w:rsidR="003D5B2E" w:rsidRPr="00FB15DB" w14:paraId="762E1608" w14:textId="77777777" w:rsidTr="003D5B2E">
        <w:tc>
          <w:tcPr>
            <w:cnfStyle w:val="001000000000" w:firstRow="0" w:lastRow="0" w:firstColumn="1" w:lastColumn="0" w:oddVBand="0" w:evenVBand="0" w:oddHBand="0" w:evenHBand="0" w:firstRowFirstColumn="0" w:firstRowLastColumn="0" w:lastRowFirstColumn="0" w:lastRowLastColumn="0"/>
            <w:tcW w:w="644" w:type="pct"/>
            <w:vMerge/>
          </w:tcPr>
          <w:p w14:paraId="2D6528F7" w14:textId="77777777" w:rsidR="00B21991" w:rsidRPr="00FB15DB" w:rsidRDefault="00B21991" w:rsidP="003D5B2E">
            <w:pPr>
              <w:pStyle w:val="TableTextLeft"/>
            </w:pPr>
          </w:p>
        </w:tc>
        <w:tc>
          <w:tcPr>
            <w:tcW w:w="1313" w:type="pct"/>
          </w:tcPr>
          <w:p w14:paraId="1CE1650C"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Tourism</w:t>
            </w:r>
          </w:p>
        </w:tc>
        <w:tc>
          <w:tcPr>
            <w:tcW w:w="898" w:type="pct"/>
          </w:tcPr>
          <w:p w14:paraId="0DEE449F"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 xml:space="preserve">$ expenditure </w:t>
            </w:r>
          </w:p>
        </w:tc>
        <w:tc>
          <w:tcPr>
            <w:tcW w:w="2145" w:type="pct"/>
          </w:tcPr>
          <w:p w14:paraId="08CB3147"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 xml:space="preserve">Hedonic pricing – nature based expenditure </w:t>
            </w:r>
          </w:p>
        </w:tc>
      </w:tr>
      <w:tr w:rsidR="003D5B2E" w:rsidRPr="00FB15DB" w14:paraId="18B68CAA" w14:textId="77777777" w:rsidTr="003D5B2E">
        <w:tc>
          <w:tcPr>
            <w:cnfStyle w:val="001000000000" w:firstRow="0" w:lastRow="0" w:firstColumn="1" w:lastColumn="0" w:oddVBand="0" w:evenVBand="0" w:oddHBand="0" w:evenHBand="0" w:firstRowFirstColumn="0" w:firstRowLastColumn="0" w:lastRowFirstColumn="0" w:lastRowLastColumn="0"/>
            <w:tcW w:w="644" w:type="pct"/>
            <w:vMerge/>
          </w:tcPr>
          <w:p w14:paraId="6110154F" w14:textId="77777777" w:rsidR="00B21991" w:rsidRPr="00FB15DB" w:rsidRDefault="00B21991" w:rsidP="003D5B2E">
            <w:pPr>
              <w:pStyle w:val="TableTextLeft"/>
            </w:pPr>
          </w:p>
        </w:tc>
        <w:tc>
          <w:tcPr>
            <w:tcW w:w="1313" w:type="pct"/>
          </w:tcPr>
          <w:p w14:paraId="410E60D3"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Education and research</w:t>
            </w:r>
          </w:p>
        </w:tc>
        <w:tc>
          <w:tcPr>
            <w:tcW w:w="898" w:type="pct"/>
          </w:tcPr>
          <w:p w14:paraId="5FA5526C"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 / visit</w:t>
            </w:r>
          </w:p>
        </w:tc>
        <w:tc>
          <w:tcPr>
            <w:tcW w:w="2145" w:type="pct"/>
          </w:tcPr>
          <w:p w14:paraId="6457D5EB"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Cost of educational visits</w:t>
            </w:r>
          </w:p>
        </w:tc>
      </w:tr>
      <w:tr w:rsidR="003D5B2E" w:rsidRPr="00FB15DB" w14:paraId="681B060A" w14:textId="77777777" w:rsidTr="003D5B2E">
        <w:tc>
          <w:tcPr>
            <w:cnfStyle w:val="001000000000" w:firstRow="0" w:lastRow="0" w:firstColumn="1" w:lastColumn="0" w:oddVBand="0" w:evenVBand="0" w:oddHBand="0" w:evenHBand="0" w:firstRowFirstColumn="0" w:firstRowLastColumn="0" w:lastRowFirstColumn="0" w:lastRowLastColumn="0"/>
            <w:tcW w:w="644" w:type="pct"/>
            <w:vMerge/>
          </w:tcPr>
          <w:p w14:paraId="2E3F05A3" w14:textId="77777777" w:rsidR="00B21991" w:rsidRPr="00FB15DB" w:rsidRDefault="00B21991" w:rsidP="003D5B2E">
            <w:pPr>
              <w:pStyle w:val="TableTextLeft"/>
            </w:pPr>
          </w:p>
        </w:tc>
        <w:tc>
          <w:tcPr>
            <w:tcW w:w="1313" w:type="pct"/>
          </w:tcPr>
          <w:p w14:paraId="42C81AAD"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Existence / Option value</w:t>
            </w:r>
          </w:p>
        </w:tc>
        <w:tc>
          <w:tcPr>
            <w:tcW w:w="898" w:type="pct"/>
          </w:tcPr>
          <w:p w14:paraId="11B43E3C"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 / species / habitat</w:t>
            </w:r>
          </w:p>
        </w:tc>
        <w:tc>
          <w:tcPr>
            <w:tcW w:w="2145" w:type="pct"/>
          </w:tcPr>
          <w:p w14:paraId="4AC4400A"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 xml:space="preserve">Charitable donations </w:t>
            </w:r>
          </w:p>
          <w:p w14:paraId="65D99AF8"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Willingness to pay for existence</w:t>
            </w:r>
          </w:p>
        </w:tc>
      </w:tr>
      <w:tr w:rsidR="003D5B2E" w:rsidRPr="00FB15DB" w14:paraId="30415827" w14:textId="77777777" w:rsidTr="003D5B2E">
        <w:tc>
          <w:tcPr>
            <w:cnfStyle w:val="001000000000" w:firstRow="0" w:lastRow="0" w:firstColumn="1" w:lastColumn="0" w:oddVBand="0" w:evenVBand="0" w:oddHBand="0" w:evenHBand="0" w:firstRowFirstColumn="0" w:firstRowLastColumn="0" w:lastRowFirstColumn="0" w:lastRowLastColumn="0"/>
            <w:tcW w:w="644" w:type="pct"/>
            <w:vMerge/>
          </w:tcPr>
          <w:p w14:paraId="6FC3A7B0" w14:textId="77777777" w:rsidR="00B21991" w:rsidRPr="00FB15DB" w:rsidRDefault="00B21991" w:rsidP="003D5B2E">
            <w:pPr>
              <w:pStyle w:val="TableTextLeft"/>
            </w:pPr>
          </w:p>
        </w:tc>
        <w:tc>
          <w:tcPr>
            <w:tcW w:w="1313" w:type="pct"/>
          </w:tcPr>
          <w:p w14:paraId="40050705"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Social cohesion/community</w:t>
            </w:r>
          </w:p>
        </w:tc>
        <w:tc>
          <w:tcPr>
            <w:tcW w:w="898" w:type="pct"/>
          </w:tcPr>
          <w:p w14:paraId="1BEB1CDE"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 / hour</w:t>
            </w:r>
          </w:p>
        </w:tc>
        <w:tc>
          <w:tcPr>
            <w:tcW w:w="2145" w:type="pct"/>
          </w:tcPr>
          <w:p w14:paraId="25BF2028"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Hourly wage rate of volunteers</w:t>
            </w:r>
          </w:p>
        </w:tc>
      </w:tr>
      <w:tr w:rsidR="003D5B2E" w:rsidRPr="00FB15DB" w14:paraId="5E6C0CBD" w14:textId="77777777" w:rsidTr="003D5B2E">
        <w:tc>
          <w:tcPr>
            <w:cnfStyle w:val="001000000000" w:firstRow="0" w:lastRow="0" w:firstColumn="1" w:lastColumn="0" w:oddVBand="0" w:evenVBand="0" w:oddHBand="0" w:evenHBand="0" w:firstRowFirstColumn="0" w:firstRowLastColumn="0" w:lastRowFirstColumn="0" w:lastRowLastColumn="0"/>
            <w:tcW w:w="644" w:type="pct"/>
            <w:vMerge/>
          </w:tcPr>
          <w:p w14:paraId="55DF9DCB" w14:textId="77777777" w:rsidR="00B21991" w:rsidRPr="00FB15DB" w:rsidRDefault="00B21991" w:rsidP="003D5B2E">
            <w:pPr>
              <w:pStyle w:val="TableTextLeft"/>
            </w:pPr>
          </w:p>
        </w:tc>
        <w:tc>
          <w:tcPr>
            <w:tcW w:w="1313" w:type="pct"/>
          </w:tcPr>
          <w:p w14:paraId="7EB5557A"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Traditional Owners living cultural heritage</w:t>
            </w:r>
          </w:p>
        </w:tc>
        <w:tc>
          <w:tcPr>
            <w:tcW w:w="3043" w:type="pct"/>
            <w:gridSpan w:val="2"/>
          </w:tcPr>
          <w:p w14:paraId="0D9D1645" w14:textId="00250084"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Not considered appropriate</w:t>
            </w:r>
            <w:r w:rsidR="00F761FB">
              <w:rPr>
                <w:rStyle w:val="FootnoteReference"/>
              </w:rPr>
              <w:footnoteReference w:id="9"/>
            </w:r>
          </w:p>
        </w:tc>
      </w:tr>
      <w:tr w:rsidR="003D5B2E" w:rsidRPr="00FB15DB" w14:paraId="000931CB" w14:textId="77777777" w:rsidTr="003D5B2E">
        <w:tc>
          <w:tcPr>
            <w:cnfStyle w:val="001000000000" w:firstRow="0" w:lastRow="0" w:firstColumn="1" w:lastColumn="0" w:oddVBand="0" w:evenVBand="0" w:oddHBand="0" w:evenHBand="0" w:firstRowFirstColumn="0" w:firstRowLastColumn="0" w:lastRowFirstColumn="0" w:lastRowLastColumn="0"/>
            <w:tcW w:w="644" w:type="pct"/>
            <w:vMerge/>
          </w:tcPr>
          <w:p w14:paraId="723186EC" w14:textId="77777777" w:rsidR="00B21991" w:rsidRPr="00FB15DB" w:rsidRDefault="00B21991" w:rsidP="003D5B2E">
            <w:pPr>
              <w:pStyle w:val="TableTextLeft"/>
            </w:pPr>
          </w:p>
        </w:tc>
        <w:tc>
          <w:tcPr>
            <w:tcW w:w="1313" w:type="pct"/>
          </w:tcPr>
          <w:p w14:paraId="71120AE3"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Historic non-Indigenous cultural heritage</w:t>
            </w:r>
          </w:p>
        </w:tc>
        <w:tc>
          <w:tcPr>
            <w:tcW w:w="3043" w:type="pct"/>
            <w:gridSpan w:val="2"/>
          </w:tcPr>
          <w:p w14:paraId="5C3889BE" w14:textId="614DF263"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Not considered appropriate</w:t>
            </w:r>
            <w:r w:rsidR="00D510D0">
              <w:t xml:space="preserve"> </w:t>
            </w:r>
            <w:r w:rsidR="00686113">
              <w:rPr>
                <w:rStyle w:val="FootnoteReference"/>
              </w:rPr>
              <w:footnoteReference w:id="10"/>
            </w:r>
          </w:p>
        </w:tc>
      </w:tr>
      <w:tr w:rsidR="003D5B2E" w:rsidRPr="00FB15DB" w14:paraId="170F783A" w14:textId="77777777" w:rsidTr="003D5B2E">
        <w:tc>
          <w:tcPr>
            <w:cnfStyle w:val="001000000000" w:firstRow="0" w:lastRow="0" w:firstColumn="1" w:lastColumn="0" w:oddVBand="0" w:evenVBand="0" w:oddHBand="0" w:evenHBand="0" w:firstRowFirstColumn="0" w:firstRowLastColumn="0" w:lastRowFirstColumn="0" w:lastRowLastColumn="0"/>
            <w:tcW w:w="644" w:type="pct"/>
          </w:tcPr>
          <w:p w14:paraId="7BC7DE35" w14:textId="77777777" w:rsidR="00B21991" w:rsidRPr="00FB15DB" w:rsidRDefault="00B21991" w:rsidP="003D5B2E">
            <w:pPr>
              <w:pStyle w:val="TableTextLeft"/>
            </w:pPr>
            <w:r w:rsidRPr="00FB15DB">
              <w:t>Bundle</w:t>
            </w:r>
          </w:p>
        </w:tc>
        <w:tc>
          <w:tcPr>
            <w:tcW w:w="1313" w:type="pct"/>
          </w:tcPr>
          <w:p w14:paraId="3DA49091"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pPr>
            <w:r w:rsidRPr="00FB15DB">
              <w:t>Amenity</w:t>
            </w:r>
          </w:p>
        </w:tc>
        <w:tc>
          <w:tcPr>
            <w:tcW w:w="898" w:type="pct"/>
          </w:tcPr>
          <w:p w14:paraId="6D4ACEC8"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rPr>
                <w:i/>
              </w:rPr>
            </w:pPr>
            <w:r w:rsidRPr="00FB15DB">
              <w:t>$ / residence</w:t>
            </w:r>
          </w:p>
        </w:tc>
        <w:tc>
          <w:tcPr>
            <w:tcW w:w="2145" w:type="pct"/>
          </w:tcPr>
          <w:p w14:paraId="69EBD321" w14:textId="77777777" w:rsidR="00B21991" w:rsidRPr="00FB15DB" w:rsidRDefault="00B21991" w:rsidP="003D5B2E">
            <w:pPr>
              <w:pStyle w:val="TableTextLeft"/>
              <w:cnfStyle w:val="000000000000" w:firstRow="0" w:lastRow="0" w:firstColumn="0" w:lastColumn="0" w:oddVBand="0" w:evenVBand="0" w:oddHBand="0" w:evenHBand="0" w:firstRowFirstColumn="0" w:firstRowLastColumn="0" w:lastRowFirstColumn="0" w:lastRowLastColumn="0"/>
              <w:rPr>
                <w:i/>
              </w:rPr>
            </w:pPr>
            <w:r w:rsidRPr="00FB15DB">
              <w:t>Price premiums from hedonic pricing</w:t>
            </w:r>
          </w:p>
        </w:tc>
      </w:tr>
      <w:tr w:rsidR="003D5B2E" w:rsidRPr="00FB15DB" w14:paraId="4BD7C489" w14:textId="77777777" w:rsidTr="00D17E95">
        <w:tc>
          <w:tcPr>
            <w:cnfStyle w:val="001000000000" w:firstRow="0" w:lastRow="0" w:firstColumn="1" w:lastColumn="0" w:oddVBand="0" w:evenVBand="0" w:oddHBand="0" w:evenHBand="0" w:firstRowFirstColumn="0" w:firstRowLastColumn="0" w:lastRowFirstColumn="0" w:lastRowLastColumn="0"/>
            <w:tcW w:w="644" w:type="pct"/>
            <w:vMerge w:val="restart"/>
            <w:shd w:val="clear" w:color="auto" w:fill="auto"/>
          </w:tcPr>
          <w:p w14:paraId="4783F760" w14:textId="77777777" w:rsidR="00B21991" w:rsidRPr="008923E6" w:rsidRDefault="00B21991" w:rsidP="003D5B2E">
            <w:pPr>
              <w:pStyle w:val="TableTextLeft"/>
              <w:rPr>
                <w:i/>
                <w:iCs/>
                <w:vertAlign w:val="superscript"/>
              </w:rPr>
            </w:pPr>
            <w:r w:rsidRPr="008923E6">
              <w:rPr>
                <w:i/>
                <w:iCs/>
              </w:rPr>
              <w:t>Supporting</w:t>
            </w:r>
            <w:r w:rsidRPr="008923E6">
              <w:rPr>
                <w:i/>
                <w:iCs/>
                <w:vertAlign w:val="superscript"/>
              </w:rPr>
              <w:footnoteReference w:id="11"/>
            </w:r>
          </w:p>
        </w:tc>
        <w:tc>
          <w:tcPr>
            <w:tcW w:w="1313" w:type="pct"/>
            <w:shd w:val="clear" w:color="auto" w:fill="auto"/>
          </w:tcPr>
          <w:p w14:paraId="2CB60175" w14:textId="77777777" w:rsidR="00B21991" w:rsidRPr="008923E6" w:rsidRDefault="00B21991" w:rsidP="003D5B2E">
            <w:pPr>
              <w:pStyle w:val="TableTextLeft"/>
              <w:cnfStyle w:val="000000000000" w:firstRow="0" w:lastRow="0" w:firstColumn="0" w:lastColumn="0" w:oddVBand="0" w:evenVBand="0" w:oddHBand="0" w:evenHBand="0" w:firstRowFirstColumn="0" w:firstRowLastColumn="0" w:lastRowFirstColumn="0" w:lastRowLastColumn="0"/>
              <w:rPr>
                <w:i/>
                <w:iCs/>
              </w:rPr>
            </w:pPr>
            <w:r w:rsidRPr="008923E6">
              <w:rPr>
                <w:i/>
                <w:iCs/>
              </w:rPr>
              <w:t>Habitat provision</w:t>
            </w:r>
          </w:p>
        </w:tc>
        <w:tc>
          <w:tcPr>
            <w:tcW w:w="898" w:type="pct"/>
            <w:shd w:val="clear" w:color="auto" w:fill="auto"/>
          </w:tcPr>
          <w:p w14:paraId="5D62A857" w14:textId="77777777" w:rsidR="00B21991" w:rsidRPr="008923E6" w:rsidRDefault="00B21991" w:rsidP="003D5B2E">
            <w:pPr>
              <w:pStyle w:val="TableTextLeft"/>
              <w:cnfStyle w:val="000000000000" w:firstRow="0" w:lastRow="0" w:firstColumn="0" w:lastColumn="0" w:oddVBand="0" w:evenVBand="0" w:oddHBand="0" w:evenHBand="0" w:firstRowFirstColumn="0" w:firstRowLastColumn="0" w:lastRowFirstColumn="0" w:lastRowLastColumn="0"/>
              <w:rPr>
                <w:i/>
                <w:iCs/>
              </w:rPr>
            </w:pPr>
            <w:r w:rsidRPr="008923E6">
              <w:rPr>
                <w:i/>
                <w:iCs/>
              </w:rPr>
              <w:t>$ / ha</w:t>
            </w:r>
          </w:p>
        </w:tc>
        <w:tc>
          <w:tcPr>
            <w:tcW w:w="2145" w:type="pct"/>
            <w:shd w:val="clear" w:color="auto" w:fill="auto"/>
          </w:tcPr>
          <w:p w14:paraId="2CE0EC58" w14:textId="77777777" w:rsidR="00B21991" w:rsidRPr="008923E6" w:rsidRDefault="00B21991" w:rsidP="003D5B2E">
            <w:pPr>
              <w:pStyle w:val="TableTextLeft"/>
              <w:cnfStyle w:val="000000000000" w:firstRow="0" w:lastRow="0" w:firstColumn="0" w:lastColumn="0" w:oddVBand="0" w:evenVBand="0" w:oddHBand="0" w:evenHBand="0" w:firstRowFirstColumn="0" w:firstRowLastColumn="0" w:lastRowFirstColumn="0" w:lastRowLastColumn="0"/>
              <w:rPr>
                <w:i/>
                <w:iCs/>
              </w:rPr>
            </w:pPr>
            <w:r w:rsidRPr="008923E6">
              <w:rPr>
                <w:i/>
                <w:iCs/>
              </w:rPr>
              <w:t>Willingness to pay for pristine habitat</w:t>
            </w:r>
          </w:p>
        </w:tc>
      </w:tr>
      <w:tr w:rsidR="003D5B2E" w:rsidRPr="00FB15DB" w14:paraId="3C4C881A" w14:textId="77777777" w:rsidTr="00D17E95">
        <w:tc>
          <w:tcPr>
            <w:cnfStyle w:val="001000000000" w:firstRow="0" w:lastRow="0" w:firstColumn="1" w:lastColumn="0" w:oddVBand="0" w:evenVBand="0" w:oddHBand="0" w:evenHBand="0" w:firstRowFirstColumn="0" w:firstRowLastColumn="0" w:lastRowFirstColumn="0" w:lastRowLastColumn="0"/>
            <w:tcW w:w="644" w:type="pct"/>
            <w:vMerge/>
            <w:shd w:val="clear" w:color="auto" w:fill="auto"/>
          </w:tcPr>
          <w:p w14:paraId="2F9B8A12" w14:textId="77777777" w:rsidR="00B21991" w:rsidRPr="008923E6" w:rsidRDefault="00B21991" w:rsidP="003D5B2E">
            <w:pPr>
              <w:pStyle w:val="TableTextLeft"/>
              <w:rPr>
                <w:i/>
                <w:iCs/>
              </w:rPr>
            </w:pPr>
          </w:p>
        </w:tc>
        <w:tc>
          <w:tcPr>
            <w:tcW w:w="1313" w:type="pct"/>
            <w:shd w:val="clear" w:color="auto" w:fill="auto"/>
          </w:tcPr>
          <w:p w14:paraId="7D0CA742" w14:textId="77777777" w:rsidR="00B21991" w:rsidRPr="008923E6" w:rsidRDefault="00B21991" w:rsidP="003D5B2E">
            <w:pPr>
              <w:pStyle w:val="TableTextLeft"/>
              <w:cnfStyle w:val="000000000000" w:firstRow="0" w:lastRow="0" w:firstColumn="0" w:lastColumn="0" w:oddVBand="0" w:evenVBand="0" w:oddHBand="0" w:evenHBand="0" w:firstRowFirstColumn="0" w:firstRowLastColumn="0" w:lastRowFirstColumn="0" w:lastRowLastColumn="0"/>
              <w:rPr>
                <w:i/>
                <w:iCs/>
              </w:rPr>
            </w:pPr>
            <w:r w:rsidRPr="008923E6">
              <w:rPr>
                <w:i/>
                <w:iCs/>
              </w:rPr>
              <w:t>Genetic diversity</w:t>
            </w:r>
          </w:p>
        </w:tc>
        <w:tc>
          <w:tcPr>
            <w:tcW w:w="898" w:type="pct"/>
            <w:shd w:val="clear" w:color="auto" w:fill="auto"/>
          </w:tcPr>
          <w:p w14:paraId="69797D32" w14:textId="77777777" w:rsidR="00B21991" w:rsidRPr="008923E6" w:rsidRDefault="00B21991" w:rsidP="003D5B2E">
            <w:pPr>
              <w:pStyle w:val="TableTextLeft"/>
              <w:cnfStyle w:val="000000000000" w:firstRow="0" w:lastRow="0" w:firstColumn="0" w:lastColumn="0" w:oddVBand="0" w:evenVBand="0" w:oddHBand="0" w:evenHBand="0" w:firstRowFirstColumn="0" w:firstRowLastColumn="0" w:lastRowFirstColumn="0" w:lastRowLastColumn="0"/>
              <w:rPr>
                <w:i/>
                <w:iCs/>
              </w:rPr>
            </w:pPr>
            <w:r w:rsidRPr="008923E6">
              <w:rPr>
                <w:i/>
                <w:iCs/>
              </w:rPr>
              <w:t xml:space="preserve">$ </w:t>
            </w:r>
          </w:p>
        </w:tc>
        <w:tc>
          <w:tcPr>
            <w:tcW w:w="2145" w:type="pct"/>
            <w:shd w:val="clear" w:color="auto" w:fill="auto"/>
          </w:tcPr>
          <w:p w14:paraId="74C4C87E" w14:textId="77777777" w:rsidR="00B21991" w:rsidRPr="008923E6" w:rsidRDefault="00B21991" w:rsidP="003D5B2E">
            <w:pPr>
              <w:pStyle w:val="TableTextLeft"/>
              <w:cnfStyle w:val="000000000000" w:firstRow="0" w:lastRow="0" w:firstColumn="0" w:lastColumn="0" w:oddVBand="0" w:evenVBand="0" w:oddHBand="0" w:evenHBand="0" w:firstRowFirstColumn="0" w:firstRowLastColumn="0" w:lastRowFirstColumn="0" w:lastRowLastColumn="0"/>
              <w:rPr>
                <w:i/>
                <w:iCs/>
              </w:rPr>
            </w:pPr>
            <w:r w:rsidRPr="008923E6">
              <w:rPr>
                <w:i/>
                <w:iCs/>
              </w:rPr>
              <w:t>Willingness to pay for rare / threatened species</w:t>
            </w:r>
          </w:p>
        </w:tc>
      </w:tr>
      <w:tr w:rsidR="003D5B2E" w:rsidRPr="00FB15DB" w14:paraId="22BC6F87" w14:textId="77777777" w:rsidTr="00D17E95">
        <w:tc>
          <w:tcPr>
            <w:cnfStyle w:val="001000000000" w:firstRow="0" w:lastRow="0" w:firstColumn="1" w:lastColumn="0" w:oddVBand="0" w:evenVBand="0" w:oddHBand="0" w:evenHBand="0" w:firstRowFirstColumn="0" w:firstRowLastColumn="0" w:lastRowFirstColumn="0" w:lastRowLastColumn="0"/>
            <w:tcW w:w="644" w:type="pct"/>
            <w:vMerge/>
            <w:shd w:val="clear" w:color="auto" w:fill="auto"/>
          </w:tcPr>
          <w:p w14:paraId="5F0E30E0" w14:textId="77777777" w:rsidR="00B21991" w:rsidRPr="00FB15DB" w:rsidRDefault="00B21991" w:rsidP="003D5B2E">
            <w:pPr>
              <w:pStyle w:val="TableTextLeft"/>
            </w:pPr>
          </w:p>
        </w:tc>
        <w:tc>
          <w:tcPr>
            <w:tcW w:w="1313" w:type="pct"/>
            <w:shd w:val="clear" w:color="auto" w:fill="auto"/>
          </w:tcPr>
          <w:p w14:paraId="3E75DCA3" w14:textId="77777777" w:rsidR="00B21991" w:rsidRPr="00AB0268" w:rsidRDefault="00B21991" w:rsidP="003D5B2E">
            <w:pPr>
              <w:pStyle w:val="TableTextLeft"/>
              <w:cnfStyle w:val="000000000000" w:firstRow="0" w:lastRow="0" w:firstColumn="0" w:lastColumn="0" w:oddVBand="0" w:evenVBand="0" w:oddHBand="0" w:evenHBand="0" w:firstRowFirstColumn="0" w:firstRowLastColumn="0" w:lastRowFirstColumn="0" w:lastRowLastColumn="0"/>
              <w:rPr>
                <w:i/>
                <w:iCs/>
              </w:rPr>
            </w:pPr>
            <w:r w:rsidRPr="00AB0268">
              <w:rPr>
                <w:i/>
                <w:iCs/>
              </w:rPr>
              <w:t>Nursery populations</w:t>
            </w:r>
          </w:p>
        </w:tc>
        <w:tc>
          <w:tcPr>
            <w:tcW w:w="898" w:type="pct"/>
            <w:shd w:val="clear" w:color="auto" w:fill="auto"/>
          </w:tcPr>
          <w:p w14:paraId="4A9E3C32" w14:textId="77777777" w:rsidR="00B21991" w:rsidRPr="00AB0268" w:rsidRDefault="00B21991" w:rsidP="003D5B2E">
            <w:pPr>
              <w:pStyle w:val="TableTextLeft"/>
              <w:cnfStyle w:val="000000000000" w:firstRow="0" w:lastRow="0" w:firstColumn="0" w:lastColumn="0" w:oddVBand="0" w:evenVBand="0" w:oddHBand="0" w:evenHBand="0" w:firstRowFirstColumn="0" w:firstRowLastColumn="0" w:lastRowFirstColumn="0" w:lastRowLastColumn="0"/>
              <w:rPr>
                <w:i/>
                <w:iCs/>
              </w:rPr>
            </w:pPr>
            <w:r w:rsidRPr="00AB0268">
              <w:rPr>
                <w:i/>
                <w:iCs/>
              </w:rPr>
              <w:t xml:space="preserve">$ </w:t>
            </w:r>
          </w:p>
        </w:tc>
        <w:tc>
          <w:tcPr>
            <w:tcW w:w="2145" w:type="pct"/>
            <w:shd w:val="clear" w:color="auto" w:fill="auto"/>
          </w:tcPr>
          <w:p w14:paraId="337821FB" w14:textId="77777777" w:rsidR="00B21991" w:rsidRPr="00AB0268" w:rsidRDefault="00B21991" w:rsidP="003D5B2E">
            <w:pPr>
              <w:pStyle w:val="TableTextLeft"/>
              <w:cnfStyle w:val="000000000000" w:firstRow="0" w:lastRow="0" w:firstColumn="0" w:lastColumn="0" w:oddVBand="0" w:evenVBand="0" w:oddHBand="0" w:evenHBand="0" w:firstRowFirstColumn="0" w:firstRowLastColumn="0" w:lastRowFirstColumn="0" w:lastRowLastColumn="0"/>
              <w:rPr>
                <w:i/>
                <w:iCs/>
              </w:rPr>
            </w:pPr>
            <w:r w:rsidRPr="00AB0268">
              <w:rPr>
                <w:i/>
                <w:iCs/>
              </w:rPr>
              <w:t>Value of increased commercial fishing product</w:t>
            </w:r>
          </w:p>
        </w:tc>
      </w:tr>
      <w:tr w:rsidR="003D5B2E" w:rsidRPr="00FB15DB" w14:paraId="64C03390" w14:textId="77777777" w:rsidTr="00D17E95">
        <w:tc>
          <w:tcPr>
            <w:cnfStyle w:val="001000000000" w:firstRow="0" w:lastRow="0" w:firstColumn="1" w:lastColumn="0" w:oddVBand="0" w:evenVBand="0" w:oddHBand="0" w:evenHBand="0" w:firstRowFirstColumn="0" w:firstRowLastColumn="0" w:lastRowFirstColumn="0" w:lastRowLastColumn="0"/>
            <w:tcW w:w="644" w:type="pct"/>
            <w:vMerge/>
            <w:shd w:val="clear" w:color="auto" w:fill="auto"/>
          </w:tcPr>
          <w:p w14:paraId="320F639D" w14:textId="77777777" w:rsidR="00B21991" w:rsidRPr="00FB15DB" w:rsidRDefault="00B21991" w:rsidP="003D5B2E">
            <w:pPr>
              <w:pStyle w:val="TableTextLeft"/>
            </w:pPr>
          </w:p>
        </w:tc>
        <w:tc>
          <w:tcPr>
            <w:tcW w:w="1313" w:type="pct"/>
            <w:shd w:val="clear" w:color="auto" w:fill="auto"/>
          </w:tcPr>
          <w:p w14:paraId="136D4226" w14:textId="77777777" w:rsidR="00B21991" w:rsidRPr="00AB0268" w:rsidRDefault="00B21991" w:rsidP="003D5B2E">
            <w:pPr>
              <w:pStyle w:val="TableTextLeft"/>
              <w:cnfStyle w:val="000000000000" w:firstRow="0" w:lastRow="0" w:firstColumn="0" w:lastColumn="0" w:oddVBand="0" w:evenVBand="0" w:oddHBand="0" w:evenHBand="0" w:firstRowFirstColumn="0" w:firstRowLastColumn="0" w:lastRowFirstColumn="0" w:lastRowLastColumn="0"/>
              <w:rPr>
                <w:i/>
                <w:iCs/>
              </w:rPr>
            </w:pPr>
            <w:r w:rsidRPr="00AB0268">
              <w:rPr>
                <w:i/>
                <w:iCs/>
              </w:rPr>
              <w:t>Pollination</w:t>
            </w:r>
          </w:p>
        </w:tc>
        <w:tc>
          <w:tcPr>
            <w:tcW w:w="898" w:type="pct"/>
            <w:shd w:val="clear" w:color="auto" w:fill="auto"/>
          </w:tcPr>
          <w:p w14:paraId="618F638D" w14:textId="77777777" w:rsidR="00B21991" w:rsidRPr="00AB0268" w:rsidRDefault="00B21991" w:rsidP="003D5B2E">
            <w:pPr>
              <w:pStyle w:val="TableTextLeft"/>
              <w:cnfStyle w:val="000000000000" w:firstRow="0" w:lastRow="0" w:firstColumn="0" w:lastColumn="0" w:oddVBand="0" w:evenVBand="0" w:oddHBand="0" w:evenHBand="0" w:firstRowFirstColumn="0" w:firstRowLastColumn="0" w:lastRowFirstColumn="0" w:lastRowLastColumn="0"/>
              <w:rPr>
                <w:i/>
                <w:iCs/>
              </w:rPr>
            </w:pPr>
            <w:r w:rsidRPr="00AB0268">
              <w:rPr>
                <w:i/>
                <w:iCs/>
              </w:rPr>
              <w:t>$ / kg</w:t>
            </w:r>
          </w:p>
        </w:tc>
        <w:tc>
          <w:tcPr>
            <w:tcW w:w="2145" w:type="pct"/>
            <w:shd w:val="clear" w:color="auto" w:fill="auto"/>
          </w:tcPr>
          <w:p w14:paraId="54EAF775" w14:textId="77777777" w:rsidR="00B21991" w:rsidRPr="00AB0268" w:rsidRDefault="00B21991" w:rsidP="003D5B2E">
            <w:pPr>
              <w:pStyle w:val="TableTextLeft"/>
              <w:cnfStyle w:val="000000000000" w:firstRow="0" w:lastRow="0" w:firstColumn="0" w:lastColumn="0" w:oddVBand="0" w:evenVBand="0" w:oddHBand="0" w:evenHBand="0" w:firstRowFirstColumn="0" w:firstRowLastColumn="0" w:lastRowFirstColumn="0" w:lastRowLastColumn="0"/>
              <w:rPr>
                <w:i/>
                <w:iCs/>
              </w:rPr>
            </w:pPr>
            <w:r w:rsidRPr="00AB0268">
              <w:rPr>
                <w:i/>
                <w:iCs/>
              </w:rPr>
              <w:t>Resource rent of crops affected by pollination</w:t>
            </w:r>
          </w:p>
          <w:p w14:paraId="5524182C" w14:textId="77777777" w:rsidR="00B21991" w:rsidRPr="00AB0268" w:rsidRDefault="00B21991" w:rsidP="003D5B2E">
            <w:pPr>
              <w:pStyle w:val="TableTextLeft"/>
              <w:cnfStyle w:val="000000000000" w:firstRow="0" w:lastRow="0" w:firstColumn="0" w:lastColumn="0" w:oddVBand="0" w:evenVBand="0" w:oddHBand="0" w:evenHBand="0" w:firstRowFirstColumn="0" w:firstRowLastColumn="0" w:lastRowFirstColumn="0" w:lastRowLastColumn="0"/>
              <w:rPr>
                <w:i/>
                <w:iCs/>
              </w:rPr>
            </w:pPr>
            <w:r w:rsidRPr="00AB0268">
              <w:rPr>
                <w:i/>
                <w:iCs/>
              </w:rPr>
              <w:t>Avoided cost of artificial pollination</w:t>
            </w:r>
          </w:p>
        </w:tc>
      </w:tr>
      <w:tr w:rsidR="003D5B2E" w:rsidRPr="00FB15DB" w14:paraId="03BE01E1" w14:textId="77777777" w:rsidTr="00D17E95">
        <w:tc>
          <w:tcPr>
            <w:cnfStyle w:val="001000000000" w:firstRow="0" w:lastRow="0" w:firstColumn="1" w:lastColumn="0" w:oddVBand="0" w:evenVBand="0" w:oddHBand="0" w:evenHBand="0" w:firstRowFirstColumn="0" w:firstRowLastColumn="0" w:lastRowFirstColumn="0" w:lastRowLastColumn="0"/>
            <w:tcW w:w="644" w:type="pct"/>
            <w:vMerge/>
            <w:shd w:val="clear" w:color="auto" w:fill="auto"/>
          </w:tcPr>
          <w:p w14:paraId="3C870483" w14:textId="77777777" w:rsidR="00B21991" w:rsidRPr="00FB15DB" w:rsidRDefault="00B21991" w:rsidP="003D5B2E">
            <w:pPr>
              <w:pStyle w:val="TableTextLeft"/>
            </w:pPr>
          </w:p>
        </w:tc>
        <w:tc>
          <w:tcPr>
            <w:tcW w:w="1313" w:type="pct"/>
            <w:shd w:val="clear" w:color="auto" w:fill="auto"/>
          </w:tcPr>
          <w:p w14:paraId="22C4F055" w14:textId="77777777" w:rsidR="00B21991" w:rsidRPr="00AB0268" w:rsidRDefault="00B21991" w:rsidP="003D5B2E">
            <w:pPr>
              <w:pStyle w:val="TableTextLeft"/>
              <w:cnfStyle w:val="000000000000" w:firstRow="0" w:lastRow="0" w:firstColumn="0" w:lastColumn="0" w:oddVBand="0" w:evenVBand="0" w:oddHBand="0" w:evenHBand="0" w:firstRowFirstColumn="0" w:firstRowLastColumn="0" w:lastRowFirstColumn="0" w:lastRowLastColumn="0"/>
              <w:rPr>
                <w:i/>
                <w:iCs/>
              </w:rPr>
            </w:pPr>
            <w:r w:rsidRPr="00AB0268">
              <w:rPr>
                <w:i/>
                <w:iCs/>
              </w:rPr>
              <w:t>Soil cycle regulation</w:t>
            </w:r>
          </w:p>
        </w:tc>
        <w:tc>
          <w:tcPr>
            <w:tcW w:w="898" w:type="pct"/>
            <w:shd w:val="clear" w:color="auto" w:fill="auto"/>
          </w:tcPr>
          <w:p w14:paraId="78449F14" w14:textId="77777777" w:rsidR="00B21991" w:rsidRPr="00AB0268" w:rsidRDefault="00B21991" w:rsidP="003D5B2E">
            <w:pPr>
              <w:pStyle w:val="TableTextLeft"/>
              <w:cnfStyle w:val="000000000000" w:firstRow="0" w:lastRow="0" w:firstColumn="0" w:lastColumn="0" w:oddVBand="0" w:evenVBand="0" w:oddHBand="0" w:evenHBand="0" w:firstRowFirstColumn="0" w:firstRowLastColumn="0" w:lastRowFirstColumn="0" w:lastRowLastColumn="0"/>
              <w:rPr>
                <w:i/>
                <w:iCs/>
              </w:rPr>
            </w:pPr>
            <w:r w:rsidRPr="00AB0268">
              <w:rPr>
                <w:i/>
                <w:iCs/>
              </w:rPr>
              <w:t>$ / ha</w:t>
            </w:r>
          </w:p>
        </w:tc>
        <w:tc>
          <w:tcPr>
            <w:tcW w:w="2145" w:type="pct"/>
            <w:shd w:val="clear" w:color="auto" w:fill="auto"/>
          </w:tcPr>
          <w:p w14:paraId="7B97B6ED" w14:textId="77777777" w:rsidR="00B21991" w:rsidRPr="00AB0268" w:rsidRDefault="00B21991" w:rsidP="003D5B2E">
            <w:pPr>
              <w:pStyle w:val="TableTextLeft"/>
              <w:cnfStyle w:val="000000000000" w:firstRow="0" w:lastRow="0" w:firstColumn="0" w:lastColumn="0" w:oddVBand="0" w:evenVBand="0" w:oddHBand="0" w:evenHBand="0" w:firstRowFirstColumn="0" w:firstRowLastColumn="0" w:lastRowFirstColumn="0" w:lastRowLastColumn="0"/>
              <w:rPr>
                <w:i/>
                <w:iCs/>
              </w:rPr>
            </w:pPr>
            <w:r w:rsidRPr="00AB0268">
              <w:rPr>
                <w:i/>
                <w:iCs/>
              </w:rPr>
              <w:t xml:space="preserve">Avoided productivity loss </w:t>
            </w:r>
          </w:p>
          <w:p w14:paraId="06519B43" w14:textId="77777777" w:rsidR="00B21991" w:rsidRPr="00AB0268" w:rsidRDefault="00B21991" w:rsidP="003D5B2E">
            <w:pPr>
              <w:pStyle w:val="TableTextLeft"/>
              <w:cnfStyle w:val="000000000000" w:firstRow="0" w:lastRow="0" w:firstColumn="0" w:lastColumn="0" w:oddVBand="0" w:evenVBand="0" w:oddHBand="0" w:evenHBand="0" w:firstRowFirstColumn="0" w:firstRowLastColumn="0" w:lastRowFirstColumn="0" w:lastRowLastColumn="0"/>
              <w:rPr>
                <w:i/>
                <w:iCs/>
              </w:rPr>
            </w:pPr>
            <w:r w:rsidRPr="00AB0268">
              <w:rPr>
                <w:i/>
                <w:iCs/>
              </w:rPr>
              <w:t>Avoided cost of fertiliser</w:t>
            </w:r>
          </w:p>
        </w:tc>
      </w:tr>
      <w:tr w:rsidR="003D5B2E" w:rsidRPr="00FB15DB" w14:paraId="62732627" w14:textId="77777777" w:rsidTr="00D17E95">
        <w:tc>
          <w:tcPr>
            <w:cnfStyle w:val="001000000000" w:firstRow="0" w:lastRow="0" w:firstColumn="1" w:lastColumn="0" w:oddVBand="0" w:evenVBand="0" w:oddHBand="0" w:evenHBand="0" w:firstRowFirstColumn="0" w:firstRowLastColumn="0" w:lastRowFirstColumn="0" w:lastRowLastColumn="0"/>
            <w:tcW w:w="644" w:type="pct"/>
            <w:vMerge/>
            <w:shd w:val="clear" w:color="auto" w:fill="auto"/>
          </w:tcPr>
          <w:p w14:paraId="2B5AD27B" w14:textId="77777777" w:rsidR="00B21991" w:rsidRPr="00FB15DB" w:rsidRDefault="00B21991" w:rsidP="003D5B2E">
            <w:pPr>
              <w:pStyle w:val="TableTextLeft"/>
            </w:pPr>
          </w:p>
        </w:tc>
        <w:tc>
          <w:tcPr>
            <w:tcW w:w="1313" w:type="pct"/>
            <w:shd w:val="clear" w:color="auto" w:fill="auto"/>
          </w:tcPr>
          <w:p w14:paraId="564985EF" w14:textId="77777777" w:rsidR="00B21991" w:rsidRPr="00AB0268" w:rsidRDefault="00B21991" w:rsidP="003D5B2E">
            <w:pPr>
              <w:pStyle w:val="TableTextLeft"/>
              <w:cnfStyle w:val="000000000000" w:firstRow="0" w:lastRow="0" w:firstColumn="0" w:lastColumn="0" w:oddVBand="0" w:evenVBand="0" w:oddHBand="0" w:evenHBand="0" w:firstRowFirstColumn="0" w:firstRowLastColumn="0" w:lastRowFirstColumn="0" w:lastRowLastColumn="0"/>
              <w:rPr>
                <w:i/>
                <w:iCs/>
              </w:rPr>
            </w:pPr>
            <w:r w:rsidRPr="00AB0268">
              <w:rPr>
                <w:i/>
                <w:iCs/>
              </w:rPr>
              <w:t>Water cycle regulation</w:t>
            </w:r>
          </w:p>
        </w:tc>
        <w:tc>
          <w:tcPr>
            <w:tcW w:w="898" w:type="pct"/>
            <w:shd w:val="clear" w:color="auto" w:fill="auto"/>
          </w:tcPr>
          <w:p w14:paraId="5DA40614" w14:textId="77777777" w:rsidR="00B21991" w:rsidRPr="00AB0268" w:rsidRDefault="00B21991" w:rsidP="003D5B2E">
            <w:pPr>
              <w:pStyle w:val="TableTextLeft"/>
              <w:cnfStyle w:val="000000000000" w:firstRow="0" w:lastRow="0" w:firstColumn="0" w:lastColumn="0" w:oddVBand="0" w:evenVBand="0" w:oddHBand="0" w:evenHBand="0" w:firstRowFirstColumn="0" w:firstRowLastColumn="0" w:lastRowFirstColumn="0" w:lastRowLastColumn="0"/>
              <w:rPr>
                <w:i/>
                <w:iCs/>
              </w:rPr>
            </w:pPr>
            <w:r w:rsidRPr="00AB0268">
              <w:rPr>
                <w:i/>
                <w:iCs/>
              </w:rPr>
              <w:t>$ / Mg per L</w:t>
            </w:r>
          </w:p>
        </w:tc>
        <w:tc>
          <w:tcPr>
            <w:tcW w:w="2145" w:type="pct"/>
            <w:shd w:val="clear" w:color="auto" w:fill="auto"/>
          </w:tcPr>
          <w:p w14:paraId="788A0873" w14:textId="77777777" w:rsidR="00B21991" w:rsidRPr="00AB0268" w:rsidRDefault="00B21991" w:rsidP="003D5B2E">
            <w:pPr>
              <w:pStyle w:val="TableTextLeft"/>
              <w:cnfStyle w:val="000000000000" w:firstRow="0" w:lastRow="0" w:firstColumn="0" w:lastColumn="0" w:oddVBand="0" w:evenVBand="0" w:oddHBand="0" w:evenHBand="0" w:firstRowFirstColumn="0" w:firstRowLastColumn="0" w:lastRowFirstColumn="0" w:lastRowLastColumn="0"/>
              <w:rPr>
                <w:i/>
                <w:iCs/>
              </w:rPr>
            </w:pPr>
            <w:r w:rsidRPr="00AB0268">
              <w:rPr>
                <w:i/>
                <w:iCs/>
              </w:rPr>
              <w:t>Avoided productivity loss</w:t>
            </w:r>
          </w:p>
        </w:tc>
      </w:tr>
      <w:tr w:rsidR="003D5B2E" w:rsidRPr="00FB15DB" w14:paraId="501D0072" w14:textId="77777777" w:rsidTr="00D17E95">
        <w:tc>
          <w:tcPr>
            <w:cnfStyle w:val="001000000000" w:firstRow="0" w:lastRow="0" w:firstColumn="1" w:lastColumn="0" w:oddVBand="0" w:evenVBand="0" w:oddHBand="0" w:evenHBand="0" w:firstRowFirstColumn="0" w:firstRowLastColumn="0" w:lastRowFirstColumn="0" w:lastRowLastColumn="0"/>
            <w:tcW w:w="644" w:type="pct"/>
            <w:vMerge/>
            <w:shd w:val="clear" w:color="auto" w:fill="auto"/>
          </w:tcPr>
          <w:p w14:paraId="768B821A" w14:textId="77777777" w:rsidR="00B21991" w:rsidRPr="00FB15DB" w:rsidRDefault="00B21991" w:rsidP="003D5B2E">
            <w:pPr>
              <w:pStyle w:val="TableTextLeft"/>
            </w:pPr>
          </w:p>
        </w:tc>
        <w:tc>
          <w:tcPr>
            <w:tcW w:w="1313" w:type="pct"/>
            <w:shd w:val="clear" w:color="auto" w:fill="auto"/>
          </w:tcPr>
          <w:p w14:paraId="610B1AC7" w14:textId="77777777" w:rsidR="00B21991" w:rsidRPr="00AB0268" w:rsidRDefault="00B21991" w:rsidP="003D5B2E">
            <w:pPr>
              <w:pStyle w:val="TableTextLeft"/>
              <w:cnfStyle w:val="000000000000" w:firstRow="0" w:lastRow="0" w:firstColumn="0" w:lastColumn="0" w:oddVBand="0" w:evenVBand="0" w:oddHBand="0" w:evenHBand="0" w:firstRowFirstColumn="0" w:firstRowLastColumn="0" w:lastRowFirstColumn="0" w:lastRowLastColumn="0"/>
              <w:rPr>
                <w:i/>
                <w:iCs/>
              </w:rPr>
            </w:pPr>
            <w:r w:rsidRPr="00AB0268">
              <w:rPr>
                <w:i/>
                <w:iCs/>
              </w:rPr>
              <w:t>Nitrogen cycling</w:t>
            </w:r>
          </w:p>
        </w:tc>
        <w:tc>
          <w:tcPr>
            <w:tcW w:w="898" w:type="pct"/>
            <w:shd w:val="clear" w:color="auto" w:fill="auto"/>
          </w:tcPr>
          <w:p w14:paraId="020F1D89" w14:textId="77777777" w:rsidR="00B21991" w:rsidRPr="00AB0268" w:rsidRDefault="00B21991" w:rsidP="003D5B2E">
            <w:pPr>
              <w:pStyle w:val="TableTextLeft"/>
              <w:cnfStyle w:val="000000000000" w:firstRow="0" w:lastRow="0" w:firstColumn="0" w:lastColumn="0" w:oddVBand="0" w:evenVBand="0" w:oddHBand="0" w:evenHBand="0" w:firstRowFirstColumn="0" w:firstRowLastColumn="0" w:lastRowFirstColumn="0" w:lastRowLastColumn="0"/>
              <w:rPr>
                <w:i/>
                <w:iCs/>
              </w:rPr>
            </w:pPr>
            <w:r w:rsidRPr="00AB0268">
              <w:rPr>
                <w:i/>
                <w:iCs/>
              </w:rPr>
              <w:t>$ / km</w:t>
            </w:r>
          </w:p>
        </w:tc>
        <w:tc>
          <w:tcPr>
            <w:tcW w:w="2145" w:type="pct"/>
            <w:shd w:val="clear" w:color="auto" w:fill="auto"/>
          </w:tcPr>
          <w:p w14:paraId="18ECD110" w14:textId="77777777" w:rsidR="00B21991" w:rsidRPr="00AB0268" w:rsidRDefault="00B21991" w:rsidP="003D5B2E">
            <w:pPr>
              <w:pStyle w:val="TableTextLeft"/>
              <w:cnfStyle w:val="000000000000" w:firstRow="0" w:lastRow="0" w:firstColumn="0" w:lastColumn="0" w:oddVBand="0" w:evenVBand="0" w:oddHBand="0" w:evenHBand="0" w:firstRowFirstColumn="0" w:firstRowLastColumn="0" w:lastRowFirstColumn="0" w:lastRowLastColumn="0"/>
              <w:rPr>
                <w:i/>
                <w:iCs/>
              </w:rPr>
            </w:pPr>
            <w:r w:rsidRPr="00AB0268">
              <w:rPr>
                <w:i/>
                <w:iCs/>
              </w:rPr>
              <w:t>Avoided cost of infrastructure / wetlands</w:t>
            </w:r>
          </w:p>
        </w:tc>
      </w:tr>
      <w:tr w:rsidR="003D5B2E" w:rsidRPr="00FB15DB" w14:paraId="228675B5" w14:textId="77777777" w:rsidTr="00D17E95">
        <w:tc>
          <w:tcPr>
            <w:cnfStyle w:val="001000000000" w:firstRow="0" w:lastRow="0" w:firstColumn="1" w:lastColumn="0" w:oddVBand="0" w:evenVBand="0" w:oddHBand="0" w:evenHBand="0" w:firstRowFirstColumn="0" w:firstRowLastColumn="0" w:lastRowFirstColumn="0" w:lastRowLastColumn="0"/>
            <w:tcW w:w="644" w:type="pct"/>
            <w:vMerge/>
            <w:shd w:val="clear" w:color="auto" w:fill="auto"/>
          </w:tcPr>
          <w:p w14:paraId="03A6F7A6" w14:textId="77777777" w:rsidR="00B21991" w:rsidRPr="00FB15DB" w:rsidRDefault="00B21991" w:rsidP="003D5B2E">
            <w:pPr>
              <w:pStyle w:val="TableTextLeft"/>
            </w:pPr>
          </w:p>
        </w:tc>
        <w:tc>
          <w:tcPr>
            <w:tcW w:w="1313" w:type="pct"/>
            <w:shd w:val="clear" w:color="auto" w:fill="auto"/>
          </w:tcPr>
          <w:p w14:paraId="377753CD" w14:textId="77777777" w:rsidR="00B21991" w:rsidRPr="00AB0268" w:rsidRDefault="00B21991" w:rsidP="003D5B2E">
            <w:pPr>
              <w:pStyle w:val="TableTextLeft"/>
              <w:cnfStyle w:val="000000000000" w:firstRow="0" w:lastRow="0" w:firstColumn="0" w:lastColumn="0" w:oddVBand="0" w:evenVBand="0" w:oddHBand="0" w:evenHBand="0" w:firstRowFirstColumn="0" w:firstRowLastColumn="0" w:lastRowFirstColumn="0" w:lastRowLastColumn="0"/>
              <w:rPr>
                <w:i/>
                <w:iCs/>
              </w:rPr>
            </w:pPr>
            <w:r w:rsidRPr="00AB0268">
              <w:rPr>
                <w:i/>
                <w:iCs/>
              </w:rPr>
              <w:t>Pest and disease control</w:t>
            </w:r>
          </w:p>
        </w:tc>
        <w:tc>
          <w:tcPr>
            <w:tcW w:w="898" w:type="pct"/>
            <w:shd w:val="clear" w:color="auto" w:fill="auto"/>
          </w:tcPr>
          <w:p w14:paraId="77D6B7A9" w14:textId="77777777" w:rsidR="00B21991" w:rsidRPr="00AB0268" w:rsidRDefault="00B21991" w:rsidP="003D5B2E">
            <w:pPr>
              <w:pStyle w:val="TableTextLeft"/>
              <w:cnfStyle w:val="000000000000" w:firstRow="0" w:lastRow="0" w:firstColumn="0" w:lastColumn="0" w:oddVBand="0" w:evenVBand="0" w:oddHBand="0" w:evenHBand="0" w:firstRowFirstColumn="0" w:firstRowLastColumn="0" w:lastRowFirstColumn="0" w:lastRowLastColumn="0"/>
              <w:rPr>
                <w:i/>
                <w:iCs/>
              </w:rPr>
            </w:pPr>
            <w:r w:rsidRPr="00AB0268">
              <w:rPr>
                <w:i/>
                <w:iCs/>
              </w:rPr>
              <w:t>$ / ha</w:t>
            </w:r>
          </w:p>
        </w:tc>
        <w:tc>
          <w:tcPr>
            <w:tcW w:w="2145" w:type="pct"/>
            <w:shd w:val="clear" w:color="auto" w:fill="auto"/>
          </w:tcPr>
          <w:p w14:paraId="0350C695" w14:textId="77777777" w:rsidR="00B21991" w:rsidRPr="00AB0268" w:rsidRDefault="00B21991" w:rsidP="003D5B2E">
            <w:pPr>
              <w:pStyle w:val="TableTextLeft"/>
              <w:cnfStyle w:val="000000000000" w:firstRow="0" w:lastRow="0" w:firstColumn="0" w:lastColumn="0" w:oddVBand="0" w:evenVBand="0" w:oddHBand="0" w:evenHBand="0" w:firstRowFirstColumn="0" w:firstRowLastColumn="0" w:lastRowFirstColumn="0" w:lastRowLastColumn="0"/>
              <w:rPr>
                <w:i/>
                <w:iCs/>
              </w:rPr>
            </w:pPr>
            <w:r w:rsidRPr="00AB0268">
              <w:rPr>
                <w:i/>
                <w:iCs/>
              </w:rPr>
              <w:t xml:space="preserve">Avoided productivity loss </w:t>
            </w:r>
          </w:p>
          <w:p w14:paraId="4CDF0317" w14:textId="77777777" w:rsidR="00B21991" w:rsidRPr="00AB0268" w:rsidRDefault="00B21991" w:rsidP="003D5B2E">
            <w:pPr>
              <w:pStyle w:val="TableTextLeft"/>
              <w:cnfStyle w:val="000000000000" w:firstRow="0" w:lastRow="0" w:firstColumn="0" w:lastColumn="0" w:oddVBand="0" w:evenVBand="0" w:oddHBand="0" w:evenHBand="0" w:firstRowFirstColumn="0" w:firstRowLastColumn="0" w:lastRowFirstColumn="0" w:lastRowLastColumn="0"/>
              <w:rPr>
                <w:i/>
                <w:iCs/>
              </w:rPr>
            </w:pPr>
            <w:r w:rsidRPr="00AB0268">
              <w:rPr>
                <w:i/>
                <w:iCs/>
              </w:rPr>
              <w:t>Avoided cost of pesticides</w:t>
            </w:r>
          </w:p>
        </w:tc>
      </w:tr>
    </w:tbl>
    <w:p w14:paraId="0E44FC6D" w14:textId="77777777" w:rsidR="00B21991" w:rsidRPr="00FB15DB" w:rsidRDefault="00B21991" w:rsidP="00B21991">
      <w:pPr>
        <w:pStyle w:val="BodyText"/>
      </w:pPr>
      <w:r w:rsidRPr="00FB15DB">
        <w:t>The following sections summarise the method taken to quantify and value the six</w:t>
      </w:r>
      <w:r w:rsidRPr="00FB15DB">
        <w:rPr>
          <w:vertAlign w:val="superscript"/>
        </w:rPr>
        <w:footnoteReference w:id="12"/>
      </w:r>
      <w:r w:rsidRPr="00FB15DB">
        <w:t xml:space="preserve"> prioritised ecosystem services within the assessment boundary for the Great Ocean Road Coast and Parks EEA based on the data and methods used in the reviewed literature. This includes a description of how the Great Ocean Road Coast and Parks EEA captures the capacity of ecosystem assets in the region to provide an additional four</w:t>
      </w:r>
      <w:r w:rsidRPr="00FB15DB">
        <w:rPr>
          <w:vertAlign w:val="superscript"/>
        </w:rPr>
        <w:footnoteReference w:id="13"/>
      </w:r>
      <w:r w:rsidRPr="00FB15DB">
        <w:t xml:space="preserve"> ecosystem services.</w:t>
      </w:r>
    </w:p>
    <w:p w14:paraId="07949A19" w14:textId="77777777" w:rsidR="00B21991" w:rsidRPr="00FB15DB" w:rsidRDefault="00B21991" w:rsidP="007D7D3C">
      <w:pPr>
        <w:pStyle w:val="Heading3"/>
      </w:pPr>
      <w:bookmarkStart w:id="159" w:name="_Toc98854660"/>
      <w:bookmarkStart w:id="160" w:name="_Toc163547034"/>
      <w:r w:rsidRPr="00FB15DB">
        <w:t>Coastal protection</w:t>
      </w:r>
      <w:bookmarkEnd w:id="159"/>
      <w:bookmarkEnd w:id="160"/>
      <w:r w:rsidRPr="00FB15DB">
        <w:t xml:space="preserve"> </w:t>
      </w:r>
    </w:p>
    <w:p w14:paraId="6AE862E8" w14:textId="77777777" w:rsidR="00B21991" w:rsidRPr="00FB15DB" w:rsidRDefault="00B21991" w:rsidP="00B21991">
      <w:pPr>
        <w:pStyle w:val="BodyText"/>
      </w:pPr>
      <w:r w:rsidRPr="00FB15DB">
        <w:t>Coastal and marine habitats including mangrove, saltmarsh, seagrass and dune systems provide coastal protection services by absorbing / dissipating wave and tidal energy, acting as a natural buffer that reduces the risk to people and property associated with storm surges events, sea inundation and coastal erosion. These habitats therefore mitigate the potential damages associated with coastal hazards. The scale of avoided damage costs (and the value of the ecosystem service) will vary geographically according to the human populations and infrastructure assets that are protected from coastal hazards as well as the frequency and magnitude of these events in a given location and existing risk management. Without these functioning ecosystem assets, built infrastructure assets (e.g., sea walls and breakwaters) would be needed to manage the risks to local communities.</w:t>
      </w:r>
    </w:p>
    <w:p w14:paraId="70275677" w14:textId="77777777" w:rsidR="00B21991" w:rsidRPr="00FB15DB" w:rsidRDefault="00B21991" w:rsidP="00B21991">
      <w:pPr>
        <w:pStyle w:val="BodyText"/>
      </w:pPr>
      <w:r w:rsidRPr="00FB15DB">
        <w:t>Figure 4 sets out the logic chain linking the ecological functioning of ecosystem assets to the socio-economic benefits provided (not all of these benefits are mutually exclusive). It shows that the magnitude of the coastal protection service provided is dependent on the:</w:t>
      </w:r>
    </w:p>
    <w:p w14:paraId="302CFA8F" w14:textId="77777777" w:rsidR="00B21991" w:rsidRPr="00FB15DB" w:rsidRDefault="00B21991" w:rsidP="000035CB">
      <w:pPr>
        <w:pStyle w:val="ListBullet"/>
        <w:numPr>
          <w:ilvl w:val="0"/>
          <w:numId w:val="18"/>
        </w:numPr>
      </w:pPr>
      <w:r w:rsidRPr="00FB15DB">
        <w:t xml:space="preserve">Capacity of ecosystems (habitats) to generate coastal protection (i.e., potential supply through wave and tidal energy dissipation) which will vary according to the extent, status, type and location of ecosystems and the frequency and magnitude of hazards; and the </w:t>
      </w:r>
    </w:p>
    <w:p w14:paraId="48950602" w14:textId="77777777" w:rsidR="00B21991" w:rsidRPr="00FB15DB" w:rsidRDefault="00B21991" w:rsidP="00B21991">
      <w:pPr>
        <w:pStyle w:val="ListBullet"/>
      </w:pPr>
      <w:r w:rsidRPr="00FB15DB">
        <w:t>Use of ecosystem services by beneficiaries (i.e., reductions in hazard risk to coastal communities and assets) which is dependent on the level of hazard risk within a given location, determined by the population and infrastructure at risk and existing risk management measures.</w:t>
      </w:r>
    </w:p>
    <w:p w14:paraId="624B0FC9" w14:textId="15EBF28F" w:rsidR="00B21991" w:rsidRPr="00FB15DB" w:rsidRDefault="00B21991" w:rsidP="008923E6">
      <w:pPr>
        <w:pStyle w:val="Caption"/>
      </w:pPr>
      <w:r w:rsidRPr="00FB15DB">
        <w:lastRenderedPageBreak/>
        <w:t xml:space="preserve">Figure 4. Illustrative </w:t>
      </w:r>
      <w:r w:rsidRPr="008923E6">
        <w:t>logic</w:t>
      </w:r>
      <w:r w:rsidRPr="00FB15DB">
        <w:t xml:space="preserve"> chain for coastal protection (hazard regulation) service </w:t>
      </w:r>
    </w:p>
    <w:p w14:paraId="74A97F56" w14:textId="77777777" w:rsidR="00B21991" w:rsidRPr="00FB15DB" w:rsidRDefault="00B21991" w:rsidP="00B21991">
      <w:pPr>
        <w:pStyle w:val="BodyText"/>
        <w:rPr>
          <w:b/>
        </w:rPr>
      </w:pPr>
      <w:r w:rsidRPr="00FB15DB">
        <w:rPr>
          <w:noProof/>
        </w:rPr>
        <w:drawing>
          <wp:inline distT="0" distB="0" distL="0" distR="0" wp14:anchorId="21BCCECD" wp14:editId="38E103C1">
            <wp:extent cx="5869173" cy="4110837"/>
            <wp:effectExtent l="0" t="0" r="0" b="444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pic:nvPicPr>
                  <pic:blipFill>
                    <a:blip r:embed="rId99" cstate="email">
                      <a:extLst>
                        <a:ext uri="{28A0092B-C50C-407E-A947-70E740481C1C}">
                          <a14:useLocalDpi xmlns:a14="http://schemas.microsoft.com/office/drawing/2010/main"/>
                        </a:ext>
                      </a:extLst>
                    </a:blip>
                    <a:stretch>
                      <a:fillRect/>
                    </a:stretch>
                  </pic:blipFill>
                  <pic:spPr>
                    <a:xfrm>
                      <a:off x="0" y="0"/>
                      <a:ext cx="5876203" cy="4115761"/>
                    </a:xfrm>
                    <a:prstGeom prst="rect">
                      <a:avLst/>
                    </a:prstGeom>
                  </pic:spPr>
                </pic:pic>
              </a:graphicData>
            </a:graphic>
          </wp:inline>
        </w:drawing>
      </w:r>
    </w:p>
    <w:p w14:paraId="258706F9" w14:textId="400B5F31" w:rsidR="00B21991" w:rsidRPr="00FB15DB" w:rsidRDefault="00B21991" w:rsidP="00A2745D">
      <w:pPr>
        <w:pStyle w:val="AlphaHeading4"/>
      </w:pPr>
      <w:r w:rsidRPr="00FB15DB">
        <w:t xml:space="preserve">Physical provision of coastal </w:t>
      </w:r>
      <w:r w:rsidRPr="007B2FCE">
        <w:t>protection</w:t>
      </w:r>
      <w:r w:rsidRPr="00FB15DB">
        <w:t xml:space="preserve"> </w:t>
      </w:r>
    </w:p>
    <w:p w14:paraId="48233455" w14:textId="77777777" w:rsidR="00B21991" w:rsidRPr="00FB15DB" w:rsidRDefault="00B21991" w:rsidP="00B21991">
      <w:pPr>
        <w:pStyle w:val="BodyText"/>
      </w:pPr>
      <w:r w:rsidRPr="00FB15DB">
        <w:t xml:space="preserve">The physical provision of the coastal protection (hazard regulation) of ecosystem assets is dependent on the coincidence of the capacity to generate coastal protection (i.e., potential supply through wave and tidal energy dissipation) and the use of ecosystem services (i.e., through reductions in hazard risk to coastal communities and assets). Based on the literature review (see Annex 3, Section A3.2), there are two approaches that can be drawn on to estimate the coastal protection service provided by ecosystems within the GORCAP region. </w:t>
      </w:r>
    </w:p>
    <w:p w14:paraId="099B6B5C" w14:textId="77777777" w:rsidR="00B21991" w:rsidRPr="00FB15DB" w:rsidRDefault="00B21991" w:rsidP="00B21991">
      <w:pPr>
        <w:pStyle w:val="BodyText"/>
        <w:rPr>
          <w:b/>
        </w:rPr>
      </w:pPr>
      <w:r w:rsidRPr="00FB15DB">
        <w:t>For the purpose of this initial GORCAP EEA, both possible approaches will be used to develop estimates in order to add to the evidence base and provide some level of confidence to the analysis, with the range of estimates being presented in the GORCAP EEA in a way that avoids double counting. The approaches are described below:</w:t>
      </w:r>
    </w:p>
    <w:p w14:paraId="2A727107" w14:textId="77777777" w:rsidR="00B21991" w:rsidRPr="00FB15DB" w:rsidRDefault="00B21991" w:rsidP="00B21991">
      <w:pPr>
        <w:pStyle w:val="ListBullet"/>
        <w:rPr>
          <w:u w:val="single"/>
        </w:rPr>
      </w:pPr>
      <w:r w:rsidRPr="00B96836">
        <w:rPr>
          <w:b/>
          <w:bCs/>
        </w:rPr>
        <w:t xml:space="preserve">Measure magnitude of coastal protection service using </w:t>
      </w:r>
      <w:proofErr w:type="spellStart"/>
      <w:r w:rsidRPr="00B96836">
        <w:rPr>
          <w:b/>
          <w:bCs/>
        </w:rPr>
        <w:t>InVEST</w:t>
      </w:r>
      <w:proofErr w:type="spellEnd"/>
      <w:r w:rsidRPr="00B96836">
        <w:rPr>
          <w:b/>
          <w:bCs/>
        </w:rPr>
        <w:t xml:space="preserve"> mapping by Carnell et al (2019):</w:t>
      </w:r>
      <w:r w:rsidRPr="00FB15DB">
        <w:t xml:space="preserve"> this approach utilised existing analysis produced by Carnell et al (2019) that was produced using the Integrated Valuation of Ecosystem Services and Trade-offs (</w:t>
      </w:r>
      <w:proofErr w:type="spellStart"/>
      <w:r w:rsidRPr="00FB15DB">
        <w:t>InVEST</w:t>
      </w:r>
      <w:proofErr w:type="spellEnd"/>
      <w:r w:rsidRPr="00FB15DB">
        <w:t xml:space="preserve">) tool as part of the Mapping Ocean Wealth Australia (Carnell et al, 2019) project. The outputs from the </w:t>
      </w:r>
      <w:proofErr w:type="spellStart"/>
      <w:r w:rsidRPr="00FB15DB">
        <w:t>InVEST</w:t>
      </w:r>
      <w:proofErr w:type="spellEnd"/>
      <w:r w:rsidRPr="00FB15DB">
        <w:t xml:space="preserve"> analysis are appropriate as a first cut, indicative assessment of coastal protection service at national / state scales. The approach relies on global datasets (e.g., of ecosystem extent) and broad global level assumptions regarding the role of ecosystems in providing a coastal protection service (pers. comm. Paul Carnell). There is therefore a great deal of uncertainty associated with the robustness of the analysis when applied at a local level such as for the GORCAP EEA region. </w:t>
      </w:r>
    </w:p>
    <w:p w14:paraId="0366F3C3" w14:textId="659D2660" w:rsidR="00B21991" w:rsidRPr="00FB15DB" w:rsidRDefault="00B21991" w:rsidP="007B2FCE">
      <w:pPr>
        <w:pStyle w:val="BodyText12ptBefore"/>
      </w:pPr>
      <w:r w:rsidRPr="00FB15DB">
        <w:t xml:space="preserve">The GIS data from Carnell et al (2019) was obtained via Deakin University which enabled the analysis in Figure 5 to be cut to the GORCAP EEA boundary. The analysis used the </w:t>
      </w:r>
      <w:proofErr w:type="spellStart"/>
      <w:r w:rsidRPr="00FB15DB">
        <w:t>InVEST</w:t>
      </w:r>
      <w:proofErr w:type="spellEnd"/>
      <w:r w:rsidRPr="00FB15DB">
        <w:t xml:space="preserve"> Coastal Protection toolbox to produce a </w:t>
      </w:r>
      <w:bookmarkStart w:id="161" w:name="_Hlk63678377"/>
      <w:r w:rsidRPr="00FB15DB">
        <w:t>heatmap (see Figure 5) of the relative reduction in coastal hazard index</w:t>
      </w:r>
      <w:r w:rsidRPr="00FB15DB">
        <w:rPr>
          <w:vertAlign w:val="superscript"/>
        </w:rPr>
        <w:footnoteReference w:id="14"/>
      </w:r>
      <w:r w:rsidRPr="00FB15DB">
        <w:t xml:space="preserve"> due to coastal </w:t>
      </w:r>
      <w:r w:rsidRPr="00FB15DB">
        <w:lastRenderedPageBreak/>
        <w:t>ecosystems (mangrove, saltmarsh, seagrass).</w:t>
      </w:r>
      <w:r w:rsidRPr="00FB15DB">
        <w:rPr>
          <w:vertAlign w:val="superscript"/>
        </w:rPr>
        <w:footnoteReference w:id="15"/>
      </w:r>
      <w:r w:rsidRPr="00FB15DB">
        <w:t xml:space="preserve"> Figure 5 shows the coastal protection from coastal wetland (saltmarsh, mangrove and seagrass), measured on a relative ranking scale (lowest to highest) in terms of the avoided impact of storm surges and sea-level rise across south-eastern Australia. </w:t>
      </w:r>
    </w:p>
    <w:bookmarkEnd w:id="161"/>
    <w:p w14:paraId="1FA227A1" w14:textId="77777777" w:rsidR="00B21991" w:rsidRPr="00FB15DB" w:rsidRDefault="00B21991" w:rsidP="00BA21B4">
      <w:pPr>
        <w:pStyle w:val="Caption"/>
      </w:pPr>
      <w:r w:rsidRPr="00FB15DB">
        <w:t>Figure 5. Estimated physical provision of coastal protection from coastal wetlands in SE Australia</w:t>
      </w:r>
    </w:p>
    <w:p w14:paraId="2AD71046" w14:textId="77777777" w:rsidR="00B21991" w:rsidRPr="00FB15DB" w:rsidRDefault="00B21991" w:rsidP="00B21991">
      <w:pPr>
        <w:pStyle w:val="BodyText"/>
      </w:pPr>
      <w:r w:rsidRPr="00FB15DB">
        <w:rPr>
          <w:noProof/>
        </w:rPr>
        <w:drawing>
          <wp:inline distT="0" distB="0" distL="0" distR="0" wp14:anchorId="0393A642" wp14:editId="26FFA81C">
            <wp:extent cx="6016388" cy="4167962"/>
            <wp:effectExtent l="0" t="0" r="3810" b="444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pic:nvPicPr>
                  <pic:blipFill>
                    <a:blip r:embed="rId100" cstate="email">
                      <a:extLst>
                        <a:ext uri="{28A0092B-C50C-407E-A947-70E740481C1C}">
                          <a14:useLocalDpi xmlns:a14="http://schemas.microsoft.com/office/drawing/2010/main"/>
                        </a:ext>
                      </a:extLst>
                    </a:blip>
                    <a:stretch>
                      <a:fillRect/>
                    </a:stretch>
                  </pic:blipFill>
                  <pic:spPr>
                    <a:xfrm>
                      <a:off x="0" y="0"/>
                      <a:ext cx="6053276" cy="4193517"/>
                    </a:xfrm>
                    <a:prstGeom prst="rect">
                      <a:avLst/>
                    </a:prstGeom>
                  </pic:spPr>
                </pic:pic>
              </a:graphicData>
            </a:graphic>
          </wp:inline>
        </w:drawing>
      </w:r>
    </w:p>
    <w:p w14:paraId="17981D88" w14:textId="77777777" w:rsidR="00B21991" w:rsidRPr="00FB15DB" w:rsidRDefault="00B21991" w:rsidP="008923E6">
      <w:pPr>
        <w:pStyle w:val="BodyText12ptBefore"/>
      </w:pPr>
      <w:r w:rsidRPr="00FB15DB">
        <w:t>When assessing ecosystem services, it is critical to identify a beneficiary population. Whilst the Carnell et al (2019) study did produce a heatmap of the density of human population (coastal residents) benefiting from coastal protection service under a “with” and “without” habitats scenario, this only captures the change in the total residential population exposed to coastal hazards</w:t>
      </w:r>
      <w:r w:rsidRPr="00FB15DB">
        <w:rPr>
          <w:vertAlign w:val="superscript"/>
        </w:rPr>
        <w:footnoteReference w:id="16"/>
      </w:r>
      <w:r w:rsidRPr="00FB15DB">
        <w:t xml:space="preserve">, rather than the change in magnitude of exposure across the entire residential population (i.e. including the benefit to those who are currently exposed to coastal hazards but to a lesser degree than if wetlands did not exist). It therefore does not capture the total beneficiary population from the ecosystem service for use in this GORCAP EEA. </w:t>
      </w:r>
    </w:p>
    <w:p w14:paraId="41B1A48D" w14:textId="77777777" w:rsidR="00B21991" w:rsidRPr="00FB15DB" w:rsidRDefault="00B21991" w:rsidP="008923E6">
      <w:pPr>
        <w:pStyle w:val="BodyText"/>
      </w:pPr>
      <w:r w:rsidRPr="00FB15DB">
        <w:t xml:space="preserve">For the purposes of this GORCAP EEA, it is assumed that there is a demand for the coastal protection service wherever this arises along the entire stretch of the GORCAP coastline (i.e., wherever there is an estimated reduction in coastal hazard index), not just where residential property is protected from damages. This is justified on the basis that coastal protection (from erosion and inundation from storm surges) along the entire coastline in the region is valued by society (local residents and visitors) as it supports property and infrastructure (including transport links i.e., the road of the Great Ocean Road) as well as having aesthetic value and providing habitat for species. </w:t>
      </w:r>
    </w:p>
    <w:p w14:paraId="57028D43" w14:textId="77777777" w:rsidR="00B21991" w:rsidRPr="00FB15DB" w:rsidRDefault="00B21991" w:rsidP="008923E6">
      <w:pPr>
        <w:pStyle w:val="BodyText"/>
      </w:pPr>
      <w:r w:rsidRPr="00FB15DB">
        <w:lastRenderedPageBreak/>
        <w:t>Accounting for existing risk management measures is critical to understanding society’s demand for the coastal protection service provided by wetlands. This is important because if there are protective structures in place along the coast, then wetland might be reducing wave energy and storm surges but this service might not be valued by society as highly or at all.</w:t>
      </w:r>
      <w:r w:rsidRPr="00FB15DB">
        <w:rPr>
          <w:vertAlign w:val="superscript"/>
        </w:rPr>
        <w:footnoteReference w:id="17"/>
      </w:r>
      <w:r w:rsidRPr="00FB15DB">
        <w:t xml:space="preserve"> It is the study teams understanding that the Carnell et al (2019) analysis accounts for existing risk management measures (e.g. seawalls) that are placed along the GORCAP coastline as the Carnell et al (2019) report states that their analytical approach follows that set out in Arkema et al (2013) which classifies seawalls as “rocky coastline and cliffs” (although Arkema (2013) acknowledge that this is a simplification that should be addressed in future research). </w:t>
      </w:r>
    </w:p>
    <w:p w14:paraId="17F22D97" w14:textId="77777777" w:rsidR="00B21991" w:rsidRPr="00FB15DB" w:rsidRDefault="00B21991" w:rsidP="00B21991">
      <w:pPr>
        <w:pStyle w:val="ListBullet"/>
      </w:pPr>
      <w:r w:rsidRPr="00B96836">
        <w:rPr>
          <w:b/>
          <w:bCs/>
        </w:rPr>
        <w:t>Measuring the extent of the coastal protection using length of coastal wetlands:</w:t>
      </w:r>
      <w:r w:rsidRPr="00FB15DB">
        <w:t xml:space="preserve"> Estimating the length (km) of coastal wetland that is providing a coastal protection service within the GORCAP region is important for the monetary valuation of this service (based on the replacement cost of built infrastructure (i.e., sea walls)). This approach was taken by DELWP and Parks Victoria (2015) in their Valuing Victoria Parks work (and in the UK coastal margin account (ONS, 2016)).</w:t>
      </w:r>
    </w:p>
    <w:p w14:paraId="40CBC310" w14:textId="77777777" w:rsidR="00B21991" w:rsidRPr="00FB15DB" w:rsidRDefault="00B21991" w:rsidP="00B21991">
      <w:pPr>
        <w:pStyle w:val="BodyText12ptBefore"/>
      </w:pPr>
      <w:r w:rsidRPr="00FB15DB">
        <w:t>Estimating the length of the coastal protection service provided within the GORCAP EEA region required converting the estimates of area (hectares) benefitting from reduced exposure due to wetlands from Carnell et al (2019) into linear (km) estimates. In order to keep the results conservative, the study team “collapsed” the area of exposure reduction estimated by Carnell et al (2019) to a straight line along the coastline (i.e., the areas parallel to the coastline were reduced to a single line), with the line representing the addition of the single greatest percentage exposure reduction for each of the three wetland types, from the collapsed areas above and below the coastline. This approach is considered to be conservative because it did not add together the total percentage exposure reductions that were estimated for a given wetland type in a given location (i.e., in the areas above or below the coastline). This is because on consideration of the data, the study team has concluded that the areas of highest exposure reduction are dependent upon the areas of lower exposure reduction for a given wetland type.</w:t>
      </w:r>
    </w:p>
    <w:p w14:paraId="6407020B" w14:textId="61C8A383" w:rsidR="00B21991" w:rsidRPr="00FB15DB" w:rsidRDefault="00B21991" w:rsidP="00A2745D">
      <w:pPr>
        <w:pStyle w:val="AlphaHeading4"/>
      </w:pPr>
      <w:bookmarkStart w:id="162" w:name="_Hlk71792182"/>
      <w:r w:rsidRPr="00FB15DB">
        <w:t xml:space="preserve">Monetary value of coastal protection </w:t>
      </w:r>
      <w:bookmarkEnd w:id="162"/>
    </w:p>
    <w:p w14:paraId="7BE659E7" w14:textId="77777777" w:rsidR="00B21991" w:rsidRPr="00FB15DB" w:rsidRDefault="00B21991" w:rsidP="00B21991">
      <w:pPr>
        <w:pStyle w:val="BodyText"/>
      </w:pPr>
      <w:r w:rsidRPr="00FB15DB">
        <w:t>The monetary value of coastal protection service from ecosystem assets can be measured in environmental-economic accounts through the:</w:t>
      </w:r>
    </w:p>
    <w:p w14:paraId="4F13E110" w14:textId="77777777" w:rsidR="00B21991" w:rsidRPr="00FB15DB" w:rsidRDefault="00B21991" w:rsidP="000035CB">
      <w:pPr>
        <w:pStyle w:val="ListBullet"/>
        <w:numPr>
          <w:ilvl w:val="0"/>
          <w:numId w:val="17"/>
        </w:numPr>
      </w:pPr>
      <w:r w:rsidRPr="00B96836">
        <w:rPr>
          <w:b/>
          <w:bCs/>
        </w:rPr>
        <w:t>Avoided damage costs to property:</w:t>
      </w:r>
      <w:r w:rsidRPr="00C36D30">
        <w:rPr>
          <w:b/>
        </w:rPr>
        <w:t xml:space="preserve"> </w:t>
      </w:r>
      <w:r w:rsidRPr="00FB15DB">
        <w:t xml:space="preserve">the avoided damages to property that is protected due to the presence of wetlands which provide the coastal protection service; or </w:t>
      </w:r>
    </w:p>
    <w:p w14:paraId="48ADFD40" w14:textId="77777777" w:rsidR="00B21991" w:rsidRPr="00FB15DB" w:rsidRDefault="00B21991" w:rsidP="00B21991">
      <w:pPr>
        <w:pStyle w:val="ListBullet"/>
      </w:pPr>
      <w:r w:rsidRPr="00B96836">
        <w:rPr>
          <w:b/>
          <w:bCs/>
        </w:rPr>
        <w:t>Replacement cost:</w:t>
      </w:r>
      <w:r w:rsidRPr="00FB15DB">
        <w:t xml:space="preserve"> the cost of replacing the ecosystem service provided by coastal wetland with an alternative asset that provides the same service. </w:t>
      </w:r>
    </w:p>
    <w:p w14:paraId="55D9634E" w14:textId="77777777" w:rsidR="00B21991" w:rsidRPr="00FB15DB" w:rsidRDefault="00B21991" w:rsidP="00B21991">
      <w:pPr>
        <w:pStyle w:val="BodyText12ptBefore"/>
      </w:pPr>
      <w:r w:rsidRPr="00FB15DB">
        <w:t xml:space="preserve">Based on the literature review (see Annex 3, Section A3.2.), there is one existing approach that can be drawn on to value the coastal protection service provided by ecosystems within the GORCAP region in monetary terms. The monetary estimates from the Carnell et al (2019) analysis are not used for the GORCAP EEA as it is based on the change in total value of property at risk of coastal hazards under “with” and “without” wetland scenarios. It is therefore not deemed to be an accurate reflection of the value of the ecosystem service provided by coastal wetlands within the GORCAP region. A more appropriate approach would be to estimate the (marginal) value to </w:t>
      </w:r>
      <w:r w:rsidRPr="00FB15DB">
        <w:rPr>
          <w:i/>
        </w:rPr>
        <w:t xml:space="preserve">all </w:t>
      </w:r>
      <w:r w:rsidRPr="00FB15DB">
        <w:t xml:space="preserve">relevant residences (i.e., including those who are currently exposed to coastal hazards but to a lesser degree than if wetlands did not exist) associated with avoided damage costs to property due to avoided inundation. See Annex 3, Section A3.2 for more information.  </w:t>
      </w:r>
    </w:p>
    <w:p w14:paraId="0FC38620" w14:textId="77777777" w:rsidR="00B21991" w:rsidRPr="00FB15DB" w:rsidRDefault="00B21991" w:rsidP="00B21991">
      <w:pPr>
        <w:pStyle w:val="BodyText"/>
      </w:pPr>
      <w:r w:rsidRPr="00FB15DB">
        <w:t>The approach taken for the GORCAP EEA is to apply marginal replacement cost ($ per metre) estimates from AW Maritime (2021) of $3,842 per metre</w:t>
      </w:r>
      <w:r w:rsidRPr="00FB15DB">
        <w:rPr>
          <w:vertAlign w:val="superscript"/>
        </w:rPr>
        <w:footnoteReference w:id="18"/>
      </w:r>
      <w:r w:rsidRPr="00FB15DB">
        <w:t xml:space="preserve"> to the length of GOR coastline that is estimated to be protected from erosion/inundation due to the coastal protection service provided by wetlands. This estimate is based on the average cost of construction for seawall / rock structures. This is the same approach as that taken in the UK coastal margin account (ONS, 2016) which noted that this is likely to be an overestimate because it assumes that the coastal protection service is equivalent to the protection provided by built infrastructure. In reality, the level of coastal protection could be negligible / non-existent and / or there might not be a demand for this coastal protection service. </w:t>
      </w:r>
    </w:p>
    <w:p w14:paraId="5AFD247C" w14:textId="77777777" w:rsidR="00B21991" w:rsidRPr="00FB15DB" w:rsidRDefault="00B21991" w:rsidP="00B21991">
      <w:pPr>
        <w:pStyle w:val="BodyText"/>
      </w:pPr>
      <w:r w:rsidRPr="00FB15DB">
        <w:lastRenderedPageBreak/>
        <w:t xml:space="preserve">In order to address the issues raised in the ONS (2016) analysis, it is assumed for this GORCAP EEA (as noted above) that there is a demand for the coastal protection service wherever this arises along the entire stretch of the GORCAP coastline. Furthermore, in order to not overestimate the value of the service by assuming that coastal wetland provide a coastal protection service that is equivalent to the protection provided by built infrastructure, a proportion of the cost of built infrastructure will be estimated based on the percentage that the ecosystem contributes to reduce coastal hazard within the GORCAP region (from Carnell et al, 2019) relative to that which would be provided by built infrastructure. For the purposes of this GORCAP EEA, in order to provide an indicative estimate of the value of this service (acknowledging the need to adjust the total cost of bult infrastructure), the effectiveness of built infrastructure to reduce exposure to coastal hazards is assessed ranging from 25 per cent to 100 per cent. </w:t>
      </w:r>
    </w:p>
    <w:p w14:paraId="3C6D7EFD" w14:textId="77777777" w:rsidR="00B21991" w:rsidRPr="00FB15DB" w:rsidRDefault="00B21991" w:rsidP="00B21991">
      <w:pPr>
        <w:pStyle w:val="BodyText"/>
      </w:pPr>
      <w:r w:rsidRPr="00FB15DB">
        <w:t>So, built infrastructure is assumed to reduce exposure to coastal hazards at a cost of $3,842 per metre (from AW Maritime, 2021) and replacement cost is estimated by adjusting these costs in proportion to the reduction in coastal hazard exposure from wetlands within the GORCAP region (from Carnell et al, 2019). For example, a length of coastline that benefits from a 1 per cent reduction in hazard exposure due to wetland would be valued at one-fiftieth of the equivalent cost of built infrastructure at 50 per cent effectiveness, on the basis of that being the replacement cost for built infrastructure to provide an equivalent reduction in exposure.</w:t>
      </w:r>
    </w:p>
    <w:p w14:paraId="4FAD96DC" w14:textId="77777777" w:rsidR="00B21991" w:rsidRPr="00FB15DB" w:rsidRDefault="00B21991" w:rsidP="007D7D3C">
      <w:pPr>
        <w:pStyle w:val="Heading3"/>
      </w:pPr>
      <w:bookmarkStart w:id="163" w:name="_Toc98854661"/>
      <w:bookmarkStart w:id="164" w:name="_Toc163547035"/>
      <w:r w:rsidRPr="00FB15DB">
        <w:t>Education</w:t>
      </w:r>
      <w:bookmarkEnd w:id="163"/>
      <w:bookmarkEnd w:id="164"/>
      <w:r w:rsidRPr="00FB15DB">
        <w:t xml:space="preserve"> </w:t>
      </w:r>
    </w:p>
    <w:p w14:paraId="518165CA" w14:textId="77777777" w:rsidR="00B21991" w:rsidRPr="00FB15DB" w:rsidRDefault="00B21991" w:rsidP="00B21991">
      <w:pPr>
        <w:pStyle w:val="BodyText"/>
      </w:pPr>
      <w:r w:rsidRPr="00FB15DB">
        <w:t>The natural environment provides the opportunity to “learn about the characteristics of living systems” (EEA, 2018). Whilst learning about the natural environment can occur through everyday interactions with the outdoors, the focus of this assessment is on formal education, such as school trips and “citizen science” projects. The economic valuation literature suggests that there is substantial value associated with learning in the natural environment including the following benefits which may translate into both personal wellbeing and broader economic benefits over time. (</w:t>
      </w:r>
      <w:proofErr w:type="spellStart"/>
      <w:r w:rsidRPr="00FB15DB">
        <w:t>eftec</w:t>
      </w:r>
      <w:proofErr w:type="spellEnd"/>
      <w:r w:rsidRPr="00FB15DB">
        <w:t>, 2011; MJA, 2016):</w:t>
      </w:r>
    </w:p>
    <w:p w14:paraId="6C2AD77D" w14:textId="77777777" w:rsidR="00B21991" w:rsidRPr="00FB15DB" w:rsidRDefault="00B21991" w:rsidP="00B21991">
      <w:pPr>
        <w:pStyle w:val="ListBullet"/>
      </w:pPr>
      <w:r w:rsidRPr="00FB15DB">
        <w:t>Direct educational value regarding the natural environment.</w:t>
      </w:r>
    </w:p>
    <w:p w14:paraId="4299BFD6" w14:textId="77777777" w:rsidR="00B21991" w:rsidRPr="00FB15DB" w:rsidRDefault="00B21991" w:rsidP="00B21991">
      <w:pPr>
        <w:pStyle w:val="ListBullet"/>
      </w:pPr>
      <w:r w:rsidRPr="00FB15DB">
        <w:t>Indirect educational value through learning skills that support academic competence such as mental focus / lower presenteeism and absenteeism, improved cognitive functioning, critical thinking, problem solving, self-direction in learning, analytical skills and a motivation for studying and lifelong learning.</w:t>
      </w:r>
    </w:p>
    <w:p w14:paraId="1F613E19" w14:textId="77777777" w:rsidR="00B21991" w:rsidRPr="00FB15DB" w:rsidRDefault="00B21991" w:rsidP="00B21991">
      <w:pPr>
        <w:pStyle w:val="ListBullet"/>
      </w:pPr>
      <w:r w:rsidRPr="00FB15DB">
        <w:t>Life skills including social competence, resilience, teamwork, inclusivity, trust and leadership.</w:t>
      </w:r>
    </w:p>
    <w:p w14:paraId="70981840" w14:textId="77777777" w:rsidR="00B21991" w:rsidRPr="00FB15DB" w:rsidRDefault="00B21991" w:rsidP="00B21991">
      <w:pPr>
        <w:pStyle w:val="ListBullet"/>
      </w:pPr>
      <w:r w:rsidRPr="00FB15DB">
        <w:t>Mental health benefits associated with lower levels of stress and tension, increased confidence and self-esteem and feeling of community connection.</w:t>
      </w:r>
    </w:p>
    <w:p w14:paraId="15E740EB" w14:textId="77777777" w:rsidR="00B21991" w:rsidRPr="00FB15DB" w:rsidRDefault="00B21991" w:rsidP="00B21991">
      <w:pPr>
        <w:pStyle w:val="ListBullet"/>
      </w:pPr>
      <w:r w:rsidRPr="00FB15DB">
        <w:t>Increased environmental awareness and stewardship.</w:t>
      </w:r>
    </w:p>
    <w:p w14:paraId="63B23FFA" w14:textId="77777777" w:rsidR="00B21991" w:rsidRPr="00FB15DB" w:rsidRDefault="00B21991" w:rsidP="00B21991">
      <w:pPr>
        <w:pStyle w:val="BodyText12ptBefore"/>
      </w:pPr>
      <w:r w:rsidRPr="00FB15DB">
        <w:t xml:space="preserve">Figure 6 sets out the logic chain linking the ecological functioning of ecosystem assets to the socio-economic benefits. </w:t>
      </w:r>
    </w:p>
    <w:p w14:paraId="0FD8FCC0" w14:textId="77777777" w:rsidR="000B575E" w:rsidRDefault="000B575E" w:rsidP="00B21991">
      <w:pPr>
        <w:pStyle w:val="BodyText"/>
        <w:rPr>
          <w:b/>
        </w:rPr>
      </w:pPr>
      <w:r>
        <w:rPr>
          <w:b/>
        </w:rPr>
        <w:br w:type="page"/>
      </w:r>
    </w:p>
    <w:p w14:paraId="484D3409" w14:textId="08D93528" w:rsidR="00B21991" w:rsidRPr="00FB15DB" w:rsidRDefault="00B21991" w:rsidP="00BA21B4">
      <w:pPr>
        <w:pStyle w:val="Caption"/>
      </w:pPr>
      <w:r w:rsidRPr="00FB15DB">
        <w:lastRenderedPageBreak/>
        <w:t xml:space="preserve">Figure 6. Illustrative logic chain for education ecosystem service </w:t>
      </w:r>
    </w:p>
    <w:p w14:paraId="54D20B6B" w14:textId="77777777" w:rsidR="00B21991" w:rsidRPr="00FB15DB" w:rsidRDefault="00B21991" w:rsidP="00B21991">
      <w:pPr>
        <w:pStyle w:val="BodyText"/>
      </w:pPr>
      <w:r w:rsidRPr="00FB15DB">
        <w:rPr>
          <w:noProof/>
        </w:rPr>
        <w:drawing>
          <wp:inline distT="0" distB="0" distL="0" distR="0" wp14:anchorId="76862CD4" wp14:editId="5F645437">
            <wp:extent cx="6236991" cy="3990109"/>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pic:nvPicPr>
                  <pic:blipFill>
                    <a:blip r:embed="rId101" cstate="email">
                      <a:extLst>
                        <a:ext uri="{28A0092B-C50C-407E-A947-70E740481C1C}">
                          <a14:useLocalDpi xmlns:a14="http://schemas.microsoft.com/office/drawing/2010/main"/>
                        </a:ext>
                      </a:extLst>
                    </a:blip>
                    <a:stretch>
                      <a:fillRect/>
                    </a:stretch>
                  </pic:blipFill>
                  <pic:spPr>
                    <a:xfrm>
                      <a:off x="0" y="0"/>
                      <a:ext cx="6247082" cy="3996565"/>
                    </a:xfrm>
                    <a:prstGeom prst="rect">
                      <a:avLst/>
                    </a:prstGeom>
                  </pic:spPr>
                </pic:pic>
              </a:graphicData>
            </a:graphic>
          </wp:inline>
        </w:drawing>
      </w:r>
    </w:p>
    <w:p w14:paraId="190CF305" w14:textId="08DD729A" w:rsidR="00B21991" w:rsidRPr="003137F4" w:rsidRDefault="00B21991" w:rsidP="000035CB">
      <w:pPr>
        <w:pStyle w:val="AlphaHeading4"/>
        <w:numPr>
          <w:ilvl w:val="0"/>
          <w:numId w:val="60"/>
        </w:numPr>
      </w:pPr>
      <w:r w:rsidRPr="003137F4">
        <w:t xml:space="preserve">Physical provision of education </w:t>
      </w:r>
    </w:p>
    <w:p w14:paraId="20D3D6EB" w14:textId="77777777" w:rsidR="00B21991" w:rsidRPr="00FB15DB" w:rsidRDefault="00B21991" w:rsidP="00B21991">
      <w:pPr>
        <w:pStyle w:val="BodyText"/>
      </w:pPr>
      <w:r w:rsidRPr="00FB15DB">
        <w:t>Based on the literature review (see Annex 3, Section A3.3), it was decided to that the physical provision of educational opportunities from ecosystem assets in the GORCAP region would be estimated using:</w:t>
      </w:r>
    </w:p>
    <w:p w14:paraId="79E8AF83" w14:textId="77777777" w:rsidR="00B21991" w:rsidRPr="00FB15DB" w:rsidRDefault="00B21991" w:rsidP="00B21991">
      <w:pPr>
        <w:pStyle w:val="ListBullet"/>
      </w:pPr>
      <w:r w:rsidRPr="00B96836">
        <w:rPr>
          <w:b/>
          <w:bCs/>
        </w:rPr>
        <w:t>Victorian Department for Education and Training (DET) Student Activity Locator:</w:t>
      </w:r>
      <w:r w:rsidRPr="00FB15DB">
        <w:t xml:space="preserve"> the Victorian Department for Education and Training (DET) Student Activity Locator database is the most comprehensive information available on educational visitation in Victoria. All Victorian government schools must notify DET of approved school excursions to ensure accurate information is available for emergency services. Non-government schools are also able to access the Student Activity Locator to register excursions. </w:t>
      </w:r>
    </w:p>
    <w:p w14:paraId="6EA232FE" w14:textId="77777777" w:rsidR="00B21991" w:rsidRPr="00FB15DB" w:rsidRDefault="00B21991" w:rsidP="008923E6">
      <w:pPr>
        <w:pStyle w:val="BodyText"/>
      </w:pPr>
      <w:r w:rsidRPr="00FB15DB">
        <w:t>DET provided information on natural environment related educational visits to the suburbs</w:t>
      </w:r>
      <w:r w:rsidRPr="00FB15DB">
        <w:rPr>
          <w:vertAlign w:val="superscript"/>
        </w:rPr>
        <w:footnoteReference w:id="19"/>
      </w:r>
      <w:r w:rsidRPr="00FB15DB">
        <w:t xml:space="preserve"> that are within the GORCAP EEA boundary as recorded in the Student Activity Locator database. DET assigned visits to the natural environment within the GORCAP EEA region based on the activity classification that was used when registering the excursion. Natural environment activities include the following activity types: bushwalking, camp (excl. indoor camps), caving, cycling, mountain bike riding, rock climbing, walking and eligible excursions, water sports and sports.</w:t>
      </w:r>
      <w:r w:rsidRPr="00FB15DB">
        <w:rPr>
          <w:vertAlign w:val="superscript"/>
        </w:rPr>
        <w:footnoteReference w:id="20"/>
      </w:r>
    </w:p>
    <w:p w14:paraId="5F8B2498" w14:textId="77777777" w:rsidR="00B21991" w:rsidRPr="00FB15DB" w:rsidRDefault="00B21991" w:rsidP="008923E6">
      <w:pPr>
        <w:pStyle w:val="BodyText"/>
      </w:pPr>
      <w:r w:rsidRPr="00FB15DB">
        <w:t xml:space="preserve">Prior to 2020, there was no information collected on the number of persons (students and teachers) visiting, only the number of school visits. In order to estimate the number of students visiting (necessary for the monetary valuation) the GORCAP EEA region in 2019, the study team estimated the average number of student visitors per school visit for the year 2020 and applied this to the number of school visits. This </w:t>
      </w:r>
      <w:r w:rsidRPr="00FB15DB">
        <w:lastRenderedPageBreak/>
        <w:t>assumes that the number of student visitors per educational trip was unaffected by the COVID-19 pandemic (i.e., when trips were able to go ahead, they number of attendees was the same as pre-COVID).</w:t>
      </w:r>
    </w:p>
    <w:p w14:paraId="7807D1D4" w14:textId="789C2989" w:rsidR="00B21991" w:rsidRPr="00FB15DB" w:rsidRDefault="00B21991" w:rsidP="00A2745D">
      <w:pPr>
        <w:pStyle w:val="AlphaHeading4"/>
      </w:pPr>
      <w:r w:rsidRPr="00FB15DB">
        <w:t>Monetary value of education</w:t>
      </w:r>
    </w:p>
    <w:p w14:paraId="5F09A075" w14:textId="77777777" w:rsidR="00B21991" w:rsidRPr="00FB15DB" w:rsidRDefault="00B21991" w:rsidP="00B21991">
      <w:pPr>
        <w:pStyle w:val="BodyText"/>
      </w:pPr>
      <w:r w:rsidRPr="00FB15DB">
        <w:t>Based on the literature reviewed (see Annex 3, Section A3.3), economic valuation of educational activities in natural environments do not attempt to provide the “true economic value of educational benefits” because of a lack of quantitative evidence of the links between outdoor education and benefits (</w:t>
      </w:r>
      <w:proofErr w:type="spellStart"/>
      <w:r w:rsidRPr="00FB15DB">
        <w:t>eftec</w:t>
      </w:r>
      <w:proofErr w:type="spellEnd"/>
      <w:r w:rsidRPr="00FB15DB">
        <w:t xml:space="preserve">, 2011). Instead, monetary valuation focuses on reporting the ‘cost of investment’ involved in these undertakings, using spending evidence as a proxy for value evidence (Mourato et al., 2011). Expenditures on educational activities are assumed to provide a lower bound estimate of the value of outdoor education on common economic assumption that if benefits were not perceived to be greater than costs then the activity would not be undertaken in the first place (UKNEA, 2011; </w:t>
      </w:r>
      <w:proofErr w:type="spellStart"/>
      <w:r w:rsidRPr="00FB15DB">
        <w:t>eftec</w:t>
      </w:r>
      <w:proofErr w:type="spellEnd"/>
      <w:r w:rsidRPr="00FB15DB">
        <w:t xml:space="preserve">, 2011; Mourato, 2011). This approach was advocated in the DELWP and Parks Victoria (2015) study which states that “financial contributions…would be sufficient to indicate a lower-bound estimate of the benefits expected by education partners to access parks”. </w:t>
      </w:r>
    </w:p>
    <w:p w14:paraId="0F5D9ED2" w14:textId="77777777" w:rsidR="00B21991" w:rsidRPr="00FB15DB" w:rsidRDefault="00B21991" w:rsidP="00B21991">
      <w:pPr>
        <w:pStyle w:val="BodyText"/>
      </w:pPr>
      <w:bookmarkStart w:id="165" w:name="_Hlk74055460"/>
      <w:r w:rsidRPr="00FB15DB">
        <w:t>The monetary value of educational opportunities from ecosystem assets in the GORCAP region is estimated using an expenditure approach based on the average cost for day trip and overnight activities respectively from the latest Australian Camping Association (2018) Prices and Occupancy Survey Report. The ACA (2018) report is a survey-based summary of member camps and adventure activity providers across Australia, with 74 per cent of respondents being from Victoria. For the 2016-17 financial year, the average charge for a day visitor was $9</w:t>
      </w:r>
      <w:r w:rsidRPr="00FB15DB">
        <w:rPr>
          <w:vertAlign w:val="superscript"/>
        </w:rPr>
        <w:footnoteReference w:id="21"/>
      </w:r>
      <w:r w:rsidRPr="00FB15DB">
        <w:t>(excluding GST) and for camping on site was $26</w:t>
      </w:r>
      <w:r w:rsidRPr="00FB15DB">
        <w:rPr>
          <w:vertAlign w:val="superscript"/>
        </w:rPr>
        <w:footnoteReference w:id="22"/>
      </w:r>
      <w:r w:rsidRPr="00FB15DB">
        <w:t xml:space="preserve"> (excluding GST).</w:t>
      </w:r>
    </w:p>
    <w:p w14:paraId="15A28A80" w14:textId="77777777" w:rsidR="00B21991" w:rsidRPr="00FB15DB" w:rsidRDefault="00B21991" w:rsidP="00B21991">
      <w:pPr>
        <w:pStyle w:val="BodyText"/>
      </w:pPr>
      <w:r w:rsidRPr="00FB15DB">
        <w:t>These estimated costs per educational trip were then applied to the total number of participants in educational trips (from DET Student Activity database) to get aggregate monetary value of educational trips to GORCAP ecosystem assets. These expenditures do not include transport costs, value of teachers in-vehicle travel time or the value of student time (as estimated in the UK by Mourato et al, 2011). These estimates are a very conservative representation of the value of these educational trips to society based on activity expenditures alone.</w:t>
      </w:r>
    </w:p>
    <w:bookmarkEnd w:id="165"/>
    <w:p w14:paraId="17A80A6C" w14:textId="77777777" w:rsidR="00B21991" w:rsidRPr="00FB15DB" w:rsidRDefault="00B21991" w:rsidP="00B21991">
      <w:pPr>
        <w:pStyle w:val="BodyText"/>
      </w:pPr>
      <w:r w:rsidRPr="00FB15DB">
        <w:t>In addition to the expenditure approach, the regional tourism satellite accounts for 2018-19 (TRA, 2021) for the Great Ocean Road estimated Gross Value Added (GVA) generated from education and training in 2018-19. These will include educational/training visits to the natural environment but also non-environmentally related trips. The proportion of GVA that is attributable to the natural environment will be estimated based on the percentage of total visits that are to the natural environment within the GORCAP region from the DET student activity database. This assumes that school visits by activity are representative of all educational and training visits (including organisational team building days etc.). For the purposes of this GORCAP EEA a basic approach will be taken to isolating resource rent to provide an indicative estimate, by applying a single fixed percentage of the proportional contribution of ecosystems (i.e., as an input to production) to educational and training GVA of 20 per cent.</w:t>
      </w:r>
    </w:p>
    <w:p w14:paraId="24A4945F" w14:textId="77777777" w:rsidR="00B21991" w:rsidRPr="00FB15DB" w:rsidRDefault="00B21991" w:rsidP="00EE7A8C">
      <w:pPr>
        <w:pStyle w:val="Heading3"/>
      </w:pPr>
      <w:bookmarkStart w:id="166" w:name="_Toc98854662"/>
      <w:bookmarkStart w:id="167" w:name="_Toc163547036"/>
      <w:r w:rsidRPr="00FB15DB">
        <w:t>Biomass - food</w:t>
      </w:r>
      <w:bookmarkEnd w:id="166"/>
      <w:bookmarkEnd w:id="167"/>
    </w:p>
    <w:p w14:paraId="58DCD0C2" w14:textId="77777777" w:rsidR="00B21991" w:rsidRPr="00FB15DB" w:rsidRDefault="00B21991" w:rsidP="00B21991">
      <w:pPr>
        <w:pStyle w:val="BodyText"/>
      </w:pPr>
      <w:r w:rsidRPr="00FB15DB">
        <w:t>Commercial production of crop, livestock, fish, crustacean and mollusc biomass in the GORCAP region is supported by terrestrial, freshwater and marine ecosystems which provide a range of ecological functions that enable species to live and grow. This biomass is harvested by the agricultural and fisheries sectors, thereby supporting coastal livelihoods and businesses. Figure 7 sets out the logic chain linking the ecological functioning of ecosystem assets to the socio-economic benefits provided. It shows:</w:t>
      </w:r>
    </w:p>
    <w:p w14:paraId="2A4190EC" w14:textId="77777777" w:rsidR="00B21991" w:rsidRPr="00FB15DB" w:rsidRDefault="00B21991" w:rsidP="00B21991">
      <w:pPr>
        <w:pStyle w:val="ListBullet"/>
      </w:pPr>
      <w:r w:rsidRPr="00FB15DB">
        <w:t>Biomass provision from the GORCAP region will depend in part on the extent, status, type and location of ecosystems (habitats) and species as well as any management of these assets including additional nutrient provision (e.g., fertiliser), movement control on species stocks (e.g., aquaculture, livestock fencing) as well as pests and disease control;</w:t>
      </w:r>
    </w:p>
    <w:p w14:paraId="30617D89" w14:textId="77777777" w:rsidR="00B21991" w:rsidRPr="00FB15DB" w:rsidRDefault="00B21991" w:rsidP="00B21991">
      <w:pPr>
        <w:pStyle w:val="ListBullet"/>
      </w:pPr>
      <w:r w:rsidRPr="00FB15DB">
        <w:t>The harvesting of biomass to produce food requires the use of machinery, technology and labour.</w:t>
      </w:r>
    </w:p>
    <w:p w14:paraId="2719B568" w14:textId="77777777" w:rsidR="00B21991" w:rsidRPr="00FB15DB" w:rsidRDefault="00B21991" w:rsidP="00B21991">
      <w:pPr>
        <w:pStyle w:val="ListBullet"/>
      </w:pPr>
      <w:r w:rsidRPr="00FB15DB">
        <w:lastRenderedPageBreak/>
        <w:t>The contribution of the environment (i.e., biomass provision) to the socio-economic benefit provided (i.e., food provision) is valued using a resource rent approach by deducting the cost of man-made inputs from the market price of food.</w:t>
      </w:r>
    </w:p>
    <w:p w14:paraId="4AAC7DF9" w14:textId="77777777" w:rsidR="00B21991" w:rsidRPr="00FB15DB" w:rsidRDefault="00B21991" w:rsidP="008923E6">
      <w:pPr>
        <w:pStyle w:val="Caption"/>
      </w:pPr>
      <w:r w:rsidRPr="00FB15DB">
        <w:t xml:space="preserve">Figure 7. Illustrative logic </w:t>
      </w:r>
      <w:r w:rsidRPr="008923E6">
        <w:t>chain</w:t>
      </w:r>
      <w:r w:rsidRPr="00FB15DB">
        <w:t xml:space="preserve"> for biomass provision for commercial food production from ecosystems </w:t>
      </w:r>
    </w:p>
    <w:p w14:paraId="56699B50" w14:textId="77777777" w:rsidR="00B21991" w:rsidRPr="00FB15DB" w:rsidRDefault="00B21991" w:rsidP="00B21991">
      <w:pPr>
        <w:pStyle w:val="BodyText"/>
        <w:rPr>
          <w:b/>
        </w:rPr>
      </w:pPr>
      <w:r w:rsidRPr="00FB15DB">
        <w:rPr>
          <w:noProof/>
        </w:rPr>
        <w:drawing>
          <wp:inline distT="0" distB="0" distL="0" distR="0" wp14:anchorId="0F65EA5F" wp14:editId="774CFBC9">
            <wp:extent cx="6528135" cy="4136065"/>
            <wp:effectExtent l="0" t="0" r="635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pic:nvPicPr>
                  <pic:blipFill>
                    <a:blip r:embed="rId102" cstate="email">
                      <a:extLst>
                        <a:ext uri="{28A0092B-C50C-407E-A947-70E740481C1C}">
                          <a14:useLocalDpi xmlns:a14="http://schemas.microsoft.com/office/drawing/2010/main"/>
                        </a:ext>
                      </a:extLst>
                    </a:blip>
                    <a:stretch>
                      <a:fillRect/>
                    </a:stretch>
                  </pic:blipFill>
                  <pic:spPr>
                    <a:xfrm>
                      <a:off x="0" y="0"/>
                      <a:ext cx="6528135" cy="4136065"/>
                    </a:xfrm>
                    <a:prstGeom prst="rect">
                      <a:avLst/>
                    </a:prstGeom>
                  </pic:spPr>
                </pic:pic>
              </a:graphicData>
            </a:graphic>
          </wp:inline>
        </w:drawing>
      </w:r>
    </w:p>
    <w:p w14:paraId="2C782E72" w14:textId="77777777" w:rsidR="00B21991" w:rsidRPr="00FB15DB" w:rsidRDefault="00B21991" w:rsidP="00B21991">
      <w:pPr>
        <w:pStyle w:val="BodyText"/>
      </w:pPr>
      <w:r w:rsidRPr="00FB15DB">
        <w:t>Crop and animal biomass is also grown / caught by local communities for food. This can deliver a range of socio-economic benefits including reduced food bills, supplementary income, reduced food miles, increased biodiversity, improved community networks as well as better health outcomes from fresher food and the positive mental and physical wellbeing benefits associated with cultivation (Victoria University, 2015). This local community production of food is outside of the scope of this GORCAP EEA, although the value of recreational fishing will be captured in the account as part of the assessment of recreational opportunities (but not for the value of fish caught). Community production is excluded because it is expected to be of relatively low value compared to commercial food production in the region but could be considered for inclusion in future.</w:t>
      </w:r>
    </w:p>
    <w:p w14:paraId="199A91D9" w14:textId="18CC6B21" w:rsidR="00B21991" w:rsidRPr="00FB15DB" w:rsidRDefault="00B21991" w:rsidP="000035CB">
      <w:pPr>
        <w:pStyle w:val="AlphaHeading4"/>
        <w:numPr>
          <w:ilvl w:val="0"/>
          <w:numId w:val="61"/>
        </w:numPr>
      </w:pPr>
      <w:r w:rsidRPr="00FB15DB">
        <w:t xml:space="preserve">Physical provision of biomass - food </w:t>
      </w:r>
    </w:p>
    <w:p w14:paraId="59DA01C7" w14:textId="77777777" w:rsidR="00B21991" w:rsidRPr="00FB15DB" w:rsidRDefault="00B21991" w:rsidP="00B21991">
      <w:pPr>
        <w:pStyle w:val="BodyText"/>
      </w:pPr>
      <w:r w:rsidRPr="00FB15DB">
        <w:t>Based on the literature review (see Annex 3, Section A3.4), a mix of approaches were selected for use to capture the quantity of different types of biomass production (livestock, crops, fish, invertebrates) that can be attributed to different ecosystem assets (farmland, seagrass, mangrove, saltmarsh, reefs) within the GORCAP region. The following data and analyses are drawn on to estimate the quantity of biomass for food produced by ecosystems within the GORCAP region for three specific outputs:</w:t>
      </w:r>
    </w:p>
    <w:p w14:paraId="1B83283B" w14:textId="77777777" w:rsidR="00B21991" w:rsidRPr="00FB15DB" w:rsidRDefault="00B21991" w:rsidP="00B21991">
      <w:pPr>
        <w:pStyle w:val="ListBullet"/>
      </w:pPr>
      <w:r w:rsidRPr="008923E6">
        <w:rPr>
          <w:b/>
          <w:bCs/>
        </w:rPr>
        <w:t>Agriculture</w:t>
      </w:r>
      <w:r w:rsidRPr="00FB15DB">
        <w:rPr>
          <w:b/>
        </w:rPr>
        <w:t xml:space="preserve">: </w:t>
      </w:r>
      <w:r w:rsidRPr="00FB15DB">
        <w:t xml:space="preserve">the production of biomass as crops and livestock from enclosed farmland within the GORCAP EEA region was measured using data from the ABS </w:t>
      </w:r>
      <w:r w:rsidRPr="00FB15DB">
        <w:rPr>
          <w:i/>
        </w:rPr>
        <w:t xml:space="preserve">Agricultural Commodities, Australia 2018-19 </w:t>
      </w:r>
      <w:r w:rsidRPr="00FB15DB">
        <w:t xml:space="preserve">dataset. This dataset contains information on the volume (tonnes) of agricultural production and numbers of livestock per year for farmland within Victoria at SA4 level. The total area of farmland in the GORCAP region (determined through the extent mapping) was compared to the total area of farmland within the Geelong and Warrnambool and South-West SA4 regions (see Table 5). The percent proportion of farmland within the GORCAP region was then applied to the total volumes of agricultural produce and the numbers of livestock at SA4 level from the ABS data. </w:t>
      </w:r>
    </w:p>
    <w:p w14:paraId="11AB195B" w14:textId="77777777" w:rsidR="00B21991" w:rsidRPr="00FB15DB" w:rsidRDefault="00B21991" w:rsidP="008923E6">
      <w:pPr>
        <w:pStyle w:val="BodyText"/>
      </w:pPr>
      <w:r w:rsidRPr="00FB15DB">
        <w:lastRenderedPageBreak/>
        <w:t>It is acknowledged this is a crude approach to determining the proportion of agricultural production occurring in the GORCAP region. The study team considered estimating the average per hectare volumes for different types of agricultural produce at SA4 level and applying these to the area of agricultural land within the GORCAP region, however the VLUIS land use classifications could not be reconciled with ABS produce classifications to produce accurate results.</w:t>
      </w:r>
    </w:p>
    <w:p w14:paraId="369AFD6A" w14:textId="3BE070DC" w:rsidR="00B21991" w:rsidRPr="00EE7A8C" w:rsidRDefault="00B21991" w:rsidP="00B22F84">
      <w:pPr>
        <w:pStyle w:val="Caption"/>
      </w:pPr>
      <w:r w:rsidRPr="00FB15DB">
        <w:t xml:space="preserve">Table 5. Areas of farmland (hectares) </w:t>
      </w:r>
    </w:p>
    <w:tbl>
      <w:tblPr>
        <w:tblStyle w:val="TableGrid"/>
        <w:tblW w:w="5000" w:type="pct"/>
        <w:tblLook w:val="04A0" w:firstRow="1" w:lastRow="0" w:firstColumn="1" w:lastColumn="0" w:noHBand="0" w:noVBand="1"/>
      </w:tblPr>
      <w:tblGrid>
        <w:gridCol w:w="3123"/>
        <w:gridCol w:w="2172"/>
        <w:gridCol w:w="2356"/>
        <w:gridCol w:w="1987"/>
      </w:tblGrid>
      <w:tr w:rsidR="00EE7A8C" w:rsidRPr="00FB15DB" w14:paraId="77C0640E" w14:textId="77777777" w:rsidTr="00B3749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620" w:type="pct"/>
            <w:tcBorders>
              <w:bottom w:val="single" w:sz="4" w:space="0" w:color="auto"/>
            </w:tcBorders>
            <w:shd w:val="clear" w:color="auto" w:fill="auto"/>
          </w:tcPr>
          <w:p w14:paraId="72F893A9" w14:textId="77777777" w:rsidR="00B21991" w:rsidRPr="00FB15DB" w:rsidRDefault="00B21991" w:rsidP="00B37493">
            <w:pPr>
              <w:pStyle w:val="TableTextLeft"/>
            </w:pPr>
          </w:p>
        </w:tc>
        <w:tc>
          <w:tcPr>
            <w:tcW w:w="1127" w:type="pct"/>
          </w:tcPr>
          <w:p w14:paraId="4545B786" w14:textId="77777777" w:rsidR="00B21991" w:rsidRPr="00FB15DB" w:rsidRDefault="00B21991" w:rsidP="00EE7A8C">
            <w:pPr>
              <w:pStyle w:val="TableHeadingLeft"/>
              <w:cnfStyle w:val="100000000000" w:firstRow="1" w:lastRow="0" w:firstColumn="0" w:lastColumn="0" w:oddVBand="0" w:evenVBand="0" w:oddHBand="0" w:evenHBand="0" w:firstRowFirstColumn="0" w:firstRowLastColumn="0" w:lastRowFirstColumn="0" w:lastRowLastColumn="0"/>
            </w:pPr>
            <w:r w:rsidRPr="00FB15DB">
              <w:t>GORCAP region</w:t>
            </w:r>
          </w:p>
        </w:tc>
        <w:tc>
          <w:tcPr>
            <w:tcW w:w="1222" w:type="pct"/>
          </w:tcPr>
          <w:p w14:paraId="1E9E76B5" w14:textId="77777777" w:rsidR="00B21991" w:rsidRPr="00FB15DB" w:rsidRDefault="00B21991" w:rsidP="00EE7A8C">
            <w:pPr>
              <w:pStyle w:val="TableHeadingLeft"/>
              <w:cnfStyle w:val="100000000000" w:firstRow="1" w:lastRow="0" w:firstColumn="0" w:lastColumn="0" w:oddVBand="0" w:evenVBand="0" w:oddHBand="0" w:evenHBand="0" w:firstRowFirstColumn="0" w:firstRowLastColumn="0" w:lastRowFirstColumn="0" w:lastRowLastColumn="0"/>
            </w:pPr>
            <w:r w:rsidRPr="00FB15DB">
              <w:t>SA4 region</w:t>
            </w:r>
          </w:p>
        </w:tc>
        <w:tc>
          <w:tcPr>
            <w:tcW w:w="1031" w:type="pct"/>
          </w:tcPr>
          <w:p w14:paraId="403CCE3A" w14:textId="77777777" w:rsidR="00B21991" w:rsidRPr="00FB15DB" w:rsidRDefault="00B21991" w:rsidP="00EE7A8C">
            <w:pPr>
              <w:pStyle w:val="TableHeadingLeft"/>
              <w:cnfStyle w:val="100000000000" w:firstRow="1" w:lastRow="0" w:firstColumn="0" w:lastColumn="0" w:oddVBand="0" w:evenVBand="0" w:oddHBand="0" w:evenHBand="0" w:firstRowFirstColumn="0" w:firstRowLastColumn="0" w:lastRowFirstColumn="0" w:lastRowLastColumn="0"/>
            </w:pPr>
            <w:r w:rsidRPr="00FB15DB">
              <w:t>Proportion</w:t>
            </w:r>
            <w:r w:rsidRPr="00FB15DB">
              <w:rPr>
                <w:vertAlign w:val="superscript"/>
              </w:rPr>
              <w:footnoteReference w:id="23"/>
            </w:r>
          </w:p>
        </w:tc>
      </w:tr>
      <w:tr w:rsidR="00EE7A8C" w:rsidRPr="00FB15DB" w14:paraId="69C5C2C8" w14:textId="77777777" w:rsidTr="00B37493">
        <w:trPr>
          <w:cantSplit/>
        </w:trPr>
        <w:tc>
          <w:tcPr>
            <w:cnfStyle w:val="001000000000" w:firstRow="0" w:lastRow="0" w:firstColumn="1" w:lastColumn="0" w:oddVBand="0" w:evenVBand="0" w:oddHBand="0" w:evenHBand="0" w:firstRowFirstColumn="0" w:firstRowLastColumn="0" w:lastRowFirstColumn="0" w:lastRowLastColumn="0"/>
            <w:tcW w:w="1620" w:type="pct"/>
            <w:tcBorders>
              <w:top w:val="single" w:sz="4" w:space="0" w:color="auto"/>
            </w:tcBorders>
          </w:tcPr>
          <w:p w14:paraId="2ACB56E3" w14:textId="77777777" w:rsidR="00B21991" w:rsidRPr="00FB15DB" w:rsidRDefault="00B21991" w:rsidP="00B37493">
            <w:pPr>
              <w:pStyle w:val="TableTextLeft"/>
            </w:pPr>
            <w:r w:rsidRPr="00FB15DB">
              <w:t>Geelong</w:t>
            </w:r>
          </w:p>
        </w:tc>
        <w:tc>
          <w:tcPr>
            <w:tcW w:w="1127" w:type="pct"/>
          </w:tcPr>
          <w:p w14:paraId="55D10839" w14:textId="77777777" w:rsidR="00B21991" w:rsidRPr="00FB15DB" w:rsidRDefault="00B21991" w:rsidP="00B37493">
            <w:pPr>
              <w:pStyle w:val="TableTextLeft"/>
              <w:cnfStyle w:val="000000000000" w:firstRow="0" w:lastRow="0" w:firstColumn="0" w:lastColumn="0" w:oddVBand="0" w:evenVBand="0" w:oddHBand="0" w:evenHBand="0" w:firstRowFirstColumn="0" w:firstRowLastColumn="0" w:lastRowFirstColumn="0" w:lastRowLastColumn="0"/>
            </w:pPr>
            <w:r w:rsidRPr="00FB15DB">
              <w:t>3,093</w:t>
            </w:r>
          </w:p>
        </w:tc>
        <w:tc>
          <w:tcPr>
            <w:tcW w:w="1222" w:type="pct"/>
          </w:tcPr>
          <w:p w14:paraId="4F3550AB" w14:textId="77777777" w:rsidR="00B21991" w:rsidRPr="00FB15DB" w:rsidRDefault="00B21991" w:rsidP="00B37493">
            <w:pPr>
              <w:pStyle w:val="TableTextLeft"/>
              <w:cnfStyle w:val="000000000000" w:firstRow="0" w:lastRow="0" w:firstColumn="0" w:lastColumn="0" w:oddVBand="0" w:evenVBand="0" w:oddHBand="0" w:evenHBand="0" w:firstRowFirstColumn="0" w:firstRowLastColumn="0" w:lastRowFirstColumn="0" w:lastRowLastColumn="0"/>
            </w:pPr>
            <w:r w:rsidRPr="00FB15DB">
              <w:t>269,479</w:t>
            </w:r>
          </w:p>
        </w:tc>
        <w:tc>
          <w:tcPr>
            <w:tcW w:w="1031" w:type="pct"/>
          </w:tcPr>
          <w:p w14:paraId="4B64816B" w14:textId="77777777" w:rsidR="00B21991" w:rsidRPr="00FB15DB" w:rsidRDefault="00B21991" w:rsidP="00B37493">
            <w:pPr>
              <w:pStyle w:val="TableTextLeft"/>
              <w:cnfStyle w:val="000000000000" w:firstRow="0" w:lastRow="0" w:firstColumn="0" w:lastColumn="0" w:oddVBand="0" w:evenVBand="0" w:oddHBand="0" w:evenHBand="0" w:firstRowFirstColumn="0" w:firstRowLastColumn="0" w:lastRowFirstColumn="0" w:lastRowLastColumn="0"/>
            </w:pPr>
            <w:r w:rsidRPr="00FB15DB">
              <w:t>1.15%</w:t>
            </w:r>
          </w:p>
        </w:tc>
      </w:tr>
      <w:tr w:rsidR="00B21991" w:rsidRPr="00FB15DB" w14:paraId="1E4CCFAA" w14:textId="77777777" w:rsidTr="00EE7A8C">
        <w:trPr>
          <w:cantSplit/>
        </w:trPr>
        <w:tc>
          <w:tcPr>
            <w:cnfStyle w:val="001000000000" w:firstRow="0" w:lastRow="0" w:firstColumn="1" w:lastColumn="0" w:oddVBand="0" w:evenVBand="0" w:oddHBand="0" w:evenHBand="0" w:firstRowFirstColumn="0" w:firstRowLastColumn="0" w:lastRowFirstColumn="0" w:lastRowLastColumn="0"/>
            <w:tcW w:w="1620" w:type="pct"/>
          </w:tcPr>
          <w:p w14:paraId="62CE557C" w14:textId="77777777" w:rsidR="00B21991" w:rsidRPr="00FB15DB" w:rsidRDefault="00B21991" w:rsidP="00B37493">
            <w:pPr>
              <w:pStyle w:val="TableTextLeft"/>
            </w:pPr>
            <w:r w:rsidRPr="00FB15DB">
              <w:t>Warrnambool and South-West</w:t>
            </w:r>
          </w:p>
        </w:tc>
        <w:tc>
          <w:tcPr>
            <w:tcW w:w="1127" w:type="pct"/>
          </w:tcPr>
          <w:p w14:paraId="20B2664B" w14:textId="77777777" w:rsidR="00B21991" w:rsidRPr="00FB15DB" w:rsidRDefault="00B21991" w:rsidP="00B37493">
            <w:pPr>
              <w:pStyle w:val="TableTextLeft"/>
              <w:cnfStyle w:val="000000000000" w:firstRow="0" w:lastRow="0" w:firstColumn="0" w:lastColumn="0" w:oddVBand="0" w:evenVBand="0" w:oddHBand="0" w:evenHBand="0" w:firstRowFirstColumn="0" w:firstRowLastColumn="0" w:lastRowFirstColumn="0" w:lastRowLastColumn="0"/>
            </w:pPr>
            <w:r w:rsidRPr="00FB15DB">
              <w:t>24,301</w:t>
            </w:r>
          </w:p>
        </w:tc>
        <w:tc>
          <w:tcPr>
            <w:tcW w:w="1222" w:type="pct"/>
          </w:tcPr>
          <w:p w14:paraId="770B0277" w14:textId="77777777" w:rsidR="00B21991" w:rsidRPr="00FB15DB" w:rsidRDefault="00B21991" w:rsidP="00B37493">
            <w:pPr>
              <w:pStyle w:val="TableTextLeft"/>
              <w:cnfStyle w:val="000000000000" w:firstRow="0" w:lastRow="0" w:firstColumn="0" w:lastColumn="0" w:oddVBand="0" w:evenVBand="0" w:oddHBand="0" w:evenHBand="0" w:firstRowFirstColumn="0" w:firstRowLastColumn="0" w:lastRowFirstColumn="0" w:lastRowLastColumn="0"/>
            </w:pPr>
            <w:r w:rsidRPr="00FB15DB">
              <w:t>1,620,970</w:t>
            </w:r>
          </w:p>
        </w:tc>
        <w:tc>
          <w:tcPr>
            <w:tcW w:w="1031" w:type="pct"/>
          </w:tcPr>
          <w:p w14:paraId="7C6A8A69" w14:textId="77777777" w:rsidR="00B21991" w:rsidRPr="00FB15DB" w:rsidRDefault="00B21991" w:rsidP="00B37493">
            <w:pPr>
              <w:pStyle w:val="TableTextLeft"/>
              <w:cnfStyle w:val="000000000000" w:firstRow="0" w:lastRow="0" w:firstColumn="0" w:lastColumn="0" w:oddVBand="0" w:evenVBand="0" w:oddHBand="0" w:evenHBand="0" w:firstRowFirstColumn="0" w:firstRowLastColumn="0" w:lastRowFirstColumn="0" w:lastRowLastColumn="0"/>
            </w:pPr>
            <w:r w:rsidRPr="00FB15DB">
              <w:t>1.50%</w:t>
            </w:r>
          </w:p>
        </w:tc>
      </w:tr>
    </w:tbl>
    <w:p w14:paraId="13D7A30E" w14:textId="77777777" w:rsidR="00B21991" w:rsidRPr="00FB15DB" w:rsidRDefault="00B21991" w:rsidP="00B21991">
      <w:pPr>
        <w:pStyle w:val="ListBullet"/>
      </w:pPr>
      <w:r w:rsidRPr="00FB15DB">
        <w:t>Fisheries - wild fish harvest</w:t>
      </w:r>
      <w:r w:rsidRPr="00FB15DB">
        <w:rPr>
          <w:b/>
        </w:rPr>
        <w:t>:</w:t>
      </w:r>
      <w:r w:rsidRPr="00FB15DB">
        <w:t xml:space="preserve"> the annual biomass enhancement in wild fish stocks that is caught by commercial fishers (i.e., the flow of benefit, not the value of stock enhancement) in kilograms per year that is attributable to seagrass, mangrove and saltmarsh habitat within the GORCAP region was estimated.</w:t>
      </w:r>
      <w:r w:rsidRPr="00FB15DB">
        <w:rPr>
          <w:vertAlign w:val="superscript"/>
        </w:rPr>
        <w:footnoteReference w:id="24"/>
      </w:r>
      <w:r w:rsidRPr="00FB15DB">
        <w:rPr>
          <w:b/>
        </w:rPr>
        <w:t xml:space="preserve"> </w:t>
      </w:r>
      <w:r w:rsidRPr="00FB15DB">
        <w:t>These figures were applied to the area of each habitat within the GORCAP EEA boundary for those species that are known to spawn and be raised within the GORCAP EEA boundary. Victoria specific annual production estimates were from Carnell et al (2019) and based on the contribution of these ecosystems to the diet of fish. Table 6 sets out the specific estimates that will be used.</w:t>
      </w:r>
    </w:p>
    <w:p w14:paraId="52971D7C" w14:textId="77777777" w:rsidR="00B21991" w:rsidRPr="00FB15DB" w:rsidRDefault="00B21991" w:rsidP="00537034">
      <w:pPr>
        <w:pStyle w:val="Caption"/>
      </w:pPr>
      <w:r w:rsidRPr="00FB15DB">
        <w:t xml:space="preserve">Table 6. Annual production value for fish species attributable to ecosystem assets </w:t>
      </w:r>
    </w:p>
    <w:tbl>
      <w:tblPr>
        <w:tblStyle w:val="TableGrid"/>
        <w:tblW w:w="5000" w:type="pct"/>
        <w:tblLook w:val="04A0" w:firstRow="1" w:lastRow="0" w:firstColumn="1" w:lastColumn="0" w:noHBand="0" w:noVBand="1"/>
      </w:tblPr>
      <w:tblGrid>
        <w:gridCol w:w="938"/>
        <w:gridCol w:w="2508"/>
        <w:gridCol w:w="2043"/>
        <w:gridCol w:w="19"/>
        <w:gridCol w:w="2019"/>
        <w:gridCol w:w="45"/>
        <w:gridCol w:w="1994"/>
        <w:gridCol w:w="72"/>
      </w:tblGrid>
      <w:tr w:rsidR="00B37493" w:rsidRPr="00FB15DB" w14:paraId="7F703CEE" w14:textId="77777777" w:rsidTr="00DE6E09">
        <w:trPr>
          <w:gridAfter w:val="1"/>
          <w:cnfStyle w:val="100000000000" w:firstRow="1" w:lastRow="0" w:firstColumn="0" w:lastColumn="0" w:oddVBand="0" w:evenVBand="0" w:oddHBand="0" w:evenHBand="0" w:firstRowFirstColumn="0" w:firstRowLastColumn="0" w:lastRowFirstColumn="0" w:lastRowLastColumn="0"/>
          <w:wAfter w:w="42" w:type="pct"/>
        </w:trPr>
        <w:tc>
          <w:tcPr>
            <w:cnfStyle w:val="001000000000" w:firstRow="0" w:lastRow="0" w:firstColumn="1" w:lastColumn="0" w:oddVBand="0" w:evenVBand="0" w:oddHBand="0" w:evenHBand="0" w:firstRowFirstColumn="0" w:firstRowLastColumn="0" w:lastRowFirstColumn="0" w:lastRowLastColumn="0"/>
            <w:tcW w:w="1765" w:type="pct"/>
            <w:gridSpan w:val="2"/>
            <w:vMerge w:val="restart"/>
            <w:tcBorders>
              <w:bottom w:val="single" w:sz="4" w:space="0" w:color="auto"/>
            </w:tcBorders>
            <w:shd w:val="clear" w:color="auto" w:fill="auto"/>
          </w:tcPr>
          <w:p w14:paraId="2FA2C71B" w14:textId="77777777" w:rsidR="00B21991" w:rsidRPr="00FB15DB" w:rsidRDefault="00B21991" w:rsidP="00DE6E09">
            <w:pPr>
              <w:pStyle w:val="TableTextLeft"/>
            </w:pPr>
          </w:p>
        </w:tc>
        <w:tc>
          <w:tcPr>
            <w:tcW w:w="3193" w:type="pct"/>
            <w:gridSpan w:val="5"/>
            <w:tcBorders>
              <w:bottom w:val="single" w:sz="4" w:space="0" w:color="auto"/>
            </w:tcBorders>
          </w:tcPr>
          <w:p w14:paraId="12BD3393" w14:textId="77777777" w:rsidR="00B21991" w:rsidRPr="00FB15DB" w:rsidRDefault="00B21991" w:rsidP="00B37493">
            <w:pPr>
              <w:pStyle w:val="TableHeadingLeft"/>
              <w:cnfStyle w:val="100000000000" w:firstRow="1" w:lastRow="0" w:firstColumn="0" w:lastColumn="0" w:oddVBand="0" w:evenVBand="0" w:oddHBand="0" w:evenHBand="0" w:firstRowFirstColumn="0" w:firstRowLastColumn="0" w:lastRowFirstColumn="0" w:lastRowLastColumn="0"/>
            </w:pPr>
            <w:r w:rsidRPr="00FB15DB">
              <w:t>Annual production value (kilograms per hectare per year)</w:t>
            </w:r>
          </w:p>
        </w:tc>
      </w:tr>
      <w:tr w:rsidR="00B37493" w:rsidRPr="00FB15DB" w14:paraId="063AEE7C" w14:textId="77777777" w:rsidTr="00DE6E09">
        <w:trPr>
          <w:gridAfter w:val="1"/>
          <w:wAfter w:w="42" w:type="pct"/>
        </w:trPr>
        <w:tc>
          <w:tcPr>
            <w:cnfStyle w:val="001000000000" w:firstRow="0" w:lastRow="0" w:firstColumn="1" w:lastColumn="0" w:oddVBand="0" w:evenVBand="0" w:oddHBand="0" w:evenHBand="0" w:firstRowFirstColumn="0" w:firstRowLastColumn="0" w:lastRowFirstColumn="0" w:lastRowLastColumn="0"/>
            <w:tcW w:w="1765" w:type="pct"/>
            <w:gridSpan w:val="2"/>
            <w:vMerge/>
            <w:shd w:val="clear" w:color="auto" w:fill="auto"/>
          </w:tcPr>
          <w:p w14:paraId="0FDE6EF3" w14:textId="77777777" w:rsidR="00B21991" w:rsidRPr="00FB15DB" w:rsidRDefault="00B21991" w:rsidP="00B37493">
            <w:pPr>
              <w:pStyle w:val="TableTextLeft"/>
            </w:pPr>
          </w:p>
        </w:tc>
        <w:tc>
          <w:tcPr>
            <w:tcW w:w="1064" w:type="pct"/>
            <w:shd w:val="clear" w:color="auto" w:fill="004C97"/>
          </w:tcPr>
          <w:p w14:paraId="635316C0" w14:textId="77777777" w:rsidR="00B21991" w:rsidRPr="00FB15DB" w:rsidRDefault="00B21991" w:rsidP="00DE6E09">
            <w:pPr>
              <w:pStyle w:val="TableHeadingLeft"/>
              <w:cnfStyle w:val="000000000000" w:firstRow="0" w:lastRow="0" w:firstColumn="0" w:lastColumn="0" w:oddVBand="0" w:evenVBand="0" w:oddHBand="0" w:evenHBand="0" w:firstRowFirstColumn="0" w:firstRowLastColumn="0" w:lastRowFirstColumn="0" w:lastRowLastColumn="0"/>
            </w:pPr>
            <w:r w:rsidRPr="00FB15DB">
              <w:t>Saltmarsh</w:t>
            </w:r>
          </w:p>
        </w:tc>
        <w:tc>
          <w:tcPr>
            <w:tcW w:w="1065" w:type="pct"/>
            <w:gridSpan w:val="2"/>
            <w:shd w:val="clear" w:color="auto" w:fill="004C97"/>
          </w:tcPr>
          <w:p w14:paraId="059C9F9E" w14:textId="77777777" w:rsidR="00B21991" w:rsidRPr="00FB15DB" w:rsidRDefault="00B21991" w:rsidP="00DE6E09">
            <w:pPr>
              <w:pStyle w:val="TableHeadingLeft"/>
              <w:cnfStyle w:val="000000000000" w:firstRow="0" w:lastRow="0" w:firstColumn="0" w:lastColumn="0" w:oddVBand="0" w:evenVBand="0" w:oddHBand="0" w:evenHBand="0" w:firstRowFirstColumn="0" w:firstRowLastColumn="0" w:lastRowFirstColumn="0" w:lastRowLastColumn="0"/>
            </w:pPr>
            <w:r w:rsidRPr="00FB15DB">
              <w:t>Mangrove</w:t>
            </w:r>
          </w:p>
        </w:tc>
        <w:tc>
          <w:tcPr>
            <w:tcW w:w="1065" w:type="pct"/>
            <w:gridSpan w:val="2"/>
            <w:shd w:val="clear" w:color="auto" w:fill="004C97"/>
          </w:tcPr>
          <w:p w14:paraId="64A41809" w14:textId="77777777" w:rsidR="00B21991" w:rsidRPr="00FB15DB" w:rsidRDefault="00B21991" w:rsidP="00DE6E09">
            <w:pPr>
              <w:pStyle w:val="TableHeadingLeft"/>
              <w:cnfStyle w:val="000000000000" w:firstRow="0" w:lastRow="0" w:firstColumn="0" w:lastColumn="0" w:oddVBand="0" w:evenVBand="0" w:oddHBand="0" w:evenHBand="0" w:firstRowFirstColumn="0" w:firstRowLastColumn="0" w:lastRowFirstColumn="0" w:lastRowLastColumn="0"/>
            </w:pPr>
            <w:r w:rsidRPr="00FB15DB">
              <w:t>Seagrass</w:t>
            </w:r>
          </w:p>
        </w:tc>
      </w:tr>
      <w:tr w:rsidR="00B37493" w:rsidRPr="00FB15DB" w14:paraId="0991F0B8" w14:textId="77777777" w:rsidTr="00DE6E09">
        <w:trPr>
          <w:gridAfter w:val="1"/>
          <w:wAfter w:w="42" w:type="pct"/>
        </w:trPr>
        <w:tc>
          <w:tcPr>
            <w:cnfStyle w:val="001000000000" w:firstRow="0" w:lastRow="0" w:firstColumn="1" w:lastColumn="0" w:oddVBand="0" w:evenVBand="0" w:oddHBand="0" w:evenHBand="0" w:firstRowFirstColumn="0" w:firstRowLastColumn="0" w:lastRowFirstColumn="0" w:lastRowLastColumn="0"/>
            <w:tcW w:w="1765" w:type="pct"/>
            <w:gridSpan w:val="2"/>
            <w:vMerge/>
            <w:shd w:val="clear" w:color="auto" w:fill="auto"/>
          </w:tcPr>
          <w:p w14:paraId="1DDBBD07" w14:textId="77777777" w:rsidR="00B21991" w:rsidRPr="00FB15DB" w:rsidRDefault="00B21991" w:rsidP="00B37493">
            <w:pPr>
              <w:pStyle w:val="TableTextLeft"/>
            </w:pPr>
          </w:p>
        </w:tc>
        <w:tc>
          <w:tcPr>
            <w:tcW w:w="1064" w:type="pct"/>
            <w:shd w:val="clear" w:color="auto" w:fill="004C97"/>
          </w:tcPr>
          <w:p w14:paraId="11EF6EF1" w14:textId="77777777" w:rsidR="00B21991" w:rsidRPr="00DE6E09" w:rsidRDefault="00B21991" w:rsidP="00DE6E09">
            <w:pPr>
              <w:pStyle w:val="TableHeadingLeft"/>
              <w:cnfStyle w:val="000000000000" w:firstRow="0" w:lastRow="0" w:firstColumn="0" w:lastColumn="0" w:oddVBand="0" w:evenVBand="0" w:oddHBand="0" w:evenHBand="0" w:firstRowFirstColumn="0" w:firstRowLastColumn="0" w:lastRowFirstColumn="0" w:lastRowLastColumn="0"/>
              <w:rPr>
                <w:i/>
                <w:iCs/>
              </w:rPr>
            </w:pPr>
            <w:r w:rsidRPr="00DE6E09">
              <w:rPr>
                <w:i/>
                <w:iCs/>
              </w:rPr>
              <w:t>Carnell et al (2019)</w:t>
            </w:r>
          </w:p>
        </w:tc>
        <w:tc>
          <w:tcPr>
            <w:tcW w:w="1065" w:type="pct"/>
            <w:gridSpan w:val="2"/>
            <w:shd w:val="clear" w:color="auto" w:fill="004C97"/>
          </w:tcPr>
          <w:p w14:paraId="297FCC46" w14:textId="77777777" w:rsidR="00B21991" w:rsidRPr="00DE6E09" w:rsidRDefault="00B21991" w:rsidP="00DE6E09">
            <w:pPr>
              <w:pStyle w:val="TableHeadingLeft"/>
              <w:cnfStyle w:val="000000000000" w:firstRow="0" w:lastRow="0" w:firstColumn="0" w:lastColumn="0" w:oddVBand="0" w:evenVBand="0" w:oddHBand="0" w:evenHBand="0" w:firstRowFirstColumn="0" w:firstRowLastColumn="0" w:lastRowFirstColumn="0" w:lastRowLastColumn="0"/>
              <w:rPr>
                <w:i/>
                <w:iCs/>
              </w:rPr>
            </w:pPr>
            <w:r w:rsidRPr="00DE6E09">
              <w:rPr>
                <w:i/>
                <w:iCs/>
              </w:rPr>
              <w:t>Carnell et al (2019)</w:t>
            </w:r>
          </w:p>
        </w:tc>
        <w:tc>
          <w:tcPr>
            <w:tcW w:w="1065" w:type="pct"/>
            <w:gridSpan w:val="2"/>
            <w:shd w:val="clear" w:color="auto" w:fill="004C97"/>
          </w:tcPr>
          <w:p w14:paraId="26CC602A" w14:textId="77777777" w:rsidR="00B21991" w:rsidRPr="00DE6E09" w:rsidRDefault="00B21991" w:rsidP="00DE6E09">
            <w:pPr>
              <w:pStyle w:val="TableHeadingLeft"/>
              <w:cnfStyle w:val="000000000000" w:firstRow="0" w:lastRow="0" w:firstColumn="0" w:lastColumn="0" w:oddVBand="0" w:evenVBand="0" w:oddHBand="0" w:evenHBand="0" w:firstRowFirstColumn="0" w:firstRowLastColumn="0" w:lastRowFirstColumn="0" w:lastRowLastColumn="0"/>
              <w:rPr>
                <w:i/>
                <w:iCs/>
              </w:rPr>
            </w:pPr>
            <w:r w:rsidRPr="00DE6E09">
              <w:rPr>
                <w:i/>
                <w:iCs/>
              </w:rPr>
              <w:t>Carnell et al (2019)</w:t>
            </w:r>
          </w:p>
        </w:tc>
      </w:tr>
      <w:tr w:rsidR="00B37493" w:rsidRPr="00FB15DB" w14:paraId="0B2D8D8D" w14:textId="77777777" w:rsidTr="00B37493">
        <w:tc>
          <w:tcPr>
            <w:cnfStyle w:val="001000000000" w:firstRow="0" w:lastRow="0" w:firstColumn="1" w:lastColumn="0" w:oddVBand="0" w:evenVBand="0" w:oddHBand="0" w:evenHBand="0" w:firstRowFirstColumn="0" w:firstRowLastColumn="0" w:lastRowFirstColumn="0" w:lastRowLastColumn="0"/>
            <w:tcW w:w="460" w:type="pct"/>
            <w:vMerge w:val="restart"/>
          </w:tcPr>
          <w:p w14:paraId="3ECC84EE" w14:textId="77777777" w:rsidR="00B21991" w:rsidRPr="00FB15DB" w:rsidRDefault="00B21991" w:rsidP="00B37493">
            <w:pPr>
              <w:pStyle w:val="TableTextLeft"/>
            </w:pPr>
            <w:r w:rsidRPr="00FB15DB">
              <w:t>Species</w:t>
            </w:r>
          </w:p>
        </w:tc>
        <w:tc>
          <w:tcPr>
            <w:tcW w:w="1305" w:type="pct"/>
          </w:tcPr>
          <w:p w14:paraId="4714803E" w14:textId="77777777" w:rsidR="00B21991" w:rsidRPr="00FB15DB" w:rsidRDefault="00B21991" w:rsidP="00B37493">
            <w:pPr>
              <w:pStyle w:val="TableTextLeft"/>
              <w:cnfStyle w:val="000000000000" w:firstRow="0" w:lastRow="0" w:firstColumn="0" w:lastColumn="0" w:oddVBand="0" w:evenVBand="0" w:oddHBand="0" w:evenHBand="0" w:firstRowFirstColumn="0" w:firstRowLastColumn="0" w:lastRowFirstColumn="0" w:lastRowLastColumn="0"/>
            </w:pPr>
            <w:r w:rsidRPr="00FB15DB">
              <w:t>King George Whiting</w:t>
            </w:r>
          </w:p>
        </w:tc>
        <w:tc>
          <w:tcPr>
            <w:tcW w:w="1078" w:type="pct"/>
            <w:gridSpan w:val="2"/>
          </w:tcPr>
          <w:p w14:paraId="7888A5EF" w14:textId="77777777" w:rsidR="00B21991" w:rsidRPr="00FB15DB" w:rsidRDefault="00B21991" w:rsidP="00B37493">
            <w:pPr>
              <w:pStyle w:val="TableTextLeft"/>
              <w:cnfStyle w:val="000000000000" w:firstRow="0" w:lastRow="0" w:firstColumn="0" w:lastColumn="0" w:oddVBand="0" w:evenVBand="0" w:oddHBand="0" w:evenHBand="0" w:firstRowFirstColumn="0" w:firstRowLastColumn="0" w:lastRowFirstColumn="0" w:lastRowLastColumn="0"/>
            </w:pPr>
            <w:r w:rsidRPr="00FB15DB">
              <w:t>0.23</w:t>
            </w:r>
          </w:p>
        </w:tc>
        <w:tc>
          <w:tcPr>
            <w:tcW w:w="1078" w:type="pct"/>
            <w:gridSpan w:val="2"/>
          </w:tcPr>
          <w:p w14:paraId="2D52B2BE" w14:textId="77777777" w:rsidR="00B21991" w:rsidRPr="00FB15DB" w:rsidRDefault="00B21991" w:rsidP="00B37493">
            <w:pPr>
              <w:pStyle w:val="TableTextLeft"/>
              <w:cnfStyle w:val="000000000000" w:firstRow="0" w:lastRow="0" w:firstColumn="0" w:lastColumn="0" w:oddVBand="0" w:evenVBand="0" w:oddHBand="0" w:evenHBand="0" w:firstRowFirstColumn="0" w:firstRowLastColumn="0" w:lastRowFirstColumn="0" w:lastRowLastColumn="0"/>
            </w:pPr>
            <w:r w:rsidRPr="00FB15DB">
              <w:t>1.79</w:t>
            </w:r>
          </w:p>
        </w:tc>
        <w:tc>
          <w:tcPr>
            <w:tcW w:w="1079" w:type="pct"/>
            <w:gridSpan w:val="2"/>
          </w:tcPr>
          <w:p w14:paraId="589FF2AC" w14:textId="77777777" w:rsidR="00B21991" w:rsidRPr="00FB15DB" w:rsidRDefault="00B21991" w:rsidP="00B37493">
            <w:pPr>
              <w:pStyle w:val="TableTextLeft"/>
              <w:cnfStyle w:val="000000000000" w:firstRow="0" w:lastRow="0" w:firstColumn="0" w:lastColumn="0" w:oddVBand="0" w:evenVBand="0" w:oddHBand="0" w:evenHBand="0" w:firstRowFirstColumn="0" w:firstRowLastColumn="0" w:lastRowFirstColumn="0" w:lastRowLastColumn="0"/>
            </w:pPr>
            <w:r w:rsidRPr="00FB15DB">
              <w:t>0.95</w:t>
            </w:r>
          </w:p>
        </w:tc>
      </w:tr>
      <w:tr w:rsidR="00B37493" w:rsidRPr="00FB15DB" w14:paraId="71444111" w14:textId="77777777" w:rsidTr="00B37493">
        <w:tc>
          <w:tcPr>
            <w:cnfStyle w:val="001000000000" w:firstRow="0" w:lastRow="0" w:firstColumn="1" w:lastColumn="0" w:oddVBand="0" w:evenVBand="0" w:oddHBand="0" w:evenHBand="0" w:firstRowFirstColumn="0" w:firstRowLastColumn="0" w:lastRowFirstColumn="0" w:lastRowLastColumn="0"/>
            <w:tcW w:w="460" w:type="pct"/>
            <w:vMerge/>
          </w:tcPr>
          <w:p w14:paraId="6D9BFE43" w14:textId="77777777" w:rsidR="00B21991" w:rsidRPr="00FB15DB" w:rsidRDefault="00B21991" w:rsidP="00B37493">
            <w:pPr>
              <w:pStyle w:val="TableTextLeft"/>
            </w:pPr>
          </w:p>
        </w:tc>
        <w:tc>
          <w:tcPr>
            <w:tcW w:w="1305" w:type="pct"/>
          </w:tcPr>
          <w:p w14:paraId="14763858" w14:textId="77777777" w:rsidR="00B21991" w:rsidRPr="00FB15DB" w:rsidRDefault="00B21991" w:rsidP="00B37493">
            <w:pPr>
              <w:pStyle w:val="TableTextLeft"/>
              <w:cnfStyle w:val="000000000000" w:firstRow="0" w:lastRow="0" w:firstColumn="0" w:lastColumn="0" w:oddVBand="0" w:evenVBand="0" w:oddHBand="0" w:evenHBand="0" w:firstRowFirstColumn="0" w:firstRowLastColumn="0" w:lastRowFirstColumn="0" w:lastRowLastColumn="0"/>
            </w:pPr>
            <w:r w:rsidRPr="00FB15DB">
              <w:t>Southern Garfish</w:t>
            </w:r>
          </w:p>
        </w:tc>
        <w:tc>
          <w:tcPr>
            <w:tcW w:w="1078" w:type="pct"/>
            <w:gridSpan w:val="2"/>
          </w:tcPr>
          <w:p w14:paraId="165C3FF1" w14:textId="77777777" w:rsidR="00B21991" w:rsidRPr="00FB15DB" w:rsidRDefault="00B21991" w:rsidP="00B37493">
            <w:pPr>
              <w:pStyle w:val="TableTextLeft"/>
              <w:cnfStyle w:val="000000000000" w:firstRow="0" w:lastRow="0" w:firstColumn="0" w:lastColumn="0" w:oddVBand="0" w:evenVBand="0" w:oddHBand="0" w:evenHBand="0" w:firstRowFirstColumn="0" w:firstRowLastColumn="0" w:lastRowFirstColumn="0" w:lastRowLastColumn="0"/>
            </w:pPr>
            <w:r w:rsidRPr="00FB15DB">
              <w:t>0.05</w:t>
            </w:r>
          </w:p>
        </w:tc>
        <w:tc>
          <w:tcPr>
            <w:tcW w:w="1078" w:type="pct"/>
            <w:gridSpan w:val="2"/>
          </w:tcPr>
          <w:p w14:paraId="6C0DCE53" w14:textId="77777777" w:rsidR="00B21991" w:rsidRPr="00FB15DB" w:rsidRDefault="00B21991" w:rsidP="00B37493">
            <w:pPr>
              <w:pStyle w:val="TableTextLeft"/>
              <w:cnfStyle w:val="000000000000" w:firstRow="0" w:lastRow="0" w:firstColumn="0" w:lastColumn="0" w:oddVBand="0" w:evenVBand="0" w:oddHBand="0" w:evenHBand="0" w:firstRowFirstColumn="0" w:firstRowLastColumn="0" w:lastRowFirstColumn="0" w:lastRowLastColumn="0"/>
            </w:pPr>
            <w:r w:rsidRPr="00FB15DB">
              <w:t>0.36</w:t>
            </w:r>
          </w:p>
        </w:tc>
        <w:tc>
          <w:tcPr>
            <w:tcW w:w="1079" w:type="pct"/>
            <w:gridSpan w:val="2"/>
          </w:tcPr>
          <w:p w14:paraId="68B134D2" w14:textId="77777777" w:rsidR="00B21991" w:rsidRPr="00FB15DB" w:rsidRDefault="00B21991" w:rsidP="00B37493">
            <w:pPr>
              <w:pStyle w:val="TableTextLeft"/>
              <w:cnfStyle w:val="000000000000" w:firstRow="0" w:lastRow="0" w:firstColumn="0" w:lastColumn="0" w:oddVBand="0" w:evenVBand="0" w:oddHBand="0" w:evenHBand="0" w:firstRowFirstColumn="0" w:firstRowLastColumn="0" w:lastRowFirstColumn="0" w:lastRowLastColumn="0"/>
            </w:pPr>
            <w:r w:rsidRPr="00FB15DB">
              <w:t>0.17</w:t>
            </w:r>
          </w:p>
        </w:tc>
      </w:tr>
      <w:tr w:rsidR="00B37493" w:rsidRPr="00FB15DB" w14:paraId="4471B805" w14:textId="77777777" w:rsidTr="00B37493">
        <w:tc>
          <w:tcPr>
            <w:cnfStyle w:val="001000000000" w:firstRow="0" w:lastRow="0" w:firstColumn="1" w:lastColumn="0" w:oddVBand="0" w:evenVBand="0" w:oddHBand="0" w:evenHBand="0" w:firstRowFirstColumn="0" w:firstRowLastColumn="0" w:lastRowFirstColumn="0" w:lastRowLastColumn="0"/>
            <w:tcW w:w="460" w:type="pct"/>
            <w:vMerge/>
          </w:tcPr>
          <w:p w14:paraId="62810EC7" w14:textId="77777777" w:rsidR="00B21991" w:rsidRPr="00FB15DB" w:rsidRDefault="00B21991" w:rsidP="00B37493">
            <w:pPr>
              <w:pStyle w:val="TableTextLeft"/>
            </w:pPr>
          </w:p>
        </w:tc>
        <w:tc>
          <w:tcPr>
            <w:tcW w:w="1305" w:type="pct"/>
          </w:tcPr>
          <w:p w14:paraId="0C20CDD3" w14:textId="77777777" w:rsidR="00B21991" w:rsidRPr="00FB15DB" w:rsidRDefault="00B21991" w:rsidP="00B37493">
            <w:pPr>
              <w:pStyle w:val="TableTextLeft"/>
              <w:cnfStyle w:val="000000000000" w:firstRow="0" w:lastRow="0" w:firstColumn="0" w:lastColumn="0" w:oddVBand="0" w:evenVBand="0" w:oddHBand="0" w:evenHBand="0" w:firstRowFirstColumn="0" w:firstRowLastColumn="0" w:lastRowFirstColumn="0" w:lastRowLastColumn="0"/>
            </w:pPr>
            <w:r w:rsidRPr="00FB15DB">
              <w:t>Snapper</w:t>
            </w:r>
          </w:p>
        </w:tc>
        <w:tc>
          <w:tcPr>
            <w:tcW w:w="1078" w:type="pct"/>
            <w:gridSpan w:val="2"/>
          </w:tcPr>
          <w:p w14:paraId="6184CFD9" w14:textId="77777777" w:rsidR="00B21991" w:rsidRPr="00FB15DB" w:rsidRDefault="00B21991" w:rsidP="00B37493">
            <w:pPr>
              <w:pStyle w:val="TableTextLeft"/>
              <w:cnfStyle w:val="000000000000" w:firstRow="0" w:lastRow="0" w:firstColumn="0" w:lastColumn="0" w:oddVBand="0" w:evenVBand="0" w:oddHBand="0" w:evenHBand="0" w:firstRowFirstColumn="0" w:firstRowLastColumn="0" w:lastRowFirstColumn="0" w:lastRowLastColumn="0"/>
            </w:pPr>
            <w:r w:rsidRPr="00FB15DB">
              <w:t>0.07</w:t>
            </w:r>
          </w:p>
        </w:tc>
        <w:tc>
          <w:tcPr>
            <w:tcW w:w="1078" w:type="pct"/>
            <w:gridSpan w:val="2"/>
          </w:tcPr>
          <w:p w14:paraId="3F269A83" w14:textId="77777777" w:rsidR="00B21991" w:rsidRPr="00FB15DB" w:rsidRDefault="00B21991" w:rsidP="00B37493">
            <w:pPr>
              <w:pStyle w:val="TableTextLeft"/>
              <w:cnfStyle w:val="000000000000" w:firstRow="0" w:lastRow="0" w:firstColumn="0" w:lastColumn="0" w:oddVBand="0" w:evenVBand="0" w:oddHBand="0" w:evenHBand="0" w:firstRowFirstColumn="0" w:firstRowLastColumn="0" w:lastRowFirstColumn="0" w:lastRowLastColumn="0"/>
            </w:pPr>
            <w:r w:rsidRPr="00FB15DB">
              <w:t>0.54</w:t>
            </w:r>
          </w:p>
        </w:tc>
        <w:tc>
          <w:tcPr>
            <w:tcW w:w="1079" w:type="pct"/>
            <w:gridSpan w:val="2"/>
          </w:tcPr>
          <w:p w14:paraId="470275E5" w14:textId="77777777" w:rsidR="00B21991" w:rsidRPr="00FB15DB" w:rsidRDefault="00B21991" w:rsidP="00B37493">
            <w:pPr>
              <w:pStyle w:val="TableTextLeft"/>
              <w:cnfStyle w:val="000000000000" w:firstRow="0" w:lastRow="0" w:firstColumn="0" w:lastColumn="0" w:oddVBand="0" w:evenVBand="0" w:oddHBand="0" w:evenHBand="0" w:firstRowFirstColumn="0" w:firstRowLastColumn="0" w:lastRowFirstColumn="0" w:lastRowLastColumn="0"/>
            </w:pPr>
            <w:r w:rsidRPr="00FB15DB">
              <w:t>0.23</w:t>
            </w:r>
          </w:p>
        </w:tc>
      </w:tr>
      <w:tr w:rsidR="00B37493" w:rsidRPr="00FB15DB" w14:paraId="63D36DBD" w14:textId="77777777" w:rsidTr="00B37493">
        <w:tc>
          <w:tcPr>
            <w:cnfStyle w:val="001000000000" w:firstRow="0" w:lastRow="0" w:firstColumn="1" w:lastColumn="0" w:oddVBand="0" w:evenVBand="0" w:oddHBand="0" w:evenHBand="0" w:firstRowFirstColumn="0" w:firstRowLastColumn="0" w:lastRowFirstColumn="0" w:lastRowLastColumn="0"/>
            <w:tcW w:w="460" w:type="pct"/>
            <w:vMerge/>
          </w:tcPr>
          <w:p w14:paraId="59AD6BE2" w14:textId="77777777" w:rsidR="00B21991" w:rsidRPr="00FB15DB" w:rsidRDefault="00B21991" w:rsidP="00B37493">
            <w:pPr>
              <w:pStyle w:val="TableTextLeft"/>
            </w:pPr>
          </w:p>
        </w:tc>
        <w:tc>
          <w:tcPr>
            <w:tcW w:w="1305" w:type="pct"/>
          </w:tcPr>
          <w:p w14:paraId="6D10B5A9" w14:textId="77777777" w:rsidR="00B21991" w:rsidRPr="00FB15DB" w:rsidRDefault="00B21991" w:rsidP="00B37493">
            <w:pPr>
              <w:pStyle w:val="TableTextLeft"/>
              <w:cnfStyle w:val="000000000000" w:firstRow="0" w:lastRow="0" w:firstColumn="0" w:lastColumn="0" w:oddVBand="0" w:evenVBand="0" w:oddHBand="0" w:evenHBand="0" w:firstRowFirstColumn="0" w:firstRowLastColumn="0" w:lastRowFirstColumn="0" w:lastRowLastColumn="0"/>
            </w:pPr>
            <w:r w:rsidRPr="00FB15DB">
              <w:t>Black bream</w:t>
            </w:r>
          </w:p>
        </w:tc>
        <w:tc>
          <w:tcPr>
            <w:tcW w:w="1078" w:type="pct"/>
            <w:gridSpan w:val="2"/>
          </w:tcPr>
          <w:p w14:paraId="3515F833" w14:textId="77777777" w:rsidR="00B21991" w:rsidRPr="00FB15DB" w:rsidRDefault="00B21991" w:rsidP="00B37493">
            <w:pPr>
              <w:pStyle w:val="TableTextLeft"/>
              <w:cnfStyle w:val="000000000000" w:firstRow="0" w:lastRow="0" w:firstColumn="0" w:lastColumn="0" w:oddVBand="0" w:evenVBand="0" w:oddHBand="0" w:evenHBand="0" w:firstRowFirstColumn="0" w:firstRowLastColumn="0" w:lastRowFirstColumn="0" w:lastRowLastColumn="0"/>
            </w:pPr>
            <w:r w:rsidRPr="00FB15DB">
              <w:t>-</w:t>
            </w:r>
          </w:p>
        </w:tc>
        <w:tc>
          <w:tcPr>
            <w:tcW w:w="1078" w:type="pct"/>
            <w:gridSpan w:val="2"/>
          </w:tcPr>
          <w:p w14:paraId="26DF9445" w14:textId="77777777" w:rsidR="00B21991" w:rsidRPr="00FB15DB" w:rsidRDefault="00B21991" w:rsidP="00B37493">
            <w:pPr>
              <w:pStyle w:val="TableTextLeft"/>
              <w:cnfStyle w:val="000000000000" w:firstRow="0" w:lastRow="0" w:firstColumn="0" w:lastColumn="0" w:oddVBand="0" w:evenVBand="0" w:oddHBand="0" w:evenHBand="0" w:firstRowFirstColumn="0" w:firstRowLastColumn="0" w:lastRowFirstColumn="0" w:lastRowLastColumn="0"/>
            </w:pPr>
            <w:r w:rsidRPr="00FB15DB">
              <w:t>-</w:t>
            </w:r>
          </w:p>
        </w:tc>
        <w:tc>
          <w:tcPr>
            <w:tcW w:w="1079" w:type="pct"/>
            <w:gridSpan w:val="2"/>
          </w:tcPr>
          <w:p w14:paraId="6A47E970" w14:textId="77777777" w:rsidR="00B21991" w:rsidRPr="00FB15DB" w:rsidRDefault="00B21991" w:rsidP="00B37493">
            <w:pPr>
              <w:pStyle w:val="TableTextLeft"/>
              <w:cnfStyle w:val="000000000000" w:firstRow="0" w:lastRow="0" w:firstColumn="0" w:lastColumn="0" w:oddVBand="0" w:evenVBand="0" w:oddHBand="0" w:evenHBand="0" w:firstRowFirstColumn="0" w:firstRowLastColumn="0" w:lastRowFirstColumn="0" w:lastRowLastColumn="0"/>
            </w:pPr>
            <w:r w:rsidRPr="00FB15DB">
              <w:t>0.82</w:t>
            </w:r>
          </w:p>
        </w:tc>
      </w:tr>
    </w:tbl>
    <w:p w14:paraId="6386551B" w14:textId="77777777" w:rsidR="00B21991" w:rsidRPr="00FB15DB" w:rsidRDefault="00B21991" w:rsidP="00B21991">
      <w:pPr>
        <w:pStyle w:val="ListBullet"/>
      </w:pPr>
      <w:r w:rsidRPr="008923E6">
        <w:rPr>
          <w:b/>
          <w:bCs/>
        </w:rPr>
        <w:t>Fisheries - wild invertebrate harvest (abalone):</w:t>
      </w:r>
      <w:r w:rsidRPr="00FB15DB">
        <w:rPr>
          <w:b/>
        </w:rPr>
        <w:t xml:space="preserve"> </w:t>
      </w:r>
      <w:r w:rsidRPr="00FB15DB">
        <w:t>the annual catch of wild abalone stocks in kilograms per year that is attributable to reef habitat within the GORCAP region was estimated.</w:t>
      </w:r>
      <w:r w:rsidRPr="00FB15DB">
        <w:rPr>
          <w:vertAlign w:val="superscript"/>
        </w:rPr>
        <w:footnoteReference w:id="25"/>
      </w:r>
      <w:r w:rsidRPr="00FB15DB">
        <w:t xml:space="preserve"> The study team obtained the spatial information on abalone biomass across Victoria from the </w:t>
      </w:r>
      <w:proofErr w:type="spellStart"/>
      <w:r w:rsidRPr="00FB15DB">
        <w:t>Ierodiaconou</w:t>
      </w:r>
      <w:proofErr w:type="spellEnd"/>
      <w:r w:rsidRPr="00FB15DB">
        <w:t xml:space="preserve"> et al (2018) study and assumed that abalone biomass harvesting in the GORCAP region can be estimated as a proportion of total Victorian abalone harvesting (of 693 tonnes in 2018/19 from VFA (2019)) based on the percentage of total Victorian abalone biomass that is within the GOR area. </w:t>
      </w:r>
    </w:p>
    <w:p w14:paraId="337BE0A6" w14:textId="77777777" w:rsidR="00B21991" w:rsidRPr="00FB15DB" w:rsidRDefault="00B21991" w:rsidP="00537034">
      <w:pPr>
        <w:pStyle w:val="BodyText12ptBefore"/>
      </w:pPr>
      <w:r w:rsidRPr="00FB15DB">
        <w:t xml:space="preserve">This attributes abalone biomass production (and harvesting) to the specific reef habitats within the GORCAP region, effectively assuming that the entire life cycle of abalone that is harvested within the GORCAP region is supported by the habitats within the region (similar to agricultural production that occurs in situ). This is </w:t>
      </w:r>
      <w:r w:rsidRPr="00FB15DB">
        <w:lastRenderedPageBreak/>
        <w:t xml:space="preserve">considered to be a conservative approach that likely underestimates the value of reef habitats in the GORCAP region in supporting abalone biomass production (and harvesting). This is because the results from the </w:t>
      </w:r>
      <w:proofErr w:type="spellStart"/>
      <w:r w:rsidRPr="00FB15DB">
        <w:t>Ierodiaconou</w:t>
      </w:r>
      <w:proofErr w:type="spellEnd"/>
      <w:r w:rsidRPr="00FB15DB">
        <w:t xml:space="preserve"> et al (2018) study suggests that the reef habitats within the GORCAP region are important larval sources for abalone that live, grow and are caught to the east of the GORCAP region. </w:t>
      </w:r>
    </w:p>
    <w:p w14:paraId="3266131A" w14:textId="14A31EC3" w:rsidR="00B21991" w:rsidRPr="00FB15DB" w:rsidRDefault="00B21991" w:rsidP="00A2745D">
      <w:pPr>
        <w:pStyle w:val="AlphaHeading4"/>
      </w:pPr>
      <w:r w:rsidRPr="00FB15DB">
        <w:t xml:space="preserve">Monetary value of biomass for food </w:t>
      </w:r>
    </w:p>
    <w:p w14:paraId="10F79B46" w14:textId="77777777" w:rsidR="00B21991" w:rsidRPr="00FB15DB" w:rsidRDefault="00B21991" w:rsidP="00B21991">
      <w:pPr>
        <w:pStyle w:val="BodyText"/>
      </w:pPr>
      <w:r w:rsidRPr="00FB15DB">
        <w:t xml:space="preserve">Based on the literature review (see Annex 3, Section A3.4), existing data and analyses can be drawn on to estimate the monetary value ($AUD) of biomass for food produced by ecosystems within the GORCAP region, as quantified under the physical flow account, as follows: </w:t>
      </w:r>
    </w:p>
    <w:p w14:paraId="060C8335" w14:textId="77777777" w:rsidR="00B21991" w:rsidRPr="00FB15DB" w:rsidRDefault="00B21991" w:rsidP="00B21991">
      <w:pPr>
        <w:pStyle w:val="ListBullet"/>
      </w:pPr>
      <w:r w:rsidRPr="008923E6">
        <w:rPr>
          <w:rFonts w:eastAsia="Calibri"/>
          <w:b/>
          <w:bCs/>
        </w:rPr>
        <w:t>Agriculture</w:t>
      </w:r>
      <w:r w:rsidRPr="00FB15DB">
        <w:rPr>
          <w:rFonts w:eastAsia="Calibri"/>
          <w:b/>
        </w:rPr>
        <w:t xml:space="preserve">: </w:t>
      </w:r>
      <w:r w:rsidRPr="00FB15DB">
        <w:t xml:space="preserve">the production of biomass as crops and livestock from enclosed farmland within the GORCAP EEA region was valued using data from the ABS </w:t>
      </w:r>
      <w:r w:rsidRPr="00FB15DB">
        <w:rPr>
          <w:i/>
        </w:rPr>
        <w:t>Value of Agricultural Commodities Produced, 2019-20</w:t>
      </w:r>
      <w:r w:rsidRPr="00FB15DB">
        <w:t xml:space="preserve"> dataset. This has i</w:t>
      </w:r>
      <w:r w:rsidRPr="00FB15DB">
        <w:rPr>
          <w:rFonts w:eastAsia="Calibri"/>
        </w:rPr>
        <w:t xml:space="preserve">nformation on the gross value ($) of agricultural produce per year for farmland within Victoria at SA4 level from the ABS. As for the physical provision, </w:t>
      </w:r>
      <w:r w:rsidRPr="00FB15DB">
        <w:t>information on total area of farmland within the GORCAP region was taken from the extent mapping and compared to total farmland within the Geelong and Warrnambool and South-West SA4 regions (see Table 5 above). The percent proportion of agricultural area within the GORCAP region was then applied to the gross value of agricultural produce at SA4 level from the ABS data. A deduction of other input costs (e.g., labour and machinery) from the market value is needed to estimate the resource rent attributable to ecosystems. In the absence of information on gross margins, a resource rent of 20 per cent of the market value is used as an indicative estimate.</w:t>
      </w:r>
    </w:p>
    <w:p w14:paraId="29123344" w14:textId="77777777" w:rsidR="00B21991" w:rsidRPr="00FB15DB" w:rsidRDefault="00B21991" w:rsidP="00B21991">
      <w:pPr>
        <w:pStyle w:val="BodyText12ptBefore"/>
      </w:pPr>
      <w:r w:rsidRPr="00FB15DB">
        <w:t xml:space="preserve">It is acknowledged that this is a crude approach to estimating the monetary value of agricultural production in the GORCAP region, however it is currently considered the most appropriate methodology given the available data. </w:t>
      </w:r>
    </w:p>
    <w:p w14:paraId="3A457538" w14:textId="77777777" w:rsidR="00B21991" w:rsidRPr="00FB15DB" w:rsidRDefault="00B21991" w:rsidP="00B21991">
      <w:pPr>
        <w:pStyle w:val="ListBullet"/>
        <w:rPr>
          <w:rFonts w:eastAsia="Calibri"/>
        </w:rPr>
      </w:pPr>
      <w:r w:rsidRPr="008923E6">
        <w:rPr>
          <w:rFonts w:eastAsia="Calibri"/>
          <w:b/>
          <w:bCs/>
        </w:rPr>
        <w:t>Fisheries - wild fish harvest:</w:t>
      </w:r>
      <w:r w:rsidRPr="00FB15DB">
        <w:rPr>
          <w:rFonts w:eastAsia="Calibri"/>
          <w:b/>
        </w:rPr>
        <w:t xml:space="preserve"> </w:t>
      </w:r>
      <w:r w:rsidRPr="00FB15DB">
        <w:rPr>
          <w:rFonts w:eastAsia="Calibri"/>
        </w:rPr>
        <w:t>the</w:t>
      </w:r>
      <w:r w:rsidRPr="00FB15DB">
        <w:rPr>
          <w:rFonts w:eastAsia="Calibri"/>
          <w:b/>
        </w:rPr>
        <w:t xml:space="preserve"> </w:t>
      </w:r>
      <w:r w:rsidRPr="00FB15DB">
        <w:rPr>
          <w:rFonts w:eastAsia="Calibri"/>
        </w:rPr>
        <w:t xml:space="preserve">annual economic value ($AUD) of biomass enhancement in </w:t>
      </w:r>
      <w:r w:rsidRPr="00FB15DB">
        <w:t xml:space="preserve">wild </w:t>
      </w:r>
      <w:r w:rsidRPr="00FB15DB">
        <w:rPr>
          <w:rFonts w:eastAsia="Calibri"/>
        </w:rPr>
        <w:t xml:space="preserve">fish stocks </w:t>
      </w:r>
      <w:r w:rsidRPr="00FB15DB">
        <w:t>that is caught by commercial fishers (i.e., the flow of benefit, not the value of stock enhancement)</w:t>
      </w:r>
      <w:r w:rsidRPr="00FB15DB">
        <w:rPr>
          <w:rFonts w:eastAsia="Calibri"/>
        </w:rPr>
        <w:t xml:space="preserve"> in dollars ($AUD) per hectare per year that is attributable to seagrass, mangrove and saltmarsh habitat within the GORCAP region was estimated and applied to the area of each habitat within the GORCAP EEA boundary. </w:t>
      </w:r>
      <w:r w:rsidRPr="00FB15DB">
        <w:t xml:space="preserve">The Carnell et al (2019) study used the prices received by fishers (as opposed to the price of fish sold at market). </w:t>
      </w:r>
      <w:r w:rsidRPr="00FB15DB">
        <w:rPr>
          <w:rFonts w:eastAsia="Calibri"/>
        </w:rPr>
        <w:t>As per the physical flow account, this will be done for those species that are known to spawn and be raised within the GORCAP EEA boundary. Victoria specific annual production estimates are from Carnell et al (2019). Table 7 sets out the specific estimates that will be used.</w:t>
      </w:r>
    </w:p>
    <w:p w14:paraId="64022816" w14:textId="77777777" w:rsidR="00B21991" w:rsidRPr="00FB15DB" w:rsidRDefault="00B21991" w:rsidP="00537034">
      <w:pPr>
        <w:pStyle w:val="Caption"/>
        <w:rPr>
          <w:rFonts w:eastAsia="Calibri"/>
        </w:rPr>
      </w:pPr>
      <w:r w:rsidRPr="00FB15DB">
        <w:rPr>
          <w:rFonts w:eastAsia="Calibri"/>
        </w:rPr>
        <w:t xml:space="preserve">Table 7. Annual production value for fish species attributable to ecosystem assets </w:t>
      </w:r>
    </w:p>
    <w:tbl>
      <w:tblPr>
        <w:tblStyle w:val="TableGrid"/>
        <w:tblW w:w="5000" w:type="pct"/>
        <w:tblLook w:val="04A0" w:firstRow="1" w:lastRow="0" w:firstColumn="1" w:lastColumn="0" w:noHBand="0" w:noVBand="1"/>
      </w:tblPr>
      <w:tblGrid>
        <w:gridCol w:w="938"/>
        <w:gridCol w:w="2429"/>
        <w:gridCol w:w="2066"/>
        <w:gridCol w:w="23"/>
        <w:gridCol w:w="2043"/>
        <w:gridCol w:w="46"/>
        <w:gridCol w:w="2021"/>
        <w:gridCol w:w="72"/>
      </w:tblGrid>
      <w:tr w:rsidR="002A3436" w:rsidRPr="00FB15DB" w14:paraId="709944BD" w14:textId="77777777" w:rsidTr="002A3436">
        <w:trPr>
          <w:gridAfter w:val="1"/>
          <w:cnfStyle w:val="100000000000" w:firstRow="1" w:lastRow="0" w:firstColumn="0" w:lastColumn="0" w:oddVBand="0" w:evenVBand="0" w:oddHBand="0" w:evenHBand="0" w:firstRowFirstColumn="0" w:firstRowLastColumn="0" w:lastRowFirstColumn="0" w:lastRowLastColumn="0"/>
          <w:wAfter w:w="39" w:type="pct"/>
        </w:trPr>
        <w:tc>
          <w:tcPr>
            <w:cnfStyle w:val="001000000000" w:firstRow="0" w:lastRow="0" w:firstColumn="1" w:lastColumn="0" w:oddVBand="0" w:evenVBand="0" w:oddHBand="0" w:evenHBand="0" w:firstRowFirstColumn="0" w:firstRowLastColumn="0" w:lastRowFirstColumn="0" w:lastRowLastColumn="0"/>
            <w:tcW w:w="1741" w:type="pct"/>
            <w:gridSpan w:val="2"/>
            <w:vMerge w:val="restart"/>
            <w:tcBorders>
              <w:bottom w:val="single" w:sz="4" w:space="0" w:color="auto"/>
            </w:tcBorders>
            <w:shd w:val="clear" w:color="auto" w:fill="auto"/>
          </w:tcPr>
          <w:p w14:paraId="4C4E4434" w14:textId="77777777" w:rsidR="00B21991" w:rsidRPr="00FB15DB" w:rsidRDefault="00B21991" w:rsidP="002A3436">
            <w:pPr>
              <w:pStyle w:val="TableTextLeft"/>
              <w:rPr>
                <w:rFonts w:eastAsia="Calibri"/>
              </w:rPr>
            </w:pPr>
          </w:p>
        </w:tc>
        <w:tc>
          <w:tcPr>
            <w:tcW w:w="3220" w:type="pct"/>
            <w:gridSpan w:val="5"/>
            <w:tcBorders>
              <w:bottom w:val="single" w:sz="4" w:space="0" w:color="auto"/>
            </w:tcBorders>
          </w:tcPr>
          <w:p w14:paraId="719B5F05" w14:textId="77777777" w:rsidR="00B21991" w:rsidRPr="00FB15DB" w:rsidRDefault="00B21991" w:rsidP="002A3436">
            <w:pPr>
              <w:pStyle w:val="TableHeadingLeft"/>
              <w:cnfStyle w:val="100000000000" w:firstRow="1" w:lastRow="0" w:firstColumn="0" w:lastColumn="0" w:oddVBand="0" w:evenVBand="0" w:oddHBand="0" w:evenHBand="0" w:firstRowFirstColumn="0" w:firstRowLastColumn="0" w:lastRowFirstColumn="0" w:lastRowLastColumn="0"/>
              <w:rPr>
                <w:rFonts w:eastAsia="Calibri"/>
              </w:rPr>
            </w:pPr>
            <w:r w:rsidRPr="00FB15DB">
              <w:rPr>
                <w:rFonts w:eastAsia="Calibri"/>
              </w:rPr>
              <w:t>Annual economic enhancement value ($</w:t>
            </w:r>
            <w:r w:rsidRPr="00FB15DB">
              <w:rPr>
                <w:rFonts w:eastAsia="Calibri"/>
                <w:vertAlign w:val="superscript"/>
              </w:rPr>
              <w:footnoteReference w:id="26"/>
            </w:r>
            <w:r w:rsidRPr="00FB15DB">
              <w:rPr>
                <w:rFonts w:eastAsia="Calibri"/>
              </w:rPr>
              <w:t xml:space="preserve"> per hectare per year)</w:t>
            </w:r>
          </w:p>
        </w:tc>
      </w:tr>
      <w:tr w:rsidR="002A3436" w:rsidRPr="00FB15DB" w14:paraId="0C9AAE6D" w14:textId="77777777" w:rsidTr="002A3436">
        <w:trPr>
          <w:gridAfter w:val="1"/>
          <w:wAfter w:w="39" w:type="pct"/>
        </w:trPr>
        <w:tc>
          <w:tcPr>
            <w:cnfStyle w:val="001000000000" w:firstRow="0" w:lastRow="0" w:firstColumn="1" w:lastColumn="0" w:oddVBand="0" w:evenVBand="0" w:oddHBand="0" w:evenHBand="0" w:firstRowFirstColumn="0" w:firstRowLastColumn="0" w:lastRowFirstColumn="0" w:lastRowLastColumn="0"/>
            <w:tcW w:w="1741" w:type="pct"/>
            <w:gridSpan w:val="2"/>
            <w:vMerge/>
            <w:shd w:val="clear" w:color="auto" w:fill="auto"/>
          </w:tcPr>
          <w:p w14:paraId="42EF05AA" w14:textId="77777777" w:rsidR="00B21991" w:rsidRPr="00FB15DB" w:rsidRDefault="00B21991" w:rsidP="002A3436">
            <w:pPr>
              <w:pStyle w:val="TableTextLeft"/>
              <w:rPr>
                <w:rFonts w:eastAsia="Calibri"/>
              </w:rPr>
            </w:pPr>
          </w:p>
        </w:tc>
        <w:tc>
          <w:tcPr>
            <w:tcW w:w="1073" w:type="pct"/>
            <w:shd w:val="clear" w:color="auto" w:fill="004C97"/>
          </w:tcPr>
          <w:p w14:paraId="66B92019" w14:textId="77777777" w:rsidR="00B21991" w:rsidRPr="00FB15DB" w:rsidRDefault="00B21991" w:rsidP="002A3436">
            <w:pPr>
              <w:pStyle w:val="TableHeadingLeft"/>
              <w:cnfStyle w:val="000000000000" w:firstRow="0" w:lastRow="0" w:firstColumn="0" w:lastColumn="0" w:oddVBand="0" w:evenVBand="0" w:oddHBand="0" w:evenHBand="0" w:firstRowFirstColumn="0" w:firstRowLastColumn="0" w:lastRowFirstColumn="0" w:lastRowLastColumn="0"/>
              <w:rPr>
                <w:rFonts w:eastAsia="Calibri"/>
              </w:rPr>
            </w:pPr>
            <w:r w:rsidRPr="00FB15DB">
              <w:rPr>
                <w:rFonts w:eastAsia="Calibri"/>
              </w:rPr>
              <w:t>Saltmarsh</w:t>
            </w:r>
          </w:p>
        </w:tc>
        <w:tc>
          <w:tcPr>
            <w:tcW w:w="1074" w:type="pct"/>
            <w:gridSpan w:val="2"/>
            <w:shd w:val="clear" w:color="auto" w:fill="004C97"/>
          </w:tcPr>
          <w:p w14:paraId="67115B03" w14:textId="77777777" w:rsidR="00B21991" w:rsidRPr="00FB15DB" w:rsidRDefault="00B21991" w:rsidP="002A3436">
            <w:pPr>
              <w:pStyle w:val="TableHeadingLeft"/>
              <w:cnfStyle w:val="000000000000" w:firstRow="0" w:lastRow="0" w:firstColumn="0" w:lastColumn="0" w:oddVBand="0" w:evenVBand="0" w:oddHBand="0" w:evenHBand="0" w:firstRowFirstColumn="0" w:firstRowLastColumn="0" w:lastRowFirstColumn="0" w:lastRowLastColumn="0"/>
              <w:rPr>
                <w:rFonts w:eastAsia="Calibri"/>
              </w:rPr>
            </w:pPr>
            <w:r w:rsidRPr="00FB15DB">
              <w:rPr>
                <w:rFonts w:eastAsia="Calibri"/>
              </w:rPr>
              <w:t>Mangrove</w:t>
            </w:r>
          </w:p>
        </w:tc>
        <w:tc>
          <w:tcPr>
            <w:tcW w:w="1074" w:type="pct"/>
            <w:gridSpan w:val="2"/>
            <w:shd w:val="clear" w:color="auto" w:fill="004C97"/>
          </w:tcPr>
          <w:p w14:paraId="1FDD6C91" w14:textId="77777777" w:rsidR="00B21991" w:rsidRPr="00FB15DB" w:rsidRDefault="00B21991" w:rsidP="002A3436">
            <w:pPr>
              <w:pStyle w:val="TableHeadingLeft"/>
              <w:cnfStyle w:val="000000000000" w:firstRow="0" w:lastRow="0" w:firstColumn="0" w:lastColumn="0" w:oddVBand="0" w:evenVBand="0" w:oddHBand="0" w:evenHBand="0" w:firstRowFirstColumn="0" w:firstRowLastColumn="0" w:lastRowFirstColumn="0" w:lastRowLastColumn="0"/>
              <w:rPr>
                <w:rFonts w:eastAsia="Calibri"/>
              </w:rPr>
            </w:pPr>
            <w:r w:rsidRPr="00FB15DB">
              <w:rPr>
                <w:rFonts w:eastAsia="Calibri"/>
              </w:rPr>
              <w:t>Seagrass</w:t>
            </w:r>
          </w:p>
        </w:tc>
      </w:tr>
      <w:tr w:rsidR="002A3436" w:rsidRPr="00FB15DB" w14:paraId="49C704C7" w14:textId="77777777" w:rsidTr="002A3436">
        <w:trPr>
          <w:gridAfter w:val="1"/>
          <w:wAfter w:w="39" w:type="pct"/>
        </w:trPr>
        <w:tc>
          <w:tcPr>
            <w:cnfStyle w:val="001000000000" w:firstRow="0" w:lastRow="0" w:firstColumn="1" w:lastColumn="0" w:oddVBand="0" w:evenVBand="0" w:oddHBand="0" w:evenHBand="0" w:firstRowFirstColumn="0" w:firstRowLastColumn="0" w:lastRowFirstColumn="0" w:lastRowLastColumn="0"/>
            <w:tcW w:w="1741" w:type="pct"/>
            <w:gridSpan w:val="2"/>
            <w:vMerge/>
            <w:shd w:val="clear" w:color="auto" w:fill="auto"/>
          </w:tcPr>
          <w:p w14:paraId="25224478" w14:textId="77777777" w:rsidR="00B21991" w:rsidRPr="00FB15DB" w:rsidRDefault="00B21991" w:rsidP="002A3436">
            <w:pPr>
              <w:pStyle w:val="TableTextLeft"/>
              <w:rPr>
                <w:rFonts w:eastAsia="Calibri"/>
              </w:rPr>
            </w:pPr>
          </w:p>
        </w:tc>
        <w:tc>
          <w:tcPr>
            <w:tcW w:w="1073" w:type="pct"/>
            <w:shd w:val="clear" w:color="auto" w:fill="004C97"/>
          </w:tcPr>
          <w:p w14:paraId="2EA98444" w14:textId="77777777" w:rsidR="00B21991" w:rsidRPr="002A3436" w:rsidRDefault="00B21991" w:rsidP="002A3436">
            <w:pPr>
              <w:pStyle w:val="TableHeadingLeft"/>
              <w:cnfStyle w:val="000000000000" w:firstRow="0" w:lastRow="0" w:firstColumn="0" w:lastColumn="0" w:oddVBand="0" w:evenVBand="0" w:oddHBand="0" w:evenHBand="0" w:firstRowFirstColumn="0" w:firstRowLastColumn="0" w:lastRowFirstColumn="0" w:lastRowLastColumn="0"/>
              <w:rPr>
                <w:rFonts w:eastAsia="Calibri"/>
                <w:b w:val="0"/>
                <w:bCs/>
                <w:i/>
                <w:iCs/>
              </w:rPr>
            </w:pPr>
            <w:r w:rsidRPr="002A3436">
              <w:rPr>
                <w:rFonts w:eastAsia="Calibri"/>
                <w:b w:val="0"/>
                <w:bCs/>
                <w:i/>
                <w:iCs/>
              </w:rPr>
              <w:t>Carnell et al (2019)</w:t>
            </w:r>
          </w:p>
        </w:tc>
        <w:tc>
          <w:tcPr>
            <w:tcW w:w="1074" w:type="pct"/>
            <w:gridSpan w:val="2"/>
            <w:shd w:val="clear" w:color="auto" w:fill="004C97"/>
          </w:tcPr>
          <w:p w14:paraId="3843E1EC" w14:textId="77777777" w:rsidR="00B21991" w:rsidRPr="002A3436" w:rsidRDefault="00B21991" w:rsidP="002A3436">
            <w:pPr>
              <w:pStyle w:val="TableHeadingLeft"/>
              <w:cnfStyle w:val="000000000000" w:firstRow="0" w:lastRow="0" w:firstColumn="0" w:lastColumn="0" w:oddVBand="0" w:evenVBand="0" w:oddHBand="0" w:evenHBand="0" w:firstRowFirstColumn="0" w:firstRowLastColumn="0" w:lastRowFirstColumn="0" w:lastRowLastColumn="0"/>
              <w:rPr>
                <w:rFonts w:eastAsia="Calibri"/>
                <w:b w:val="0"/>
                <w:bCs/>
                <w:i/>
                <w:iCs/>
              </w:rPr>
            </w:pPr>
            <w:r w:rsidRPr="002A3436">
              <w:rPr>
                <w:rFonts w:eastAsia="Calibri"/>
                <w:b w:val="0"/>
                <w:bCs/>
                <w:i/>
                <w:iCs/>
              </w:rPr>
              <w:t>Carnell et al (2019)</w:t>
            </w:r>
          </w:p>
        </w:tc>
        <w:tc>
          <w:tcPr>
            <w:tcW w:w="1074" w:type="pct"/>
            <w:gridSpan w:val="2"/>
            <w:shd w:val="clear" w:color="auto" w:fill="004C97"/>
          </w:tcPr>
          <w:p w14:paraId="1F3EDD93" w14:textId="77777777" w:rsidR="00B21991" w:rsidRPr="002A3436" w:rsidRDefault="00B21991" w:rsidP="002A3436">
            <w:pPr>
              <w:pStyle w:val="TableHeadingLeft"/>
              <w:cnfStyle w:val="000000000000" w:firstRow="0" w:lastRow="0" w:firstColumn="0" w:lastColumn="0" w:oddVBand="0" w:evenVBand="0" w:oddHBand="0" w:evenHBand="0" w:firstRowFirstColumn="0" w:firstRowLastColumn="0" w:lastRowFirstColumn="0" w:lastRowLastColumn="0"/>
              <w:rPr>
                <w:rFonts w:eastAsia="Calibri"/>
                <w:b w:val="0"/>
                <w:bCs/>
                <w:i/>
                <w:iCs/>
              </w:rPr>
            </w:pPr>
            <w:r w:rsidRPr="002A3436">
              <w:rPr>
                <w:rFonts w:eastAsia="Calibri"/>
                <w:b w:val="0"/>
                <w:bCs/>
                <w:i/>
                <w:iCs/>
              </w:rPr>
              <w:t>Carnell et al (2019)</w:t>
            </w:r>
          </w:p>
        </w:tc>
      </w:tr>
      <w:tr w:rsidR="00B21991" w:rsidRPr="00FB15DB" w14:paraId="2B938B47" w14:textId="77777777" w:rsidTr="002A3436">
        <w:tc>
          <w:tcPr>
            <w:cnfStyle w:val="001000000000" w:firstRow="0" w:lastRow="0" w:firstColumn="1" w:lastColumn="0" w:oddVBand="0" w:evenVBand="0" w:oddHBand="0" w:evenHBand="0" w:firstRowFirstColumn="0" w:firstRowLastColumn="0" w:lastRowFirstColumn="0" w:lastRowLastColumn="0"/>
            <w:tcW w:w="480" w:type="pct"/>
            <w:vMerge w:val="restart"/>
          </w:tcPr>
          <w:p w14:paraId="730F1EDB" w14:textId="77777777" w:rsidR="00B21991" w:rsidRPr="00FB15DB" w:rsidRDefault="00B21991" w:rsidP="002A3436">
            <w:pPr>
              <w:pStyle w:val="TableTextLeft"/>
              <w:rPr>
                <w:rFonts w:eastAsia="Calibri"/>
              </w:rPr>
            </w:pPr>
            <w:r w:rsidRPr="00FB15DB">
              <w:rPr>
                <w:rFonts w:eastAsia="Calibri"/>
              </w:rPr>
              <w:t>Species</w:t>
            </w:r>
          </w:p>
        </w:tc>
        <w:tc>
          <w:tcPr>
            <w:tcW w:w="1260" w:type="pct"/>
          </w:tcPr>
          <w:p w14:paraId="261FAC39" w14:textId="77777777" w:rsidR="00B21991" w:rsidRPr="00FB15DB" w:rsidRDefault="00B21991" w:rsidP="002A3436">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FB15DB">
              <w:rPr>
                <w:rFonts w:eastAsia="Calibri"/>
              </w:rPr>
              <w:t>King George Whiting</w:t>
            </w:r>
          </w:p>
        </w:tc>
        <w:tc>
          <w:tcPr>
            <w:tcW w:w="1086" w:type="pct"/>
            <w:gridSpan w:val="2"/>
          </w:tcPr>
          <w:p w14:paraId="281ED981" w14:textId="77777777" w:rsidR="00B21991" w:rsidRPr="00FB15DB" w:rsidRDefault="00B21991" w:rsidP="002A3436">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FB15DB">
              <w:rPr>
                <w:rFonts w:eastAsia="Calibri"/>
              </w:rPr>
              <w:t>$5.20</w:t>
            </w:r>
          </w:p>
        </w:tc>
        <w:tc>
          <w:tcPr>
            <w:tcW w:w="1086" w:type="pct"/>
            <w:gridSpan w:val="2"/>
          </w:tcPr>
          <w:p w14:paraId="428AF8B0" w14:textId="77777777" w:rsidR="00B21991" w:rsidRPr="00FB15DB" w:rsidRDefault="00B21991" w:rsidP="002A3436">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FB15DB">
              <w:rPr>
                <w:rFonts w:eastAsia="Calibri"/>
              </w:rPr>
              <w:t>$36.31</w:t>
            </w:r>
          </w:p>
        </w:tc>
        <w:tc>
          <w:tcPr>
            <w:tcW w:w="1086" w:type="pct"/>
            <w:gridSpan w:val="2"/>
          </w:tcPr>
          <w:p w14:paraId="68735512" w14:textId="77777777" w:rsidR="00B21991" w:rsidRPr="00FB15DB" w:rsidRDefault="00B21991" w:rsidP="002A3436">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FB15DB">
              <w:rPr>
                <w:rFonts w:eastAsia="Calibri"/>
              </w:rPr>
              <w:t>$18.68</w:t>
            </w:r>
          </w:p>
        </w:tc>
      </w:tr>
      <w:tr w:rsidR="00B21991" w:rsidRPr="00FB15DB" w14:paraId="2AD40459" w14:textId="77777777" w:rsidTr="002A3436">
        <w:tc>
          <w:tcPr>
            <w:cnfStyle w:val="001000000000" w:firstRow="0" w:lastRow="0" w:firstColumn="1" w:lastColumn="0" w:oddVBand="0" w:evenVBand="0" w:oddHBand="0" w:evenHBand="0" w:firstRowFirstColumn="0" w:firstRowLastColumn="0" w:lastRowFirstColumn="0" w:lastRowLastColumn="0"/>
            <w:tcW w:w="480" w:type="pct"/>
            <w:vMerge/>
          </w:tcPr>
          <w:p w14:paraId="5652E04F" w14:textId="77777777" w:rsidR="00B21991" w:rsidRPr="00FB15DB" w:rsidRDefault="00B21991" w:rsidP="002A3436">
            <w:pPr>
              <w:pStyle w:val="TableTextLeft"/>
              <w:rPr>
                <w:rFonts w:eastAsia="Calibri"/>
              </w:rPr>
            </w:pPr>
          </w:p>
        </w:tc>
        <w:tc>
          <w:tcPr>
            <w:tcW w:w="1260" w:type="pct"/>
          </w:tcPr>
          <w:p w14:paraId="44741569" w14:textId="77777777" w:rsidR="00B21991" w:rsidRPr="00FB15DB" w:rsidRDefault="00B21991" w:rsidP="002A3436">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FB15DB">
              <w:rPr>
                <w:rFonts w:eastAsia="Calibri"/>
              </w:rPr>
              <w:t>Southern Garfish</w:t>
            </w:r>
          </w:p>
        </w:tc>
        <w:tc>
          <w:tcPr>
            <w:tcW w:w="1086" w:type="pct"/>
            <w:gridSpan w:val="2"/>
          </w:tcPr>
          <w:p w14:paraId="34662766" w14:textId="77777777" w:rsidR="00B21991" w:rsidRPr="00FB15DB" w:rsidRDefault="00B21991" w:rsidP="002A3436">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FB15DB">
              <w:rPr>
                <w:rFonts w:eastAsia="Calibri"/>
              </w:rPr>
              <w:t>$0.42</w:t>
            </w:r>
          </w:p>
        </w:tc>
        <w:tc>
          <w:tcPr>
            <w:tcW w:w="1086" w:type="pct"/>
            <w:gridSpan w:val="2"/>
          </w:tcPr>
          <w:p w14:paraId="4E024E1E" w14:textId="77777777" w:rsidR="00B21991" w:rsidRPr="00FB15DB" w:rsidRDefault="00B21991" w:rsidP="002A3436">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FB15DB">
              <w:rPr>
                <w:rFonts w:eastAsia="Calibri"/>
              </w:rPr>
              <w:t>$3.11</w:t>
            </w:r>
          </w:p>
        </w:tc>
        <w:tc>
          <w:tcPr>
            <w:tcW w:w="1086" w:type="pct"/>
            <w:gridSpan w:val="2"/>
          </w:tcPr>
          <w:p w14:paraId="497BBB7A" w14:textId="77777777" w:rsidR="00B21991" w:rsidRPr="00FB15DB" w:rsidRDefault="00B21991" w:rsidP="002A3436">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FB15DB">
              <w:rPr>
                <w:rFonts w:eastAsia="Calibri"/>
              </w:rPr>
              <w:t>$2.08</w:t>
            </w:r>
          </w:p>
        </w:tc>
      </w:tr>
      <w:tr w:rsidR="00B21991" w:rsidRPr="00FB15DB" w14:paraId="763114BA" w14:textId="77777777" w:rsidTr="002A3436">
        <w:tc>
          <w:tcPr>
            <w:cnfStyle w:val="001000000000" w:firstRow="0" w:lastRow="0" w:firstColumn="1" w:lastColumn="0" w:oddVBand="0" w:evenVBand="0" w:oddHBand="0" w:evenHBand="0" w:firstRowFirstColumn="0" w:firstRowLastColumn="0" w:lastRowFirstColumn="0" w:lastRowLastColumn="0"/>
            <w:tcW w:w="480" w:type="pct"/>
            <w:vMerge/>
          </w:tcPr>
          <w:p w14:paraId="22B799AF" w14:textId="77777777" w:rsidR="00B21991" w:rsidRPr="00FB15DB" w:rsidRDefault="00B21991" w:rsidP="002A3436">
            <w:pPr>
              <w:pStyle w:val="TableTextLeft"/>
              <w:rPr>
                <w:rFonts w:eastAsia="Calibri"/>
              </w:rPr>
            </w:pPr>
          </w:p>
        </w:tc>
        <w:tc>
          <w:tcPr>
            <w:tcW w:w="1260" w:type="pct"/>
          </w:tcPr>
          <w:p w14:paraId="788F8FC2" w14:textId="77777777" w:rsidR="00B21991" w:rsidRPr="00FB15DB" w:rsidRDefault="00B21991" w:rsidP="002A3436">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FB15DB">
              <w:rPr>
                <w:rFonts w:eastAsia="Calibri"/>
              </w:rPr>
              <w:t>Snapper</w:t>
            </w:r>
          </w:p>
        </w:tc>
        <w:tc>
          <w:tcPr>
            <w:tcW w:w="1086" w:type="pct"/>
            <w:gridSpan w:val="2"/>
          </w:tcPr>
          <w:p w14:paraId="368B06BB" w14:textId="77777777" w:rsidR="00B21991" w:rsidRPr="00FB15DB" w:rsidRDefault="00B21991" w:rsidP="002A3436">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FB15DB">
              <w:rPr>
                <w:rFonts w:eastAsia="Calibri"/>
              </w:rPr>
              <w:t>$0.67</w:t>
            </w:r>
          </w:p>
        </w:tc>
        <w:tc>
          <w:tcPr>
            <w:tcW w:w="1086" w:type="pct"/>
            <w:gridSpan w:val="2"/>
          </w:tcPr>
          <w:p w14:paraId="0E8DF427" w14:textId="77777777" w:rsidR="00B21991" w:rsidRPr="00FB15DB" w:rsidRDefault="00B21991" w:rsidP="002A3436">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FB15DB">
              <w:rPr>
                <w:rFonts w:eastAsia="Calibri"/>
              </w:rPr>
              <w:t>$5.19</w:t>
            </w:r>
          </w:p>
        </w:tc>
        <w:tc>
          <w:tcPr>
            <w:tcW w:w="1086" w:type="pct"/>
            <w:gridSpan w:val="2"/>
          </w:tcPr>
          <w:p w14:paraId="76DC22D4" w14:textId="77777777" w:rsidR="00B21991" w:rsidRPr="00FB15DB" w:rsidRDefault="00B21991" w:rsidP="002A3436">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FB15DB">
              <w:rPr>
                <w:rFonts w:eastAsia="Calibri"/>
              </w:rPr>
              <w:t>$2.08</w:t>
            </w:r>
          </w:p>
        </w:tc>
      </w:tr>
      <w:tr w:rsidR="00B21991" w:rsidRPr="00FB15DB" w14:paraId="544F78AF" w14:textId="77777777" w:rsidTr="002A3436">
        <w:tc>
          <w:tcPr>
            <w:cnfStyle w:val="001000000000" w:firstRow="0" w:lastRow="0" w:firstColumn="1" w:lastColumn="0" w:oddVBand="0" w:evenVBand="0" w:oddHBand="0" w:evenHBand="0" w:firstRowFirstColumn="0" w:firstRowLastColumn="0" w:lastRowFirstColumn="0" w:lastRowLastColumn="0"/>
            <w:tcW w:w="480" w:type="pct"/>
            <w:vMerge/>
          </w:tcPr>
          <w:p w14:paraId="53F50B32" w14:textId="77777777" w:rsidR="00B21991" w:rsidRPr="00FB15DB" w:rsidRDefault="00B21991" w:rsidP="002A3436">
            <w:pPr>
              <w:pStyle w:val="TableTextLeft"/>
              <w:rPr>
                <w:rFonts w:eastAsia="Calibri"/>
              </w:rPr>
            </w:pPr>
          </w:p>
        </w:tc>
        <w:tc>
          <w:tcPr>
            <w:tcW w:w="1260" w:type="pct"/>
          </w:tcPr>
          <w:p w14:paraId="7ABB5F18" w14:textId="77777777" w:rsidR="00B21991" w:rsidRPr="00FB15DB" w:rsidRDefault="00B21991" w:rsidP="002A3436">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FB15DB">
              <w:rPr>
                <w:rFonts w:eastAsia="Calibri"/>
              </w:rPr>
              <w:t>Black bream</w:t>
            </w:r>
          </w:p>
        </w:tc>
        <w:tc>
          <w:tcPr>
            <w:tcW w:w="1086" w:type="pct"/>
            <w:gridSpan w:val="2"/>
          </w:tcPr>
          <w:p w14:paraId="013C0512" w14:textId="77777777" w:rsidR="00B21991" w:rsidRPr="00FB15DB" w:rsidRDefault="00B21991" w:rsidP="002A3436">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FB15DB">
              <w:rPr>
                <w:rFonts w:eastAsia="Calibri"/>
              </w:rPr>
              <w:t>-</w:t>
            </w:r>
          </w:p>
        </w:tc>
        <w:tc>
          <w:tcPr>
            <w:tcW w:w="1086" w:type="pct"/>
            <w:gridSpan w:val="2"/>
          </w:tcPr>
          <w:p w14:paraId="769B45FF" w14:textId="77777777" w:rsidR="00B21991" w:rsidRPr="00FB15DB" w:rsidRDefault="00B21991" w:rsidP="002A3436">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FB15DB">
              <w:rPr>
                <w:rFonts w:eastAsia="Calibri"/>
              </w:rPr>
              <w:t>-</w:t>
            </w:r>
          </w:p>
        </w:tc>
        <w:tc>
          <w:tcPr>
            <w:tcW w:w="1086" w:type="pct"/>
            <w:gridSpan w:val="2"/>
          </w:tcPr>
          <w:p w14:paraId="3DD94C43" w14:textId="77777777" w:rsidR="00B21991" w:rsidRPr="00FB15DB" w:rsidRDefault="00B21991" w:rsidP="002A3436">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FB15DB">
              <w:rPr>
                <w:rFonts w:eastAsia="Calibri"/>
              </w:rPr>
              <w:t>$10.38</w:t>
            </w:r>
          </w:p>
        </w:tc>
      </w:tr>
    </w:tbl>
    <w:p w14:paraId="2EB2C9ED" w14:textId="77777777" w:rsidR="00B21991" w:rsidRPr="00FB15DB" w:rsidRDefault="00B21991" w:rsidP="00B21991">
      <w:pPr>
        <w:pStyle w:val="BodyText"/>
        <w:rPr>
          <w:rFonts w:eastAsia="Calibri"/>
        </w:rPr>
      </w:pPr>
      <w:r w:rsidRPr="00FB15DB">
        <w:t>A deduction of other input costs (e.g., labour and machinery) from the market value is needed to estimate the resource rent attributable to ecosystems. In the absence of information on gross margins for the Victorian fishing industry, a resource rent of 20 per cent of the market value is used as an indicative estimate.</w:t>
      </w:r>
    </w:p>
    <w:p w14:paraId="1BF95839" w14:textId="77777777" w:rsidR="00B21991" w:rsidRPr="00FB15DB" w:rsidRDefault="00B21991" w:rsidP="00B21991">
      <w:pPr>
        <w:pStyle w:val="ListBullet"/>
        <w:rPr>
          <w:rFonts w:eastAsia="Calibri"/>
        </w:rPr>
      </w:pPr>
      <w:r w:rsidRPr="008923E6">
        <w:rPr>
          <w:rFonts w:eastAsia="Calibri"/>
          <w:b/>
          <w:bCs/>
        </w:rPr>
        <w:t>Fisheries - wild invertebrate harvest (abalone):</w:t>
      </w:r>
      <w:r w:rsidRPr="00FB15DB">
        <w:rPr>
          <w:rFonts w:eastAsia="Calibri"/>
          <w:b/>
        </w:rPr>
        <w:t xml:space="preserve"> </w:t>
      </w:r>
      <w:r w:rsidRPr="00FB15DB">
        <w:t xml:space="preserve">the value of the annual catch of wild abalone stocks in $ per kilograms per year that is attributable to reef habitat within the GORCAP region was estimated. </w:t>
      </w:r>
      <w:r w:rsidRPr="00FB15DB">
        <w:rPr>
          <w:rFonts w:eastAsia="Calibri"/>
        </w:rPr>
        <w:t xml:space="preserve">The study team applied $ per tonne estimates for abalone from the VFA (2019) commercial fish production statistics to the estimate of abalone catch from the </w:t>
      </w:r>
      <w:proofErr w:type="spellStart"/>
      <w:r w:rsidRPr="00FB15DB">
        <w:rPr>
          <w:rFonts w:eastAsia="Calibri"/>
        </w:rPr>
        <w:t>Ierodiaconou</w:t>
      </w:r>
      <w:proofErr w:type="spellEnd"/>
      <w:r w:rsidRPr="00FB15DB">
        <w:rPr>
          <w:rFonts w:eastAsia="Calibri"/>
        </w:rPr>
        <w:t xml:space="preserve"> et al (2018) study. For 2018/19 the </w:t>
      </w:r>
      <w:r w:rsidRPr="00FB15DB">
        <w:rPr>
          <w:rFonts w:eastAsia="Calibri"/>
        </w:rPr>
        <w:lastRenderedPageBreak/>
        <w:t>value of (live) abalone is $50 per kilogram or $50,000 per tonne in 2021 dollars</w:t>
      </w:r>
      <w:r w:rsidRPr="00FB15DB">
        <w:rPr>
          <w:rFonts w:eastAsia="Calibri"/>
          <w:vertAlign w:val="superscript"/>
        </w:rPr>
        <w:footnoteReference w:id="27"/>
      </w:r>
      <w:r w:rsidRPr="00FB15DB">
        <w:rPr>
          <w:rFonts w:eastAsia="Calibri"/>
        </w:rPr>
        <w:t xml:space="preserve"> (based on a catch of 693 tonnes being valued at $31.3 million in January 2011 prices). </w:t>
      </w:r>
      <w:r w:rsidRPr="00FB15DB">
        <w:t>A deduction of other input costs (e.g., labour and machinery) from the market value was undertaken to estimate the resource rent attributable to ecosystems. In the absence of information on gross margins for the Victorian fishing industry, a resource rent of 20 per cent of the market value is used as an indicative estimate.</w:t>
      </w:r>
    </w:p>
    <w:p w14:paraId="47BA555A" w14:textId="77777777" w:rsidR="00B21991" w:rsidRPr="00FB15DB" w:rsidRDefault="00B21991" w:rsidP="00E94155">
      <w:pPr>
        <w:pStyle w:val="Heading3"/>
      </w:pPr>
      <w:bookmarkStart w:id="168" w:name="_Toc98854663"/>
      <w:bookmarkStart w:id="169" w:name="_Toc163547037"/>
      <w:r w:rsidRPr="00FB15DB">
        <w:t>Global climate regulation</w:t>
      </w:r>
      <w:bookmarkEnd w:id="168"/>
      <w:bookmarkEnd w:id="169"/>
    </w:p>
    <w:p w14:paraId="526944F2" w14:textId="77777777" w:rsidR="00B21991" w:rsidRPr="00FB15DB" w:rsidRDefault="00B21991" w:rsidP="00B21991">
      <w:pPr>
        <w:pStyle w:val="BodyText"/>
      </w:pPr>
      <w:r w:rsidRPr="00FB15DB">
        <w:t>Vegetation within the GORCAP terrestrial and marine ecosystem</w:t>
      </w:r>
      <w:bookmarkStart w:id="170" w:name="_Hlk62039268"/>
      <w:r w:rsidRPr="00FB15DB">
        <w:rPr>
          <w:vertAlign w:val="superscript"/>
        </w:rPr>
        <w:footnoteReference w:id="28"/>
      </w:r>
      <w:bookmarkEnd w:id="170"/>
      <w:r w:rsidRPr="00FB15DB">
        <w:t xml:space="preserve"> sequesters carbon dioxide from the atmosphere and stores it as organic carbon in plant biomass (trunks, branches, foliage and roots) and soil. The sequestration and storage of carbon over long time periods in vegetation and soils plays a vital role in regulating the earth’s climate and mitigating climate change. Carbon is also lost from vegetation and soil carbon stocks due to (i) emissions to the atmosphere due to degradation and/or disturbances such as fire (ii) removals from ecosystems when biomass is harvested or collected and is stored in wood products until burned or degraded.</w:t>
      </w:r>
    </w:p>
    <w:p w14:paraId="2B86DD4B" w14:textId="77777777" w:rsidR="00B21991" w:rsidRPr="00FB15DB" w:rsidRDefault="00B21991" w:rsidP="00B21991">
      <w:pPr>
        <w:pStyle w:val="BodyText"/>
      </w:pPr>
      <w:r w:rsidRPr="00FB15DB">
        <w:t xml:space="preserve">There are several ways climate regulation services can be conceptualised in an environmental-economic accounting context, specifically (i) Gross carbon sequestration approach (ii) Net carbon sequestration approach (iii) Carbon retention approach, see detailed explanation of each in Annex 3, Section A3.5. For the purpose of developing this GORCAP EEA gross sequestration and carbon retention approaches were developed based on data and analysis available for the GORCAP EEA region within the timing and resources available for this project. </w:t>
      </w:r>
    </w:p>
    <w:p w14:paraId="6FE456DE" w14:textId="77777777" w:rsidR="00B21991" w:rsidRPr="00FB15DB" w:rsidRDefault="00B21991" w:rsidP="00B21991">
      <w:pPr>
        <w:pStyle w:val="BodyText"/>
      </w:pPr>
      <w:r w:rsidRPr="00FB15DB">
        <w:t>Figure 8 sets out the logic chain linking the ecological functioning of ecosystem assets to the socio-economic benefits provided (note not all of these benefits are mutually exclusive).</w:t>
      </w:r>
    </w:p>
    <w:p w14:paraId="6DA95BAB" w14:textId="77777777" w:rsidR="00B21991" w:rsidRPr="00FB15DB" w:rsidRDefault="00B21991" w:rsidP="00537034">
      <w:pPr>
        <w:pStyle w:val="Caption"/>
      </w:pPr>
      <w:r w:rsidRPr="00FB15DB">
        <w:t xml:space="preserve">Figure 8. Illustrative logic chain for global climate regulating service </w:t>
      </w:r>
    </w:p>
    <w:p w14:paraId="152EA2F7" w14:textId="0FC23D50" w:rsidR="00DA6BA6" w:rsidRDefault="00B21991" w:rsidP="00B21991">
      <w:pPr>
        <w:pStyle w:val="BodyText"/>
        <w:rPr>
          <w:highlight w:val="yellow"/>
        </w:rPr>
      </w:pPr>
      <w:r w:rsidRPr="00FB15DB">
        <w:rPr>
          <w:noProof/>
        </w:rPr>
        <w:drawing>
          <wp:inline distT="0" distB="0" distL="0" distR="0" wp14:anchorId="6124C716" wp14:editId="75E5431F">
            <wp:extent cx="6479539" cy="3906520"/>
            <wp:effectExtent l="0" t="0" r="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pic:nvPicPr>
                  <pic:blipFill>
                    <a:blip r:embed="rId103" cstate="email">
                      <a:extLst>
                        <a:ext uri="{28A0092B-C50C-407E-A947-70E740481C1C}">
                          <a14:useLocalDpi xmlns:a14="http://schemas.microsoft.com/office/drawing/2010/main"/>
                        </a:ext>
                      </a:extLst>
                    </a:blip>
                    <a:stretch>
                      <a:fillRect/>
                    </a:stretch>
                  </pic:blipFill>
                  <pic:spPr>
                    <a:xfrm>
                      <a:off x="0" y="0"/>
                      <a:ext cx="6479539" cy="3906520"/>
                    </a:xfrm>
                    <a:prstGeom prst="rect">
                      <a:avLst/>
                    </a:prstGeom>
                  </pic:spPr>
                </pic:pic>
              </a:graphicData>
            </a:graphic>
          </wp:inline>
        </w:drawing>
      </w:r>
      <w:r w:rsidR="00DA6BA6">
        <w:rPr>
          <w:highlight w:val="yellow"/>
        </w:rPr>
        <w:br w:type="page"/>
      </w:r>
    </w:p>
    <w:p w14:paraId="392E8A50" w14:textId="4E48A2C8" w:rsidR="00B21991" w:rsidRPr="00FB15DB" w:rsidRDefault="00B21991" w:rsidP="000035CB">
      <w:pPr>
        <w:pStyle w:val="AlphaHeading4"/>
        <w:numPr>
          <w:ilvl w:val="0"/>
          <w:numId w:val="62"/>
        </w:numPr>
      </w:pPr>
      <w:r w:rsidRPr="00FB15DB">
        <w:lastRenderedPageBreak/>
        <w:t xml:space="preserve">Physical provision of global climate regulation </w:t>
      </w:r>
    </w:p>
    <w:p w14:paraId="497CFBD3" w14:textId="77777777" w:rsidR="00B21991" w:rsidRPr="00FB15DB" w:rsidRDefault="00B21991" w:rsidP="00B21991">
      <w:pPr>
        <w:pStyle w:val="BodyText"/>
      </w:pPr>
      <w:r w:rsidRPr="00FB15DB">
        <w:t>The physical provision of the global climate regulating service of ecosystem assets can be measured in environmental-economic accounts through the tonnes of carbon (CO</w:t>
      </w:r>
      <w:r w:rsidRPr="00FB15DB">
        <w:rPr>
          <w:vertAlign w:val="subscript"/>
        </w:rPr>
        <w:t>2</w:t>
      </w:r>
      <w:r w:rsidRPr="00FB15DB">
        <w:t xml:space="preserve">e) retained and / or sequestered annually.  </w:t>
      </w:r>
    </w:p>
    <w:p w14:paraId="5AD5A28B" w14:textId="77777777" w:rsidR="00B21991" w:rsidRPr="00FB15DB" w:rsidRDefault="00B21991" w:rsidP="00B21991">
      <w:pPr>
        <w:pStyle w:val="BodyText"/>
      </w:pPr>
      <w:r w:rsidRPr="00FB15DB">
        <w:t>Based on the literature review (see Annex 3, Section A3.5.), it is understood that there is no single methodology that estimates carbon retention or carbon sequestration (net and / or gross) for all ecosystems within the GORCAP region. Several approaches are therefore required to build as comprehensive an estimate of global climate regulation from the GORCAP region as possible given data available. The following approaches to estimating the global climate regulating service of ecosystem assets within the GORCAP EEA have been adopted:</w:t>
      </w:r>
    </w:p>
    <w:p w14:paraId="50C9A6FB" w14:textId="77777777" w:rsidR="00B21991" w:rsidRPr="00FB15DB" w:rsidRDefault="00B21991" w:rsidP="00DA6BA6">
      <w:pPr>
        <w:pStyle w:val="AlphaHeading5"/>
      </w:pPr>
      <w:r w:rsidRPr="00FB15DB">
        <w:t xml:space="preserve">Carbon </w:t>
      </w:r>
      <w:r w:rsidRPr="00DA6BA6">
        <w:t>retention</w:t>
      </w:r>
    </w:p>
    <w:p w14:paraId="6317C805" w14:textId="77777777" w:rsidR="00B21991" w:rsidRPr="00FB15DB" w:rsidRDefault="00B21991" w:rsidP="00B21991">
      <w:pPr>
        <w:pStyle w:val="BodyText12ptBefore"/>
      </w:pPr>
      <w:r w:rsidRPr="00FB15DB">
        <w:t xml:space="preserve">The approach taken to estimating the physical provision of carbon retention in the GORCAP region is summarised below: </w:t>
      </w:r>
    </w:p>
    <w:p w14:paraId="226143AE" w14:textId="77777777" w:rsidR="00B21991" w:rsidRPr="00FB15DB" w:rsidRDefault="00B21991" w:rsidP="00B21991">
      <w:pPr>
        <w:pStyle w:val="ListBullet"/>
        <w:rPr>
          <w:u w:val="single"/>
        </w:rPr>
      </w:pPr>
      <w:r w:rsidRPr="00B96836">
        <w:rPr>
          <w:b/>
          <w:bCs/>
        </w:rPr>
        <w:t xml:space="preserve">Land ecosystem assets: Request DISER </w:t>
      </w:r>
      <w:proofErr w:type="spellStart"/>
      <w:r w:rsidRPr="00B96836">
        <w:rPr>
          <w:b/>
          <w:bCs/>
        </w:rPr>
        <w:t>FullCAM</w:t>
      </w:r>
      <w:proofErr w:type="spellEnd"/>
      <w:r w:rsidRPr="00B96836">
        <w:rPr>
          <w:b/>
          <w:bCs/>
        </w:rPr>
        <w:t xml:space="preserve"> estimates of carbon retention:</w:t>
      </w:r>
      <w:r w:rsidRPr="00FB15DB">
        <w:t xml:space="preserve"> This approach utilises, and is therefore consistent with, the Commonwealth Department of Industry, Science, Energy and Resources (DISER) Full Carbon Accounting Model (</w:t>
      </w:r>
      <w:proofErr w:type="spellStart"/>
      <w:r w:rsidRPr="00FB15DB">
        <w:t>FullCAM</w:t>
      </w:r>
      <w:proofErr w:type="spellEnd"/>
      <w:r w:rsidRPr="00FB15DB">
        <w:t xml:space="preserve">) which is used to compile Australia’s national greenhouse gas inventory system for the land sector and generate abatement estimates for vegetation under the Emissions Reduction Fund (ERF). DISER noted that the estimates of carbon stocks within coastal margin and marine areas of the GORCAP are not as robust as estimates further inland. The study team therefore cut the DISER data at the coastline and used the marine (blue carbon) data so that carbon stocks for all terrestrial ecosystems are based on DISER analysis and marine is from Carnell et al (2019).  </w:t>
      </w:r>
    </w:p>
    <w:p w14:paraId="086E3837" w14:textId="77777777" w:rsidR="00B21991" w:rsidRPr="00C36D30" w:rsidRDefault="00B21991" w:rsidP="000035CB">
      <w:pPr>
        <w:pStyle w:val="ListBullet"/>
        <w:numPr>
          <w:ilvl w:val="0"/>
          <w:numId w:val="16"/>
        </w:numPr>
        <w:rPr>
          <w:u w:val="single"/>
        </w:rPr>
      </w:pPr>
      <w:r w:rsidRPr="00B96836">
        <w:rPr>
          <w:b/>
          <w:bCs/>
        </w:rPr>
        <w:t>Marine: map carbon stocks using blue carbon data from Mapping Ocean Wealth:</w:t>
      </w:r>
      <w:r w:rsidRPr="00FB15DB">
        <w:t xml:space="preserve"> This approach involved using existing mapped estimates of carbon stocks stored in the marine environment in the GORCAP region from the Mapping Ocean Wealth (Carnell et al, 2019) study (which DELWP was involved).</w:t>
      </w:r>
    </w:p>
    <w:p w14:paraId="076F4CD5" w14:textId="77777777" w:rsidR="00B21991" w:rsidRPr="00FB15DB" w:rsidRDefault="00B21991" w:rsidP="00B21991">
      <w:pPr>
        <w:pStyle w:val="BodyText12ptBefore"/>
      </w:pPr>
      <w:r w:rsidRPr="00FB15DB">
        <w:t xml:space="preserve">Carbon retention can be quantified as the total stock of carbon stored in an ecosystem over an accounting period. (Consequently, the change in carbon retention ecosystem service flow from one year to the next is equal to net carbon sequestration). For the purposes of environmental-economic accounting, this asset stock (i.e., total stock of carbon) needs to be converted into an annual flow. </w:t>
      </w:r>
    </w:p>
    <w:p w14:paraId="53E3395B" w14:textId="77777777" w:rsidR="00B21991" w:rsidRPr="00FB15DB" w:rsidRDefault="00B21991" w:rsidP="00B21991">
      <w:pPr>
        <w:pStyle w:val="BodyText"/>
      </w:pPr>
      <w:r w:rsidRPr="00FB15DB">
        <w:t>The approach to estimating an annual flow from an asset value is to use conventional accounting techniques.</w:t>
      </w:r>
      <w:r w:rsidRPr="00FB15DB">
        <w:rPr>
          <w:vertAlign w:val="superscript"/>
        </w:rPr>
        <w:footnoteReference w:id="29"/>
      </w:r>
      <w:r w:rsidRPr="00FB15DB">
        <w:t xml:space="preserve"> For example, by valuing the carbon stock and using an annuity approach to create an annual flow value. Supply of carbon retention services in a year (year t) can be valued using an annuity approach as follows:</w:t>
      </w:r>
    </w:p>
    <w:p w14:paraId="4F1C37D1" w14:textId="77777777" w:rsidR="00B21991" w:rsidRPr="00FB15DB" w:rsidRDefault="00B21991" w:rsidP="00B21991">
      <w:pPr>
        <w:pStyle w:val="ListBullet"/>
      </w:pPr>
      <w:r w:rsidRPr="00FB15DB">
        <w:t>Carbon stock in year t is converted to CO</w:t>
      </w:r>
      <w:r w:rsidRPr="00FB15DB">
        <w:rPr>
          <w:vertAlign w:val="subscript"/>
        </w:rPr>
        <w:t>2</w:t>
      </w:r>
      <w:r w:rsidRPr="00FB15DB">
        <w:t xml:space="preserve">e and valued by using a suitable carbon value for year t (see Section 2.5.3.). </w:t>
      </w:r>
    </w:p>
    <w:p w14:paraId="08962C03" w14:textId="77777777" w:rsidR="00B21991" w:rsidRPr="00FB15DB" w:rsidRDefault="00B21991" w:rsidP="00B21991">
      <w:pPr>
        <w:pStyle w:val="ListBullet"/>
      </w:pPr>
      <w:r w:rsidRPr="00FB15DB">
        <w:t>The carbon stock value is converted into a series of uniform annual values using a discount rate of 4 per cent</w:t>
      </w:r>
      <w:r w:rsidRPr="00FB15DB">
        <w:rPr>
          <w:vertAlign w:val="superscript"/>
        </w:rPr>
        <w:footnoteReference w:id="30"/>
      </w:r>
      <w:r w:rsidRPr="00FB15DB">
        <w:t xml:space="preserve"> over a period of 100 years. The annual payment represents the value of ecosystem service flow in year t.</w:t>
      </w:r>
    </w:p>
    <w:p w14:paraId="042335D3" w14:textId="77777777" w:rsidR="00B21991" w:rsidRPr="00FB15DB" w:rsidRDefault="00B21991" w:rsidP="00B21991">
      <w:pPr>
        <w:pStyle w:val="ListBullet"/>
      </w:pPr>
      <w:r w:rsidRPr="00FB15DB">
        <w:t xml:space="preserve">This can be repeated to value ecosystem service flow in year t+1 and beyond, based on carbon stock in year t+1 and a suitable carbon value for year t+1. </w:t>
      </w:r>
    </w:p>
    <w:p w14:paraId="55D4A51C" w14:textId="77777777" w:rsidR="00B21991" w:rsidRPr="00FB15DB" w:rsidRDefault="00B21991" w:rsidP="00B21991">
      <w:pPr>
        <w:pStyle w:val="BodyText12ptBefore"/>
      </w:pPr>
      <w:r w:rsidRPr="00FB15DB">
        <w:t>One hundred years is selected as the asset (carbon stock) life as this aligns with the maximum asset life suggested for valuation of ecosystem assets.</w:t>
      </w:r>
      <w:r w:rsidRPr="00FB15DB">
        <w:rPr>
          <w:vertAlign w:val="superscript"/>
        </w:rPr>
        <w:footnoteReference w:id="31"/>
      </w:r>
      <w:r w:rsidRPr="00FB15DB">
        <w:t xml:space="preserve"> That is, an ecosystem asset is expected to generate </w:t>
      </w:r>
      <w:r w:rsidRPr="00FB15DB">
        <w:lastRenderedPageBreak/>
        <w:t>ecosystem services over 100 years and its value can be estimated as the net present value of expected future returns (ecosystem service flows). The hypothetical assumption is that carbon is stored for 100 years and then disappears overnight: there is no gradual depreciation of the carbon stock. Another option would be to assume an infinite asset life – that carbon is stored in perpetuity. Note that a shorter time period will result in a higher annual payment and consequently a higher ecosystem service flow value. Therefore, using a longer time period represents a more conservative approach to valuing supply of carbon retention services.</w:t>
      </w:r>
    </w:p>
    <w:p w14:paraId="59CF0B9F" w14:textId="77777777" w:rsidR="00B21991" w:rsidRPr="00FB15DB" w:rsidRDefault="00B21991" w:rsidP="00AD40F5">
      <w:pPr>
        <w:pStyle w:val="AlphaHeading5"/>
      </w:pPr>
      <w:r w:rsidRPr="00FB15DB">
        <w:t xml:space="preserve">Carbon sequestration </w:t>
      </w:r>
    </w:p>
    <w:p w14:paraId="76FDB48A" w14:textId="77777777" w:rsidR="00B21991" w:rsidRPr="00FB15DB" w:rsidRDefault="00B21991" w:rsidP="00B21991">
      <w:pPr>
        <w:pStyle w:val="BodyText12ptBefore"/>
      </w:pPr>
      <w:r w:rsidRPr="00FB15DB">
        <w:t xml:space="preserve">It was not possible to obtain estimates of carbon sequestration for land ecosystems from DISER using </w:t>
      </w:r>
      <w:proofErr w:type="spellStart"/>
      <w:r w:rsidRPr="00FB15DB">
        <w:t>FullCAM</w:t>
      </w:r>
      <w:proofErr w:type="spellEnd"/>
      <w:r w:rsidRPr="00FB15DB">
        <w:t xml:space="preserve"> (used to compile Australia’s national greenhouse gas inventory system for the land sector) within the time constraints of this project. The study team also did not find carbon sequestration estimates for farmland or marine areas. The estimates for carbon sequestration in the GORCAP EEA region are therefore partial. The approaches taken to estimating the physical provision of carbon sequestration in the GORCAP region are summarised below: </w:t>
      </w:r>
    </w:p>
    <w:p w14:paraId="7E0413E8" w14:textId="77777777" w:rsidR="00B21991" w:rsidRPr="00FB15DB" w:rsidRDefault="00B21991" w:rsidP="00B21991">
      <w:pPr>
        <w:pStyle w:val="ListBullet"/>
        <w:rPr>
          <w:u w:val="single"/>
        </w:rPr>
      </w:pPr>
      <w:r w:rsidRPr="00B96836">
        <w:rPr>
          <w:b/>
          <w:bCs/>
        </w:rPr>
        <w:t>Freshwater and (inland) wetlands: use estimates of carbon stocks from Carnell et al (2016):</w:t>
      </w:r>
      <w:r w:rsidRPr="00FB15DB">
        <w:t xml:space="preserve"> This approach utilises estimates of tonnes of carbon sequestered for freshwater and wetlands within GORCAP region by drawing on average estimates for inland wetlands in Victoria of 6.93 tonnes of carbon dioxide equivalent per hectare per year from Carnell et al (2016) and applying this figure to the area of inland wetlands from the extent account.</w:t>
      </w:r>
    </w:p>
    <w:p w14:paraId="7D7C9C32" w14:textId="77777777" w:rsidR="00B21991" w:rsidRPr="00FB15DB" w:rsidRDefault="00B21991" w:rsidP="00B21991">
      <w:pPr>
        <w:pStyle w:val="ListBullet"/>
        <w:rPr>
          <w:u w:val="single"/>
        </w:rPr>
      </w:pPr>
      <w:r w:rsidRPr="00B96836">
        <w:rPr>
          <w:b/>
          <w:bCs/>
        </w:rPr>
        <w:t>Forests: map carbon sequestration using per hectare estimates from DELWP (2015) and England (2006</w:t>
      </w:r>
      <w:r w:rsidRPr="00B96836">
        <w:rPr>
          <w:b/>
          <w:bCs/>
          <w:i/>
        </w:rPr>
        <w:t>)</w:t>
      </w:r>
      <w:r w:rsidRPr="00B96836">
        <w:rPr>
          <w:b/>
          <w:bCs/>
        </w:rPr>
        <w:t>:</w:t>
      </w:r>
      <w:r w:rsidRPr="00FB15DB">
        <w:rPr>
          <w:i/>
        </w:rPr>
        <w:t xml:space="preserve"> </w:t>
      </w:r>
      <w:r w:rsidRPr="00FB15DB">
        <w:t>This approach involves applying a sequestration estimate of 3.5 tonnes of carbon dioxide equivalent per hectare per year to the estimated area in hectares of forest within the GORCAP region (using data from the extent account). 3.5 tonnes CO</w:t>
      </w:r>
      <w:r w:rsidRPr="00FB15DB">
        <w:rPr>
          <w:vertAlign w:val="subscript"/>
        </w:rPr>
        <w:t>2</w:t>
      </w:r>
      <w:r w:rsidRPr="00FB15DB">
        <w:t>e sequestration per hectare is the average of estimates of 2 to 5 tonnes CO</w:t>
      </w:r>
      <w:r w:rsidRPr="00FB15DB">
        <w:rPr>
          <w:vertAlign w:val="subscript"/>
        </w:rPr>
        <w:t>2</w:t>
      </w:r>
      <w:r w:rsidRPr="00FB15DB">
        <w:t>e sequestration per hectare from the literature (DELWP, 2015 and England, 2006). The values of between 2 and 5 tonnes CO</w:t>
      </w:r>
      <w:r w:rsidRPr="00FB15DB">
        <w:rPr>
          <w:vertAlign w:val="subscript"/>
        </w:rPr>
        <w:t>2</w:t>
      </w:r>
      <w:r w:rsidRPr="00FB15DB">
        <w:t>e / ha / year are consistent with the wider literature on the carbon sequestration value of afforested areas. Accumulation of carbon in biomass after afforestation varies greatly by tree species and site and ranges globally between 1 and 35 t CO</w:t>
      </w:r>
      <w:r w:rsidRPr="00FB15DB">
        <w:rPr>
          <w:vertAlign w:val="subscript"/>
        </w:rPr>
        <w:t>2</w:t>
      </w:r>
      <w:r w:rsidRPr="00FB15DB">
        <w:t>/ha/yr (Richards and Stokes, 2004 in IPCC, 2007). Brown (2009) states that newly planted tree seedlings in temperate regions (which GORCAP region is) remove an average of 6.5 tonnes CO</w:t>
      </w:r>
      <w:r w:rsidRPr="00FB15DB">
        <w:rPr>
          <w:vertAlign w:val="subscript"/>
        </w:rPr>
        <w:t>2</w:t>
      </w:r>
      <w:r w:rsidRPr="00FB15DB">
        <w:t>e/ha/year. The UK Urban Natural Capital Account adopted an average rate of sequestration of 5 tonnes CO</w:t>
      </w:r>
      <w:r w:rsidRPr="00FB15DB">
        <w:rPr>
          <w:vertAlign w:val="subscript"/>
        </w:rPr>
        <w:t>2</w:t>
      </w:r>
      <w:r w:rsidRPr="00FB15DB">
        <w:t>e/ha/year across the UK (</w:t>
      </w:r>
      <w:proofErr w:type="spellStart"/>
      <w:r w:rsidRPr="00FB15DB">
        <w:t>eftec</w:t>
      </w:r>
      <w:proofErr w:type="spellEnd"/>
      <w:r w:rsidRPr="00FB15DB">
        <w:t xml:space="preserve"> et al, 2017).</w:t>
      </w:r>
    </w:p>
    <w:p w14:paraId="3081202D" w14:textId="77777777" w:rsidR="00B21991" w:rsidRPr="00FB15DB" w:rsidRDefault="00B21991" w:rsidP="00B21991">
      <w:pPr>
        <w:pStyle w:val="ListBullet"/>
        <w:rPr>
          <w:u w:val="single"/>
        </w:rPr>
      </w:pPr>
      <w:r w:rsidRPr="00B96836">
        <w:rPr>
          <w:b/>
          <w:bCs/>
        </w:rPr>
        <w:t>Coastal margins: use estimates of carbon sequestration from DELWP (2016), Carnell (2019) and Young et al (forthcoming):</w:t>
      </w:r>
      <w:r w:rsidRPr="00FB15DB">
        <w:t xml:space="preserve"> Estimates of carbon sequestration in coastal margin ecosystems (seagrass, saltmarsh and mangrove) are applied to ecosystem extent (from extent account) from different sources, see Table 8. The estimates from Young et al (forthcoming) and Carnell et al (2019) are specific to Australia and therefore have a higher level of uncertainty compared to the estimates from DELWP (2015) which are global average estimates from the literature. All estimates are presented (despite differing levels of uncertainty) in order to provide a level of confidence in the estimates and to provide consistency with existing work on coastal margins in Victoria (i.e., DELWP (2015).</w:t>
      </w:r>
    </w:p>
    <w:p w14:paraId="64BC3B7B" w14:textId="77777777" w:rsidR="00B21991" w:rsidRPr="00FB15DB" w:rsidRDefault="00B21991" w:rsidP="00956CB2">
      <w:pPr>
        <w:pStyle w:val="Caption"/>
      </w:pPr>
      <w:r w:rsidRPr="00FB15DB">
        <w:t xml:space="preserve">Table 8. Per hectare carbon sequestration values for coastal margin ecosystems </w:t>
      </w:r>
    </w:p>
    <w:tbl>
      <w:tblPr>
        <w:tblStyle w:val="TableGrid"/>
        <w:tblW w:w="5000" w:type="pct"/>
        <w:tblLook w:val="04A0" w:firstRow="1" w:lastRow="0" w:firstColumn="1" w:lastColumn="0" w:noHBand="0" w:noVBand="1"/>
      </w:tblPr>
      <w:tblGrid>
        <w:gridCol w:w="4848"/>
        <w:gridCol w:w="1596"/>
        <w:gridCol w:w="1596"/>
        <w:gridCol w:w="1598"/>
      </w:tblGrid>
      <w:tr w:rsidR="00B21991" w:rsidRPr="00FB15DB" w14:paraId="5A3E821F" w14:textId="77777777" w:rsidTr="003137F4">
        <w:trPr>
          <w:cnfStyle w:val="100000000000" w:firstRow="1" w:lastRow="0" w:firstColumn="0" w:lastColumn="0" w:oddVBand="0" w:evenVBand="0" w:oddHBand="0"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2515" w:type="pct"/>
          </w:tcPr>
          <w:p w14:paraId="33024DC0" w14:textId="77777777" w:rsidR="00B21991" w:rsidRPr="00FB15DB" w:rsidRDefault="00B21991" w:rsidP="00666947">
            <w:pPr>
              <w:pStyle w:val="TableTextLeft"/>
            </w:pPr>
            <w:r w:rsidRPr="00FB15DB">
              <w:rPr>
                <w:b/>
              </w:rPr>
              <w:t>Source</w:t>
            </w:r>
          </w:p>
        </w:tc>
        <w:tc>
          <w:tcPr>
            <w:tcW w:w="2485" w:type="pct"/>
            <w:gridSpan w:val="3"/>
          </w:tcPr>
          <w:p w14:paraId="7A6D9D75" w14:textId="77777777" w:rsidR="00B21991" w:rsidRPr="00FB15DB" w:rsidRDefault="00B21991" w:rsidP="00666947">
            <w:pPr>
              <w:pStyle w:val="TableTextLeft"/>
              <w:cnfStyle w:val="100000000000" w:firstRow="1" w:lastRow="0" w:firstColumn="0" w:lastColumn="0" w:oddVBand="0" w:evenVBand="0" w:oddHBand="0" w:evenHBand="0" w:firstRowFirstColumn="0" w:firstRowLastColumn="0" w:lastRowFirstColumn="0" w:lastRowLastColumn="0"/>
              <w:rPr>
                <w:b/>
              </w:rPr>
            </w:pPr>
            <w:r w:rsidRPr="00FB15DB">
              <w:rPr>
                <w:b/>
              </w:rPr>
              <w:t>Carbon sequestration (tonnes / ha)</w:t>
            </w:r>
          </w:p>
        </w:tc>
      </w:tr>
      <w:tr w:rsidR="00B21991" w:rsidRPr="00FB15DB" w14:paraId="0DDA4067" w14:textId="77777777" w:rsidTr="003137F4">
        <w:trPr>
          <w:trHeight w:val="113"/>
        </w:trPr>
        <w:tc>
          <w:tcPr>
            <w:cnfStyle w:val="001000000000" w:firstRow="0" w:lastRow="0" w:firstColumn="1" w:lastColumn="0" w:oddVBand="0" w:evenVBand="0" w:oddHBand="0" w:evenHBand="0" w:firstRowFirstColumn="0" w:firstRowLastColumn="0" w:lastRowFirstColumn="0" w:lastRowLastColumn="0"/>
            <w:tcW w:w="2515" w:type="pct"/>
          </w:tcPr>
          <w:p w14:paraId="2B12B967" w14:textId="77777777" w:rsidR="00B21991" w:rsidRPr="00FB15DB" w:rsidRDefault="00B21991" w:rsidP="00666947">
            <w:pPr>
              <w:pStyle w:val="TableTextLeft"/>
              <w:rPr>
                <w:b/>
              </w:rPr>
            </w:pPr>
          </w:p>
        </w:tc>
        <w:tc>
          <w:tcPr>
            <w:tcW w:w="828" w:type="pct"/>
          </w:tcPr>
          <w:p w14:paraId="085F6B9B"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rPr>
                <w:i/>
              </w:rPr>
              <w:t>Seagrass</w:t>
            </w:r>
          </w:p>
        </w:tc>
        <w:tc>
          <w:tcPr>
            <w:tcW w:w="828" w:type="pct"/>
          </w:tcPr>
          <w:p w14:paraId="4FAFBBDA"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rPr>
                <w:i/>
              </w:rPr>
              <w:t>Saltmarsh</w:t>
            </w:r>
          </w:p>
        </w:tc>
        <w:tc>
          <w:tcPr>
            <w:tcW w:w="829" w:type="pct"/>
          </w:tcPr>
          <w:p w14:paraId="23C669EC"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rPr>
                <w:i/>
              </w:rPr>
            </w:pPr>
            <w:r w:rsidRPr="00FB15DB">
              <w:rPr>
                <w:i/>
              </w:rPr>
              <w:t>Mangrove</w:t>
            </w:r>
          </w:p>
        </w:tc>
      </w:tr>
      <w:tr w:rsidR="00B21991" w:rsidRPr="00FB15DB" w14:paraId="75375845" w14:textId="77777777" w:rsidTr="003137F4">
        <w:trPr>
          <w:trHeight w:val="519"/>
        </w:trPr>
        <w:tc>
          <w:tcPr>
            <w:cnfStyle w:val="001000000000" w:firstRow="0" w:lastRow="0" w:firstColumn="1" w:lastColumn="0" w:oddVBand="0" w:evenVBand="0" w:oddHBand="0" w:evenHBand="0" w:firstRowFirstColumn="0" w:firstRowLastColumn="0" w:lastRowFirstColumn="0" w:lastRowLastColumn="0"/>
            <w:tcW w:w="2515" w:type="pct"/>
          </w:tcPr>
          <w:p w14:paraId="08E575B4" w14:textId="77777777" w:rsidR="00B21991" w:rsidRPr="00FB15DB" w:rsidRDefault="00B21991" w:rsidP="00666947">
            <w:pPr>
              <w:pStyle w:val="TableTextLeft"/>
            </w:pPr>
            <w:r w:rsidRPr="00FB15DB">
              <w:t xml:space="preserve">Carnell et al (2015) The distribution and abundance of ‘blue carbon’ within Port Phillip and Westernport </w:t>
            </w:r>
          </w:p>
        </w:tc>
        <w:tc>
          <w:tcPr>
            <w:tcW w:w="828" w:type="pct"/>
          </w:tcPr>
          <w:p w14:paraId="65E13C67"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0.23</w:t>
            </w:r>
            <w:r w:rsidRPr="00FB15DB">
              <w:rPr>
                <w:vertAlign w:val="superscript"/>
              </w:rPr>
              <w:t xml:space="preserve"> a</w:t>
            </w:r>
            <w:r w:rsidRPr="00FB15DB">
              <w:t xml:space="preserve">  </w:t>
            </w:r>
          </w:p>
        </w:tc>
        <w:tc>
          <w:tcPr>
            <w:tcW w:w="828" w:type="pct"/>
          </w:tcPr>
          <w:p w14:paraId="0CD7163C"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0.41</w:t>
            </w:r>
            <w:r w:rsidRPr="00FB15DB">
              <w:rPr>
                <w:vertAlign w:val="superscript"/>
              </w:rPr>
              <w:t xml:space="preserve"> a</w:t>
            </w:r>
            <w:r w:rsidRPr="00FB15DB">
              <w:t xml:space="preserve">  </w:t>
            </w:r>
          </w:p>
        </w:tc>
        <w:tc>
          <w:tcPr>
            <w:tcW w:w="829" w:type="pct"/>
          </w:tcPr>
          <w:p w14:paraId="327CB4F8"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0.38</w:t>
            </w:r>
            <w:r w:rsidRPr="00FB15DB">
              <w:rPr>
                <w:vertAlign w:val="superscript"/>
              </w:rPr>
              <w:t xml:space="preserve"> a</w:t>
            </w:r>
            <w:r w:rsidRPr="00FB15DB">
              <w:t xml:space="preserve">  </w:t>
            </w:r>
          </w:p>
        </w:tc>
      </w:tr>
      <w:tr w:rsidR="00B21991" w:rsidRPr="00FB15DB" w14:paraId="4D3C6206" w14:textId="77777777" w:rsidTr="003137F4">
        <w:trPr>
          <w:trHeight w:val="7"/>
        </w:trPr>
        <w:tc>
          <w:tcPr>
            <w:cnfStyle w:val="001000000000" w:firstRow="0" w:lastRow="0" w:firstColumn="1" w:lastColumn="0" w:oddVBand="0" w:evenVBand="0" w:oddHBand="0" w:evenHBand="0" w:firstRowFirstColumn="0" w:firstRowLastColumn="0" w:lastRowFirstColumn="0" w:lastRowLastColumn="0"/>
            <w:tcW w:w="2515" w:type="pct"/>
          </w:tcPr>
          <w:p w14:paraId="67424886" w14:textId="77777777" w:rsidR="00B21991" w:rsidRPr="00FB15DB" w:rsidRDefault="00B21991" w:rsidP="00666947">
            <w:pPr>
              <w:pStyle w:val="TableTextLeft"/>
            </w:pPr>
            <w:r w:rsidRPr="00FB15DB">
              <w:t>Carnell et al (2019) Mapping Ocean Wealth Australia</w:t>
            </w:r>
          </w:p>
        </w:tc>
        <w:tc>
          <w:tcPr>
            <w:tcW w:w="828" w:type="pct"/>
          </w:tcPr>
          <w:p w14:paraId="74E52773"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rPr>
                <w:vertAlign w:val="superscript"/>
              </w:rPr>
            </w:pPr>
            <w:r w:rsidRPr="00FB15DB">
              <w:t>0.46</w:t>
            </w:r>
            <w:r w:rsidRPr="00FB15DB">
              <w:rPr>
                <w:vertAlign w:val="superscript"/>
              </w:rPr>
              <w:t xml:space="preserve"> a</w:t>
            </w:r>
            <w:r w:rsidRPr="00FB15DB">
              <w:t xml:space="preserve">  </w:t>
            </w:r>
          </w:p>
        </w:tc>
        <w:tc>
          <w:tcPr>
            <w:tcW w:w="828" w:type="pct"/>
          </w:tcPr>
          <w:p w14:paraId="162760C3"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0.57</w:t>
            </w:r>
            <w:r w:rsidRPr="00FB15DB">
              <w:rPr>
                <w:vertAlign w:val="superscript"/>
              </w:rPr>
              <w:t xml:space="preserve"> a</w:t>
            </w:r>
          </w:p>
        </w:tc>
        <w:tc>
          <w:tcPr>
            <w:tcW w:w="829" w:type="pct"/>
          </w:tcPr>
          <w:p w14:paraId="7FB7E796"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1.29</w:t>
            </w:r>
            <w:r w:rsidRPr="00FB15DB">
              <w:rPr>
                <w:vertAlign w:val="superscript"/>
              </w:rPr>
              <w:t xml:space="preserve"> a</w:t>
            </w:r>
          </w:p>
        </w:tc>
      </w:tr>
      <w:tr w:rsidR="00B21991" w:rsidRPr="00FB15DB" w14:paraId="3B9FB31E" w14:textId="77777777" w:rsidTr="003137F4">
        <w:trPr>
          <w:trHeight w:val="7"/>
        </w:trPr>
        <w:tc>
          <w:tcPr>
            <w:cnfStyle w:val="001000000000" w:firstRow="0" w:lastRow="0" w:firstColumn="1" w:lastColumn="0" w:oddVBand="0" w:evenVBand="0" w:oddHBand="0" w:evenHBand="0" w:firstRowFirstColumn="0" w:firstRowLastColumn="0" w:lastRowFirstColumn="0" w:lastRowLastColumn="0"/>
            <w:tcW w:w="2515" w:type="pct"/>
          </w:tcPr>
          <w:p w14:paraId="208955D3" w14:textId="77777777" w:rsidR="00B21991" w:rsidRPr="00FB15DB" w:rsidRDefault="00B21991" w:rsidP="00666947">
            <w:pPr>
              <w:pStyle w:val="TableTextLeft"/>
            </w:pPr>
            <w:r w:rsidRPr="00FB15DB">
              <w:t>Young et al (forthcoming) Estimating future carbon sequestration and economic value in restored or eroded blue carbon ecosystems</w:t>
            </w:r>
          </w:p>
        </w:tc>
        <w:tc>
          <w:tcPr>
            <w:tcW w:w="828" w:type="pct"/>
          </w:tcPr>
          <w:p w14:paraId="4FAE4ABB"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rPr>
                <w:vertAlign w:val="superscript"/>
              </w:rPr>
            </w:pPr>
            <w:r w:rsidRPr="00FB15DB">
              <w:t>1.87</w:t>
            </w:r>
          </w:p>
        </w:tc>
        <w:tc>
          <w:tcPr>
            <w:tcW w:w="828" w:type="pct"/>
          </w:tcPr>
          <w:p w14:paraId="6C75C1EC"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1.49</w:t>
            </w:r>
            <w:r w:rsidRPr="00FB15DB">
              <w:rPr>
                <w:vertAlign w:val="superscript"/>
              </w:rPr>
              <w:t xml:space="preserve"> </w:t>
            </w:r>
          </w:p>
        </w:tc>
        <w:tc>
          <w:tcPr>
            <w:tcW w:w="829" w:type="pct"/>
          </w:tcPr>
          <w:p w14:paraId="7C9D5A57"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 xml:space="preserve">4.9 </w:t>
            </w:r>
          </w:p>
        </w:tc>
      </w:tr>
      <w:tr w:rsidR="00B21991" w:rsidRPr="00FB15DB" w14:paraId="28B231A5" w14:textId="77777777" w:rsidTr="003137F4">
        <w:trPr>
          <w:trHeight w:val="7"/>
        </w:trPr>
        <w:tc>
          <w:tcPr>
            <w:cnfStyle w:val="001000000000" w:firstRow="0" w:lastRow="0" w:firstColumn="1" w:lastColumn="0" w:oddVBand="0" w:evenVBand="0" w:oddHBand="0" w:evenHBand="0" w:firstRowFirstColumn="0" w:firstRowLastColumn="0" w:lastRowFirstColumn="0" w:lastRowLastColumn="0"/>
            <w:tcW w:w="2515" w:type="pct"/>
          </w:tcPr>
          <w:p w14:paraId="78A754F2" w14:textId="77777777" w:rsidR="00B21991" w:rsidRPr="00FB15DB" w:rsidRDefault="00B21991" w:rsidP="00666947">
            <w:pPr>
              <w:pStyle w:val="TableTextLeft"/>
            </w:pPr>
            <w:r w:rsidRPr="00FB15DB">
              <w:rPr>
                <w:b/>
              </w:rPr>
              <w:t>Average tonnes CO</w:t>
            </w:r>
            <w:r w:rsidRPr="00FB15DB">
              <w:rPr>
                <w:vertAlign w:val="subscript"/>
              </w:rPr>
              <w:t>2</w:t>
            </w:r>
            <w:r w:rsidRPr="00FB15DB">
              <w:rPr>
                <w:b/>
              </w:rPr>
              <w:t>e sequestration per hectare</w:t>
            </w:r>
          </w:p>
        </w:tc>
        <w:tc>
          <w:tcPr>
            <w:tcW w:w="828" w:type="pct"/>
          </w:tcPr>
          <w:p w14:paraId="4672B9F4"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rPr>
                <w:b/>
              </w:rPr>
              <w:t>0.85</w:t>
            </w:r>
          </w:p>
        </w:tc>
        <w:tc>
          <w:tcPr>
            <w:tcW w:w="828" w:type="pct"/>
          </w:tcPr>
          <w:p w14:paraId="3A54B12A"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rPr>
                <w:b/>
              </w:rPr>
              <w:t>0.82</w:t>
            </w:r>
          </w:p>
        </w:tc>
        <w:tc>
          <w:tcPr>
            <w:tcW w:w="829" w:type="pct"/>
          </w:tcPr>
          <w:p w14:paraId="5E1D64D5"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rPr>
                <w:b/>
              </w:rPr>
            </w:pPr>
            <w:r w:rsidRPr="00FB15DB">
              <w:rPr>
                <w:b/>
              </w:rPr>
              <w:t>2.19</w:t>
            </w:r>
          </w:p>
        </w:tc>
      </w:tr>
    </w:tbl>
    <w:p w14:paraId="1CBB8A34" w14:textId="77777777" w:rsidR="00B21991" w:rsidRPr="00FB15DB" w:rsidRDefault="00B21991" w:rsidP="00B21991">
      <w:pPr>
        <w:pStyle w:val="BodyText"/>
      </w:pPr>
      <w:proofErr w:type="spellStart"/>
      <w:r w:rsidRPr="00FB15DB">
        <w:rPr>
          <w:vertAlign w:val="superscript"/>
        </w:rPr>
        <w:t>a</w:t>
      </w:r>
      <w:proofErr w:type="spellEnd"/>
      <w:r w:rsidRPr="00FB15DB">
        <w:rPr>
          <w:vertAlign w:val="superscript"/>
        </w:rPr>
        <w:t xml:space="preserve"> </w:t>
      </w:r>
      <w:r w:rsidRPr="00FB15DB">
        <w:t xml:space="preserve">These figures have been converted from carbon (as estimated in the original studies) to carbon dioxide equivalents (for use in this GORCAP EEA) using a conversion factor of one tonne of carbon is equal to 3.664 </w:t>
      </w:r>
      <w:r w:rsidRPr="00FB15DB">
        <w:lastRenderedPageBreak/>
        <w:t>tonnes of CO2e. Department of the Environment and Energy 2017, National greenhouse accounts factors: Australian national greenhouse accounts, Commonwealth of Australia, Canberra.</w:t>
      </w:r>
      <w:r w:rsidRPr="00FB15DB">
        <w:rPr>
          <w:vertAlign w:val="superscript"/>
        </w:rPr>
        <w:t xml:space="preserve">   </w:t>
      </w:r>
    </w:p>
    <w:p w14:paraId="61B19BCB" w14:textId="77777777" w:rsidR="00B21991" w:rsidRPr="003137F4" w:rsidRDefault="00B21991" w:rsidP="00A2745D">
      <w:pPr>
        <w:pStyle w:val="AlphaHeading4"/>
      </w:pPr>
      <w:r w:rsidRPr="003137F4">
        <w:t xml:space="preserve">Monetary value of global climate regulation </w:t>
      </w:r>
    </w:p>
    <w:p w14:paraId="75B2AFB5" w14:textId="77777777" w:rsidR="00B21991" w:rsidRPr="00FB15DB" w:rsidRDefault="00B21991" w:rsidP="00B21991">
      <w:pPr>
        <w:pStyle w:val="BodyText"/>
      </w:pPr>
      <w:r w:rsidRPr="00FB15DB">
        <w:t>Based on the literature review (see Annex 3, Section A3.5.), monetary values for global climate regulation are presented in carbon dioxide equivalent (CO</w:t>
      </w:r>
      <w:r w:rsidRPr="00FB15DB">
        <w:rPr>
          <w:vertAlign w:val="subscript"/>
        </w:rPr>
        <w:t>2</w:t>
      </w:r>
      <w:r w:rsidRPr="00FB15DB">
        <w:t>e)</w:t>
      </w:r>
      <w:r w:rsidRPr="00FB15DB">
        <w:rPr>
          <w:vertAlign w:val="superscript"/>
        </w:rPr>
        <w:footnoteReference w:id="32"/>
      </w:r>
      <w:r w:rsidRPr="00FB15DB">
        <w:t xml:space="preserve"> terms and can be measured in environmental-economic accounts through the:</w:t>
      </w:r>
    </w:p>
    <w:p w14:paraId="630BA159" w14:textId="77777777" w:rsidR="00B21991" w:rsidRPr="00FB15DB" w:rsidRDefault="00B21991" w:rsidP="00B21991">
      <w:pPr>
        <w:pStyle w:val="ListBullet"/>
      </w:pPr>
      <w:r w:rsidRPr="00FB15DB">
        <w:rPr>
          <w:b/>
        </w:rPr>
        <w:t>Social cost of carbon:</w:t>
      </w:r>
      <w:r w:rsidRPr="00FB15DB">
        <w:t xml:space="preserve"> the social cost of carbon is a shadow price of CO</w:t>
      </w:r>
      <w:r w:rsidRPr="00FB15DB">
        <w:rPr>
          <w:vertAlign w:val="subscript"/>
        </w:rPr>
        <w:t>2</w:t>
      </w:r>
      <w:r w:rsidRPr="00FB15DB">
        <w:t>-e that reflects its global social marginal cost. The global social cost of 1 tonne of CO</w:t>
      </w:r>
      <w:r w:rsidRPr="00FB15DB">
        <w:rPr>
          <w:vertAlign w:val="subscript"/>
        </w:rPr>
        <w:t>2</w:t>
      </w:r>
      <w:r w:rsidRPr="00FB15DB">
        <w:t>-e emitted today is the present value of additional economic damages now and in the future caused by associated climate change impacts. There is great uncertainty around the global social cost of CO</w:t>
      </w:r>
      <w:r w:rsidRPr="00FB15DB">
        <w:rPr>
          <w:vertAlign w:val="subscript"/>
        </w:rPr>
        <w:t>2</w:t>
      </w:r>
      <w:r w:rsidRPr="00FB15DB">
        <w:t xml:space="preserve">-e with a wide range of estimated damage costs reported in the literature (BDA Group, 2015). </w:t>
      </w:r>
    </w:p>
    <w:p w14:paraId="5039B111" w14:textId="77777777" w:rsidR="00B21991" w:rsidRPr="00FB15DB" w:rsidRDefault="00B21991" w:rsidP="00B21991">
      <w:pPr>
        <w:pStyle w:val="ListBullet"/>
      </w:pPr>
      <w:r w:rsidRPr="00FB15DB">
        <w:rPr>
          <w:b/>
        </w:rPr>
        <w:t>Market price / Replacement cost</w:t>
      </w:r>
      <w:r w:rsidRPr="00FB15DB">
        <w:t>: An alternative method to place an economic value on greenhouse gas emissions is the replacement cost approach, through estimating the marginal cost of greenhouse gas abatement or offset measures. Assuming that Australia will act to meet an agreed greenhouse gas reduction target, the impact of carbon sequestration by vegetation is to reduce other activities needed for Australia to comply with this target. The value of the carbon sequestration provided by vegetation can therefore be measured through the cost savings associated with a reduction in other activities / projects needed for Australia to comply with this target.</w:t>
      </w:r>
    </w:p>
    <w:p w14:paraId="504ABBEE" w14:textId="77777777" w:rsidR="00B21991" w:rsidRPr="00FB15DB" w:rsidRDefault="00B21991" w:rsidP="00B21991">
      <w:pPr>
        <w:pStyle w:val="BodyText12ptBefore"/>
      </w:pPr>
      <w:r w:rsidRPr="00FB15DB">
        <w:t xml:space="preserve">For the purpose of this initial </w:t>
      </w:r>
      <w:r w:rsidRPr="00FB15DB">
        <w:rPr>
          <w:rFonts w:eastAsia="Calibri"/>
        </w:rPr>
        <w:t>GORCAP EEA</w:t>
      </w:r>
      <w:r w:rsidRPr="00FB15DB">
        <w:t>, estimates will be produced using both possible approaches based on the marginal unit values from the literature (see Table 9) in order to provide a range of economic values for decision makers with an accompanying explanation of what the values represent. Social cost of carbon will be estimated at the average of US Government (2016) and Hope (2006) of $126</w:t>
      </w:r>
      <w:r w:rsidRPr="00FB15DB">
        <w:rPr>
          <w:vertAlign w:val="superscript"/>
        </w:rPr>
        <w:footnoteReference w:id="33"/>
      </w:r>
      <w:r w:rsidRPr="00FB15DB">
        <w:t xml:space="preserve"> per tonne CO</w:t>
      </w:r>
      <w:r w:rsidRPr="00FB15DB">
        <w:rPr>
          <w:vertAlign w:val="subscript"/>
        </w:rPr>
        <w:t>2</w:t>
      </w:r>
      <w:r w:rsidRPr="00FB15DB">
        <w:t>e and for the market value the latest price under the World Bank Pricing Dashboard will be used of $44</w:t>
      </w:r>
      <w:r w:rsidRPr="00FB15DB">
        <w:rPr>
          <w:vertAlign w:val="superscript"/>
        </w:rPr>
        <w:footnoteReference w:id="34"/>
      </w:r>
      <w:r w:rsidRPr="00FB15DB">
        <w:t xml:space="preserve"> tonne CO</w:t>
      </w:r>
      <w:r w:rsidRPr="00FB15DB">
        <w:rPr>
          <w:vertAlign w:val="subscript"/>
        </w:rPr>
        <w:t>2</w:t>
      </w:r>
      <w:r w:rsidRPr="00FB15DB">
        <w:t xml:space="preserve">e on the basis that this represents a central estimate based on the range of possible exchange values (market prices/replacement costs) set out in Table 9. </w:t>
      </w:r>
    </w:p>
    <w:p w14:paraId="5E1882BC" w14:textId="77777777" w:rsidR="00B21991" w:rsidRPr="00FB15DB" w:rsidRDefault="00B21991" w:rsidP="00956CB2">
      <w:pPr>
        <w:pStyle w:val="Caption"/>
      </w:pPr>
      <w:r w:rsidRPr="00FB15DB">
        <w:t xml:space="preserve">Table 9. Monetary unit ($, 2021) values for global climate regulation </w:t>
      </w:r>
    </w:p>
    <w:tbl>
      <w:tblPr>
        <w:tblStyle w:val="TableGrid"/>
        <w:tblW w:w="5000" w:type="pct"/>
        <w:tblLook w:val="0480" w:firstRow="0" w:lastRow="0" w:firstColumn="1" w:lastColumn="0" w:noHBand="0" w:noVBand="1"/>
      </w:tblPr>
      <w:tblGrid>
        <w:gridCol w:w="2121"/>
        <w:gridCol w:w="946"/>
        <w:gridCol w:w="1594"/>
        <w:gridCol w:w="929"/>
        <w:gridCol w:w="4048"/>
      </w:tblGrid>
      <w:tr w:rsidR="00B629FA" w:rsidRPr="00FB15DB" w14:paraId="06446341" w14:textId="77777777" w:rsidTr="00B629FA">
        <w:trPr>
          <w:cantSplit/>
        </w:trPr>
        <w:tc>
          <w:tcPr>
            <w:cnfStyle w:val="001000000000" w:firstRow="0" w:lastRow="0" w:firstColumn="1" w:lastColumn="0" w:oddVBand="0" w:evenVBand="0" w:oddHBand="0" w:evenHBand="0" w:firstRowFirstColumn="0" w:firstRowLastColumn="0" w:lastRowFirstColumn="0" w:lastRowLastColumn="0"/>
            <w:tcW w:w="1100" w:type="pct"/>
            <w:shd w:val="clear" w:color="auto" w:fill="004C97"/>
          </w:tcPr>
          <w:p w14:paraId="084322D0" w14:textId="77777777" w:rsidR="00B21991" w:rsidRPr="00FB15DB" w:rsidRDefault="00B21991" w:rsidP="00B629FA">
            <w:pPr>
              <w:pStyle w:val="TableHeadingLeft"/>
            </w:pPr>
            <w:r w:rsidRPr="00FB15DB">
              <w:t>Type of value</w:t>
            </w:r>
          </w:p>
        </w:tc>
        <w:tc>
          <w:tcPr>
            <w:tcW w:w="491" w:type="pct"/>
            <w:shd w:val="clear" w:color="auto" w:fill="004C97"/>
            <w:hideMark/>
          </w:tcPr>
          <w:p w14:paraId="129B2DF4" w14:textId="77777777" w:rsidR="00B21991" w:rsidRPr="00FB15DB" w:rsidRDefault="00B21991" w:rsidP="00B629FA">
            <w:pPr>
              <w:pStyle w:val="TableHeadingLeft"/>
              <w:cnfStyle w:val="000000000000" w:firstRow="0" w:lastRow="0" w:firstColumn="0" w:lastColumn="0" w:oddVBand="0" w:evenVBand="0" w:oddHBand="0" w:evenHBand="0" w:firstRowFirstColumn="0" w:firstRowLastColumn="0" w:lastRowFirstColumn="0" w:lastRowLastColumn="0"/>
            </w:pPr>
            <w:r w:rsidRPr="00FB15DB">
              <w:t>Value</w:t>
            </w:r>
          </w:p>
        </w:tc>
        <w:tc>
          <w:tcPr>
            <w:tcW w:w="827" w:type="pct"/>
            <w:shd w:val="clear" w:color="auto" w:fill="004C97"/>
            <w:hideMark/>
          </w:tcPr>
          <w:p w14:paraId="663E9971" w14:textId="77777777" w:rsidR="00B21991" w:rsidRPr="00FB15DB" w:rsidRDefault="00B21991" w:rsidP="00B629FA">
            <w:pPr>
              <w:pStyle w:val="TableHeadingLeft"/>
              <w:cnfStyle w:val="000000000000" w:firstRow="0" w:lastRow="0" w:firstColumn="0" w:lastColumn="0" w:oddVBand="0" w:evenVBand="0" w:oddHBand="0" w:evenHBand="0" w:firstRowFirstColumn="0" w:firstRowLastColumn="0" w:lastRowFirstColumn="0" w:lastRowLastColumn="0"/>
            </w:pPr>
            <w:r w:rsidRPr="00FB15DB">
              <w:t>Unit</w:t>
            </w:r>
          </w:p>
        </w:tc>
        <w:tc>
          <w:tcPr>
            <w:tcW w:w="482" w:type="pct"/>
            <w:shd w:val="clear" w:color="auto" w:fill="004C97"/>
          </w:tcPr>
          <w:p w14:paraId="0A917FE9" w14:textId="77777777" w:rsidR="00B21991" w:rsidRPr="00FB15DB" w:rsidRDefault="00B21991" w:rsidP="00B629FA">
            <w:pPr>
              <w:pStyle w:val="TableHeadingLeft"/>
              <w:cnfStyle w:val="000000000000" w:firstRow="0" w:lastRow="0" w:firstColumn="0" w:lastColumn="0" w:oddVBand="0" w:evenVBand="0" w:oddHBand="0" w:evenHBand="0" w:firstRowFirstColumn="0" w:firstRowLastColumn="0" w:lastRowFirstColumn="0" w:lastRowLastColumn="0"/>
            </w:pPr>
            <w:r w:rsidRPr="00FB15DB">
              <w:t>Year</w:t>
            </w:r>
          </w:p>
        </w:tc>
        <w:tc>
          <w:tcPr>
            <w:tcW w:w="2100" w:type="pct"/>
            <w:shd w:val="clear" w:color="auto" w:fill="004C97"/>
          </w:tcPr>
          <w:p w14:paraId="0AE4CACA" w14:textId="77777777" w:rsidR="00B21991" w:rsidRPr="00FB15DB" w:rsidRDefault="00B21991" w:rsidP="00B629FA">
            <w:pPr>
              <w:pStyle w:val="TableHeadingLeft"/>
              <w:cnfStyle w:val="000000000000" w:firstRow="0" w:lastRow="0" w:firstColumn="0" w:lastColumn="0" w:oddVBand="0" w:evenVBand="0" w:oddHBand="0" w:evenHBand="0" w:firstRowFirstColumn="0" w:firstRowLastColumn="0" w:lastRowFirstColumn="0" w:lastRowLastColumn="0"/>
            </w:pPr>
            <w:r w:rsidRPr="00FB15DB">
              <w:t>Source</w:t>
            </w:r>
          </w:p>
        </w:tc>
      </w:tr>
      <w:tr w:rsidR="00B629FA" w:rsidRPr="00FB15DB" w14:paraId="2FB2C488" w14:textId="77777777" w:rsidTr="00B629FA">
        <w:trPr>
          <w:cantSplit/>
        </w:trPr>
        <w:tc>
          <w:tcPr>
            <w:cnfStyle w:val="001000000000" w:firstRow="0" w:lastRow="0" w:firstColumn="1" w:lastColumn="0" w:oddVBand="0" w:evenVBand="0" w:oddHBand="0" w:evenHBand="0" w:firstRowFirstColumn="0" w:firstRowLastColumn="0" w:lastRowFirstColumn="0" w:lastRowLastColumn="0"/>
            <w:tcW w:w="1100" w:type="pct"/>
            <w:vMerge w:val="restart"/>
          </w:tcPr>
          <w:p w14:paraId="08A06D1D" w14:textId="77777777" w:rsidR="00B21991" w:rsidRPr="00FB15DB" w:rsidRDefault="00B21991" w:rsidP="00B629FA">
            <w:pPr>
              <w:pStyle w:val="TableTextLeft"/>
            </w:pPr>
            <w:r w:rsidRPr="00FB15DB">
              <w:t>Social cost of carbon</w:t>
            </w:r>
          </w:p>
        </w:tc>
        <w:tc>
          <w:tcPr>
            <w:tcW w:w="491" w:type="pct"/>
          </w:tcPr>
          <w:p w14:paraId="0D86A35E" w14:textId="77777777" w:rsidR="00B21991" w:rsidRPr="00FB15DB" w:rsidRDefault="00B21991" w:rsidP="00B629FA">
            <w:pPr>
              <w:pStyle w:val="TableTextLeft"/>
              <w:cnfStyle w:val="000000000000" w:firstRow="0" w:lastRow="0" w:firstColumn="0" w:lastColumn="0" w:oddVBand="0" w:evenVBand="0" w:oddHBand="0" w:evenHBand="0" w:firstRowFirstColumn="0" w:firstRowLastColumn="0" w:lastRowFirstColumn="0" w:lastRowLastColumn="0"/>
            </w:pPr>
            <w:r w:rsidRPr="00FB15DB">
              <w:t>$71</w:t>
            </w:r>
            <w:r w:rsidRPr="00FB15DB">
              <w:rPr>
                <w:vertAlign w:val="superscript"/>
              </w:rPr>
              <w:footnoteReference w:id="35"/>
            </w:r>
          </w:p>
        </w:tc>
        <w:tc>
          <w:tcPr>
            <w:tcW w:w="827" w:type="pct"/>
          </w:tcPr>
          <w:p w14:paraId="0135F89C" w14:textId="77777777" w:rsidR="00B21991" w:rsidRPr="00FB15DB" w:rsidRDefault="00B21991" w:rsidP="00B629FA">
            <w:pPr>
              <w:pStyle w:val="TableTextLeft"/>
              <w:cnfStyle w:val="000000000000" w:firstRow="0" w:lastRow="0" w:firstColumn="0" w:lastColumn="0" w:oddVBand="0" w:evenVBand="0" w:oddHBand="0" w:evenHBand="0" w:firstRowFirstColumn="0" w:firstRowLastColumn="0" w:lastRowFirstColumn="0" w:lastRowLastColumn="0"/>
            </w:pPr>
            <w:r w:rsidRPr="00FB15DB">
              <w:t>$ / tonnes CO</w:t>
            </w:r>
            <w:r w:rsidRPr="00FB15DB">
              <w:rPr>
                <w:vertAlign w:val="subscript"/>
              </w:rPr>
              <w:t>2</w:t>
            </w:r>
            <w:r w:rsidRPr="00FB15DB">
              <w:t xml:space="preserve">e </w:t>
            </w:r>
          </w:p>
        </w:tc>
        <w:tc>
          <w:tcPr>
            <w:tcW w:w="482" w:type="pct"/>
          </w:tcPr>
          <w:p w14:paraId="0E8F39A3" w14:textId="77777777" w:rsidR="00B21991" w:rsidRPr="00FB15DB" w:rsidRDefault="00B21991" w:rsidP="00B629FA">
            <w:pPr>
              <w:pStyle w:val="TableTextLeft"/>
              <w:cnfStyle w:val="000000000000" w:firstRow="0" w:lastRow="0" w:firstColumn="0" w:lastColumn="0" w:oddVBand="0" w:evenVBand="0" w:oddHBand="0" w:evenHBand="0" w:firstRowFirstColumn="0" w:firstRowLastColumn="0" w:lastRowFirstColumn="0" w:lastRowLastColumn="0"/>
            </w:pPr>
            <w:r w:rsidRPr="00FB15DB">
              <w:t>2016</w:t>
            </w:r>
          </w:p>
        </w:tc>
        <w:tc>
          <w:tcPr>
            <w:tcW w:w="2100" w:type="pct"/>
          </w:tcPr>
          <w:p w14:paraId="27A2E833" w14:textId="77777777" w:rsidR="00B21991" w:rsidRPr="00FB15DB" w:rsidRDefault="00B21991" w:rsidP="00B629FA">
            <w:pPr>
              <w:pStyle w:val="TableTextLeft"/>
              <w:cnfStyle w:val="000000000000" w:firstRow="0" w:lastRow="0" w:firstColumn="0" w:lastColumn="0" w:oddVBand="0" w:evenVBand="0" w:oddHBand="0" w:evenHBand="0" w:firstRowFirstColumn="0" w:firstRowLastColumn="0" w:lastRowFirstColumn="0" w:lastRowLastColumn="0"/>
            </w:pPr>
            <w:r w:rsidRPr="00FB15DB">
              <w:t>US government (2016)</w:t>
            </w:r>
          </w:p>
        </w:tc>
      </w:tr>
      <w:tr w:rsidR="00B629FA" w:rsidRPr="00FB15DB" w14:paraId="09C0DBF3" w14:textId="77777777" w:rsidTr="00B629FA">
        <w:trPr>
          <w:cantSplit/>
        </w:trPr>
        <w:tc>
          <w:tcPr>
            <w:cnfStyle w:val="001000000000" w:firstRow="0" w:lastRow="0" w:firstColumn="1" w:lastColumn="0" w:oddVBand="0" w:evenVBand="0" w:oddHBand="0" w:evenHBand="0" w:firstRowFirstColumn="0" w:firstRowLastColumn="0" w:lastRowFirstColumn="0" w:lastRowLastColumn="0"/>
            <w:tcW w:w="1100" w:type="pct"/>
            <w:vMerge/>
          </w:tcPr>
          <w:p w14:paraId="782A68FC" w14:textId="77777777" w:rsidR="00B21991" w:rsidRPr="00FB15DB" w:rsidRDefault="00B21991" w:rsidP="00B629FA">
            <w:pPr>
              <w:pStyle w:val="TableTextLeft"/>
            </w:pPr>
          </w:p>
        </w:tc>
        <w:tc>
          <w:tcPr>
            <w:tcW w:w="491" w:type="pct"/>
          </w:tcPr>
          <w:p w14:paraId="0E0A905C" w14:textId="77777777" w:rsidR="00B21991" w:rsidRPr="00FB15DB" w:rsidRDefault="00B21991" w:rsidP="00B629FA">
            <w:pPr>
              <w:pStyle w:val="TableTextLeft"/>
              <w:cnfStyle w:val="000000000000" w:firstRow="0" w:lastRow="0" w:firstColumn="0" w:lastColumn="0" w:oddVBand="0" w:evenVBand="0" w:oddHBand="0" w:evenHBand="0" w:firstRowFirstColumn="0" w:firstRowLastColumn="0" w:lastRowFirstColumn="0" w:lastRowLastColumn="0"/>
            </w:pPr>
            <w:r w:rsidRPr="00FB15DB">
              <w:t>$181</w:t>
            </w:r>
            <w:r w:rsidRPr="00FB15DB">
              <w:rPr>
                <w:vertAlign w:val="superscript"/>
              </w:rPr>
              <w:footnoteReference w:id="36"/>
            </w:r>
          </w:p>
        </w:tc>
        <w:tc>
          <w:tcPr>
            <w:tcW w:w="827" w:type="pct"/>
          </w:tcPr>
          <w:p w14:paraId="4650DE95" w14:textId="77777777" w:rsidR="00B21991" w:rsidRPr="00FB15DB" w:rsidRDefault="00B21991" w:rsidP="00B629FA">
            <w:pPr>
              <w:pStyle w:val="TableTextLeft"/>
              <w:cnfStyle w:val="000000000000" w:firstRow="0" w:lastRow="0" w:firstColumn="0" w:lastColumn="0" w:oddVBand="0" w:evenVBand="0" w:oddHBand="0" w:evenHBand="0" w:firstRowFirstColumn="0" w:firstRowLastColumn="0" w:lastRowFirstColumn="0" w:lastRowLastColumn="0"/>
            </w:pPr>
            <w:r w:rsidRPr="00FB15DB">
              <w:t>$ / tonnes CO</w:t>
            </w:r>
            <w:r w:rsidRPr="00FB15DB">
              <w:rPr>
                <w:vertAlign w:val="subscript"/>
              </w:rPr>
              <w:t>2</w:t>
            </w:r>
            <w:r w:rsidRPr="00FB15DB">
              <w:t xml:space="preserve">e </w:t>
            </w:r>
          </w:p>
        </w:tc>
        <w:tc>
          <w:tcPr>
            <w:tcW w:w="482" w:type="pct"/>
          </w:tcPr>
          <w:p w14:paraId="2777C6B5" w14:textId="77777777" w:rsidR="00B21991" w:rsidRPr="00FB15DB" w:rsidRDefault="00B21991" w:rsidP="00B629FA">
            <w:pPr>
              <w:pStyle w:val="TableTextLeft"/>
              <w:cnfStyle w:val="000000000000" w:firstRow="0" w:lastRow="0" w:firstColumn="0" w:lastColumn="0" w:oddVBand="0" w:evenVBand="0" w:oddHBand="0" w:evenHBand="0" w:firstRowFirstColumn="0" w:firstRowLastColumn="0" w:lastRowFirstColumn="0" w:lastRowLastColumn="0"/>
            </w:pPr>
            <w:r w:rsidRPr="00FB15DB">
              <w:t>2006</w:t>
            </w:r>
          </w:p>
        </w:tc>
        <w:tc>
          <w:tcPr>
            <w:tcW w:w="2100" w:type="pct"/>
          </w:tcPr>
          <w:p w14:paraId="390ED9A8" w14:textId="77777777" w:rsidR="00B21991" w:rsidRPr="00FB15DB" w:rsidRDefault="00B21991" w:rsidP="00B629FA">
            <w:pPr>
              <w:pStyle w:val="TableTextLeft"/>
              <w:cnfStyle w:val="000000000000" w:firstRow="0" w:lastRow="0" w:firstColumn="0" w:lastColumn="0" w:oddVBand="0" w:evenVBand="0" w:oddHBand="0" w:evenHBand="0" w:firstRowFirstColumn="0" w:firstRowLastColumn="0" w:lastRowFirstColumn="0" w:lastRowLastColumn="0"/>
            </w:pPr>
            <w:r w:rsidRPr="00FB15DB">
              <w:t>Hope (2006)</w:t>
            </w:r>
          </w:p>
        </w:tc>
      </w:tr>
      <w:tr w:rsidR="00B629FA" w:rsidRPr="00FB15DB" w14:paraId="3C3D712E" w14:textId="77777777" w:rsidTr="00B629FA">
        <w:trPr>
          <w:cantSplit/>
        </w:trPr>
        <w:tc>
          <w:tcPr>
            <w:cnfStyle w:val="001000000000" w:firstRow="0" w:lastRow="0" w:firstColumn="1" w:lastColumn="0" w:oddVBand="0" w:evenVBand="0" w:oddHBand="0" w:evenHBand="0" w:firstRowFirstColumn="0" w:firstRowLastColumn="0" w:lastRowFirstColumn="0" w:lastRowLastColumn="0"/>
            <w:tcW w:w="1100" w:type="pct"/>
            <w:vMerge w:val="restart"/>
          </w:tcPr>
          <w:p w14:paraId="46C2AB8E" w14:textId="77777777" w:rsidR="00B21991" w:rsidRPr="00FB15DB" w:rsidRDefault="00B21991" w:rsidP="00B629FA">
            <w:pPr>
              <w:pStyle w:val="TableTextLeft"/>
            </w:pPr>
            <w:r w:rsidRPr="00FB15DB">
              <w:t>Market prices / replacement cost</w:t>
            </w:r>
          </w:p>
        </w:tc>
        <w:tc>
          <w:tcPr>
            <w:tcW w:w="491" w:type="pct"/>
          </w:tcPr>
          <w:p w14:paraId="353C3BDB" w14:textId="77777777" w:rsidR="00B21991" w:rsidRPr="00FB15DB" w:rsidRDefault="00B21991" w:rsidP="00B629FA">
            <w:pPr>
              <w:pStyle w:val="TableTextLeft"/>
              <w:cnfStyle w:val="000000000000" w:firstRow="0" w:lastRow="0" w:firstColumn="0" w:lastColumn="0" w:oddVBand="0" w:evenVBand="0" w:oddHBand="0" w:evenHBand="0" w:firstRowFirstColumn="0" w:firstRowLastColumn="0" w:lastRowFirstColumn="0" w:lastRowLastColumn="0"/>
            </w:pPr>
            <w:r w:rsidRPr="00FB15DB">
              <w:t>$46</w:t>
            </w:r>
          </w:p>
        </w:tc>
        <w:tc>
          <w:tcPr>
            <w:tcW w:w="827" w:type="pct"/>
          </w:tcPr>
          <w:p w14:paraId="62D10F28" w14:textId="77777777" w:rsidR="00B21991" w:rsidRPr="00FB15DB" w:rsidRDefault="00B21991" w:rsidP="00B629FA">
            <w:pPr>
              <w:pStyle w:val="TableTextLeft"/>
              <w:cnfStyle w:val="000000000000" w:firstRow="0" w:lastRow="0" w:firstColumn="0" w:lastColumn="0" w:oddVBand="0" w:evenVBand="0" w:oddHBand="0" w:evenHBand="0" w:firstRowFirstColumn="0" w:firstRowLastColumn="0" w:lastRowFirstColumn="0" w:lastRowLastColumn="0"/>
            </w:pPr>
            <w:r w:rsidRPr="00FB15DB">
              <w:t>$ / tonnes CO</w:t>
            </w:r>
            <w:r w:rsidRPr="00FB15DB">
              <w:rPr>
                <w:vertAlign w:val="subscript"/>
              </w:rPr>
              <w:t>2</w:t>
            </w:r>
            <w:r w:rsidRPr="00FB15DB">
              <w:t xml:space="preserve">e </w:t>
            </w:r>
          </w:p>
        </w:tc>
        <w:tc>
          <w:tcPr>
            <w:tcW w:w="482" w:type="pct"/>
          </w:tcPr>
          <w:p w14:paraId="093F6021" w14:textId="77777777" w:rsidR="00B21991" w:rsidRPr="00FB15DB" w:rsidRDefault="00B21991" w:rsidP="00B629FA">
            <w:pPr>
              <w:pStyle w:val="TableTextLeft"/>
              <w:cnfStyle w:val="000000000000" w:firstRow="0" w:lastRow="0" w:firstColumn="0" w:lastColumn="0" w:oddVBand="0" w:evenVBand="0" w:oddHBand="0" w:evenHBand="0" w:firstRowFirstColumn="0" w:firstRowLastColumn="0" w:lastRowFirstColumn="0" w:lastRowLastColumn="0"/>
            </w:pPr>
            <w:r w:rsidRPr="00FB15DB">
              <w:t>2019</w:t>
            </w:r>
          </w:p>
        </w:tc>
        <w:tc>
          <w:tcPr>
            <w:tcW w:w="2100" w:type="pct"/>
          </w:tcPr>
          <w:p w14:paraId="5F57895C" w14:textId="77777777" w:rsidR="00B21991" w:rsidRPr="00FB15DB" w:rsidRDefault="00B21991" w:rsidP="00B629FA">
            <w:pPr>
              <w:pStyle w:val="TableTextLeft"/>
              <w:cnfStyle w:val="000000000000" w:firstRow="0" w:lastRow="0" w:firstColumn="0" w:lastColumn="0" w:oddVBand="0" w:evenVBand="0" w:oddHBand="0" w:evenHBand="0" w:firstRowFirstColumn="0" w:firstRowLastColumn="0" w:lastRowFirstColumn="0" w:lastRowLastColumn="0"/>
            </w:pPr>
            <w:r w:rsidRPr="00FB15DB">
              <w:t>World Bank Carbon Pricing Dashboard</w:t>
            </w:r>
          </w:p>
        </w:tc>
      </w:tr>
      <w:tr w:rsidR="00B629FA" w:rsidRPr="00FB15DB" w14:paraId="37FCF92B" w14:textId="77777777" w:rsidTr="00B629FA">
        <w:trPr>
          <w:cantSplit/>
        </w:trPr>
        <w:tc>
          <w:tcPr>
            <w:cnfStyle w:val="001000000000" w:firstRow="0" w:lastRow="0" w:firstColumn="1" w:lastColumn="0" w:oddVBand="0" w:evenVBand="0" w:oddHBand="0" w:evenHBand="0" w:firstRowFirstColumn="0" w:firstRowLastColumn="0" w:lastRowFirstColumn="0" w:lastRowLastColumn="0"/>
            <w:tcW w:w="1100" w:type="pct"/>
            <w:vMerge/>
          </w:tcPr>
          <w:p w14:paraId="1C2BB4A0" w14:textId="77777777" w:rsidR="00B21991" w:rsidRPr="00FB15DB" w:rsidRDefault="00B21991" w:rsidP="00B629FA">
            <w:pPr>
              <w:pStyle w:val="TableTextLeft"/>
            </w:pPr>
          </w:p>
        </w:tc>
        <w:tc>
          <w:tcPr>
            <w:tcW w:w="491" w:type="pct"/>
          </w:tcPr>
          <w:p w14:paraId="53BD1978" w14:textId="77777777" w:rsidR="00B21991" w:rsidRPr="00FB15DB" w:rsidRDefault="00B21991" w:rsidP="00B629FA">
            <w:pPr>
              <w:pStyle w:val="TableTextLeft"/>
              <w:cnfStyle w:val="000000000000" w:firstRow="0" w:lastRow="0" w:firstColumn="0" w:lastColumn="0" w:oddVBand="0" w:evenVBand="0" w:oddHBand="0" w:evenHBand="0" w:firstRowFirstColumn="0" w:firstRowLastColumn="0" w:lastRowFirstColumn="0" w:lastRowLastColumn="0"/>
            </w:pPr>
            <w:r w:rsidRPr="00FB15DB">
              <w:t>$16</w:t>
            </w:r>
            <w:r w:rsidRPr="00FB15DB">
              <w:rPr>
                <w:vertAlign w:val="superscript"/>
              </w:rPr>
              <w:footnoteReference w:id="37"/>
            </w:r>
          </w:p>
        </w:tc>
        <w:tc>
          <w:tcPr>
            <w:tcW w:w="827" w:type="pct"/>
          </w:tcPr>
          <w:p w14:paraId="1886E50A" w14:textId="77777777" w:rsidR="00B21991" w:rsidRPr="00FB15DB" w:rsidRDefault="00B21991" w:rsidP="00B629FA">
            <w:pPr>
              <w:pStyle w:val="TableTextLeft"/>
              <w:cnfStyle w:val="000000000000" w:firstRow="0" w:lastRow="0" w:firstColumn="0" w:lastColumn="0" w:oddVBand="0" w:evenVBand="0" w:oddHBand="0" w:evenHBand="0" w:firstRowFirstColumn="0" w:firstRowLastColumn="0" w:lastRowFirstColumn="0" w:lastRowLastColumn="0"/>
            </w:pPr>
            <w:r w:rsidRPr="00FB15DB">
              <w:t>$ / tonnes CO</w:t>
            </w:r>
            <w:r w:rsidRPr="00FB15DB">
              <w:rPr>
                <w:vertAlign w:val="subscript"/>
              </w:rPr>
              <w:t>2</w:t>
            </w:r>
            <w:r w:rsidRPr="00FB15DB">
              <w:t xml:space="preserve">e </w:t>
            </w:r>
          </w:p>
        </w:tc>
        <w:tc>
          <w:tcPr>
            <w:tcW w:w="482" w:type="pct"/>
          </w:tcPr>
          <w:p w14:paraId="0A0D7F50" w14:textId="77777777" w:rsidR="00B21991" w:rsidRPr="00FB15DB" w:rsidRDefault="00B21991" w:rsidP="00B629FA">
            <w:pPr>
              <w:pStyle w:val="TableTextLeft"/>
              <w:cnfStyle w:val="000000000000" w:firstRow="0" w:lastRow="0" w:firstColumn="0" w:lastColumn="0" w:oddVBand="0" w:evenVBand="0" w:oddHBand="0" w:evenHBand="0" w:firstRowFirstColumn="0" w:firstRowLastColumn="0" w:lastRowFirstColumn="0" w:lastRowLastColumn="0"/>
            </w:pPr>
            <w:r w:rsidRPr="00FB15DB">
              <w:t>2019</w:t>
            </w:r>
          </w:p>
        </w:tc>
        <w:tc>
          <w:tcPr>
            <w:tcW w:w="2100" w:type="pct"/>
          </w:tcPr>
          <w:p w14:paraId="42D9C8E6" w14:textId="77777777" w:rsidR="00B21991" w:rsidRPr="00FB15DB" w:rsidRDefault="00B21991" w:rsidP="00B629FA">
            <w:pPr>
              <w:pStyle w:val="TableTextLeft"/>
              <w:cnfStyle w:val="000000000000" w:firstRow="0" w:lastRow="0" w:firstColumn="0" w:lastColumn="0" w:oddVBand="0" w:evenVBand="0" w:oddHBand="0" w:evenHBand="0" w:firstRowFirstColumn="0" w:firstRowLastColumn="0" w:lastRowFirstColumn="0" w:lastRowLastColumn="0"/>
            </w:pPr>
            <w:r w:rsidRPr="00FB15DB">
              <w:t xml:space="preserve">Commonwealth's Emissions Reduction Fund </w:t>
            </w:r>
          </w:p>
        </w:tc>
      </w:tr>
      <w:tr w:rsidR="00B629FA" w:rsidRPr="00FB15DB" w14:paraId="50FCD30D" w14:textId="77777777" w:rsidTr="00B629FA">
        <w:trPr>
          <w:cantSplit/>
        </w:trPr>
        <w:tc>
          <w:tcPr>
            <w:cnfStyle w:val="001000000000" w:firstRow="0" w:lastRow="0" w:firstColumn="1" w:lastColumn="0" w:oddVBand="0" w:evenVBand="0" w:oddHBand="0" w:evenHBand="0" w:firstRowFirstColumn="0" w:firstRowLastColumn="0" w:lastRowFirstColumn="0" w:lastRowLastColumn="0"/>
            <w:tcW w:w="1100" w:type="pct"/>
            <w:vMerge/>
          </w:tcPr>
          <w:p w14:paraId="7EEFC9BF" w14:textId="77777777" w:rsidR="00B21991" w:rsidRPr="00FB15DB" w:rsidRDefault="00B21991" w:rsidP="00B629FA">
            <w:pPr>
              <w:pStyle w:val="TableTextLeft"/>
            </w:pPr>
          </w:p>
        </w:tc>
        <w:tc>
          <w:tcPr>
            <w:tcW w:w="491" w:type="pct"/>
          </w:tcPr>
          <w:p w14:paraId="501BB081" w14:textId="77777777" w:rsidR="00B21991" w:rsidRPr="00FB15DB" w:rsidRDefault="00B21991" w:rsidP="00B629FA">
            <w:pPr>
              <w:pStyle w:val="TableTextLeft"/>
              <w:cnfStyle w:val="000000000000" w:firstRow="0" w:lastRow="0" w:firstColumn="0" w:lastColumn="0" w:oddVBand="0" w:evenVBand="0" w:oddHBand="0" w:evenHBand="0" w:firstRowFirstColumn="0" w:firstRowLastColumn="0" w:lastRowFirstColumn="0" w:lastRowLastColumn="0"/>
            </w:pPr>
            <w:r w:rsidRPr="00FB15DB">
              <w:t>$73</w:t>
            </w:r>
            <w:r w:rsidRPr="00FB15DB">
              <w:rPr>
                <w:vertAlign w:val="superscript"/>
              </w:rPr>
              <w:footnoteReference w:id="38"/>
            </w:r>
          </w:p>
        </w:tc>
        <w:tc>
          <w:tcPr>
            <w:tcW w:w="827" w:type="pct"/>
          </w:tcPr>
          <w:p w14:paraId="514F121D" w14:textId="77777777" w:rsidR="00B21991" w:rsidRPr="00FB15DB" w:rsidRDefault="00B21991" w:rsidP="00B629FA">
            <w:pPr>
              <w:pStyle w:val="TableTextLeft"/>
              <w:cnfStyle w:val="000000000000" w:firstRow="0" w:lastRow="0" w:firstColumn="0" w:lastColumn="0" w:oddVBand="0" w:evenVBand="0" w:oddHBand="0" w:evenHBand="0" w:firstRowFirstColumn="0" w:firstRowLastColumn="0" w:lastRowFirstColumn="0" w:lastRowLastColumn="0"/>
            </w:pPr>
            <w:r w:rsidRPr="00FB15DB">
              <w:t>$ / tonnes CO</w:t>
            </w:r>
            <w:r w:rsidRPr="00FB15DB">
              <w:rPr>
                <w:vertAlign w:val="subscript"/>
              </w:rPr>
              <w:t>2</w:t>
            </w:r>
            <w:r w:rsidRPr="00FB15DB">
              <w:t xml:space="preserve">e </w:t>
            </w:r>
          </w:p>
        </w:tc>
        <w:tc>
          <w:tcPr>
            <w:tcW w:w="482" w:type="pct"/>
          </w:tcPr>
          <w:p w14:paraId="6176C6CA" w14:textId="77777777" w:rsidR="00B21991" w:rsidRPr="00FB15DB" w:rsidRDefault="00B21991" w:rsidP="00B629FA">
            <w:pPr>
              <w:pStyle w:val="TableTextLeft"/>
              <w:cnfStyle w:val="000000000000" w:firstRow="0" w:lastRow="0" w:firstColumn="0" w:lastColumn="0" w:oddVBand="0" w:evenVBand="0" w:oddHBand="0" w:evenHBand="0" w:firstRowFirstColumn="0" w:firstRowLastColumn="0" w:lastRowFirstColumn="0" w:lastRowLastColumn="0"/>
            </w:pPr>
            <w:r w:rsidRPr="00FB15DB">
              <w:t>2019</w:t>
            </w:r>
          </w:p>
        </w:tc>
        <w:tc>
          <w:tcPr>
            <w:tcW w:w="2100" w:type="pct"/>
          </w:tcPr>
          <w:p w14:paraId="24B50E93" w14:textId="77777777" w:rsidR="00B21991" w:rsidRPr="00FB15DB" w:rsidRDefault="00B21991" w:rsidP="00B629FA">
            <w:pPr>
              <w:pStyle w:val="TableTextLeft"/>
              <w:cnfStyle w:val="000000000000" w:firstRow="0" w:lastRow="0" w:firstColumn="0" w:lastColumn="0" w:oddVBand="0" w:evenVBand="0" w:oddHBand="0" w:evenHBand="0" w:firstRowFirstColumn="0" w:firstRowLastColumn="0" w:lastRowFirstColumn="0" w:lastRowLastColumn="0"/>
            </w:pPr>
            <w:r w:rsidRPr="00FB15DB">
              <w:t>IPCC Fifth Assessment Report</w:t>
            </w:r>
          </w:p>
        </w:tc>
      </w:tr>
    </w:tbl>
    <w:p w14:paraId="4D63A95D" w14:textId="77777777" w:rsidR="00B21991" w:rsidRPr="00FB15DB" w:rsidRDefault="00B21991" w:rsidP="009C5096">
      <w:pPr>
        <w:pStyle w:val="Heading3"/>
      </w:pPr>
      <w:bookmarkStart w:id="171" w:name="_Toc98854664"/>
      <w:bookmarkStart w:id="172" w:name="_Toc163547038"/>
      <w:r w:rsidRPr="00FB15DB">
        <w:t>Recreation and tourism</w:t>
      </w:r>
      <w:bookmarkEnd w:id="171"/>
      <w:bookmarkEnd w:id="172"/>
    </w:p>
    <w:p w14:paraId="03652DE1" w14:textId="77777777" w:rsidR="00B21991" w:rsidRPr="00FB15DB" w:rsidRDefault="00B21991" w:rsidP="00B21991">
      <w:pPr>
        <w:pStyle w:val="BodyText"/>
      </w:pPr>
      <w:r w:rsidRPr="00FB15DB">
        <w:t>The ecosystem assets of the GORCAP provide an opportunity for tourism and recreation. Tourism is generally interpreted as involving overnight stays, potentially of visitors from abroad, and recreation is more usually associated with day trips (UN, 2014).</w:t>
      </w:r>
    </w:p>
    <w:p w14:paraId="5B9DC317" w14:textId="77777777" w:rsidR="00B21991" w:rsidRPr="00FB15DB" w:rsidRDefault="00B21991" w:rsidP="00B21991">
      <w:pPr>
        <w:pStyle w:val="BodyText"/>
      </w:pPr>
      <w:r w:rsidRPr="00FB15DB">
        <w:t xml:space="preserve">The beaches, bathing waters, forests, rivers and lakes of the GORCAP region provide society with the opportunity for “activities promoting health, recuperation or enjoyment through active, immersive, passive or observational interactions” (EEA, 2018). This includes using the environment for sport and recreation; using nature to help stay fit; watching plants and animals where they live and using nature to de-stress (EEA, 2018). These “recreational activities” lead to physical and mental health and wellbeing benefits, as well as financial benefits, that can be quantified and valued using economic analysis for inclusion in an environmental-economic account. </w:t>
      </w:r>
    </w:p>
    <w:p w14:paraId="4E522597" w14:textId="77777777" w:rsidR="00B21991" w:rsidRPr="00FB15DB" w:rsidRDefault="00B21991" w:rsidP="00B21991">
      <w:pPr>
        <w:pStyle w:val="BodyText"/>
      </w:pPr>
      <w:r w:rsidRPr="00FB15DB">
        <w:t xml:space="preserve">Figure 9 sets out the logic chain linking the ecological functioning of ecosystem assets to the recreational opportunities and associated socio-economic benefits provided (note not all of these are mutually exclusive). </w:t>
      </w:r>
    </w:p>
    <w:p w14:paraId="407902B3" w14:textId="77777777" w:rsidR="00B21991" w:rsidRPr="00FB15DB" w:rsidRDefault="00B21991" w:rsidP="00956CB2">
      <w:pPr>
        <w:pStyle w:val="Caption"/>
      </w:pPr>
      <w:r w:rsidRPr="00FB15DB">
        <w:t>Figure 9. Illustrative logic chain for recreational opportunities from ecosystem assets</w:t>
      </w:r>
    </w:p>
    <w:p w14:paraId="7D6955A1" w14:textId="77777777" w:rsidR="00B21991" w:rsidRPr="00FB15DB" w:rsidRDefault="00B21991" w:rsidP="00B21991">
      <w:pPr>
        <w:pStyle w:val="BodyText"/>
      </w:pPr>
      <w:r w:rsidRPr="00FB15DB">
        <w:rPr>
          <w:noProof/>
        </w:rPr>
        <w:drawing>
          <wp:inline distT="0" distB="0" distL="0" distR="0" wp14:anchorId="3C47C20F" wp14:editId="348BE537">
            <wp:extent cx="6480175" cy="4970145"/>
            <wp:effectExtent l="0" t="0" r="0" b="1905"/>
            <wp:docPr id="1330000958" name="Picture 1330000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email">
                      <a:extLst>
                        <a:ext uri="{28A0092B-C50C-407E-A947-70E740481C1C}">
                          <a14:useLocalDpi xmlns:a14="http://schemas.microsoft.com/office/drawing/2010/main"/>
                        </a:ext>
                      </a:extLst>
                    </a:blip>
                    <a:stretch>
                      <a:fillRect/>
                    </a:stretch>
                  </pic:blipFill>
                  <pic:spPr>
                    <a:xfrm>
                      <a:off x="0" y="0"/>
                      <a:ext cx="6480175" cy="4970145"/>
                    </a:xfrm>
                    <a:prstGeom prst="rect">
                      <a:avLst/>
                    </a:prstGeom>
                  </pic:spPr>
                </pic:pic>
              </a:graphicData>
            </a:graphic>
          </wp:inline>
        </w:drawing>
      </w:r>
    </w:p>
    <w:p w14:paraId="7C11DE8F" w14:textId="77777777" w:rsidR="00DA6BA6" w:rsidRDefault="00DA6BA6" w:rsidP="00A2745D">
      <w:pPr>
        <w:pStyle w:val="AlphaHeading4"/>
      </w:pPr>
      <w:r>
        <w:br w:type="page"/>
      </w:r>
    </w:p>
    <w:p w14:paraId="4D070211" w14:textId="1F056379" w:rsidR="00B21991" w:rsidRPr="00FB15DB" w:rsidRDefault="00B21991" w:rsidP="000035CB">
      <w:pPr>
        <w:pStyle w:val="AlphaHeading4"/>
        <w:numPr>
          <w:ilvl w:val="0"/>
          <w:numId w:val="63"/>
        </w:numPr>
      </w:pPr>
      <w:r w:rsidRPr="00FB15DB">
        <w:lastRenderedPageBreak/>
        <w:t xml:space="preserve"> </w:t>
      </w:r>
      <w:r w:rsidR="00DA6BA6" w:rsidRPr="00DA6BA6">
        <w:t xml:space="preserve">Physical provision </w:t>
      </w:r>
      <w:r w:rsidRPr="00FB15DB">
        <w:t xml:space="preserve">of recreation and tourism </w:t>
      </w:r>
    </w:p>
    <w:p w14:paraId="20E71454" w14:textId="77777777" w:rsidR="00B21991" w:rsidRPr="00FB15DB" w:rsidRDefault="00B21991" w:rsidP="00B21991">
      <w:pPr>
        <w:pStyle w:val="BodyText"/>
      </w:pPr>
      <w:r w:rsidRPr="00FB15DB">
        <w:t xml:space="preserve">The physical provision of recreation and tourism from ecosystem assets is captured through recreational participation in ecosystem specific activities. This can be measured in environmental-economic accounts through numbers of visits, visitors, incidences or participation hours per year to different ecosystem assets by (where possible) type of recreational activity (walking, running, sailing, boating, birdwatching etc.) including “active” visits (which meet certain activity guidelines which link to health benefits) and “passive” visits. </w:t>
      </w:r>
    </w:p>
    <w:p w14:paraId="5C039F4C" w14:textId="77777777" w:rsidR="00B21991" w:rsidRPr="00FB15DB" w:rsidRDefault="00B21991" w:rsidP="00B21991">
      <w:pPr>
        <w:pStyle w:val="BodyText"/>
      </w:pPr>
      <w:r w:rsidRPr="00FB15DB">
        <w:t>Based on the literature review (see Annex 3, Section A3.6.), the following approach is taken to estimating the physical provision of recreation and tourism from ecosystem assets within the GORCAP EEA boundary:</w:t>
      </w:r>
    </w:p>
    <w:p w14:paraId="12031D13" w14:textId="77777777" w:rsidR="00B21991" w:rsidRPr="00FB15DB" w:rsidRDefault="00B21991" w:rsidP="00B21991">
      <w:pPr>
        <w:pStyle w:val="ListBullet"/>
      </w:pPr>
      <w:r w:rsidRPr="00FB15DB">
        <w:rPr>
          <w:b/>
        </w:rPr>
        <w:t>Use Tourism Research Australia statistics on recreational participation in the GOR Tourism Region (DJPR, 2020):</w:t>
      </w:r>
      <w:r w:rsidRPr="00FB15DB">
        <w:t xml:space="preserve"> Key regional tourism statistics for the Great Ocean Road Tourism Region have been developed by Tourism Research Australia (TRA) and summarised by DJPR (2020). This including estimates of annual domestic and international visits and nights (and employment estimates). The DJPR (2020) estimates are the most comprehensive available on visits, nights and employment for the Great Ocean Road. However, the figures are for the Great Ocean Road Tourism Region which covers a much larger area than the boundary of the GORCAP EEA. The Great Ocean Road Tourism Region is shown in Figure 10 along with the other regions within Victoria (see Annex 3, Section A3.6. for more detail). </w:t>
      </w:r>
    </w:p>
    <w:p w14:paraId="1C7F1C0D" w14:textId="77777777" w:rsidR="00B21991" w:rsidRPr="00FB15DB" w:rsidRDefault="00B21991" w:rsidP="00956CB2">
      <w:pPr>
        <w:pStyle w:val="Caption"/>
      </w:pPr>
      <w:r w:rsidRPr="00FB15DB">
        <w:t>Figure 10. Victorian Tourism Regions along the coast (DELWP, 2020)</w:t>
      </w:r>
    </w:p>
    <w:p w14:paraId="5363D066" w14:textId="77777777" w:rsidR="00B21991" w:rsidRPr="00FB15DB" w:rsidRDefault="00B21991" w:rsidP="00B21991">
      <w:pPr>
        <w:pStyle w:val="BodyText"/>
        <w:rPr>
          <w:b/>
        </w:rPr>
      </w:pPr>
      <w:r w:rsidRPr="00FB15DB">
        <w:rPr>
          <w:rFonts w:eastAsia="Calibri"/>
          <w:noProof/>
        </w:rPr>
        <w:drawing>
          <wp:inline distT="0" distB="0" distL="0" distR="0" wp14:anchorId="390978FF" wp14:editId="58B10DC2">
            <wp:extent cx="6353175" cy="2324100"/>
            <wp:effectExtent l="0" t="0" r="9525"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cstate="print">
                      <a:extLst>
                        <a:ext uri="{28A0092B-C50C-407E-A947-70E740481C1C}">
                          <a14:useLocalDpi xmlns:a14="http://schemas.microsoft.com/office/drawing/2010/main"/>
                        </a:ext>
                      </a:extLst>
                    </a:blip>
                    <a:srcRect/>
                    <a:stretch/>
                  </pic:blipFill>
                  <pic:spPr bwMode="auto">
                    <a:xfrm>
                      <a:off x="0" y="0"/>
                      <a:ext cx="6353175" cy="2324100"/>
                    </a:xfrm>
                    <a:prstGeom prst="rect">
                      <a:avLst/>
                    </a:prstGeom>
                    <a:ln>
                      <a:noFill/>
                    </a:ln>
                    <a:extLst>
                      <a:ext uri="{53640926-AAD7-44D8-BBD7-CCE9431645EC}">
                        <a14:shadowObscured xmlns:a14="http://schemas.microsoft.com/office/drawing/2010/main"/>
                      </a:ext>
                    </a:extLst>
                  </pic:spPr>
                </pic:pic>
              </a:graphicData>
            </a:graphic>
          </wp:inline>
        </w:drawing>
      </w:r>
    </w:p>
    <w:p w14:paraId="373EC34E" w14:textId="77777777" w:rsidR="00B21991" w:rsidRPr="00FB15DB" w:rsidRDefault="00B21991" w:rsidP="00B21991">
      <w:pPr>
        <w:pStyle w:val="BodyText"/>
      </w:pPr>
      <w:r w:rsidRPr="00FB15DB">
        <w:t xml:space="preserve">The DJPR (2020) data does not provide a breakdown of information within the Great Ocean Road Tourism Region, so it is unclear the proportion of total visits that are attributable to the GORCAP EEA region. This is due to limitations in the underlying survey sample size which limits the granularity at which the information can be produced (pers. comm. Manager Research, Tourism, Events and Visitor Economy, DJPR). </w:t>
      </w:r>
    </w:p>
    <w:p w14:paraId="7DD7508A" w14:textId="77777777" w:rsidR="00B21991" w:rsidRPr="00FB15DB" w:rsidRDefault="00B21991" w:rsidP="00B21991">
      <w:pPr>
        <w:pStyle w:val="ListBullet"/>
      </w:pPr>
      <w:r w:rsidRPr="00FB15DB">
        <w:rPr>
          <w:b/>
        </w:rPr>
        <w:t xml:space="preserve">Use Deloitte Access Economics (2020) analysis at sub-region: </w:t>
      </w:r>
      <w:r w:rsidRPr="00FB15DB">
        <w:t>Visitor information for 2019 was estimated by Deloitte Access Economics (2020) at sub-region (based on SA2’s)</w:t>
      </w:r>
      <w:r w:rsidRPr="00FB15DB">
        <w:rPr>
          <w:vertAlign w:val="superscript"/>
        </w:rPr>
        <w:footnoteReference w:id="39"/>
      </w:r>
      <w:r w:rsidRPr="00FB15DB">
        <w:t xml:space="preserve"> level, as shown in Figure 11. This provides the most detailed regional breakdown possible (for the entire GORCAP region, including Glenelg which sits outside of the GORCAP EEA region) given the sample size of the underlying data from Tourism Research Australia’s International Visitor Survey and/or National Visitor Survey.</w:t>
      </w:r>
    </w:p>
    <w:p w14:paraId="58AA9993" w14:textId="77777777" w:rsidR="009C5096" w:rsidRDefault="009C5096" w:rsidP="00B21991">
      <w:pPr>
        <w:pStyle w:val="BodyText"/>
        <w:rPr>
          <w:b/>
        </w:rPr>
      </w:pPr>
      <w:r>
        <w:rPr>
          <w:b/>
        </w:rPr>
        <w:br w:type="page"/>
      </w:r>
    </w:p>
    <w:p w14:paraId="1132735B" w14:textId="677D9ADA" w:rsidR="00B21991" w:rsidRPr="00FB15DB" w:rsidRDefault="00B21991" w:rsidP="00956CB2">
      <w:pPr>
        <w:pStyle w:val="Caption"/>
      </w:pPr>
      <w:r w:rsidRPr="00FB15DB">
        <w:lastRenderedPageBreak/>
        <w:t>Figure 11. Map of sub-regions within the Great Ocean Road Coast and Parks (Deloitte Access Economics, 2020)</w:t>
      </w:r>
    </w:p>
    <w:p w14:paraId="5780142B" w14:textId="76840072" w:rsidR="00B21991" w:rsidRPr="00FB15DB" w:rsidRDefault="00B21991" w:rsidP="00B21991">
      <w:pPr>
        <w:pStyle w:val="BodyText"/>
        <w:rPr>
          <w:highlight w:val="yellow"/>
        </w:rPr>
      </w:pPr>
      <w:r w:rsidRPr="00FB15DB">
        <w:rPr>
          <w:noProof/>
        </w:rPr>
        <w:drawing>
          <wp:inline distT="0" distB="0" distL="0" distR="0" wp14:anchorId="5E190D3E" wp14:editId="3B2FD1AE">
            <wp:extent cx="6479539" cy="446024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a:blip r:embed="rId106" cstate="email">
                      <a:extLst>
                        <a:ext uri="{28A0092B-C50C-407E-A947-70E740481C1C}">
                          <a14:useLocalDpi xmlns:a14="http://schemas.microsoft.com/office/drawing/2010/main"/>
                        </a:ext>
                      </a:extLst>
                    </a:blip>
                    <a:stretch>
                      <a:fillRect/>
                    </a:stretch>
                  </pic:blipFill>
                  <pic:spPr>
                    <a:xfrm>
                      <a:off x="0" y="0"/>
                      <a:ext cx="6479539" cy="4460240"/>
                    </a:xfrm>
                    <a:prstGeom prst="rect">
                      <a:avLst/>
                    </a:prstGeom>
                  </pic:spPr>
                </pic:pic>
              </a:graphicData>
            </a:graphic>
          </wp:inline>
        </w:drawing>
      </w:r>
    </w:p>
    <w:p w14:paraId="6792929B" w14:textId="77777777" w:rsidR="00B21991" w:rsidRPr="00FB15DB" w:rsidRDefault="00B21991" w:rsidP="00B21991">
      <w:pPr>
        <w:pStyle w:val="ListBullet"/>
        <w:rPr>
          <w:b/>
        </w:rPr>
      </w:pPr>
      <w:r w:rsidRPr="00FB15DB">
        <w:rPr>
          <w:b/>
        </w:rPr>
        <w:t xml:space="preserve">Use Tourism Research Australia (2021) Local Government Area Profiles 2019: </w:t>
      </w:r>
      <w:r w:rsidRPr="00FB15DB">
        <w:t>Tourism Research Australia’s Local Government Area Profiles provide information on visitation by LGA. This approach allows for closer alignment to the GORCAP EEA region than the DJPR (2020) or Deloitte Access Economics (2020) approaches, most notably the exclusion of visits in the Glenelg LGA region. However, as with the GOR Tourism Region, the LGA’s</w:t>
      </w:r>
      <w:r w:rsidRPr="00FB15DB">
        <w:rPr>
          <w:vertAlign w:val="superscript"/>
        </w:rPr>
        <w:footnoteReference w:id="40"/>
      </w:r>
      <w:r w:rsidRPr="00FB15DB">
        <w:t xml:space="preserve"> cover a larger area than the boundary of the GORCAP EEA and it is unclear the proportion of total visits to the LGA’s that are attributable to the GORCAP EEA region.</w:t>
      </w:r>
    </w:p>
    <w:p w14:paraId="7D0F2E1B" w14:textId="77777777" w:rsidR="00B21991" w:rsidRPr="00FB15DB" w:rsidRDefault="00B21991" w:rsidP="00B21991">
      <w:pPr>
        <w:pStyle w:val="BodyText12ptBefore"/>
      </w:pPr>
      <w:r w:rsidRPr="00FB15DB">
        <w:t xml:space="preserve">In order to develop recreation and tourism estimates for the GORCAP EEA that capture visit numbers to the GORCAP EEA region specifically, the following information is also collected: </w:t>
      </w:r>
    </w:p>
    <w:p w14:paraId="4A68ADEE" w14:textId="77777777" w:rsidR="00B21991" w:rsidRPr="00FB15DB" w:rsidRDefault="00B21991" w:rsidP="00B21991">
      <w:pPr>
        <w:pStyle w:val="ListBullet"/>
      </w:pPr>
      <w:r w:rsidRPr="00FB15DB">
        <w:rPr>
          <w:b/>
        </w:rPr>
        <w:t>Estimating visits to recreational hotspots within GORCAP EEA region using Parks Victoria data:</w:t>
      </w:r>
      <w:r w:rsidRPr="00FB15DB">
        <w:t xml:space="preserve"> Parks Victoria estimates visit numbers based on vehicle counter data</w:t>
      </w:r>
      <w:r w:rsidRPr="00FB15DB">
        <w:rPr>
          <w:vertAlign w:val="superscript"/>
        </w:rPr>
        <w:footnoteReference w:id="41"/>
      </w:r>
      <w:r w:rsidRPr="00FB15DB">
        <w:t xml:space="preserve"> for specific sites within the GORCAP EEA region, specifically the Twelve Apostles and Loch Ard Gorge</w:t>
      </w:r>
      <w:r w:rsidRPr="00FB15DB">
        <w:rPr>
          <w:vertAlign w:val="superscript"/>
        </w:rPr>
        <w:footnoteReference w:id="42"/>
      </w:r>
      <w:r w:rsidRPr="00FB15DB">
        <w:t xml:space="preserve">. Whilst information on National Park visitation is also collected by Parks Victoria this is designed for overall estate visitation rather than site level visitation and so it cannot be used to attribute visits to National Parks within the GORCAP EEA region. </w:t>
      </w:r>
    </w:p>
    <w:p w14:paraId="2CE5617F" w14:textId="77777777" w:rsidR="00B21991" w:rsidRPr="00FB15DB" w:rsidRDefault="00B21991" w:rsidP="00B21991">
      <w:pPr>
        <w:pStyle w:val="ListBullet"/>
      </w:pPr>
      <w:r w:rsidRPr="00FB15DB">
        <w:rPr>
          <w:b/>
        </w:rPr>
        <w:t>Estimating “active” visits to the GORCAP EEA region based on type of nature based recreational activity</w:t>
      </w:r>
      <w:r w:rsidRPr="00FB15DB">
        <w:t xml:space="preserve">: “active” recreation visits are visits that meet certain physical activity guidelines (and therefore </w:t>
      </w:r>
      <w:r w:rsidRPr="00FB15DB">
        <w:lastRenderedPageBreak/>
        <w:t>provide a health and productivity benefit)</w:t>
      </w:r>
      <w:r w:rsidRPr="00FB15DB">
        <w:rPr>
          <w:vertAlign w:val="superscript"/>
        </w:rPr>
        <w:footnoteReference w:id="43"/>
      </w:r>
      <w:r w:rsidRPr="00FB15DB">
        <w:t>. Estimating “active” visits (from total visits) enables economic valuation of the avoided health costs and productivity benefits associated with improved health outcomes due to recreation in the GORCAP region (see monetary valuation section). The approach used is to estimate domestic active visits using an estimate of 10 per cent of total visits (domestic day and overnight) being “active” based on data from:</w:t>
      </w:r>
    </w:p>
    <w:p w14:paraId="76DA1D66" w14:textId="77777777" w:rsidR="00B21991" w:rsidRPr="00FB15DB" w:rsidRDefault="00B21991" w:rsidP="00B21991">
      <w:pPr>
        <w:pStyle w:val="ListBullet2"/>
      </w:pPr>
      <w:r w:rsidRPr="00FB15DB">
        <w:t>Parks Victoria Visitor Monitor Survey</w:t>
      </w:r>
      <w:r w:rsidRPr="00FB15DB">
        <w:rPr>
          <w:vertAlign w:val="superscript"/>
        </w:rPr>
        <w:footnoteReference w:id="44"/>
      </w:r>
      <w:r w:rsidRPr="00FB15DB">
        <w:t xml:space="preserve"> which showed the percentage of respondents stating that the (one) </w:t>
      </w:r>
      <w:r w:rsidRPr="00FB15DB">
        <w:rPr>
          <w:b/>
        </w:rPr>
        <w:t>main</w:t>
      </w:r>
      <w:r w:rsidRPr="00FB15DB">
        <w:t xml:space="preserve"> reason for visiting this park is to undertaking physical activity or sport group in 2018 in the Great Otway National Park was 20.9 per cent, Bay of Islands Coastal Park was 5.7 per cent and Port Campbell National Park was 2.8 per cent. However, when respondents were able to select multiple activities that they undertook (in addition to the main reason for visiting), responses to physical activity and sport groups increased significantly. For example, 22.3 per cent of respondents in Great Otway National Park undertook swimming during their visit, 6.9 per cent of visitors to Bay of Islands Coastal Park undertook cross country skiing and 3.3 per cent of visitors to Port Campbell undertook long walks (more than four hours). Unfortunately, it is not possible to estimate the percentage of total visitors (i.e., individuals) who undertook physical activities or sport groups during their visit because individuals were able to select multiple activities.</w:t>
      </w:r>
    </w:p>
    <w:p w14:paraId="28A6D136" w14:textId="77777777" w:rsidR="00B21991" w:rsidRPr="00FB15DB" w:rsidRDefault="00B21991" w:rsidP="00B21991">
      <w:pPr>
        <w:pStyle w:val="ListBullet2"/>
      </w:pPr>
      <w:r w:rsidRPr="00FB15DB">
        <w:t xml:space="preserve">Surf Coast Shire (2019) that 20.6 per cent of daytrip visits being for active outdoor/sports (i.e., to apply these estimates from Surf Coast Shire (2019) to the GORCAP EEA specific visits). For domestic overnight visitors bushwalking was undertaken by 39.1 per cent of respondents, exercise by 10.2 per cent of respondents and surfing by 7.2 per cent of respondents (multiple responses allowed).  </w:t>
      </w:r>
    </w:p>
    <w:p w14:paraId="22B4C189" w14:textId="77777777" w:rsidR="00B21991" w:rsidRPr="00FB15DB" w:rsidRDefault="00B21991" w:rsidP="00A2745D">
      <w:pPr>
        <w:pStyle w:val="AlphaHeading4"/>
      </w:pPr>
      <w:r w:rsidRPr="00FB15DB">
        <w:t>Monetary value of recreation and tourism</w:t>
      </w:r>
    </w:p>
    <w:p w14:paraId="0B717219" w14:textId="77777777" w:rsidR="00B21991" w:rsidRPr="00FB15DB" w:rsidRDefault="00B21991" w:rsidP="00B21991">
      <w:pPr>
        <w:pStyle w:val="BodyText12ptBefore"/>
      </w:pPr>
      <w:r w:rsidRPr="00FB15DB">
        <w:t>Based on the literature review (see Annex 3, Section A3.6.), there is existing data and analyses that can be drawn on to estimate the monetary value ($AUD) of recreation and tourism that is supported by ecosystem assets within the Great Ocean Road region in a number of ways (these are not all additive)</w:t>
      </w:r>
      <w:r w:rsidRPr="00FB15DB">
        <w:rPr>
          <w:vertAlign w:val="superscript"/>
        </w:rPr>
        <w:footnoteReference w:id="45"/>
      </w:r>
      <w:r w:rsidRPr="00FB15DB">
        <w:t>.</w:t>
      </w:r>
    </w:p>
    <w:p w14:paraId="1A32EDF2" w14:textId="77777777" w:rsidR="00B21991" w:rsidRPr="00FB15DB" w:rsidRDefault="00B21991" w:rsidP="00B21991">
      <w:pPr>
        <w:pStyle w:val="BodyText"/>
      </w:pPr>
      <w:r w:rsidRPr="00FB15DB">
        <w:t>The benefits of recreation and tourism supported by the ecosystem assets of the GOR accrue to the visitors themselves (input to consumption) and to nearby suppliers of tourism and recreational facilities (input to production), to the extent that they can attribute their operation to the ecosystem (UN, 2014). In this way, environmental-economic accounts are interested in all visits to ecosystem assets within the GORCAP EEA boundary, not just those that support the tourism industry (which will already be captured in the System of National Accounts) but also (for example) visits to parks by locals which is valued by those individuals.</w:t>
      </w:r>
    </w:p>
    <w:p w14:paraId="2EDF0D9E" w14:textId="77777777" w:rsidR="00B21991" w:rsidRPr="00FB15DB" w:rsidRDefault="00B21991" w:rsidP="00B21991">
      <w:pPr>
        <w:pStyle w:val="BodyText"/>
      </w:pPr>
      <w:r w:rsidRPr="00FB15DB">
        <w:t>A mix of approaches are used to capture different types of economic value including inputs to production and inputs to consumption, based on the reviewed literature (see Annex 3, Section A3.6.) as follows:</w:t>
      </w:r>
    </w:p>
    <w:p w14:paraId="1080F170" w14:textId="77777777" w:rsidR="00B21991" w:rsidRPr="00FB15DB" w:rsidRDefault="00B21991" w:rsidP="000035CB">
      <w:pPr>
        <w:pStyle w:val="AlphaHeading5"/>
        <w:numPr>
          <w:ilvl w:val="0"/>
          <w:numId w:val="46"/>
        </w:numPr>
      </w:pPr>
      <w:r w:rsidRPr="00FB15DB">
        <w:t>Input to production:</w:t>
      </w:r>
    </w:p>
    <w:p w14:paraId="3DBB160D" w14:textId="77777777" w:rsidR="00B21991" w:rsidRPr="00FB15DB" w:rsidRDefault="00B21991" w:rsidP="00B21991">
      <w:pPr>
        <w:pStyle w:val="ListBullet"/>
      </w:pPr>
      <w:r w:rsidRPr="00B96836">
        <w:rPr>
          <w:b/>
          <w:bCs/>
        </w:rPr>
        <w:t>Increased direct Gross Value Added:</w:t>
      </w:r>
      <w:r w:rsidRPr="00FB15DB">
        <w:t xml:space="preserve"> the sum of relevant consumption expenditures from satellite tourism accounts is a relevant approach to obtaining the exchange value of recreation and tourism related services (in the absence of travel cost data) (SEEA-EA, 2021). Information on direct</w:t>
      </w:r>
      <w:r w:rsidRPr="00FB15DB">
        <w:rPr>
          <w:vertAlign w:val="superscript"/>
        </w:rPr>
        <w:footnoteReference w:id="46"/>
      </w:r>
      <w:r w:rsidRPr="00FB15DB">
        <w:t xml:space="preserve"> Gross Value Added (GVA) is used as GVA is considered the most accurate measure of the contribution of the industry to the economy.</w:t>
      </w:r>
      <w:r w:rsidRPr="00FB15DB">
        <w:rPr>
          <w:vertAlign w:val="superscript"/>
        </w:rPr>
        <w:footnoteReference w:id="47"/>
      </w:r>
      <w:r w:rsidRPr="00FB15DB">
        <w:t xml:space="preserve">  Estimates of GVA generated by tourism within the Great Ocean Road Tourism Region is collated by DJPR’s Tourism, Events and Visitor Economy (TEVE) Research Unit using information from Tourism Research Australia (TRA) from 2013 to 2018 (DJPR, 2020a, 2020b) and </w:t>
      </w:r>
      <w:r w:rsidRPr="00FB15DB">
        <w:lastRenderedPageBreak/>
        <w:t>TRA (2021) by industry.</w:t>
      </w:r>
      <w:r w:rsidRPr="00FB15DB">
        <w:rPr>
          <w:vertAlign w:val="superscript"/>
        </w:rPr>
        <w:footnoteReference w:id="48"/>
      </w:r>
      <w:r w:rsidRPr="00FB15DB">
        <w:t xml:space="preserve"> Direct GVA estimates capture the value add generated in the economy through the money spent directly in a specific industry (i.e. tourism) in the economy and is already captured within the System of National Accounts (SNA). </w:t>
      </w:r>
    </w:p>
    <w:p w14:paraId="4D49CBAF" w14:textId="77777777" w:rsidR="00B21991" w:rsidRPr="00FB15DB" w:rsidRDefault="00B21991" w:rsidP="00B21991">
      <w:pPr>
        <w:pStyle w:val="BodyText12ptBefore"/>
      </w:pPr>
      <w:r w:rsidRPr="00FB15DB">
        <w:t>In order to estimate GVA for the LGA regions, the study team have estimated the average direct GVA contribution per visitor to the GOR Tourism Region from DJPR (2020) by dividing total direct GVA in 2018-19 minus education ($535 million</w:t>
      </w:r>
      <w:r w:rsidRPr="00FB15DB">
        <w:rPr>
          <w:vertAlign w:val="superscript"/>
        </w:rPr>
        <w:footnoteReference w:id="49"/>
      </w:r>
      <w:r w:rsidRPr="00FB15DB">
        <w:t>) by total visitors in 2019 (6,836,000) to get $78 per visitor and applied this to the total number of visitors within the LGA’s assessed by TRA (2021), see Table 10. This was necessary because TRA (2021) only provide estimates of expenditures to the LGA regions in 2019 and not estimates of GVA.</w:t>
      </w:r>
    </w:p>
    <w:p w14:paraId="2317E60C" w14:textId="77777777" w:rsidR="00B21991" w:rsidRPr="00FB15DB" w:rsidRDefault="00B21991" w:rsidP="00956CB2">
      <w:pPr>
        <w:pStyle w:val="Caption"/>
      </w:pPr>
      <w:r w:rsidRPr="00FB15DB">
        <w:t xml:space="preserve">Table 10. Recreational and tourism GVA ($, 2021) by GOR Tourism Region in 2018-19 </w:t>
      </w:r>
    </w:p>
    <w:tbl>
      <w:tblPr>
        <w:tblStyle w:val="TableGrid"/>
        <w:tblW w:w="5000" w:type="pct"/>
        <w:tblLook w:val="04A0" w:firstRow="1" w:lastRow="0" w:firstColumn="1" w:lastColumn="0" w:noHBand="0" w:noVBand="1"/>
      </w:tblPr>
      <w:tblGrid>
        <w:gridCol w:w="6158"/>
        <w:gridCol w:w="1176"/>
        <w:gridCol w:w="966"/>
        <w:gridCol w:w="1338"/>
      </w:tblGrid>
      <w:tr w:rsidR="00B21991" w:rsidRPr="00FB15DB" w14:paraId="346B5D11" w14:textId="77777777" w:rsidTr="009C5096">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3195" w:type="pct"/>
          </w:tcPr>
          <w:p w14:paraId="65076374" w14:textId="77777777" w:rsidR="00B21991" w:rsidRPr="00FB15DB" w:rsidRDefault="00B21991" w:rsidP="009C5096">
            <w:pPr>
              <w:pStyle w:val="TableHeadingLeft"/>
            </w:pPr>
          </w:p>
        </w:tc>
        <w:tc>
          <w:tcPr>
            <w:tcW w:w="610" w:type="pct"/>
          </w:tcPr>
          <w:p w14:paraId="677F3CCB" w14:textId="77777777" w:rsidR="00B21991" w:rsidRPr="00FB15DB" w:rsidRDefault="00B21991" w:rsidP="009C5096">
            <w:pPr>
              <w:pStyle w:val="TableHeadingLeft"/>
              <w:cnfStyle w:val="100000000000" w:firstRow="1" w:lastRow="0" w:firstColumn="0" w:lastColumn="0" w:oddVBand="0" w:evenVBand="0" w:oddHBand="0" w:evenHBand="0" w:firstRowFirstColumn="0" w:firstRowLastColumn="0" w:lastRowFirstColumn="0" w:lastRowLastColumn="0"/>
            </w:pPr>
            <w:r w:rsidRPr="00FB15DB">
              <w:t>Estimate</w:t>
            </w:r>
          </w:p>
        </w:tc>
        <w:tc>
          <w:tcPr>
            <w:tcW w:w="501" w:type="pct"/>
          </w:tcPr>
          <w:p w14:paraId="174C27EB" w14:textId="77777777" w:rsidR="00B21991" w:rsidRPr="00FB15DB" w:rsidRDefault="00B21991" w:rsidP="009C5096">
            <w:pPr>
              <w:pStyle w:val="TableHeadingLeft"/>
              <w:cnfStyle w:val="100000000000" w:firstRow="1" w:lastRow="0" w:firstColumn="0" w:lastColumn="0" w:oddVBand="0" w:evenVBand="0" w:oddHBand="0" w:evenHBand="0" w:firstRowFirstColumn="0" w:firstRowLastColumn="0" w:lastRowFirstColumn="0" w:lastRowLastColumn="0"/>
            </w:pPr>
            <w:r w:rsidRPr="00FB15DB">
              <w:t>Year</w:t>
            </w:r>
          </w:p>
        </w:tc>
        <w:tc>
          <w:tcPr>
            <w:tcW w:w="694" w:type="pct"/>
          </w:tcPr>
          <w:p w14:paraId="5FA412A0" w14:textId="77777777" w:rsidR="00B21991" w:rsidRPr="00FB15DB" w:rsidRDefault="00B21991" w:rsidP="009C5096">
            <w:pPr>
              <w:pStyle w:val="TableHeadingLeft"/>
              <w:cnfStyle w:val="100000000000" w:firstRow="1" w:lastRow="0" w:firstColumn="0" w:lastColumn="0" w:oddVBand="0" w:evenVBand="0" w:oddHBand="0" w:evenHBand="0" w:firstRowFirstColumn="0" w:firstRowLastColumn="0" w:lastRowFirstColumn="0" w:lastRowLastColumn="0"/>
            </w:pPr>
            <w:r w:rsidRPr="00FB15DB">
              <w:t>Source</w:t>
            </w:r>
          </w:p>
        </w:tc>
      </w:tr>
      <w:tr w:rsidR="00B21991" w:rsidRPr="00FB15DB" w14:paraId="6DDA33CB" w14:textId="77777777" w:rsidTr="009C5096">
        <w:trPr>
          <w:cantSplit/>
        </w:trPr>
        <w:tc>
          <w:tcPr>
            <w:cnfStyle w:val="001000000000" w:firstRow="0" w:lastRow="0" w:firstColumn="1" w:lastColumn="0" w:oddVBand="0" w:evenVBand="0" w:oddHBand="0" w:evenHBand="0" w:firstRowFirstColumn="0" w:firstRowLastColumn="0" w:lastRowFirstColumn="0" w:lastRowLastColumn="0"/>
            <w:tcW w:w="3195" w:type="pct"/>
          </w:tcPr>
          <w:p w14:paraId="15DE1FF5" w14:textId="77777777" w:rsidR="00B21991" w:rsidRPr="00FB15DB" w:rsidRDefault="00B21991" w:rsidP="009C5096">
            <w:pPr>
              <w:pStyle w:val="TableTextLeft"/>
            </w:pPr>
            <w:r w:rsidRPr="00FB15DB">
              <w:t xml:space="preserve">Total direct Gross Value Added in 2018-19 (minus education) </w:t>
            </w:r>
            <w:r w:rsidRPr="00FB15DB">
              <w:rPr>
                <w:vertAlign w:val="superscript"/>
              </w:rPr>
              <w:t>a</w:t>
            </w:r>
            <w:r w:rsidRPr="00FB15DB">
              <w:t xml:space="preserve"> ($m)</w:t>
            </w:r>
          </w:p>
        </w:tc>
        <w:tc>
          <w:tcPr>
            <w:tcW w:w="610" w:type="pct"/>
          </w:tcPr>
          <w:p w14:paraId="057CB820"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$535m</w:t>
            </w:r>
          </w:p>
        </w:tc>
        <w:tc>
          <w:tcPr>
            <w:tcW w:w="501" w:type="pct"/>
            <w:vMerge w:val="restart"/>
          </w:tcPr>
          <w:p w14:paraId="1CB046FE"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2018-19</w:t>
            </w:r>
          </w:p>
        </w:tc>
        <w:tc>
          <w:tcPr>
            <w:tcW w:w="694" w:type="pct"/>
            <w:vMerge w:val="restart"/>
          </w:tcPr>
          <w:p w14:paraId="31A04DEC"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DJPR (2020) TRA (2021)</w:t>
            </w:r>
          </w:p>
        </w:tc>
      </w:tr>
      <w:tr w:rsidR="00B21991" w:rsidRPr="00FB15DB" w14:paraId="4F6A6E59" w14:textId="77777777" w:rsidTr="009C5096">
        <w:trPr>
          <w:cantSplit/>
        </w:trPr>
        <w:tc>
          <w:tcPr>
            <w:cnfStyle w:val="001000000000" w:firstRow="0" w:lastRow="0" w:firstColumn="1" w:lastColumn="0" w:oddVBand="0" w:evenVBand="0" w:oddHBand="0" w:evenHBand="0" w:firstRowFirstColumn="0" w:firstRowLastColumn="0" w:lastRowFirstColumn="0" w:lastRowLastColumn="0"/>
            <w:tcW w:w="3195" w:type="pct"/>
          </w:tcPr>
          <w:p w14:paraId="6701E383" w14:textId="77777777" w:rsidR="00B21991" w:rsidRPr="00FB15DB" w:rsidRDefault="00B21991" w:rsidP="009C5096">
            <w:pPr>
              <w:pStyle w:val="TableTextLeft"/>
            </w:pPr>
            <w:r w:rsidRPr="00FB15DB">
              <w:t>Total visitors in 2019 (‘000)</w:t>
            </w:r>
          </w:p>
        </w:tc>
        <w:tc>
          <w:tcPr>
            <w:tcW w:w="610" w:type="pct"/>
          </w:tcPr>
          <w:p w14:paraId="4E8200AA"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6,836</w:t>
            </w:r>
          </w:p>
        </w:tc>
        <w:tc>
          <w:tcPr>
            <w:tcW w:w="501" w:type="pct"/>
            <w:vMerge/>
          </w:tcPr>
          <w:p w14:paraId="6C605F0F"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p>
        </w:tc>
        <w:tc>
          <w:tcPr>
            <w:tcW w:w="694" w:type="pct"/>
            <w:vMerge/>
          </w:tcPr>
          <w:p w14:paraId="482BB278"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p>
        </w:tc>
      </w:tr>
      <w:tr w:rsidR="00B21991" w:rsidRPr="00FB15DB" w14:paraId="69E7DC18" w14:textId="77777777" w:rsidTr="009C5096">
        <w:trPr>
          <w:cantSplit/>
        </w:trPr>
        <w:tc>
          <w:tcPr>
            <w:cnfStyle w:val="001000000000" w:firstRow="0" w:lastRow="0" w:firstColumn="1" w:lastColumn="0" w:oddVBand="0" w:evenVBand="0" w:oddHBand="0" w:evenHBand="0" w:firstRowFirstColumn="0" w:firstRowLastColumn="0" w:lastRowFirstColumn="0" w:lastRowLastColumn="0"/>
            <w:tcW w:w="3195" w:type="pct"/>
          </w:tcPr>
          <w:p w14:paraId="4118347C" w14:textId="77777777" w:rsidR="00B21991" w:rsidRPr="00FB15DB" w:rsidRDefault="00B21991" w:rsidP="009C5096">
            <w:pPr>
              <w:pStyle w:val="TableTextLeft"/>
            </w:pPr>
            <w:r w:rsidRPr="00FB15DB">
              <w:t>Estimated average direct GVA contribution per visitor ($)</w:t>
            </w:r>
          </w:p>
        </w:tc>
        <w:tc>
          <w:tcPr>
            <w:tcW w:w="610" w:type="pct"/>
          </w:tcPr>
          <w:p w14:paraId="58A23EF4"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$78</w:t>
            </w:r>
          </w:p>
        </w:tc>
        <w:tc>
          <w:tcPr>
            <w:tcW w:w="501" w:type="pct"/>
          </w:tcPr>
          <w:p w14:paraId="63560289"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w:t>
            </w:r>
          </w:p>
        </w:tc>
        <w:tc>
          <w:tcPr>
            <w:tcW w:w="694" w:type="pct"/>
          </w:tcPr>
          <w:p w14:paraId="75AC312F"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w:t>
            </w:r>
          </w:p>
        </w:tc>
      </w:tr>
    </w:tbl>
    <w:p w14:paraId="5F8F9FC9" w14:textId="3CE8B10B" w:rsidR="00B21991" w:rsidRPr="00FB15DB" w:rsidRDefault="00B21991" w:rsidP="00D51121">
      <w:pPr>
        <w:pStyle w:val="BodyText12ptBefore"/>
      </w:pPr>
      <w:proofErr w:type="spellStart"/>
      <w:r w:rsidRPr="00FB15DB">
        <w:rPr>
          <w:vertAlign w:val="superscript"/>
        </w:rPr>
        <w:t>a</w:t>
      </w:r>
      <w:proofErr w:type="spellEnd"/>
      <w:r w:rsidRPr="00FB15DB">
        <w:rPr>
          <w:vertAlign w:val="superscript"/>
        </w:rPr>
        <w:t xml:space="preserve"> </w:t>
      </w:r>
      <w:r w:rsidRPr="00FB15DB">
        <w:t xml:space="preserve">This figure is the total direct GVA ($520m) in the GOR Tourism Region minus the contribution of </w:t>
      </w:r>
      <w:r w:rsidR="00D51121">
        <w:t xml:space="preserve">the </w:t>
      </w:r>
      <w:r w:rsidRPr="00FB15DB">
        <w:t>education and training industry ($24.8m) from TRA (2021) as this is captured under the education ecosystem service, updated for inflation.</w:t>
      </w:r>
    </w:p>
    <w:p w14:paraId="23F1BB43" w14:textId="77777777" w:rsidR="00B21991" w:rsidRPr="00FB15DB" w:rsidRDefault="00B21991" w:rsidP="00B21991">
      <w:pPr>
        <w:pStyle w:val="BodyText"/>
      </w:pPr>
      <w:r w:rsidRPr="00FB15DB">
        <w:t xml:space="preserve">There is uncertainty associated with this because the GVA estimates are for the financial year 2018-19 whereas the total visitors are for the calendar year 2019, but this is deemed to be a proportionate approach to provide an indicative estimate for this GORCAP EEA. </w:t>
      </w:r>
    </w:p>
    <w:p w14:paraId="0BA9B9A2" w14:textId="77777777" w:rsidR="00B21991" w:rsidRPr="00FB15DB" w:rsidRDefault="00B21991" w:rsidP="00D51121">
      <w:pPr>
        <w:pStyle w:val="BodyText"/>
      </w:pPr>
      <w:r w:rsidRPr="00FB15DB">
        <w:t>These figures do not capture:</w:t>
      </w:r>
    </w:p>
    <w:p w14:paraId="0943297D" w14:textId="77777777" w:rsidR="00B21991" w:rsidRPr="00115B93" w:rsidRDefault="00B21991" w:rsidP="00D30977">
      <w:pPr>
        <w:pStyle w:val="ListBullet"/>
      </w:pPr>
      <w:r w:rsidRPr="00115B93">
        <w:rPr>
          <w:b/>
          <w:bCs/>
        </w:rPr>
        <w:t>The attribution of tourism GVA to the natural environment.</w:t>
      </w:r>
      <w:r w:rsidRPr="00115B93">
        <w:t xml:space="preserve"> Tourism GVA estimates capture the economic value of related markets that rely on the natural environment to attract tourists such as accommodation, hospitality, recreational facilities (e.g., sailing, bike riding), food and drink etc. The extent to which this GVA can be attributed to the existence of the ecosystem needs to be determined and will vary across the tourism sector as noted in the SEEA-EEA guidance (UN, 2014): </w:t>
      </w:r>
    </w:p>
    <w:p w14:paraId="709B4546" w14:textId="77777777" w:rsidR="00B21991" w:rsidRPr="00115B93" w:rsidRDefault="00B21991" w:rsidP="00D30977">
      <w:pPr>
        <w:pStyle w:val="BodyText"/>
        <w:ind w:left="340"/>
        <w:rPr>
          <w:i/>
        </w:rPr>
      </w:pPr>
      <w:r w:rsidRPr="00115B93">
        <w:rPr>
          <w:i/>
        </w:rPr>
        <w:t>“For instance, some tourism facilities exist only because of the presence of the ecosystem, as in the case of an enterprise renting out skis or canoes. For other enterprises, the picture is mixed, and only part of their activity may be attributable to the ecosystem, as in the case of hotels or restaurants located in or near natural parks.”</w:t>
      </w:r>
    </w:p>
    <w:p w14:paraId="0FBD765C" w14:textId="77777777" w:rsidR="00B21991" w:rsidRPr="00115B93" w:rsidRDefault="00B21991" w:rsidP="00E83C63">
      <w:pPr>
        <w:pStyle w:val="BodyText"/>
        <w:ind w:left="340"/>
      </w:pPr>
      <w:r w:rsidRPr="00115B93">
        <w:t>The attribution of GVA to the natural environment is based on the responses to the Tourism Research Australia (2013) survey which suggests that between 51 per cent and 93 per cent of visitor economy of the GORCAP region is dependent on the existence of ecosystem assets (TRA, 2013).</w:t>
      </w:r>
      <w:r w:rsidRPr="00115B93">
        <w:rPr>
          <w:vertAlign w:val="superscript"/>
        </w:rPr>
        <w:footnoteReference w:id="50"/>
      </w:r>
      <w:r w:rsidRPr="00115B93">
        <w:t xml:space="preserve"> For the purpose of this GORCAP EEA, a central (average) estimate of 72 per cent figure is used in order to provide an indicative estimate. </w:t>
      </w:r>
    </w:p>
    <w:p w14:paraId="7272587F" w14:textId="77777777" w:rsidR="00B21991" w:rsidRPr="00FB15DB" w:rsidRDefault="00B21991" w:rsidP="00D30977">
      <w:pPr>
        <w:pStyle w:val="ListBullet"/>
      </w:pPr>
      <w:r w:rsidRPr="00115B93">
        <w:rPr>
          <w:b/>
          <w:bCs/>
        </w:rPr>
        <w:t>The contribution of ecosystem assets to the tourism GVA</w:t>
      </w:r>
      <w:r w:rsidRPr="00115B93">
        <w:t xml:space="preserve"> that</w:t>
      </w:r>
      <w:r w:rsidRPr="00FB15DB">
        <w:t xml:space="preserve"> is dependent on ecosystem assets (i.e., resource rent). Tourism GVA that is dependent on ecosystem assets (i.e., 51 per cent to 93 per cent of economic value based on TRA (2013) survey of motivations for visits) is co-produced through the contribution of a range of inputs including labour, machinery, buildings (e.g., picnic and camping facilities, </w:t>
      </w:r>
      <w:r w:rsidRPr="00FB15DB">
        <w:lastRenderedPageBreak/>
        <w:t>walking and mountain biking trails, signage etc.). In order to isolate the value of ecosystem assets, the contribution of other inputs needs to be deducted from the estimate of direct gross value-add that is attributable to ecosystems.</w:t>
      </w:r>
    </w:p>
    <w:p w14:paraId="27B9FF5E" w14:textId="77777777" w:rsidR="00B21991" w:rsidRPr="00FB15DB" w:rsidRDefault="00B21991" w:rsidP="00B21991">
      <w:pPr>
        <w:pStyle w:val="BodyText"/>
      </w:pPr>
      <w:r w:rsidRPr="00FB15DB">
        <w:t>For the purposes of this GORCAP EEA a basic approach will be taken to isolating resource rent to provide an indicative estimate, by applying a single fixed percentage of the proportional contribution of ecosystems (i.e., as an input to production) to tourism GVA of 20 per cent.</w:t>
      </w:r>
    </w:p>
    <w:p w14:paraId="25867D1C" w14:textId="77777777" w:rsidR="00B21991" w:rsidRPr="00FB15DB" w:rsidRDefault="00B21991" w:rsidP="00B21991">
      <w:pPr>
        <w:pStyle w:val="ListBullet"/>
      </w:pPr>
      <w:r w:rsidRPr="00B96836">
        <w:rPr>
          <w:b/>
          <w:bCs/>
        </w:rPr>
        <w:t>Improved productivity:</w:t>
      </w:r>
      <w:r w:rsidRPr="00FB15DB">
        <w:t xml:space="preserve"> direct loss of productivity due to physical inactivity is estimated in the Medibank (2008) study to be </w:t>
      </w:r>
      <w:r w:rsidRPr="00FB15DB">
        <w:rPr>
          <w:b/>
        </w:rPr>
        <w:t>$606</w:t>
      </w:r>
      <w:r w:rsidRPr="00FB15DB">
        <w:rPr>
          <w:vertAlign w:val="superscript"/>
        </w:rPr>
        <w:footnoteReference w:id="51"/>
      </w:r>
      <w:r w:rsidRPr="00FB15DB">
        <w:rPr>
          <w:b/>
        </w:rPr>
        <w:t>per employee per year</w:t>
      </w:r>
      <w:r w:rsidRPr="00FB15DB">
        <w:t xml:space="preserve"> (i.e., not accounting for indirect and induced effects of this loss of productivity) and this is the figure used in MJA (2016). The application of these annual figures to a single domestic “active” visit (i.e., that meets physical activity guidelines) to ecosystem assets in the GORCAP EEA boundary is executed following the approach taken by DELWP and Parks Victoria (2015) through the steps in Table 11. This relies on evidence from Surf Coast Shire (2019) and Parks Victoria (2021) about the proportion of visits where the motivation for choosing the region is active outdoor/sports. Domestic visits are the focus because the productivity impacts are estimated for the Australian economy.    </w:t>
      </w:r>
    </w:p>
    <w:p w14:paraId="337A6B59" w14:textId="77777777" w:rsidR="00B21991" w:rsidRPr="00FB15DB" w:rsidRDefault="00B21991" w:rsidP="00956CB2">
      <w:pPr>
        <w:pStyle w:val="Caption"/>
      </w:pPr>
      <w:r w:rsidRPr="00FB15DB">
        <w:t>Table 11. Method to estimate avoided productivity losses due to recreation in GORCAP ecosystem assets using the approach adopted by DELWP and Parks Victoria (2015)</w:t>
      </w:r>
    </w:p>
    <w:tbl>
      <w:tblPr>
        <w:tblStyle w:val="TableGrid"/>
        <w:tblW w:w="5000" w:type="pct"/>
        <w:tblLook w:val="04A0" w:firstRow="1" w:lastRow="0" w:firstColumn="1" w:lastColumn="0" w:noHBand="0" w:noVBand="1"/>
      </w:tblPr>
      <w:tblGrid>
        <w:gridCol w:w="4792"/>
        <w:gridCol w:w="4846"/>
      </w:tblGrid>
      <w:tr w:rsidR="009C5096" w:rsidRPr="00FB15DB" w14:paraId="7F35849E" w14:textId="77777777" w:rsidTr="009C5096">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486" w:type="pct"/>
            <w:tcBorders>
              <w:bottom w:val="single" w:sz="4" w:space="0" w:color="auto"/>
            </w:tcBorders>
          </w:tcPr>
          <w:p w14:paraId="741F4755" w14:textId="77777777" w:rsidR="00B21991" w:rsidRPr="00FB15DB" w:rsidRDefault="00B21991" w:rsidP="009C5096">
            <w:pPr>
              <w:pStyle w:val="TableHeadingLeft"/>
            </w:pPr>
            <w:r w:rsidRPr="00FB15DB">
              <w:t>Step</w:t>
            </w:r>
          </w:p>
        </w:tc>
        <w:tc>
          <w:tcPr>
            <w:tcW w:w="2514" w:type="pct"/>
          </w:tcPr>
          <w:p w14:paraId="6F007280" w14:textId="77777777" w:rsidR="00B21991" w:rsidRPr="00FB15DB" w:rsidRDefault="00B21991" w:rsidP="009C5096">
            <w:pPr>
              <w:pStyle w:val="TableHeadingLeft"/>
              <w:cnfStyle w:val="100000000000" w:firstRow="1" w:lastRow="0" w:firstColumn="0" w:lastColumn="0" w:oddVBand="0" w:evenVBand="0" w:oddHBand="0" w:evenHBand="0" w:firstRowFirstColumn="0" w:firstRowLastColumn="0" w:lastRowFirstColumn="0" w:lastRowLastColumn="0"/>
            </w:pPr>
            <w:r w:rsidRPr="00FB15DB">
              <w:t>Method</w:t>
            </w:r>
          </w:p>
        </w:tc>
      </w:tr>
      <w:tr w:rsidR="009C5096" w:rsidRPr="00FB15DB" w14:paraId="78472A88" w14:textId="77777777" w:rsidTr="009C5096">
        <w:trPr>
          <w:cantSplit/>
        </w:trPr>
        <w:tc>
          <w:tcPr>
            <w:cnfStyle w:val="001000000000" w:firstRow="0" w:lastRow="0" w:firstColumn="1" w:lastColumn="0" w:oddVBand="0" w:evenVBand="0" w:oddHBand="0" w:evenHBand="0" w:firstRowFirstColumn="0" w:firstRowLastColumn="0" w:lastRowFirstColumn="0" w:lastRowLastColumn="0"/>
            <w:tcW w:w="2486" w:type="pct"/>
            <w:shd w:val="clear" w:color="auto" w:fill="E5EDF5"/>
          </w:tcPr>
          <w:p w14:paraId="432DA5CC" w14:textId="77777777" w:rsidR="00B21991" w:rsidRPr="00FB15DB" w:rsidRDefault="00B21991" w:rsidP="009C5096">
            <w:pPr>
              <w:pStyle w:val="TableTextLeft"/>
            </w:pPr>
            <w:r w:rsidRPr="00FB15DB">
              <w:t xml:space="preserve">Estimate the total number of domestic recreation visitors where primary purpose is engaging with ecosystem assets. </w:t>
            </w:r>
          </w:p>
        </w:tc>
        <w:tc>
          <w:tcPr>
            <w:tcW w:w="2514" w:type="pct"/>
          </w:tcPr>
          <w:p w14:paraId="493E5B73"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 xml:space="preserve">Multiply the total number of domestic visitors to the GORCAP region in 2019 by the percentage where primary purpose is engaging with ecosystem assets.  Responses to the Tourism Research Australia (2013) survey suggests that between 51 per cent and 93 per cent of visitor economy of the GORCAP region is dependent on the existence of ecosystem assets (TRA, 2013), a central estimate of 72 per cent will be used, </w:t>
            </w:r>
          </w:p>
        </w:tc>
      </w:tr>
      <w:tr w:rsidR="009C5096" w:rsidRPr="00FB15DB" w14:paraId="5EF60293" w14:textId="77777777" w:rsidTr="009C5096">
        <w:trPr>
          <w:cantSplit/>
        </w:trPr>
        <w:tc>
          <w:tcPr>
            <w:cnfStyle w:val="001000000000" w:firstRow="0" w:lastRow="0" w:firstColumn="1" w:lastColumn="0" w:oddVBand="0" w:evenVBand="0" w:oddHBand="0" w:evenHBand="0" w:firstRowFirstColumn="0" w:firstRowLastColumn="0" w:lastRowFirstColumn="0" w:lastRowLastColumn="0"/>
            <w:tcW w:w="2486" w:type="pct"/>
            <w:shd w:val="clear" w:color="auto" w:fill="E5EDF5"/>
          </w:tcPr>
          <w:p w14:paraId="5D37A8DA" w14:textId="77777777" w:rsidR="00B21991" w:rsidRPr="00FB15DB" w:rsidRDefault="00B21991" w:rsidP="009C5096">
            <w:pPr>
              <w:pStyle w:val="TableTextLeft"/>
            </w:pPr>
            <w:r w:rsidRPr="00FB15DB">
              <w:t>Estimate the total number of domestic recreation visitors where primary purpose is physical exercise (note: one visitor might take multiple visits)</w:t>
            </w:r>
          </w:p>
        </w:tc>
        <w:tc>
          <w:tcPr>
            <w:tcW w:w="2514" w:type="pct"/>
          </w:tcPr>
          <w:p w14:paraId="3B55A05E"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 xml:space="preserve">Multiply the total number of annual domestic visitors to ecosystem assets within assessment boundary in 2019 (from DJPR, 2020) </w:t>
            </w:r>
            <w:r w:rsidRPr="00FB15DB">
              <w:rPr>
                <w:vertAlign w:val="superscript"/>
              </w:rPr>
              <w:t>a</w:t>
            </w:r>
            <w:r w:rsidRPr="00FB15DB">
              <w:t xml:space="preserve"> by the percentage of visits where primary purpose is physical exercise (10 per cent based on data from Parks Victoria (2021) and Surf Coast Shire (2019), see 3.2.6.(a))</w:t>
            </w:r>
          </w:p>
        </w:tc>
      </w:tr>
      <w:tr w:rsidR="009C5096" w:rsidRPr="00FB15DB" w14:paraId="28A41F40" w14:textId="77777777" w:rsidTr="009C5096">
        <w:trPr>
          <w:cantSplit/>
        </w:trPr>
        <w:tc>
          <w:tcPr>
            <w:cnfStyle w:val="001000000000" w:firstRow="0" w:lastRow="0" w:firstColumn="1" w:lastColumn="0" w:oddVBand="0" w:evenVBand="0" w:oddHBand="0" w:evenHBand="0" w:firstRowFirstColumn="0" w:firstRowLastColumn="0" w:lastRowFirstColumn="0" w:lastRowLastColumn="0"/>
            <w:tcW w:w="2486" w:type="pct"/>
            <w:shd w:val="clear" w:color="auto" w:fill="E5EDF5"/>
          </w:tcPr>
          <w:p w14:paraId="1ECDA5BC" w14:textId="77777777" w:rsidR="00B21991" w:rsidRPr="00FB15DB" w:rsidRDefault="00B21991" w:rsidP="009C5096">
            <w:pPr>
              <w:pStyle w:val="TableTextLeft"/>
            </w:pPr>
            <w:r w:rsidRPr="00FB15DB">
              <w:t>Estimate the contribution of park exercise to minimum recommended level of physical activity (physical flow)</w:t>
            </w:r>
          </w:p>
        </w:tc>
        <w:tc>
          <w:tcPr>
            <w:tcW w:w="2514" w:type="pct"/>
          </w:tcPr>
          <w:p w14:paraId="525BD917"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Multiply number of “active” visitors (Step 2) by the percentage contribution of “national and state” parks to the minimum recommended level of physical activity (DELWP and Parks Victoria, 2015) of 17 per cent.</w:t>
            </w:r>
          </w:p>
        </w:tc>
      </w:tr>
      <w:tr w:rsidR="009C5096" w:rsidRPr="00FB15DB" w14:paraId="39C6CC4E" w14:textId="77777777" w:rsidTr="009C5096">
        <w:trPr>
          <w:cantSplit/>
        </w:trPr>
        <w:tc>
          <w:tcPr>
            <w:cnfStyle w:val="001000000000" w:firstRow="0" w:lastRow="0" w:firstColumn="1" w:lastColumn="0" w:oddVBand="0" w:evenVBand="0" w:oddHBand="0" w:evenHBand="0" w:firstRowFirstColumn="0" w:firstRowLastColumn="0" w:lastRowFirstColumn="0" w:lastRowLastColumn="0"/>
            <w:tcW w:w="2486" w:type="pct"/>
            <w:shd w:val="clear" w:color="auto" w:fill="E5EDF5"/>
          </w:tcPr>
          <w:p w14:paraId="3B4F9033" w14:textId="77777777" w:rsidR="00B21991" w:rsidRPr="00FB15DB" w:rsidRDefault="00B21991" w:rsidP="009C5096">
            <w:pPr>
              <w:pStyle w:val="TableTextLeft"/>
              <w:rPr>
                <w:vertAlign w:val="superscript"/>
              </w:rPr>
            </w:pPr>
            <w:r w:rsidRPr="00FB15DB">
              <w:t xml:space="preserve">Estimate the value of the contribution of park exercise to avoided direct medical costs </w:t>
            </w:r>
            <w:r w:rsidRPr="00FB15DB">
              <w:rPr>
                <w:vertAlign w:val="superscript"/>
              </w:rPr>
              <w:t>b</w:t>
            </w:r>
          </w:p>
        </w:tc>
        <w:tc>
          <w:tcPr>
            <w:tcW w:w="2514" w:type="pct"/>
          </w:tcPr>
          <w:p w14:paraId="765BC5F9"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Multiply the proportion of “active” visitor health that is attributable to recreation (Step 3) to the productivity losses of physical inactivity of $606 per person per year (Medibank, 2008) that are avoided.</w:t>
            </w:r>
          </w:p>
        </w:tc>
      </w:tr>
    </w:tbl>
    <w:p w14:paraId="6D4E5C77" w14:textId="77777777" w:rsidR="00B21991" w:rsidRPr="00FB15DB" w:rsidRDefault="00B21991" w:rsidP="00D51121">
      <w:pPr>
        <w:pStyle w:val="BodyText12ptBefore"/>
      </w:pPr>
      <w:r w:rsidRPr="00FB15DB">
        <w:rPr>
          <w:vertAlign w:val="superscript"/>
        </w:rPr>
        <w:t xml:space="preserve">a </w:t>
      </w:r>
      <w:r w:rsidRPr="00FB15DB">
        <w:t>DJPR (2020) statistics label “visitors” as opposed to “visits” so it is assumed that this captures the number of visitors to the GORCAP region (who may take multiple trips within a year).</w:t>
      </w:r>
    </w:p>
    <w:p w14:paraId="723E35E4" w14:textId="77777777" w:rsidR="00B21991" w:rsidRPr="00FB15DB" w:rsidRDefault="00B21991" w:rsidP="00B21991">
      <w:pPr>
        <w:pStyle w:val="BodyText"/>
      </w:pPr>
      <w:r w:rsidRPr="00FB15DB">
        <w:rPr>
          <w:vertAlign w:val="superscript"/>
        </w:rPr>
        <w:t xml:space="preserve">b </w:t>
      </w:r>
      <w:r w:rsidRPr="00FB15DB">
        <w:t xml:space="preserve">The DELWP and PV (2015) study applied another step to reflect the proportion of all visitors that would not undertake physical activity in the absence of the park. This was done by applying a proportion to the total avoided health costs based on the proportion of inactive (sedentary) people in Australia (56 per cent from VicHealth, 2016). This step is not being pursued for the GORCAP EEA because the purpose of account is to capture the </w:t>
      </w:r>
      <w:r w:rsidRPr="00FB15DB">
        <w:rPr>
          <w:i/>
        </w:rPr>
        <w:t xml:space="preserve">total </w:t>
      </w:r>
      <w:r w:rsidRPr="00FB15DB">
        <w:t xml:space="preserve">value of outdoor recreation, not contemplate alternative behaviour / use of substitutes (e.g., gyms or parks outside of assessment boundary) to undertake physical recreation under a “no ecosystem </w:t>
      </w:r>
      <w:r w:rsidRPr="00FB15DB">
        <w:lastRenderedPageBreak/>
        <w:t xml:space="preserve">asset” baseline (i.e., environmental-economic accounting is different from cost-benefit analysis). This is consistent with GDP accounts which capture the total value of consumption of goods and services. The DELWP and PV (2015) estimates are therefore deemed to be underestimates of the current value of park recreation. </w:t>
      </w:r>
    </w:p>
    <w:p w14:paraId="57A664FC" w14:textId="77777777" w:rsidR="00B21991" w:rsidRPr="00D51121" w:rsidRDefault="00B21991" w:rsidP="00D51121">
      <w:pPr>
        <w:pStyle w:val="BodyText"/>
        <w:rPr>
          <w:b/>
          <w:bCs/>
        </w:rPr>
      </w:pPr>
      <w:r w:rsidRPr="00D51121">
        <w:rPr>
          <w:b/>
          <w:bCs/>
        </w:rPr>
        <w:t xml:space="preserve">Input to consumption: </w:t>
      </w:r>
    </w:p>
    <w:p w14:paraId="257D0CD0" w14:textId="77777777" w:rsidR="00B21991" w:rsidRPr="00FB15DB" w:rsidRDefault="00B21991" w:rsidP="00B21991">
      <w:pPr>
        <w:pStyle w:val="ListBullet"/>
        <w:rPr>
          <w:u w:val="single"/>
        </w:rPr>
      </w:pPr>
      <w:r w:rsidRPr="00B96836">
        <w:rPr>
          <w:b/>
          <w:bCs/>
        </w:rPr>
        <w:t>Welfare</w:t>
      </w:r>
      <w:r w:rsidRPr="00FB15DB">
        <w:t>: estimates of the non-market welfare (utility / consumer surplus) value of recreation from the literature are all based on visit numbers not on visitors (i.e., one visitor might take multiple visits). The DJPR (2020) statistics label “visitors” as opposed to “visits” so it is assumed that this captures the number of visitors to the GORCAP region (who may take multiple trips within a year). For the purpose of this GORCAP EEA it is assumed that visitor numbers equals visit numbers (i.e., that every visitor only visits the GORCAP EEA region once in the year). This is a potentially conservative estimate of the welfare value generated by the region and is an area for future refinement.</w:t>
      </w:r>
    </w:p>
    <w:p w14:paraId="4961454E" w14:textId="77777777" w:rsidR="00B21991" w:rsidRPr="00FB15DB" w:rsidRDefault="00B21991" w:rsidP="00B21991">
      <w:pPr>
        <w:pStyle w:val="BodyText12ptBefore"/>
      </w:pPr>
      <w:r w:rsidRPr="00FB15DB">
        <w:t xml:space="preserve">Given that the DJPR (2020) estimates of visitors / visits is not broken down by type of activity (e.g., fishing, surfing, nature watching) or to specific assets (e.g., freshwaters, forests), it is only possible to apply estimates of the economic value of coastal recreation visits as opposed to applying more specific estimates of value to different types of coastal recreational activity. URS (2007) welfare values for coastal recreational day trips </w:t>
      </w:r>
      <w:r w:rsidRPr="00FB15DB">
        <w:rPr>
          <w:b/>
        </w:rPr>
        <w:t>of $65</w:t>
      </w:r>
      <w:r w:rsidRPr="00FB15DB">
        <w:rPr>
          <w:vertAlign w:val="superscript"/>
        </w:rPr>
        <w:footnoteReference w:id="52"/>
      </w:r>
      <w:r w:rsidRPr="00FB15DB">
        <w:rPr>
          <w:b/>
        </w:rPr>
        <w:t xml:space="preserve"> per visitor day trip</w:t>
      </w:r>
      <w:r w:rsidRPr="00FB15DB">
        <w:t xml:space="preserve"> and overnight trips of </w:t>
      </w:r>
      <w:r w:rsidRPr="00FB15DB">
        <w:rPr>
          <w:b/>
        </w:rPr>
        <w:t>$210</w:t>
      </w:r>
      <w:r w:rsidRPr="00FB15DB">
        <w:rPr>
          <w:vertAlign w:val="superscript"/>
        </w:rPr>
        <w:footnoteReference w:id="53"/>
      </w:r>
      <w:r w:rsidRPr="00FB15DB">
        <w:rPr>
          <w:b/>
        </w:rPr>
        <w:t xml:space="preserve"> per trip with at least 1 night</w:t>
      </w:r>
      <w:r w:rsidRPr="00FB15DB">
        <w:t xml:space="preserve"> in Victoria will therefore be used as these are the most relevant to the GORCAP EEA region. These values will be applied to the number of visits to the GORCAP region in 2019 where primary purpose is engaging with ecosystem assets based on multiplying total visits by 72 per cent which is the proportion of the visitor economy of the GORCAP region that is estimated to be dependent on the existence of ecosystem assets (TRA, 2013).</w:t>
      </w:r>
    </w:p>
    <w:p w14:paraId="33AC8E97" w14:textId="77777777" w:rsidR="00B21991" w:rsidRPr="00FB15DB" w:rsidRDefault="00B21991" w:rsidP="00B21991">
      <w:pPr>
        <w:pStyle w:val="ListBullet"/>
      </w:pPr>
      <w:r w:rsidRPr="00B96836">
        <w:rPr>
          <w:b/>
          <w:bCs/>
        </w:rPr>
        <w:t>Direct avoided (medical) costs:</w:t>
      </w:r>
      <w:r w:rsidRPr="00FB15DB">
        <w:t xml:space="preserve"> direct avoided (medical) costs due to physical inactivity is estimated in the Medibank (2008) study to be </w:t>
      </w:r>
      <w:r w:rsidRPr="00FB15DB">
        <w:rPr>
          <w:b/>
        </w:rPr>
        <w:t>$114</w:t>
      </w:r>
      <w:r w:rsidRPr="00FB15DB">
        <w:rPr>
          <w:vertAlign w:val="superscript"/>
        </w:rPr>
        <w:footnoteReference w:id="54"/>
      </w:r>
      <w:r w:rsidRPr="00FB15DB">
        <w:rPr>
          <w:b/>
        </w:rPr>
        <w:t xml:space="preserve"> per person per year</w:t>
      </w:r>
      <w:r w:rsidRPr="00FB15DB">
        <w:t>. This will be applied to “active” visits to ecosystem assets in the GORCAP region adopting the same approach that is set out in Table 12 (for avoided productivity losses) but using the $114 per person estimate of direct avoided (medical) costs of physical inactivity instead (in Step 3).</w:t>
      </w:r>
    </w:p>
    <w:p w14:paraId="7DE6F4BE" w14:textId="77777777" w:rsidR="00B21991" w:rsidRPr="00FB15DB" w:rsidRDefault="00B21991" w:rsidP="00270081">
      <w:pPr>
        <w:pStyle w:val="Caption"/>
      </w:pPr>
      <w:r w:rsidRPr="00FB15DB">
        <w:t>Table 12. Method to estimate avoided medical costs due to recreation in GORCAP ecosystem assets using the approach adopted by DELWP and Parks Victoria (2015)</w:t>
      </w:r>
    </w:p>
    <w:tbl>
      <w:tblPr>
        <w:tblStyle w:val="TableGrid"/>
        <w:tblW w:w="5000" w:type="pct"/>
        <w:tblLook w:val="04A0" w:firstRow="1" w:lastRow="0" w:firstColumn="1" w:lastColumn="0" w:noHBand="0" w:noVBand="1"/>
      </w:tblPr>
      <w:tblGrid>
        <w:gridCol w:w="4792"/>
        <w:gridCol w:w="4846"/>
      </w:tblGrid>
      <w:tr w:rsidR="009C5096" w:rsidRPr="00FB15DB" w14:paraId="46DD2B46" w14:textId="77777777" w:rsidTr="009C5096">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486" w:type="pct"/>
            <w:tcBorders>
              <w:bottom w:val="single" w:sz="4" w:space="0" w:color="auto"/>
            </w:tcBorders>
          </w:tcPr>
          <w:p w14:paraId="09C9C97E" w14:textId="77777777" w:rsidR="00B21991" w:rsidRPr="00FB15DB" w:rsidRDefault="00B21991" w:rsidP="009C5096">
            <w:pPr>
              <w:pStyle w:val="TableHeadingLeft"/>
            </w:pPr>
            <w:r w:rsidRPr="00FB15DB">
              <w:t>Step</w:t>
            </w:r>
          </w:p>
        </w:tc>
        <w:tc>
          <w:tcPr>
            <w:tcW w:w="2514" w:type="pct"/>
          </w:tcPr>
          <w:p w14:paraId="1D43A351" w14:textId="77777777" w:rsidR="00B21991" w:rsidRPr="00FB15DB" w:rsidRDefault="00B21991" w:rsidP="009C5096">
            <w:pPr>
              <w:pStyle w:val="TableHeadingLeft"/>
              <w:cnfStyle w:val="100000000000" w:firstRow="1" w:lastRow="0" w:firstColumn="0" w:lastColumn="0" w:oddVBand="0" w:evenVBand="0" w:oddHBand="0" w:evenHBand="0" w:firstRowFirstColumn="0" w:firstRowLastColumn="0" w:lastRowFirstColumn="0" w:lastRowLastColumn="0"/>
            </w:pPr>
            <w:r w:rsidRPr="00FB15DB">
              <w:t>Method</w:t>
            </w:r>
          </w:p>
        </w:tc>
      </w:tr>
      <w:tr w:rsidR="00B21991" w:rsidRPr="00FB15DB" w14:paraId="419AC899" w14:textId="77777777" w:rsidTr="009C5096">
        <w:trPr>
          <w:cantSplit/>
        </w:trPr>
        <w:tc>
          <w:tcPr>
            <w:cnfStyle w:val="001000000000" w:firstRow="0" w:lastRow="0" w:firstColumn="1" w:lastColumn="0" w:oddVBand="0" w:evenVBand="0" w:oddHBand="0" w:evenHBand="0" w:firstRowFirstColumn="0" w:firstRowLastColumn="0" w:lastRowFirstColumn="0" w:lastRowLastColumn="0"/>
            <w:tcW w:w="2486" w:type="pct"/>
            <w:shd w:val="clear" w:color="auto" w:fill="E5EDF5"/>
          </w:tcPr>
          <w:p w14:paraId="2DD1F5E5" w14:textId="77777777" w:rsidR="00B21991" w:rsidRPr="00FB15DB" w:rsidRDefault="00B21991" w:rsidP="009C5096">
            <w:pPr>
              <w:pStyle w:val="TableTextLeft"/>
            </w:pPr>
            <w:r w:rsidRPr="00FB15DB">
              <w:t xml:space="preserve">Estimate the total number of recreation visitors where primary purpose is engaging with ecosystem assets. </w:t>
            </w:r>
          </w:p>
        </w:tc>
        <w:tc>
          <w:tcPr>
            <w:tcW w:w="2514" w:type="pct"/>
          </w:tcPr>
          <w:p w14:paraId="6AD32762"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Multiply the total number of visitors to the GORCAP region in 2019 by the percentage where primary purpose is engaging with ecosystem assets.  Responses to the Tourism Research Australia (2013) survey suggests that between 51 per cent and 93 per cent of visitor economy of the GORCAP region is dependent on the existence of ecosystem assets (TRA, 2013), a central estimate of 72 per cent will be used,</w:t>
            </w:r>
          </w:p>
        </w:tc>
      </w:tr>
      <w:tr w:rsidR="00B21991" w:rsidRPr="00FB15DB" w14:paraId="777E5059" w14:textId="77777777" w:rsidTr="009C5096">
        <w:trPr>
          <w:cantSplit/>
        </w:trPr>
        <w:tc>
          <w:tcPr>
            <w:cnfStyle w:val="001000000000" w:firstRow="0" w:lastRow="0" w:firstColumn="1" w:lastColumn="0" w:oddVBand="0" w:evenVBand="0" w:oddHBand="0" w:evenHBand="0" w:firstRowFirstColumn="0" w:firstRowLastColumn="0" w:lastRowFirstColumn="0" w:lastRowLastColumn="0"/>
            <w:tcW w:w="2486" w:type="pct"/>
            <w:shd w:val="clear" w:color="auto" w:fill="E5EDF5"/>
          </w:tcPr>
          <w:p w14:paraId="6A0E61EF" w14:textId="77777777" w:rsidR="00B21991" w:rsidRPr="00FB15DB" w:rsidRDefault="00B21991" w:rsidP="009C5096">
            <w:pPr>
              <w:pStyle w:val="TableTextLeft"/>
            </w:pPr>
            <w:r w:rsidRPr="00FB15DB">
              <w:t>Estimate the total number of recreation visitors where primary purpose is physical exercise (note: one visitor might take multiple visits)</w:t>
            </w:r>
          </w:p>
        </w:tc>
        <w:tc>
          <w:tcPr>
            <w:tcW w:w="2514" w:type="pct"/>
          </w:tcPr>
          <w:p w14:paraId="44CFEB2F"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 xml:space="preserve">Multiply the total number of annual visitors to ecosystem assets within assessment boundary in 2019 (from DJPR, 2020) </w:t>
            </w:r>
            <w:r w:rsidRPr="00FB15DB">
              <w:rPr>
                <w:vertAlign w:val="superscript"/>
              </w:rPr>
              <w:t>a</w:t>
            </w:r>
            <w:r w:rsidRPr="00FB15DB">
              <w:t xml:space="preserve"> by the percentage of visits where primary purpose is physical exercise (10 per cent based on data from Parks Victoria (2021) and Surf Coast Shire (2019), see 3.2.6.(a))</w:t>
            </w:r>
          </w:p>
        </w:tc>
      </w:tr>
      <w:tr w:rsidR="00B21991" w:rsidRPr="00FB15DB" w14:paraId="660D60D4" w14:textId="77777777" w:rsidTr="009C5096">
        <w:trPr>
          <w:cantSplit/>
        </w:trPr>
        <w:tc>
          <w:tcPr>
            <w:cnfStyle w:val="001000000000" w:firstRow="0" w:lastRow="0" w:firstColumn="1" w:lastColumn="0" w:oddVBand="0" w:evenVBand="0" w:oddHBand="0" w:evenHBand="0" w:firstRowFirstColumn="0" w:firstRowLastColumn="0" w:lastRowFirstColumn="0" w:lastRowLastColumn="0"/>
            <w:tcW w:w="2486" w:type="pct"/>
            <w:shd w:val="clear" w:color="auto" w:fill="E5EDF5"/>
          </w:tcPr>
          <w:p w14:paraId="43DD6436" w14:textId="77777777" w:rsidR="00B21991" w:rsidRPr="00FB15DB" w:rsidRDefault="00B21991" w:rsidP="009C5096">
            <w:pPr>
              <w:pStyle w:val="TableTextLeft"/>
            </w:pPr>
            <w:r w:rsidRPr="00FB15DB">
              <w:lastRenderedPageBreak/>
              <w:t>Estimate the contribution of park exercise to minimum recommended level of physical activity (physical flow)</w:t>
            </w:r>
          </w:p>
        </w:tc>
        <w:tc>
          <w:tcPr>
            <w:tcW w:w="2514" w:type="pct"/>
          </w:tcPr>
          <w:p w14:paraId="1F5A4B74"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Multiply number of “active” visitors (Step 2) by the percentage contribution of “national and state” parks to the minimum recommended level of physical activity (DELWP and Parks Victoria, 2015) of 17 per cent.</w:t>
            </w:r>
          </w:p>
        </w:tc>
      </w:tr>
      <w:tr w:rsidR="00B21991" w:rsidRPr="00FB15DB" w14:paraId="7E5C63BC" w14:textId="77777777" w:rsidTr="009C5096">
        <w:trPr>
          <w:cantSplit/>
        </w:trPr>
        <w:tc>
          <w:tcPr>
            <w:cnfStyle w:val="001000000000" w:firstRow="0" w:lastRow="0" w:firstColumn="1" w:lastColumn="0" w:oddVBand="0" w:evenVBand="0" w:oddHBand="0" w:evenHBand="0" w:firstRowFirstColumn="0" w:firstRowLastColumn="0" w:lastRowFirstColumn="0" w:lastRowLastColumn="0"/>
            <w:tcW w:w="2486" w:type="pct"/>
            <w:shd w:val="clear" w:color="auto" w:fill="E5EDF5"/>
          </w:tcPr>
          <w:p w14:paraId="2A488DFE" w14:textId="77777777" w:rsidR="00B21991" w:rsidRPr="00FB15DB" w:rsidRDefault="00B21991" w:rsidP="009C5096">
            <w:pPr>
              <w:pStyle w:val="TableTextLeft"/>
              <w:rPr>
                <w:vertAlign w:val="superscript"/>
              </w:rPr>
            </w:pPr>
            <w:r w:rsidRPr="00FB15DB">
              <w:t xml:space="preserve">Estimate the value of the contribution of park exercise to avoided direct medical costs </w:t>
            </w:r>
            <w:r w:rsidRPr="00FB15DB">
              <w:rPr>
                <w:vertAlign w:val="superscript"/>
              </w:rPr>
              <w:t>b</w:t>
            </w:r>
          </w:p>
        </w:tc>
        <w:tc>
          <w:tcPr>
            <w:tcW w:w="2514" w:type="pct"/>
          </w:tcPr>
          <w:p w14:paraId="3C7C0F1B"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Multiply the proportion of “active” visitor health that is attributable to recreation (Step 3) to the avoided medical costs of physical inactivity of $114 per person per year (Medibank, 2008) that are avoided.</w:t>
            </w:r>
          </w:p>
        </w:tc>
      </w:tr>
    </w:tbl>
    <w:p w14:paraId="5C57ED2D" w14:textId="77777777" w:rsidR="00B21991" w:rsidRPr="00FB15DB" w:rsidRDefault="00B21991" w:rsidP="00D51121">
      <w:pPr>
        <w:pStyle w:val="BodyText12ptBefore"/>
      </w:pPr>
      <w:r w:rsidRPr="00FB15DB">
        <w:rPr>
          <w:vertAlign w:val="superscript"/>
        </w:rPr>
        <w:t xml:space="preserve">a </w:t>
      </w:r>
      <w:r w:rsidRPr="00FB15DB">
        <w:t>DJPR (2020) statistics label “visitors” as opposed to “visits” so it is assumed that this captures the number of visitors to the GORCAP region (who may take multiple trips within a year).</w:t>
      </w:r>
    </w:p>
    <w:p w14:paraId="3432C498" w14:textId="77777777" w:rsidR="00B21991" w:rsidRPr="00FB15DB" w:rsidRDefault="00B21991" w:rsidP="00B21991">
      <w:pPr>
        <w:pStyle w:val="BodyText"/>
      </w:pPr>
      <w:r w:rsidRPr="00FB15DB">
        <w:rPr>
          <w:vertAlign w:val="superscript"/>
        </w:rPr>
        <w:t xml:space="preserve">b </w:t>
      </w:r>
      <w:r w:rsidRPr="00FB15DB">
        <w:t xml:space="preserve">The DELWP and PV (2015) study applied another step to reflect the proportion of all visitors that would not undertake physical activity in the absence of the park. This was done by applying a proportion to the total avoided health costs based on the proportion of inactive (sedentary) people in Australia (56 per cent from VicHealth, 2016). This step is not being pursued for the GORCAP EEA because the purpose of account is to capture the </w:t>
      </w:r>
      <w:r w:rsidRPr="00FB15DB">
        <w:rPr>
          <w:i/>
        </w:rPr>
        <w:t xml:space="preserve">total </w:t>
      </w:r>
      <w:r w:rsidRPr="00FB15DB">
        <w:t xml:space="preserve">value of outdoor recreation, not contemplate alternative behaviour / use of substitutes (e.g., gyms or parks outside of assessment boundary) to undertake physical recreation under a “no ecosystem asset” baseline (i.e., environmental-economic accounting is different from cost-benefit analysis). This is consistent with GDP accounts which capture the total value of consumption of goods and services. The DELWP and PV (2015) estimates are therefore deemed to be underestimates of the current value of park recreation. </w:t>
      </w:r>
    </w:p>
    <w:p w14:paraId="1AACCE9E" w14:textId="77777777" w:rsidR="00B21991" w:rsidRPr="00FB15DB" w:rsidRDefault="00B21991" w:rsidP="00D51121">
      <w:pPr>
        <w:pStyle w:val="Heading3"/>
      </w:pPr>
      <w:bookmarkStart w:id="173" w:name="_Toc98854665"/>
      <w:bookmarkStart w:id="174" w:name="_Toc163547039"/>
      <w:r w:rsidRPr="00D51121">
        <w:t>Biomass</w:t>
      </w:r>
      <w:r w:rsidRPr="00FB15DB">
        <w:t xml:space="preserve"> - timber</w:t>
      </w:r>
      <w:bookmarkEnd w:id="173"/>
      <w:bookmarkEnd w:id="174"/>
    </w:p>
    <w:p w14:paraId="727F3D3E" w14:textId="77777777" w:rsidR="00B21991" w:rsidRPr="00FB15DB" w:rsidRDefault="00B21991" w:rsidP="00B21991">
      <w:pPr>
        <w:pStyle w:val="BodyText"/>
      </w:pPr>
      <w:r w:rsidRPr="00FB15DB">
        <w:t>Commercial timber production in the GORCAP region is supported by ecosystems which provide a range of ecological functions and processes that enable tree biomass to grow. This tree biomass is harvested by the forestry sector as a raw material and used to create timber products, thereby supporting local livelihoods and businesses. Figure 12 sets out the logic chain linking the ecological functioning of ecosystem assets to the socio-economic benefits provided. It shows:</w:t>
      </w:r>
    </w:p>
    <w:p w14:paraId="165D560F" w14:textId="77777777" w:rsidR="00B21991" w:rsidRPr="00FB15DB" w:rsidRDefault="00B21991" w:rsidP="00B21991">
      <w:pPr>
        <w:pStyle w:val="ListBullet"/>
      </w:pPr>
      <w:r w:rsidRPr="00FB15DB">
        <w:t>Tree biomass provision from the GORCAP region will depend in part on the extent, type (i.e., tree species), status (i.e., age structure, yield class) and location of ecosystems (habitats) and species as well as any management of these assets including silvicultural practices (coppicing, thinning, pollarding, shelterwood cutting), prescribed burning and pest and disease control;</w:t>
      </w:r>
    </w:p>
    <w:p w14:paraId="15BB2B88" w14:textId="77777777" w:rsidR="00B21991" w:rsidRPr="00FB15DB" w:rsidRDefault="00B21991" w:rsidP="00B21991">
      <w:pPr>
        <w:pStyle w:val="ListBullet"/>
      </w:pPr>
      <w:r w:rsidRPr="00FB15DB">
        <w:t>The harvesting of tree biomass to produce timber requires the use of machinery, technology and labour.</w:t>
      </w:r>
    </w:p>
    <w:p w14:paraId="4881CF15" w14:textId="77777777" w:rsidR="00B21991" w:rsidRPr="00FB15DB" w:rsidRDefault="00B21991" w:rsidP="00B21991">
      <w:pPr>
        <w:pStyle w:val="ListBullet"/>
      </w:pPr>
      <w:r w:rsidRPr="00FB15DB">
        <w:t>The contribution of the environment (i.e., tree biomass provision) to the socio-economic benefit provided (i.e., timber provision) is valued using a resource rent approach by deducting the cost of man-made inputs from the market price of timber (e.g., machinery and labour).</w:t>
      </w:r>
    </w:p>
    <w:p w14:paraId="2FD7B966" w14:textId="77777777" w:rsidR="009C5096" w:rsidRDefault="009C5096" w:rsidP="00B21991">
      <w:pPr>
        <w:pStyle w:val="BodyText12ptBefore"/>
        <w:rPr>
          <w:b/>
        </w:rPr>
      </w:pPr>
      <w:r>
        <w:rPr>
          <w:b/>
        </w:rPr>
        <w:br w:type="page"/>
      </w:r>
    </w:p>
    <w:p w14:paraId="36F227D4" w14:textId="3FC2D0F9" w:rsidR="00B21991" w:rsidRPr="00FB15DB" w:rsidRDefault="00B21991" w:rsidP="00BA21B4">
      <w:pPr>
        <w:pStyle w:val="Caption"/>
      </w:pPr>
      <w:r w:rsidRPr="00FB15DB">
        <w:lastRenderedPageBreak/>
        <w:t xml:space="preserve">Figure 12. Illustrative logic chain for biomass provision for commercial timber production from ecosystems </w:t>
      </w:r>
    </w:p>
    <w:p w14:paraId="02EEC9A2" w14:textId="77777777" w:rsidR="00B21991" w:rsidRPr="00FB15DB" w:rsidRDefault="00B21991" w:rsidP="00B21991">
      <w:pPr>
        <w:pStyle w:val="BodyText"/>
        <w:rPr>
          <w:b/>
        </w:rPr>
      </w:pPr>
      <w:r w:rsidRPr="00FB15DB">
        <w:rPr>
          <w:noProof/>
        </w:rPr>
        <w:drawing>
          <wp:inline distT="0" distB="0" distL="0" distR="0" wp14:anchorId="50AD9457" wp14:editId="6AA79C9B">
            <wp:extent cx="6320146" cy="3955311"/>
            <wp:effectExtent l="0" t="0" r="5080" b="762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pic:nvPicPr>
                  <pic:blipFill>
                    <a:blip r:embed="rId107" cstate="email">
                      <a:extLst>
                        <a:ext uri="{28A0092B-C50C-407E-A947-70E740481C1C}">
                          <a14:useLocalDpi xmlns:a14="http://schemas.microsoft.com/office/drawing/2010/main"/>
                        </a:ext>
                      </a:extLst>
                    </a:blip>
                    <a:stretch>
                      <a:fillRect/>
                    </a:stretch>
                  </pic:blipFill>
                  <pic:spPr>
                    <a:xfrm>
                      <a:off x="0" y="0"/>
                      <a:ext cx="6320146" cy="3955311"/>
                    </a:xfrm>
                    <a:prstGeom prst="rect">
                      <a:avLst/>
                    </a:prstGeom>
                  </pic:spPr>
                </pic:pic>
              </a:graphicData>
            </a:graphic>
          </wp:inline>
        </w:drawing>
      </w:r>
    </w:p>
    <w:p w14:paraId="1DBA089F" w14:textId="77777777" w:rsidR="00B21991" w:rsidRPr="00FB15DB" w:rsidRDefault="00B21991" w:rsidP="00B21991">
      <w:pPr>
        <w:pStyle w:val="BodyText"/>
      </w:pPr>
      <w:r w:rsidRPr="00FB15DB">
        <w:t>In Victoria, timber is harvested from plantation forests</w:t>
      </w:r>
      <w:r w:rsidRPr="00FB15DB">
        <w:rPr>
          <w:vertAlign w:val="superscript"/>
        </w:rPr>
        <w:footnoteReference w:id="55"/>
      </w:r>
      <w:r w:rsidRPr="00FB15DB">
        <w:t xml:space="preserve"> on private and public land and from native forests in select areas of state forest.</w:t>
      </w:r>
      <w:r w:rsidRPr="00FB15DB">
        <w:rPr>
          <w:vertAlign w:val="superscript"/>
        </w:rPr>
        <w:footnoteReference w:id="56"/>
      </w:r>
      <w:r w:rsidRPr="00FB15DB">
        <w:t xml:space="preserve"> Forests in Victoria provide three types of timber: sawlog, pulp log and other wood which includes purposes such as posts, poles and firewood (VEAC, 2017).</w:t>
      </w:r>
      <w:r w:rsidRPr="00FB15DB">
        <w:rPr>
          <w:vertAlign w:val="superscript"/>
        </w:rPr>
        <w:footnoteReference w:id="57"/>
      </w:r>
      <w:r w:rsidRPr="00FB15DB">
        <w:t xml:space="preserve"> The volume of plantation timber that is used for firewood in Victoria is unknown (DELWP, 2019) and so has not been quantified and valued separately (i.e. as “biomass for energy” ecosystem service) for this initial GORCAP EEA. See Annex 3, Section A3.1 for more information on the reviewed information on timber harvesting in Victoria that was used to inform the approach to quantifying and valuing this ecosystem service for the GORCAP EEA. </w:t>
      </w:r>
    </w:p>
    <w:p w14:paraId="04E97B28" w14:textId="77777777" w:rsidR="00B21991" w:rsidRPr="00FB15DB" w:rsidRDefault="00B21991" w:rsidP="000035CB">
      <w:pPr>
        <w:pStyle w:val="AlphaHeading4"/>
        <w:numPr>
          <w:ilvl w:val="0"/>
          <w:numId w:val="64"/>
        </w:numPr>
      </w:pPr>
      <w:r w:rsidRPr="00FB15DB">
        <w:t xml:space="preserve">Physical provision of biomass for timber </w:t>
      </w:r>
    </w:p>
    <w:p w14:paraId="0C266B47" w14:textId="77777777" w:rsidR="00B21991" w:rsidRPr="00FB15DB" w:rsidRDefault="00B21991" w:rsidP="00B21991">
      <w:pPr>
        <w:pStyle w:val="BodyText"/>
      </w:pPr>
      <w:r w:rsidRPr="00FB15DB">
        <w:t xml:space="preserve">The study team understands that there is currently no harvesting of state forests within the GORCAP region (pers. comm. Andrew Standish, DELWP) so only logging of plantation forests is of relevance to the GORCAP EEA. Based on the literature review (see Annex 3, Section A3.1), it was decided to use the ABARES (2020) data for 2018-19 to estimate the average volume of timber produced per hectare of plantation forest in Victoria (see Table 13) and apply this to forests in the GORCAP region (assuming production in these forests is representative of the Victorian average). </w:t>
      </w:r>
    </w:p>
    <w:p w14:paraId="14F0E55C" w14:textId="77777777" w:rsidR="009C5096" w:rsidRDefault="009C5096" w:rsidP="00B21991">
      <w:pPr>
        <w:pStyle w:val="BodyText"/>
        <w:rPr>
          <w:b/>
        </w:rPr>
      </w:pPr>
      <w:r>
        <w:rPr>
          <w:b/>
        </w:rPr>
        <w:br w:type="page"/>
      </w:r>
    </w:p>
    <w:p w14:paraId="38EE29AE" w14:textId="56FBCCE9" w:rsidR="00B21991" w:rsidRPr="00FB15DB" w:rsidRDefault="00B21991" w:rsidP="00270081">
      <w:pPr>
        <w:pStyle w:val="Caption"/>
      </w:pPr>
      <w:r w:rsidRPr="00FB15DB">
        <w:lastRenderedPageBreak/>
        <w:t>Table 13. Estimates of average value of timber produced per hectare of plantation forest in Victoria ABARES (2020)</w:t>
      </w:r>
    </w:p>
    <w:tbl>
      <w:tblPr>
        <w:tblStyle w:val="TableGrid"/>
        <w:tblW w:w="5000" w:type="pct"/>
        <w:tblLook w:val="04A0" w:firstRow="1" w:lastRow="0" w:firstColumn="1" w:lastColumn="0" w:noHBand="0" w:noVBand="1"/>
      </w:tblPr>
      <w:tblGrid>
        <w:gridCol w:w="1204"/>
        <w:gridCol w:w="1465"/>
        <w:gridCol w:w="3893"/>
        <w:gridCol w:w="1116"/>
        <w:gridCol w:w="933"/>
        <w:gridCol w:w="1027"/>
      </w:tblGrid>
      <w:tr w:rsidR="00B21991" w:rsidRPr="00FB15DB" w14:paraId="757630B9" w14:textId="77777777" w:rsidTr="009C50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6" w:type="pct"/>
          </w:tcPr>
          <w:p w14:paraId="5F339C6B" w14:textId="77777777" w:rsidR="00B21991" w:rsidRPr="00FB15DB" w:rsidRDefault="00B21991" w:rsidP="009C5096">
            <w:pPr>
              <w:pStyle w:val="TableHeadingLeft"/>
            </w:pPr>
          </w:p>
        </w:tc>
        <w:tc>
          <w:tcPr>
            <w:tcW w:w="2791" w:type="pct"/>
            <w:gridSpan w:val="2"/>
          </w:tcPr>
          <w:p w14:paraId="5A0490E2" w14:textId="77777777" w:rsidR="00B21991" w:rsidRPr="00FB15DB" w:rsidRDefault="00B21991" w:rsidP="009C5096">
            <w:pPr>
              <w:pStyle w:val="TableHeadingLeft"/>
              <w:cnfStyle w:val="100000000000" w:firstRow="1" w:lastRow="0" w:firstColumn="0" w:lastColumn="0" w:oddVBand="0" w:evenVBand="0" w:oddHBand="0" w:evenHBand="0" w:firstRowFirstColumn="0" w:firstRowLastColumn="0" w:lastRowFirstColumn="0" w:lastRowLastColumn="0"/>
            </w:pPr>
          </w:p>
        </w:tc>
        <w:tc>
          <w:tcPr>
            <w:tcW w:w="558" w:type="pct"/>
          </w:tcPr>
          <w:p w14:paraId="7C370A09" w14:textId="77777777" w:rsidR="00B21991" w:rsidRPr="00FB15DB" w:rsidRDefault="00B21991" w:rsidP="009C5096">
            <w:pPr>
              <w:pStyle w:val="TableHeadingLeft"/>
              <w:cnfStyle w:val="100000000000" w:firstRow="1" w:lastRow="0" w:firstColumn="0" w:lastColumn="0" w:oddVBand="0" w:evenVBand="0" w:oddHBand="0" w:evenHBand="0" w:firstRowFirstColumn="0" w:firstRowLastColumn="0" w:lastRowFirstColumn="0" w:lastRowLastColumn="0"/>
            </w:pPr>
            <w:r w:rsidRPr="00FB15DB">
              <w:t>Estimate</w:t>
            </w:r>
          </w:p>
        </w:tc>
        <w:tc>
          <w:tcPr>
            <w:tcW w:w="488" w:type="pct"/>
          </w:tcPr>
          <w:p w14:paraId="6688F699" w14:textId="77777777" w:rsidR="00B21991" w:rsidRPr="00FB15DB" w:rsidRDefault="00B21991" w:rsidP="009C5096">
            <w:pPr>
              <w:pStyle w:val="TableHeadingLeft"/>
              <w:cnfStyle w:val="100000000000" w:firstRow="1" w:lastRow="0" w:firstColumn="0" w:lastColumn="0" w:oddVBand="0" w:evenVBand="0" w:oddHBand="0" w:evenHBand="0" w:firstRowFirstColumn="0" w:firstRowLastColumn="0" w:lastRowFirstColumn="0" w:lastRowLastColumn="0"/>
            </w:pPr>
            <w:r w:rsidRPr="00FB15DB">
              <w:t>Metric</w:t>
            </w:r>
          </w:p>
        </w:tc>
        <w:tc>
          <w:tcPr>
            <w:tcW w:w="537" w:type="pct"/>
          </w:tcPr>
          <w:p w14:paraId="2F694B30" w14:textId="77777777" w:rsidR="00B21991" w:rsidRPr="00FB15DB" w:rsidRDefault="00B21991" w:rsidP="009C5096">
            <w:pPr>
              <w:pStyle w:val="TableHeadingLeft"/>
              <w:cnfStyle w:val="100000000000" w:firstRow="1" w:lastRow="0" w:firstColumn="0" w:lastColumn="0" w:oddVBand="0" w:evenVBand="0" w:oddHBand="0" w:evenHBand="0" w:firstRowFirstColumn="0" w:firstRowLastColumn="0" w:lastRowFirstColumn="0" w:lastRowLastColumn="0"/>
            </w:pPr>
            <w:r w:rsidRPr="00FB15DB">
              <w:t>Year</w:t>
            </w:r>
          </w:p>
        </w:tc>
      </w:tr>
      <w:tr w:rsidR="009C5096" w:rsidRPr="00FB15DB" w14:paraId="7F99DBE0" w14:textId="77777777" w:rsidTr="009C5096">
        <w:tc>
          <w:tcPr>
            <w:cnfStyle w:val="001000000000" w:firstRow="0" w:lastRow="0" w:firstColumn="1" w:lastColumn="0" w:oddVBand="0" w:evenVBand="0" w:oddHBand="0" w:evenHBand="0" w:firstRowFirstColumn="0" w:firstRowLastColumn="0" w:lastRowFirstColumn="0" w:lastRowLastColumn="0"/>
            <w:tcW w:w="626" w:type="pct"/>
            <w:vMerge w:val="restart"/>
          </w:tcPr>
          <w:p w14:paraId="52382390" w14:textId="77777777" w:rsidR="00B21991" w:rsidRPr="009C5096" w:rsidRDefault="00B21991" w:rsidP="009C5096">
            <w:pPr>
              <w:pStyle w:val="TableTextLeft"/>
              <w:rPr>
                <w:b/>
                <w:bCs/>
              </w:rPr>
            </w:pPr>
            <w:r w:rsidRPr="009C5096">
              <w:rPr>
                <w:b/>
                <w:bCs/>
              </w:rPr>
              <w:t>Hardwood plantation</w:t>
            </w:r>
          </w:p>
        </w:tc>
        <w:tc>
          <w:tcPr>
            <w:tcW w:w="2791" w:type="pct"/>
            <w:gridSpan w:val="2"/>
          </w:tcPr>
          <w:p w14:paraId="4EB93CFA"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Total area</w:t>
            </w:r>
          </w:p>
        </w:tc>
        <w:tc>
          <w:tcPr>
            <w:tcW w:w="558" w:type="pct"/>
          </w:tcPr>
          <w:p w14:paraId="336531B7"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194,100</w:t>
            </w:r>
          </w:p>
        </w:tc>
        <w:tc>
          <w:tcPr>
            <w:tcW w:w="488" w:type="pct"/>
          </w:tcPr>
          <w:p w14:paraId="4C310CBA"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Ha</w:t>
            </w:r>
          </w:p>
        </w:tc>
        <w:tc>
          <w:tcPr>
            <w:tcW w:w="537" w:type="pct"/>
          </w:tcPr>
          <w:p w14:paraId="10C20DD8"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2018-19</w:t>
            </w:r>
          </w:p>
        </w:tc>
      </w:tr>
      <w:tr w:rsidR="009C5096" w:rsidRPr="00FB15DB" w14:paraId="06C8284A" w14:textId="77777777" w:rsidTr="009C5096">
        <w:tc>
          <w:tcPr>
            <w:cnfStyle w:val="001000000000" w:firstRow="0" w:lastRow="0" w:firstColumn="1" w:lastColumn="0" w:oddVBand="0" w:evenVBand="0" w:oddHBand="0" w:evenHBand="0" w:firstRowFirstColumn="0" w:firstRowLastColumn="0" w:lastRowFirstColumn="0" w:lastRowLastColumn="0"/>
            <w:tcW w:w="626" w:type="pct"/>
            <w:vMerge/>
          </w:tcPr>
          <w:p w14:paraId="4C951A5C" w14:textId="77777777" w:rsidR="00B21991" w:rsidRPr="009C5096" w:rsidRDefault="00B21991" w:rsidP="009C5096">
            <w:pPr>
              <w:pStyle w:val="TableTextLeft"/>
              <w:rPr>
                <w:b/>
                <w:bCs/>
              </w:rPr>
            </w:pPr>
          </w:p>
        </w:tc>
        <w:tc>
          <w:tcPr>
            <w:tcW w:w="2791" w:type="pct"/>
            <w:gridSpan w:val="2"/>
          </w:tcPr>
          <w:p w14:paraId="0F210A2D"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Total volume of logs</w:t>
            </w:r>
          </w:p>
        </w:tc>
        <w:tc>
          <w:tcPr>
            <w:tcW w:w="558" w:type="pct"/>
          </w:tcPr>
          <w:p w14:paraId="01901028"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3,893,000</w:t>
            </w:r>
          </w:p>
        </w:tc>
        <w:tc>
          <w:tcPr>
            <w:tcW w:w="488" w:type="pct"/>
          </w:tcPr>
          <w:p w14:paraId="0EC87DAA"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m</w:t>
            </w:r>
            <w:r w:rsidRPr="00FB15DB">
              <w:rPr>
                <w:vertAlign w:val="superscript"/>
              </w:rPr>
              <w:t>3</w:t>
            </w:r>
          </w:p>
        </w:tc>
        <w:tc>
          <w:tcPr>
            <w:tcW w:w="537" w:type="pct"/>
          </w:tcPr>
          <w:p w14:paraId="3C899FE7"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2018-19</w:t>
            </w:r>
          </w:p>
        </w:tc>
      </w:tr>
      <w:tr w:rsidR="009C5096" w:rsidRPr="00FB15DB" w14:paraId="44A08093" w14:textId="77777777" w:rsidTr="009C5096">
        <w:tc>
          <w:tcPr>
            <w:cnfStyle w:val="001000000000" w:firstRow="0" w:lastRow="0" w:firstColumn="1" w:lastColumn="0" w:oddVBand="0" w:evenVBand="0" w:oddHBand="0" w:evenHBand="0" w:firstRowFirstColumn="0" w:firstRowLastColumn="0" w:lastRowFirstColumn="0" w:lastRowLastColumn="0"/>
            <w:tcW w:w="626" w:type="pct"/>
            <w:vMerge/>
          </w:tcPr>
          <w:p w14:paraId="47BE6611" w14:textId="77777777" w:rsidR="00B21991" w:rsidRPr="009C5096" w:rsidRDefault="00B21991" w:rsidP="009C5096">
            <w:pPr>
              <w:pStyle w:val="TableTextLeft"/>
              <w:rPr>
                <w:b/>
                <w:bCs/>
              </w:rPr>
            </w:pPr>
          </w:p>
        </w:tc>
        <w:tc>
          <w:tcPr>
            <w:tcW w:w="2791" w:type="pct"/>
            <w:gridSpan w:val="2"/>
          </w:tcPr>
          <w:p w14:paraId="6E5E6314"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Per hectare volume of logs</w:t>
            </w:r>
          </w:p>
        </w:tc>
        <w:tc>
          <w:tcPr>
            <w:tcW w:w="558" w:type="pct"/>
          </w:tcPr>
          <w:p w14:paraId="360BEC5B"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20</w:t>
            </w:r>
          </w:p>
        </w:tc>
        <w:tc>
          <w:tcPr>
            <w:tcW w:w="488" w:type="pct"/>
          </w:tcPr>
          <w:p w14:paraId="02771CBB"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m</w:t>
            </w:r>
            <w:r w:rsidRPr="00FB15DB">
              <w:rPr>
                <w:vertAlign w:val="superscript"/>
              </w:rPr>
              <w:t xml:space="preserve">3 </w:t>
            </w:r>
            <w:r w:rsidRPr="00FB15DB">
              <w:t>/ Ha</w:t>
            </w:r>
          </w:p>
        </w:tc>
        <w:tc>
          <w:tcPr>
            <w:tcW w:w="537" w:type="pct"/>
          </w:tcPr>
          <w:p w14:paraId="2E95D1DB"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2018-19</w:t>
            </w:r>
          </w:p>
        </w:tc>
      </w:tr>
      <w:tr w:rsidR="009C5096" w:rsidRPr="00FB15DB" w14:paraId="2DFEC614" w14:textId="77777777" w:rsidTr="009C5096">
        <w:tc>
          <w:tcPr>
            <w:cnfStyle w:val="001000000000" w:firstRow="0" w:lastRow="0" w:firstColumn="1" w:lastColumn="0" w:oddVBand="0" w:evenVBand="0" w:oddHBand="0" w:evenHBand="0" w:firstRowFirstColumn="0" w:firstRowLastColumn="0" w:lastRowFirstColumn="0" w:lastRowLastColumn="0"/>
            <w:tcW w:w="626" w:type="pct"/>
            <w:vMerge w:val="restart"/>
          </w:tcPr>
          <w:p w14:paraId="5C7152DB" w14:textId="77777777" w:rsidR="00B21991" w:rsidRPr="009C5096" w:rsidRDefault="00B21991" w:rsidP="009C5096">
            <w:pPr>
              <w:pStyle w:val="TableTextLeft"/>
              <w:rPr>
                <w:b/>
                <w:bCs/>
              </w:rPr>
            </w:pPr>
            <w:r w:rsidRPr="009C5096">
              <w:rPr>
                <w:b/>
                <w:bCs/>
              </w:rPr>
              <w:t>Softwood plantation</w:t>
            </w:r>
          </w:p>
        </w:tc>
        <w:tc>
          <w:tcPr>
            <w:tcW w:w="767" w:type="pct"/>
            <w:vMerge w:val="restart"/>
          </w:tcPr>
          <w:p w14:paraId="02847208"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Area</w:t>
            </w:r>
          </w:p>
        </w:tc>
        <w:tc>
          <w:tcPr>
            <w:tcW w:w="2024" w:type="pct"/>
          </w:tcPr>
          <w:p w14:paraId="2E17418C"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Softwood plantation</w:t>
            </w:r>
          </w:p>
        </w:tc>
        <w:tc>
          <w:tcPr>
            <w:tcW w:w="558" w:type="pct"/>
          </w:tcPr>
          <w:p w14:paraId="4D3A6AE2"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223,600</w:t>
            </w:r>
          </w:p>
        </w:tc>
        <w:tc>
          <w:tcPr>
            <w:tcW w:w="488" w:type="pct"/>
          </w:tcPr>
          <w:p w14:paraId="55233478"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Ha</w:t>
            </w:r>
          </w:p>
        </w:tc>
        <w:tc>
          <w:tcPr>
            <w:tcW w:w="537" w:type="pct"/>
          </w:tcPr>
          <w:p w14:paraId="42A0CDAA"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2018-19</w:t>
            </w:r>
          </w:p>
        </w:tc>
      </w:tr>
      <w:tr w:rsidR="009C5096" w:rsidRPr="00FB15DB" w14:paraId="0C2668A6" w14:textId="77777777" w:rsidTr="009C5096">
        <w:tc>
          <w:tcPr>
            <w:cnfStyle w:val="001000000000" w:firstRow="0" w:lastRow="0" w:firstColumn="1" w:lastColumn="0" w:oddVBand="0" w:evenVBand="0" w:oddHBand="0" w:evenHBand="0" w:firstRowFirstColumn="0" w:firstRowLastColumn="0" w:lastRowFirstColumn="0" w:lastRowLastColumn="0"/>
            <w:tcW w:w="626" w:type="pct"/>
            <w:vMerge/>
          </w:tcPr>
          <w:p w14:paraId="2201C682" w14:textId="77777777" w:rsidR="00B21991" w:rsidRPr="00FB15DB" w:rsidRDefault="00B21991" w:rsidP="009C5096">
            <w:pPr>
              <w:pStyle w:val="TableTextLeft"/>
            </w:pPr>
          </w:p>
        </w:tc>
        <w:tc>
          <w:tcPr>
            <w:tcW w:w="767" w:type="pct"/>
            <w:vMerge/>
          </w:tcPr>
          <w:p w14:paraId="39292984"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p>
        </w:tc>
        <w:tc>
          <w:tcPr>
            <w:tcW w:w="2024" w:type="pct"/>
          </w:tcPr>
          <w:p w14:paraId="7B2A80F2"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Total native (</w:t>
            </w:r>
            <w:r w:rsidRPr="009C5096">
              <w:rPr>
                <w:i/>
                <w:iCs/>
              </w:rPr>
              <w:t>incl. softwood and hardwood)</w:t>
            </w:r>
          </w:p>
        </w:tc>
        <w:tc>
          <w:tcPr>
            <w:tcW w:w="558" w:type="pct"/>
          </w:tcPr>
          <w:p w14:paraId="28A1B582"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7,645</w:t>
            </w:r>
          </w:p>
        </w:tc>
        <w:tc>
          <w:tcPr>
            <w:tcW w:w="488" w:type="pct"/>
          </w:tcPr>
          <w:p w14:paraId="5EBCFDCA"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Ha</w:t>
            </w:r>
          </w:p>
        </w:tc>
        <w:tc>
          <w:tcPr>
            <w:tcW w:w="537" w:type="pct"/>
          </w:tcPr>
          <w:p w14:paraId="136105C1"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2016</w:t>
            </w:r>
          </w:p>
        </w:tc>
      </w:tr>
      <w:tr w:rsidR="009C5096" w:rsidRPr="00FB15DB" w14:paraId="1BD868F2" w14:textId="77777777" w:rsidTr="009C5096">
        <w:tc>
          <w:tcPr>
            <w:cnfStyle w:val="001000000000" w:firstRow="0" w:lastRow="0" w:firstColumn="1" w:lastColumn="0" w:oddVBand="0" w:evenVBand="0" w:oddHBand="0" w:evenHBand="0" w:firstRowFirstColumn="0" w:firstRowLastColumn="0" w:lastRowFirstColumn="0" w:lastRowLastColumn="0"/>
            <w:tcW w:w="626" w:type="pct"/>
            <w:vMerge/>
          </w:tcPr>
          <w:p w14:paraId="3889703D" w14:textId="77777777" w:rsidR="00B21991" w:rsidRPr="00FB15DB" w:rsidRDefault="00B21991" w:rsidP="009C5096">
            <w:pPr>
              <w:pStyle w:val="TableTextLeft"/>
            </w:pPr>
          </w:p>
        </w:tc>
        <w:tc>
          <w:tcPr>
            <w:tcW w:w="767" w:type="pct"/>
            <w:vMerge/>
          </w:tcPr>
          <w:p w14:paraId="0BA39607"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p>
        </w:tc>
        <w:tc>
          <w:tcPr>
            <w:tcW w:w="2024" w:type="pct"/>
          </w:tcPr>
          <w:p w14:paraId="1DBF310F"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 xml:space="preserve">Total </w:t>
            </w:r>
          </w:p>
        </w:tc>
        <w:tc>
          <w:tcPr>
            <w:tcW w:w="558" w:type="pct"/>
          </w:tcPr>
          <w:p w14:paraId="4AC9CDDC"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231,245</w:t>
            </w:r>
          </w:p>
        </w:tc>
        <w:tc>
          <w:tcPr>
            <w:tcW w:w="488" w:type="pct"/>
          </w:tcPr>
          <w:p w14:paraId="3AEB60B7"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Ha</w:t>
            </w:r>
          </w:p>
        </w:tc>
        <w:tc>
          <w:tcPr>
            <w:tcW w:w="537" w:type="pct"/>
          </w:tcPr>
          <w:p w14:paraId="72EA269E"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2016-19</w:t>
            </w:r>
          </w:p>
        </w:tc>
      </w:tr>
      <w:tr w:rsidR="009C5096" w:rsidRPr="00FB15DB" w14:paraId="5F0D75B2" w14:textId="77777777" w:rsidTr="009C5096">
        <w:tc>
          <w:tcPr>
            <w:cnfStyle w:val="001000000000" w:firstRow="0" w:lastRow="0" w:firstColumn="1" w:lastColumn="0" w:oddVBand="0" w:evenVBand="0" w:oddHBand="0" w:evenHBand="0" w:firstRowFirstColumn="0" w:firstRowLastColumn="0" w:lastRowFirstColumn="0" w:lastRowLastColumn="0"/>
            <w:tcW w:w="626" w:type="pct"/>
            <w:vMerge/>
          </w:tcPr>
          <w:p w14:paraId="583ED4F8" w14:textId="77777777" w:rsidR="00B21991" w:rsidRPr="00FB15DB" w:rsidRDefault="00B21991" w:rsidP="009C5096">
            <w:pPr>
              <w:pStyle w:val="TableTextLeft"/>
            </w:pPr>
          </w:p>
        </w:tc>
        <w:tc>
          <w:tcPr>
            <w:tcW w:w="767" w:type="pct"/>
          </w:tcPr>
          <w:p w14:paraId="7D7D0BC0"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Volume of logs</w:t>
            </w:r>
          </w:p>
        </w:tc>
        <w:tc>
          <w:tcPr>
            <w:tcW w:w="2024" w:type="pct"/>
          </w:tcPr>
          <w:p w14:paraId="4138C6E7"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 xml:space="preserve">Total softwood </w:t>
            </w:r>
            <w:r w:rsidRPr="009C5096">
              <w:rPr>
                <w:i/>
                <w:iCs/>
              </w:rPr>
              <w:t>(incl. plantation and native</w:t>
            </w:r>
            <w:r w:rsidRPr="00FB15DB">
              <w:t>)</w:t>
            </w:r>
          </w:p>
        </w:tc>
        <w:tc>
          <w:tcPr>
            <w:tcW w:w="558" w:type="pct"/>
          </w:tcPr>
          <w:p w14:paraId="3A335307"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3,888,000</w:t>
            </w:r>
          </w:p>
        </w:tc>
        <w:tc>
          <w:tcPr>
            <w:tcW w:w="488" w:type="pct"/>
          </w:tcPr>
          <w:p w14:paraId="5E04F57A"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m</w:t>
            </w:r>
            <w:r w:rsidRPr="00FB15DB">
              <w:rPr>
                <w:vertAlign w:val="superscript"/>
              </w:rPr>
              <w:t>3</w:t>
            </w:r>
          </w:p>
        </w:tc>
        <w:tc>
          <w:tcPr>
            <w:tcW w:w="537" w:type="pct"/>
          </w:tcPr>
          <w:p w14:paraId="7F4A4386"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2016-19</w:t>
            </w:r>
          </w:p>
        </w:tc>
      </w:tr>
      <w:tr w:rsidR="009C5096" w:rsidRPr="00FB15DB" w14:paraId="0C9F0B5E" w14:textId="77777777" w:rsidTr="009C5096">
        <w:tc>
          <w:tcPr>
            <w:cnfStyle w:val="001000000000" w:firstRow="0" w:lastRow="0" w:firstColumn="1" w:lastColumn="0" w:oddVBand="0" w:evenVBand="0" w:oddHBand="0" w:evenHBand="0" w:firstRowFirstColumn="0" w:firstRowLastColumn="0" w:lastRowFirstColumn="0" w:lastRowLastColumn="0"/>
            <w:tcW w:w="626" w:type="pct"/>
            <w:vMerge/>
          </w:tcPr>
          <w:p w14:paraId="22691DFC" w14:textId="77777777" w:rsidR="00B21991" w:rsidRPr="00FB15DB" w:rsidRDefault="00B21991" w:rsidP="009C5096">
            <w:pPr>
              <w:pStyle w:val="TableTextLeft"/>
            </w:pPr>
          </w:p>
        </w:tc>
        <w:tc>
          <w:tcPr>
            <w:tcW w:w="2791" w:type="pct"/>
            <w:gridSpan w:val="2"/>
          </w:tcPr>
          <w:p w14:paraId="35B00ABD"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rPr>
                <w:vertAlign w:val="superscript"/>
              </w:rPr>
            </w:pPr>
            <w:r w:rsidRPr="00FB15DB">
              <w:t xml:space="preserve">Per hectare volume of logs </w:t>
            </w:r>
            <w:r w:rsidRPr="00FB15DB">
              <w:rPr>
                <w:vertAlign w:val="superscript"/>
              </w:rPr>
              <w:t>a</w:t>
            </w:r>
          </w:p>
        </w:tc>
        <w:tc>
          <w:tcPr>
            <w:tcW w:w="558" w:type="pct"/>
          </w:tcPr>
          <w:p w14:paraId="3D98C55C"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17</w:t>
            </w:r>
          </w:p>
        </w:tc>
        <w:tc>
          <w:tcPr>
            <w:tcW w:w="488" w:type="pct"/>
          </w:tcPr>
          <w:p w14:paraId="28D825F4"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m</w:t>
            </w:r>
            <w:r w:rsidRPr="00FB15DB">
              <w:rPr>
                <w:vertAlign w:val="superscript"/>
              </w:rPr>
              <w:t xml:space="preserve">3 </w:t>
            </w:r>
            <w:r w:rsidRPr="00FB15DB">
              <w:t>/ Ha</w:t>
            </w:r>
          </w:p>
        </w:tc>
        <w:tc>
          <w:tcPr>
            <w:tcW w:w="537" w:type="pct"/>
          </w:tcPr>
          <w:p w14:paraId="0734B8B7"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2016-19</w:t>
            </w:r>
          </w:p>
        </w:tc>
      </w:tr>
    </w:tbl>
    <w:p w14:paraId="75BD3EEA" w14:textId="77777777" w:rsidR="00B21991" w:rsidRPr="00FB15DB" w:rsidRDefault="00B21991" w:rsidP="00B21991">
      <w:pPr>
        <w:pStyle w:val="BodyText"/>
      </w:pPr>
      <w:proofErr w:type="spellStart"/>
      <w:proofErr w:type="gramStart"/>
      <w:r w:rsidRPr="00FB15DB">
        <w:rPr>
          <w:vertAlign w:val="superscript"/>
        </w:rPr>
        <w:t>a</w:t>
      </w:r>
      <w:proofErr w:type="spellEnd"/>
      <w:proofErr w:type="gramEnd"/>
      <w:r w:rsidRPr="00FB15DB">
        <w:rPr>
          <w:vertAlign w:val="superscript"/>
        </w:rPr>
        <w:t xml:space="preserve"> </w:t>
      </w:r>
      <w:r w:rsidRPr="00FB15DB">
        <w:t xml:space="preserve">Estimated using the softwood plantation area (ha) plus total native forest (softwood and hardwood) area (ha) because only the total volume of softwoods logs produced in Victoria is available. See text for further explanation. </w:t>
      </w:r>
    </w:p>
    <w:p w14:paraId="78239FE6" w14:textId="77777777" w:rsidR="00B21991" w:rsidRPr="00FB15DB" w:rsidRDefault="00B21991" w:rsidP="00B21991">
      <w:pPr>
        <w:pStyle w:val="BodyText"/>
      </w:pPr>
      <w:r w:rsidRPr="00FB15DB">
        <w:t>Table 13 shows that average hardwood and softwood production estimates per hectare of forest are developed based on ABARES (2020) statistics as follows:</w:t>
      </w:r>
    </w:p>
    <w:p w14:paraId="09BA355E" w14:textId="77777777" w:rsidR="00B21991" w:rsidRPr="00FB15DB" w:rsidRDefault="00B21991" w:rsidP="00B21991">
      <w:pPr>
        <w:pStyle w:val="ListBullet"/>
      </w:pPr>
      <w:r w:rsidRPr="00B96836">
        <w:rPr>
          <w:b/>
          <w:bCs/>
        </w:rPr>
        <w:t>Hardwood production:</w:t>
      </w:r>
      <w:r w:rsidRPr="00FB15DB">
        <w:t xml:space="preserve"> average per hectare estimates of timber volumes (m</w:t>
      </w:r>
      <w:r w:rsidRPr="00FB15DB">
        <w:rPr>
          <w:vertAlign w:val="superscript"/>
        </w:rPr>
        <w:t xml:space="preserve">3 / </w:t>
      </w:r>
      <w:r w:rsidRPr="00FB15DB">
        <w:t xml:space="preserve">ha) from hardwood plantation forest in Victoria is estimated by dividing the total volume of hardwood logs produced in Victoria by the total area of hardwood plantation in Victoria. </w:t>
      </w:r>
    </w:p>
    <w:p w14:paraId="479DFF89" w14:textId="77777777" w:rsidR="00B21991" w:rsidRPr="00FB15DB" w:rsidRDefault="00B21991" w:rsidP="00B21991">
      <w:pPr>
        <w:pStyle w:val="ListBullet"/>
      </w:pPr>
      <w:r w:rsidRPr="00B96836">
        <w:rPr>
          <w:b/>
          <w:bCs/>
        </w:rPr>
        <w:t>Softwood production:</w:t>
      </w:r>
      <w:r w:rsidRPr="00FB15DB">
        <w:t xml:space="preserve"> There is no estimate of the total volume of plantation softwood production that can be divided across the area of softwood plantation to estimate a per hectare volume of softwood plantation logs produced. Therefore, in order to estimate the per hectare volume of softwood logs from plantation forests the study team added the total native forest area (of 7,645 ha, which includes hardwood area) to the estimated softwood plantation area (223,600 ha) and used this total area (231,245 ha) as the area of land across which to divide softwood log production (3.88 million m</w:t>
      </w:r>
      <w:r w:rsidRPr="00FB15DB">
        <w:rPr>
          <w:vertAlign w:val="superscript"/>
        </w:rPr>
        <w:t>3</w:t>
      </w:r>
      <w:r w:rsidRPr="00FB15DB">
        <w:t>). The extent to which this will underestimate or overestimate the per hectare volume of logs from plantation forests will depend on the relative productivity of plantation forests compared to native forests in terms of softwood log volume per hectare. If a greater volume (m</w:t>
      </w:r>
      <w:r w:rsidRPr="00FB15DB">
        <w:rPr>
          <w:vertAlign w:val="superscript"/>
        </w:rPr>
        <w:t>3</w:t>
      </w:r>
      <w:r w:rsidRPr="00FB15DB">
        <w:t>) of softwood harvesting exists per hectare of native forest compared to plantation forest, then the estimate of per hectare volume of softwood logs from plantation forests in Table 13 (i.e., 17 m</w:t>
      </w:r>
      <w:r w:rsidRPr="00FB15DB">
        <w:rPr>
          <w:vertAlign w:val="superscript"/>
        </w:rPr>
        <w:t xml:space="preserve">3 </w:t>
      </w:r>
      <w:r w:rsidRPr="00FB15DB">
        <w:t xml:space="preserve">/ Ha) will be an overestimate and vice-versa. </w:t>
      </w:r>
    </w:p>
    <w:p w14:paraId="136100F1" w14:textId="77777777" w:rsidR="00B21991" w:rsidRPr="00FB15DB" w:rsidRDefault="00B21991" w:rsidP="00B21991">
      <w:pPr>
        <w:pStyle w:val="BodyText12ptBefore"/>
      </w:pPr>
      <w:r w:rsidRPr="00FB15DB">
        <w:t>These average hardwood and softwood production volume (m</w:t>
      </w:r>
      <w:r w:rsidRPr="00FB15DB">
        <w:rPr>
          <w:vertAlign w:val="superscript"/>
        </w:rPr>
        <w:t>3</w:t>
      </w:r>
      <w:r w:rsidRPr="00FB15DB">
        <w:t>) estimates per hectare of forest are deemed to be proportionate to provide an indicative estimate of timber production from forests in the GORCAP region for this initial GORCAP EEA. More accurate estimates would require specific data on hardwood and softwood timber production volume within the GORCAP region.</w:t>
      </w:r>
    </w:p>
    <w:p w14:paraId="0B6DCCAF" w14:textId="77777777" w:rsidR="00B21991" w:rsidRPr="00FB15DB" w:rsidRDefault="00B21991" w:rsidP="00B21991">
      <w:pPr>
        <w:pStyle w:val="BodyText"/>
      </w:pPr>
      <w:r w:rsidRPr="00FB15DB">
        <w:t xml:space="preserve">These per hectare volumes are multiplied by the total area (ha) of hardwood and softwood plantation forest within the assessment GOR boundary to produce estimates of total timber production volume for the GORCAP EEA. </w:t>
      </w:r>
    </w:p>
    <w:p w14:paraId="0E5212B8" w14:textId="77777777" w:rsidR="00B21991" w:rsidRPr="00FB15DB" w:rsidRDefault="00B21991" w:rsidP="00A2745D">
      <w:pPr>
        <w:pStyle w:val="AlphaHeading4"/>
      </w:pPr>
      <w:r w:rsidRPr="00FB15DB">
        <w:t xml:space="preserve">Monetary value of biomass for timber </w:t>
      </w:r>
    </w:p>
    <w:p w14:paraId="7DA4D8B5" w14:textId="77777777" w:rsidR="00B21991" w:rsidRPr="00FB15DB" w:rsidRDefault="00B21991" w:rsidP="00B21991">
      <w:pPr>
        <w:pStyle w:val="BodyText"/>
      </w:pPr>
      <w:r w:rsidRPr="00FB15DB">
        <w:t xml:space="preserve">The monetary value of biomass for timber from ecosystem assets can be measured in environmental-economic accounts through the resource rent that is attributable to the ecosystem productivity. This can be estimated using the gross output value of timber minus the cost of other inputs such as machinery and labour. </w:t>
      </w:r>
    </w:p>
    <w:p w14:paraId="381A9CFA" w14:textId="77777777" w:rsidR="00B21991" w:rsidRPr="00FB15DB" w:rsidRDefault="00B21991" w:rsidP="00B21991">
      <w:pPr>
        <w:pStyle w:val="BodyText"/>
      </w:pPr>
      <w:r w:rsidRPr="00FB15DB">
        <w:t xml:space="preserve">As noted above, the study team understands that there is currently no harvesting of state forests within the GORCAP region (pers. comm. Andrew Standish, DELWP) so only logging of plantation forests is of relevance to the GORCAP EEA. Based on the literature review (see Annex 3, Section A3.1), it was decided to use the ABARES (2020) data for 2018-19 to estimate the average value of timber produced per hectare of </w:t>
      </w:r>
      <w:r w:rsidRPr="00FB15DB">
        <w:lastRenderedPageBreak/>
        <w:t>plantation forest in Victoria (see Table 14) and apply this to forests in the GORCAP region (assuming production in these forests is representative of the Victorian average).</w:t>
      </w:r>
    </w:p>
    <w:p w14:paraId="7004FB28" w14:textId="77777777" w:rsidR="00B21991" w:rsidRPr="00FB15DB" w:rsidRDefault="00B21991" w:rsidP="00270081">
      <w:pPr>
        <w:pStyle w:val="Caption"/>
      </w:pPr>
      <w:r w:rsidRPr="00FB15DB">
        <w:t>Table 14. Estimates of average value of timber produced per hectare of plantation forest in Victoria ABARES (2020)</w:t>
      </w:r>
    </w:p>
    <w:tbl>
      <w:tblPr>
        <w:tblStyle w:val="TableGrid"/>
        <w:tblW w:w="5000" w:type="pct"/>
        <w:tblLook w:val="04A0" w:firstRow="1" w:lastRow="0" w:firstColumn="1" w:lastColumn="0" w:noHBand="0" w:noVBand="1"/>
      </w:tblPr>
      <w:tblGrid>
        <w:gridCol w:w="1207"/>
        <w:gridCol w:w="1478"/>
        <w:gridCol w:w="3901"/>
        <w:gridCol w:w="1076"/>
        <w:gridCol w:w="941"/>
        <w:gridCol w:w="1035"/>
      </w:tblGrid>
      <w:tr w:rsidR="00B21991" w:rsidRPr="00FB15DB" w14:paraId="2D64119F" w14:textId="77777777" w:rsidTr="009C50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6" w:type="pct"/>
          </w:tcPr>
          <w:p w14:paraId="29DE6CE7" w14:textId="77777777" w:rsidR="00B21991" w:rsidRPr="00FB15DB" w:rsidRDefault="00B21991" w:rsidP="009C5096">
            <w:pPr>
              <w:pStyle w:val="TableTextLeft"/>
            </w:pPr>
          </w:p>
        </w:tc>
        <w:tc>
          <w:tcPr>
            <w:tcW w:w="2791" w:type="pct"/>
            <w:gridSpan w:val="2"/>
          </w:tcPr>
          <w:p w14:paraId="5504AE96" w14:textId="77777777" w:rsidR="00B21991" w:rsidRPr="00FB15DB" w:rsidRDefault="00B21991" w:rsidP="009C5096">
            <w:pPr>
              <w:pStyle w:val="TableTextLeft"/>
              <w:cnfStyle w:val="100000000000" w:firstRow="1" w:lastRow="0" w:firstColumn="0" w:lastColumn="0" w:oddVBand="0" w:evenVBand="0" w:oddHBand="0" w:evenHBand="0" w:firstRowFirstColumn="0" w:firstRowLastColumn="0" w:lastRowFirstColumn="0" w:lastRowLastColumn="0"/>
            </w:pPr>
          </w:p>
        </w:tc>
        <w:tc>
          <w:tcPr>
            <w:tcW w:w="558" w:type="pct"/>
          </w:tcPr>
          <w:p w14:paraId="2FAA9413" w14:textId="77777777" w:rsidR="00B21991" w:rsidRPr="00FB15DB" w:rsidRDefault="00B21991" w:rsidP="009C5096">
            <w:pPr>
              <w:pStyle w:val="TableTextLeft"/>
              <w:cnfStyle w:val="100000000000" w:firstRow="1" w:lastRow="0" w:firstColumn="0" w:lastColumn="0" w:oddVBand="0" w:evenVBand="0" w:oddHBand="0" w:evenHBand="0" w:firstRowFirstColumn="0" w:firstRowLastColumn="0" w:lastRowFirstColumn="0" w:lastRowLastColumn="0"/>
            </w:pPr>
            <w:r w:rsidRPr="00FB15DB">
              <w:t>Estimate</w:t>
            </w:r>
          </w:p>
        </w:tc>
        <w:tc>
          <w:tcPr>
            <w:tcW w:w="488" w:type="pct"/>
          </w:tcPr>
          <w:p w14:paraId="3DFF5FBD" w14:textId="77777777" w:rsidR="00B21991" w:rsidRPr="00FB15DB" w:rsidRDefault="00B21991" w:rsidP="009C5096">
            <w:pPr>
              <w:pStyle w:val="TableTextLeft"/>
              <w:cnfStyle w:val="100000000000" w:firstRow="1" w:lastRow="0" w:firstColumn="0" w:lastColumn="0" w:oddVBand="0" w:evenVBand="0" w:oddHBand="0" w:evenHBand="0" w:firstRowFirstColumn="0" w:firstRowLastColumn="0" w:lastRowFirstColumn="0" w:lastRowLastColumn="0"/>
            </w:pPr>
            <w:r w:rsidRPr="00FB15DB">
              <w:t>Metric</w:t>
            </w:r>
          </w:p>
        </w:tc>
        <w:tc>
          <w:tcPr>
            <w:tcW w:w="537" w:type="pct"/>
          </w:tcPr>
          <w:p w14:paraId="0908B067" w14:textId="77777777" w:rsidR="00B21991" w:rsidRPr="00FB15DB" w:rsidRDefault="00B21991" w:rsidP="009C5096">
            <w:pPr>
              <w:pStyle w:val="TableTextLeft"/>
              <w:cnfStyle w:val="100000000000" w:firstRow="1" w:lastRow="0" w:firstColumn="0" w:lastColumn="0" w:oddVBand="0" w:evenVBand="0" w:oddHBand="0" w:evenHBand="0" w:firstRowFirstColumn="0" w:firstRowLastColumn="0" w:lastRowFirstColumn="0" w:lastRowLastColumn="0"/>
            </w:pPr>
            <w:r w:rsidRPr="00FB15DB">
              <w:t>Year</w:t>
            </w:r>
          </w:p>
        </w:tc>
      </w:tr>
      <w:tr w:rsidR="009C5096" w:rsidRPr="00FB15DB" w14:paraId="0A90EDBA" w14:textId="77777777" w:rsidTr="009C5096">
        <w:tc>
          <w:tcPr>
            <w:cnfStyle w:val="001000000000" w:firstRow="0" w:lastRow="0" w:firstColumn="1" w:lastColumn="0" w:oddVBand="0" w:evenVBand="0" w:oddHBand="0" w:evenHBand="0" w:firstRowFirstColumn="0" w:firstRowLastColumn="0" w:lastRowFirstColumn="0" w:lastRowLastColumn="0"/>
            <w:tcW w:w="626" w:type="pct"/>
            <w:vMerge w:val="restart"/>
          </w:tcPr>
          <w:p w14:paraId="7304CF0F" w14:textId="77777777" w:rsidR="00B21991" w:rsidRPr="00FB15DB" w:rsidRDefault="00B21991" w:rsidP="00666947">
            <w:pPr>
              <w:pStyle w:val="TableTextLeft"/>
              <w:rPr>
                <w:b/>
              </w:rPr>
            </w:pPr>
            <w:r w:rsidRPr="00FB15DB">
              <w:rPr>
                <w:b/>
              </w:rPr>
              <w:t>Hardwood plantation</w:t>
            </w:r>
          </w:p>
        </w:tc>
        <w:tc>
          <w:tcPr>
            <w:tcW w:w="2791" w:type="pct"/>
            <w:gridSpan w:val="2"/>
          </w:tcPr>
          <w:p w14:paraId="1A886B89"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Total area</w:t>
            </w:r>
          </w:p>
        </w:tc>
        <w:tc>
          <w:tcPr>
            <w:tcW w:w="558" w:type="pct"/>
          </w:tcPr>
          <w:p w14:paraId="7E922E9F"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194,100</w:t>
            </w:r>
          </w:p>
        </w:tc>
        <w:tc>
          <w:tcPr>
            <w:tcW w:w="488" w:type="pct"/>
          </w:tcPr>
          <w:p w14:paraId="49139162"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Ha</w:t>
            </w:r>
          </w:p>
        </w:tc>
        <w:tc>
          <w:tcPr>
            <w:tcW w:w="537" w:type="pct"/>
          </w:tcPr>
          <w:p w14:paraId="0EBD2DC1"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2018-19</w:t>
            </w:r>
          </w:p>
        </w:tc>
      </w:tr>
      <w:tr w:rsidR="009C5096" w:rsidRPr="00FB15DB" w14:paraId="41A82898" w14:textId="77777777" w:rsidTr="009C5096">
        <w:tc>
          <w:tcPr>
            <w:cnfStyle w:val="001000000000" w:firstRow="0" w:lastRow="0" w:firstColumn="1" w:lastColumn="0" w:oddVBand="0" w:evenVBand="0" w:oddHBand="0" w:evenHBand="0" w:firstRowFirstColumn="0" w:firstRowLastColumn="0" w:lastRowFirstColumn="0" w:lastRowLastColumn="0"/>
            <w:tcW w:w="626" w:type="pct"/>
            <w:vMerge/>
          </w:tcPr>
          <w:p w14:paraId="74FCBD47" w14:textId="77777777" w:rsidR="00B21991" w:rsidRPr="00FB15DB" w:rsidRDefault="00B21991" w:rsidP="00666947">
            <w:pPr>
              <w:pStyle w:val="TableTextLeft"/>
              <w:rPr>
                <w:b/>
              </w:rPr>
            </w:pPr>
          </w:p>
        </w:tc>
        <w:tc>
          <w:tcPr>
            <w:tcW w:w="2791" w:type="pct"/>
            <w:gridSpan w:val="2"/>
          </w:tcPr>
          <w:p w14:paraId="1EF63C4A"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Total gross output value of logs</w:t>
            </w:r>
          </w:p>
        </w:tc>
        <w:tc>
          <w:tcPr>
            <w:tcW w:w="558" w:type="pct"/>
          </w:tcPr>
          <w:p w14:paraId="6773A125"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$302m</w:t>
            </w:r>
          </w:p>
        </w:tc>
        <w:tc>
          <w:tcPr>
            <w:tcW w:w="488" w:type="pct"/>
          </w:tcPr>
          <w:p w14:paraId="59FA0678"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$m</w:t>
            </w:r>
          </w:p>
        </w:tc>
        <w:tc>
          <w:tcPr>
            <w:tcW w:w="537" w:type="pct"/>
          </w:tcPr>
          <w:p w14:paraId="67D7175D"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2018-19</w:t>
            </w:r>
          </w:p>
        </w:tc>
      </w:tr>
      <w:tr w:rsidR="009C5096" w:rsidRPr="00FB15DB" w14:paraId="3C050476" w14:textId="77777777" w:rsidTr="009C5096">
        <w:tc>
          <w:tcPr>
            <w:cnfStyle w:val="001000000000" w:firstRow="0" w:lastRow="0" w:firstColumn="1" w:lastColumn="0" w:oddVBand="0" w:evenVBand="0" w:oddHBand="0" w:evenHBand="0" w:firstRowFirstColumn="0" w:firstRowLastColumn="0" w:lastRowFirstColumn="0" w:lastRowLastColumn="0"/>
            <w:tcW w:w="626" w:type="pct"/>
            <w:vMerge/>
          </w:tcPr>
          <w:p w14:paraId="6B2A38F1" w14:textId="77777777" w:rsidR="00B21991" w:rsidRPr="00FB15DB" w:rsidRDefault="00B21991" w:rsidP="00666947">
            <w:pPr>
              <w:pStyle w:val="TableTextLeft"/>
              <w:rPr>
                <w:b/>
              </w:rPr>
            </w:pPr>
          </w:p>
        </w:tc>
        <w:tc>
          <w:tcPr>
            <w:tcW w:w="2791" w:type="pct"/>
            <w:gridSpan w:val="2"/>
          </w:tcPr>
          <w:p w14:paraId="4DD75AB4"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Per hectare gross output value of logs</w:t>
            </w:r>
          </w:p>
        </w:tc>
        <w:tc>
          <w:tcPr>
            <w:tcW w:w="558" w:type="pct"/>
          </w:tcPr>
          <w:p w14:paraId="59BF8D9F"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 xml:space="preserve">$1,556 </w:t>
            </w:r>
          </w:p>
        </w:tc>
        <w:tc>
          <w:tcPr>
            <w:tcW w:w="488" w:type="pct"/>
          </w:tcPr>
          <w:p w14:paraId="24A8EB9F"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rPr>
                <w:vertAlign w:val="superscript"/>
              </w:rPr>
              <w:t xml:space="preserve"> </w:t>
            </w:r>
            <w:r w:rsidRPr="00FB15DB">
              <w:t>$ / Ha</w:t>
            </w:r>
          </w:p>
        </w:tc>
        <w:tc>
          <w:tcPr>
            <w:tcW w:w="537" w:type="pct"/>
          </w:tcPr>
          <w:p w14:paraId="7F640AF3"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2018-19</w:t>
            </w:r>
          </w:p>
        </w:tc>
      </w:tr>
      <w:tr w:rsidR="009C5096" w:rsidRPr="00FB15DB" w14:paraId="6626E1B9" w14:textId="77777777" w:rsidTr="009C5096">
        <w:tc>
          <w:tcPr>
            <w:cnfStyle w:val="001000000000" w:firstRow="0" w:lastRow="0" w:firstColumn="1" w:lastColumn="0" w:oddVBand="0" w:evenVBand="0" w:oddHBand="0" w:evenHBand="0" w:firstRowFirstColumn="0" w:firstRowLastColumn="0" w:lastRowFirstColumn="0" w:lastRowLastColumn="0"/>
            <w:tcW w:w="626" w:type="pct"/>
            <w:vMerge w:val="restart"/>
          </w:tcPr>
          <w:p w14:paraId="27890A32" w14:textId="77777777" w:rsidR="00B21991" w:rsidRPr="00FB15DB" w:rsidRDefault="00B21991" w:rsidP="00666947">
            <w:pPr>
              <w:pStyle w:val="TableTextLeft"/>
              <w:rPr>
                <w:b/>
              </w:rPr>
            </w:pPr>
            <w:r w:rsidRPr="00FB15DB">
              <w:rPr>
                <w:b/>
              </w:rPr>
              <w:t>Softwood plantation</w:t>
            </w:r>
          </w:p>
        </w:tc>
        <w:tc>
          <w:tcPr>
            <w:tcW w:w="767" w:type="pct"/>
            <w:vMerge w:val="restart"/>
          </w:tcPr>
          <w:p w14:paraId="4F58E625"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Area</w:t>
            </w:r>
          </w:p>
        </w:tc>
        <w:tc>
          <w:tcPr>
            <w:tcW w:w="2024" w:type="pct"/>
          </w:tcPr>
          <w:p w14:paraId="20820C4F"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Softwood plantation</w:t>
            </w:r>
          </w:p>
        </w:tc>
        <w:tc>
          <w:tcPr>
            <w:tcW w:w="558" w:type="pct"/>
          </w:tcPr>
          <w:p w14:paraId="381EF7A2"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223,600</w:t>
            </w:r>
          </w:p>
        </w:tc>
        <w:tc>
          <w:tcPr>
            <w:tcW w:w="488" w:type="pct"/>
          </w:tcPr>
          <w:p w14:paraId="170EDFE4"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Ha</w:t>
            </w:r>
          </w:p>
        </w:tc>
        <w:tc>
          <w:tcPr>
            <w:tcW w:w="537" w:type="pct"/>
          </w:tcPr>
          <w:p w14:paraId="30AFDFBB"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2018-19</w:t>
            </w:r>
          </w:p>
        </w:tc>
      </w:tr>
      <w:tr w:rsidR="009C5096" w:rsidRPr="00FB15DB" w14:paraId="3FE14418" w14:textId="77777777" w:rsidTr="009C5096">
        <w:tc>
          <w:tcPr>
            <w:cnfStyle w:val="001000000000" w:firstRow="0" w:lastRow="0" w:firstColumn="1" w:lastColumn="0" w:oddVBand="0" w:evenVBand="0" w:oddHBand="0" w:evenHBand="0" w:firstRowFirstColumn="0" w:firstRowLastColumn="0" w:lastRowFirstColumn="0" w:lastRowLastColumn="0"/>
            <w:tcW w:w="626" w:type="pct"/>
            <w:vMerge/>
          </w:tcPr>
          <w:p w14:paraId="7CAE5969" w14:textId="77777777" w:rsidR="00B21991" w:rsidRPr="00FB15DB" w:rsidRDefault="00B21991" w:rsidP="00666947">
            <w:pPr>
              <w:pStyle w:val="TableTextLeft"/>
            </w:pPr>
          </w:p>
        </w:tc>
        <w:tc>
          <w:tcPr>
            <w:tcW w:w="767" w:type="pct"/>
            <w:vMerge/>
          </w:tcPr>
          <w:p w14:paraId="47A8FDDE"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24" w:type="pct"/>
          </w:tcPr>
          <w:p w14:paraId="391FF6B4"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 xml:space="preserve">Total native </w:t>
            </w:r>
            <w:r w:rsidRPr="00FB15DB">
              <w:rPr>
                <w:i/>
              </w:rPr>
              <w:t>(incl. softwood and hardwood)</w:t>
            </w:r>
          </w:p>
        </w:tc>
        <w:tc>
          <w:tcPr>
            <w:tcW w:w="558" w:type="pct"/>
          </w:tcPr>
          <w:p w14:paraId="1A48350E"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7,645</w:t>
            </w:r>
          </w:p>
        </w:tc>
        <w:tc>
          <w:tcPr>
            <w:tcW w:w="488" w:type="pct"/>
          </w:tcPr>
          <w:p w14:paraId="5F280F82"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Ha</w:t>
            </w:r>
          </w:p>
        </w:tc>
        <w:tc>
          <w:tcPr>
            <w:tcW w:w="537" w:type="pct"/>
          </w:tcPr>
          <w:p w14:paraId="1EE7DBA0"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2018-19</w:t>
            </w:r>
          </w:p>
        </w:tc>
      </w:tr>
      <w:tr w:rsidR="009C5096" w:rsidRPr="00FB15DB" w14:paraId="63F504B6" w14:textId="77777777" w:rsidTr="009C5096">
        <w:tc>
          <w:tcPr>
            <w:cnfStyle w:val="001000000000" w:firstRow="0" w:lastRow="0" w:firstColumn="1" w:lastColumn="0" w:oddVBand="0" w:evenVBand="0" w:oddHBand="0" w:evenHBand="0" w:firstRowFirstColumn="0" w:firstRowLastColumn="0" w:lastRowFirstColumn="0" w:lastRowLastColumn="0"/>
            <w:tcW w:w="626" w:type="pct"/>
            <w:vMerge/>
          </w:tcPr>
          <w:p w14:paraId="3FFE24AF" w14:textId="77777777" w:rsidR="00B21991" w:rsidRPr="00FB15DB" w:rsidRDefault="00B21991" w:rsidP="00666947">
            <w:pPr>
              <w:pStyle w:val="TableTextLeft"/>
            </w:pPr>
          </w:p>
        </w:tc>
        <w:tc>
          <w:tcPr>
            <w:tcW w:w="767" w:type="pct"/>
            <w:vMerge/>
          </w:tcPr>
          <w:p w14:paraId="13D230DB"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24" w:type="pct"/>
          </w:tcPr>
          <w:p w14:paraId="01A90EE4"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 xml:space="preserve">Total </w:t>
            </w:r>
          </w:p>
        </w:tc>
        <w:tc>
          <w:tcPr>
            <w:tcW w:w="558" w:type="pct"/>
          </w:tcPr>
          <w:p w14:paraId="4DACDF53"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231,245</w:t>
            </w:r>
          </w:p>
        </w:tc>
        <w:tc>
          <w:tcPr>
            <w:tcW w:w="488" w:type="pct"/>
          </w:tcPr>
          <w:p w14:paraId="7C004A38"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Ha</w:t>
            </w:r>
          </w:p>
        </w:tc>
        <w:tc>
          <w:tcPr>
            <w:tcW w:w="537" w:type="pct"/>
          </w:tcPr>
          <w:p w14:paraId="322C2E32"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2016-19</w:t>
            </w:r>
          </w:p>
        </w:tc>
      </w:tr>
      <w:tr w:rsidR="009C5096" w:rsidRPr="00FB15DB" w14:paraId="7A4A9FC3" w14:textId="77777777" w:rsidTr="009C5096">
        <w:tc>
          <w:tcPr>
            <w:cnfStyle w:val="001000000000" w:firstRow="0" w:lastRow="0" w:firstColumn="1" w:lastColumn="0" w:oddVBand="0" w:evenVBand="0" w:oddHBand="0" w:evenHBand="0" w:firstRowFirstColumn="0" w:firstRowLastColumn="0" w:lastRowFirstColumn="0" w:lastRowLastColumn="0"/>
            <w:tcW w:w="626" w:type="pct"/>
            <w:vMerge/>
          </w:tcPr>
          <w:p w14:paraId="49C29E12" w14:textId="77777777" w:rsidR="00B21991" w:rsidRPr="00FB15DB" w:rsidRDefault="00B21991" w:rsidP="00666947">
            <w:pPr>
              <w:pStyle w:val="TableTextLeft"/>
            </w:pPr>
          </w:p>
        </w:tc>
        <w:tc>
          <w:tcPr>
            <w:tcW w:w="767" w:type="pct"/>
          </w:tcPr>
          <w:p w14:paraId="4A36FE37"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Gross output value of logs</w:t>
            </w:r>
          </w:p>
        </w:tc>
        <w:tc>
          <w:tcPr>
            <w:tcW w:w="2024" w:type="pct"/>
          </w:tcPr>
          <w:p w14:paraId="3AC3707A"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 xml:space="preserve">Total softwood </w:t>
            </w:r>
            <w:r w:rsidRPr="00FB15DB">
              <w:rPr>
                <w:i/>
              </w:rPr>
              <w:t>(incl. plantation and native)</w:t>
            </w:r>
          </w:p>
        </w:tc>
        <w:tc>
          <w:tcPr>
            <w:tcW w:w="558" w:type="pct"/>
          </w:tcPr>
          <w:p w14:paraId="76BED2C1"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$337m</w:t>
            </w:r>
          </w:p>
        </w:tc>
        <w:tc>
          <w:tcPr>
            <w:tcW w:w="488" w:type="pct"/>
          </w:tcPr>
          <w:p w14:paraId="11A83F89"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$m</w:t>
            </w:r>
          </w:p>
        </w:tc>
        <w:tc>
          <w:tcPr>
            <w:tcW w:w="537" w:type="pct"/>
          </w:tcPr>
          <w:p w14:paraId="7E9A2356"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2016</w:t>
            </w:r>
          </w:p>
        </w:tc>
      </w:tr>
      <w:tr w:rsidR="009C5096" w:rsidRPr="00FB15DB" w14:paraId="66911940" w14:textId="77777777" w:rsidTr="009C5096">
        <w:tc>
          <w:tcPr>
            <w:cnfStyle w:val="001000000000" w:firstRow="0" w:lastRow="0" w:firstColumn="1" w:lastColumn="0" w:oddVBand="0" w:evenVBand="0" w:oddHBand="0" w:evenHBand="0" w:firstRowFirstColumn="0" w:firstRowLastColumn="0" w:lastRowFirstColumn="0" w:lastRowLastColumn="0"/>
            <w:tcW w:w="626" w:type="pct"/>
            <w:vMerge/>
          </w:tcPr>
          <w:p w14:paraId="1BDFF00E" w14:textId="77777777" w:rsidR="00B21991" w:rsidRPr="00FB15DB" w:rsidRDefault="00B21991" w:rsidP="00666947">
            <w:pPr>
              <w:pStyle w:val="TableTextLeft"/>
            </w:pPr>
          </w:p>
        </w:tc>
        <w:tc>
          <w:tcPr>
            <w:tcW w:w="2791" w:type="pct"/>
            <w:gridSpan w:val="2"/>
          </w:tcPr>
          <w:p w14:paraId="7909186F"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rPr>
                <w:vertAlign w:val="superscript"/>
              </w:rPr>
            </w:pPr>
            <w:r w:rsidRPr="00FB15DB">
              <w:t xml:space="preserve">Per hectare gross output value of logs </w:t>
            </w:r>
            <w:r w:rsidRPr="00FB15DB">
              <w:rPr>
                <w:vertAlign w:val="superscript"/>
              </w:rPr>
              <w:t>a</w:t>
            </w:r>
          </w:p>
        </w:tc>
        <w:tc>
          <w:tcPr>
            <w:tcW w:w="558" w:type="pct"/>
          </w:tcPr>
          <w:p w14:paraId="6CFB41DF"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$1,457</w:t>
            </w:r>
          </w:p>
        </w:tc>
        <w:tc>
          <w:tcPr>
            <w:tcW w:w="488" w:type="pct"/>
          </w:tcPr>
          <w:p w14:paraId="7E1B0969"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w:t>
            </w:r>
            <w:r w:rsidRPr="00FB15DB">
              <w:rPr>
                <w:vertAlign w:val="superscript"/>
              </w:rPr>
              <w:t xml:space="preserve"> </w:t>
            </w:r>
            <w:r w:rsidRPr="00FB15DB">
              <w:t>/ Ha</w:t>
            </w:r>
          </w:p>
        </w:tc>
        <w:tc>
          <w:tcPr>
            <w:tcW w:w="537" w:type="pct"/>
          </w:tcPr>
          <w:p w14:paraId="6E44F5A8"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2016-19</w:t>
            </w:r>
          </w:p>
        </w:tc>
      </w:tr>
    </w:tbl>
    <w:p w14:paraId="1AB73479" w14:textId="77777777" w:rsidR="00B21991" w:rsidRPr="00FB15DB" w:rsidRDefault="00B21991" w:rsidP="00D51121">
      <w:pPr>
        <w:pStyle w:val="BodyText12ptBefore"/>
      </w:pPr>
      <w:proofErr w:type="spellStart"/>
      <w:proofErr w:type="gramStart"/>
      <w:r w:rsidRPr="00FB15DB">
        <w:rPr>
          <w:vertAlign w:val="superscript"/>
        </w:rPr>
        <w:t>a</w:t>
      </w:r>
      <w:proofErr w:type="spellEnd"/>
      <w:proofErr w:type="gramEnd"/>
      <w:r w:rsidRPr="00FB15DB">
        <w:rPr>
          <w:vertAlign w:val="superscript"/>
        </w:rPr>
        <w:t xml:space="preserve"> </w:t>
      </w:r>
      <w:r w:rsidRPr="00FB15DB">
        <w:t xml:space="preserve">Estimated using the softwood plantation area (ha) plus total native forest (softwood and hardwood) area (ha) because only the total value of softwoods logs produced in Victoria is available. See text for further explanation. </w:t>
      </w:r>
    </w:p>
    <w:p w14:paraId="0164B3E4" w14:textId="77777777" w:rsidR="00B21991" w:rsidRPr="00FB15DB" w:rsidRDefault="00B21991" w:rsidP="00B21991">
      <w:pPr>
        <w:pStyle w:val="BodyText"/>
      </w:pPr>
      <w:r w:rsidRPr="00FB15DB">
        <w:t>Table 14 shows that average hardwood and softwood production estimates per hectare of forest are developed based on ABARES (2020) statistics as follows:</w:t>
      </w:r>
    </w:p>
    <w:p w14:paraId="0F55F292" w14:textId="77777777" w:rsidR="00B21991" w:rsidRPr="00FB15DB" w:rsidRDefault="00B21991" w:rsidP="00B21991">
      <w:pPr>
        <w:pStyle w:val="ListBullet"/>
      </w:pPr>
      <w:r w:rsidRPr="00B96836">
        <w:rPr>
          <w:b/>
          <w:bCs/>
        </w:rPr>
        <w:t>Hardwood production:</w:t>
      </w:r>
      <w:r w:rsidRPr="00FB15DB">
        <w:t xml:space="preserve"> average per hectare estimates of timber values ($</w:t>
      </w:r>
      <w:r w:rsidRPr="00FB15DB">
        <w:rPr>
          <w:vertAlign w:val="superscript"/>
        </w:rPr>
        <w:t xml:space="preserve"> </w:t>
      </w:r>
      <w:r w:rsidRPr="00FB15DB">
        <w:t xml:space="preserve">/ ha) from hardwood plantation forest in Victoria is estimated by dividing the total gross output value of hardwood logs produced in Victoria by the total area of hardwood plantation in Victoria. </w:t>
      </w:r>
    </w:p>
    <w:p w14:paraId="6F477C1E" w14:textId="77777777" w:rsidR="00B21991" w:rsidRPr="00FB15DB" w:rsidRDefault="00B21991" w:rsidP="00B21991">
      <w:pPr>
        <w:pStyle w:val="ListBullet"/>
      </w:pPr>
      <w:r w:rsidRPr="00B96836">
        <w:rPr>
          <w:b/>
          <w:bCs/>
        </w:rPr>
        <w:t>Softwood production:</w:t>
      </w:r>
      <w:r w:rsidRPr="00FB15DB">
        <w:t xml:space="preserve"> There is no estimate of the total gross output value of plantation softwood production that can be divided across the area of softwood plantation to estimate a per hectare value of softwood plantation logs produced. Therefore, in order to estimate the per hectare value of softwood logs from plantation forests the study team added the total native forest area (of 7,645 ha, which includes hardwood area) to the estimated softwood plantation area (223,600 ha) and used this total area (231,245 ha) as the area of land across which to divide the total gross output value of softwood log production ($337 million). The extent to which this will underestimate or overestimate the per hectare value of logs from plantation forests will depend on the relative productivity of plantation forests compared to native forests in terms of softwood log value per hectare. If a greater value ($) of softwood harvesting exists per hectare of native forest compared to plantation forest, then the estimate of per hectare value of softwood logs from plantation forests in Table 14 (i.e., $1,457</w:t>
      </w:r>
      <w:r w:rsidRPr="00FB15DB">
        <w:rPr>
          <w:vertAlign w:val="superscript"/>
        </w:rPr>
        <w:t xml:space="preserve"> </w:t>
      </w:r>
      <w:r w:rsidRPr="00FB15DB">
        <w:t xml:space="preserve">/ Ha) will be an overestimate and vice-versa. </w:t>
      </w:r>
    </w:p>
    <w:p w14:paraId="24716F44" w14:textId="77777777" w:rsidR="00B21991" w:rsidRPr="00FB15DB" w:rsidRDefault="00B21991" w:rsidP="00B21991">
      <w:pPr>
        <w:pStyle w:val="BodyText12ptBefore"/>
      </w:pPr>
      <w:r w:rsidRPr="00FB15DB">
        <w:t>Information on plantation input costs is required to isolate and estimate the “resource rent” value contributed by the ecosystem. DELWP (2019) reviewed existing studies of net expenditure (excluding within industry transfers) in the softwood and hardwood plantation industry (up to the point of primary processing) and found this to be approximately ninety percent of the gross output value of plantation timber harvest. This means that the “resource rent” attributable to ecosystems is approximately ten percent of the gross output value. The per hectare resource rent estimates that are used in the GORCAP EEA are set out in Table 15.</w:t>
      </w:r>
    </w:p>
    <w:p w14:paraId="29D85E95" w14:textId="77777777" w:rsidR="009C5096" w:rsidRDefault="009C5096" w:rsidP="00B21991">
      <w:pPr>
        <w:pStyle w:val="BodyText"/>
        <w:rPr>
          <w:b/>
        </w:rPr>
      </w:pPr>
      <w:r>
        <w:rPr>
          <w:b/>
        </w:rPr>
        <w:br w:type="page"/>
      </w:r>
    </w:p>
    <w:p w14:paraId="2EC65633" w14:textId="6CA5A5D9" w:rsidR="00B21991" w:rsidRPr="00FB15DB" w:rsidRDefault="00B21991" w:rsidP="00270081">
      <w:pPr>
        <w:pStyle w:val="Caption"/>
      </w:pPr>
      <w:r w:rsidRPr="00FB15DB">
        <w:lastRenderedPageBreak/>
        <w:t xml:space="preserve">Table 15. Estimates of resource rent for hardwood and softwood timber in Victoria </w:t>
      </w:r>
    </w:p>
    <w:tbl>
      <w:tblPr>
        <w:tblStyle w:val="TableGrid"/>
        <w:tblW w:w="5000" w:type="pct"/>
        <w:tblLook w:val="04A0" w:firstRow="1" w:lastRow="0" w:firstColumn="1" w:lastColumn="0" w:noHBand="0" w:noVBand="1"/>
      </w:tblPr>
      <w:tblGrid>
        <w:gridCol w:w="1744"/>
        <w:gridCol w:w="3767"/>
        <w:gridCol w:w="1478"/>
        <w:gridCol w:w="1211"/>
        <w:gridCol w:w="1438"/>
      </w:tblGrid>
      <w:tr w:rsidR="00B21991" w:rsidRPr="00FB15DB" w14:paraId="33938C59" w14:textId="77777777" w:rsidTr="009C5096">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905" w:type="pct"/>
          </w:tcPr>
          <w:p w14:paraId="4D6414BA" w14:textId="77777777" w:rsidR="00B21991" w:rsidRPr="00FB15DB" w:rsidRDefault="00B21991" w:rsidP="009C5096">
            <w:pPr>
              <w:pStyle w:val="TableHeadingLeft"/>
            </w:pPr>
          </w:p>
        </w:tc>
        <w:tc>
          <w:tcPr>
            <w:tcW w:w="1954" w:type="pct"/>
          </w:tcPr>
          <w:p w14:paraId="137BF372" w14:textId="77777777" w:rsidR="00B21991" w:rsidRPr="00FB15DB" w:rsidRDefault="00B21991" w:rsidP="009C5096">
            <w:pPr>
              <w:pStyle w:val="TableHeadingLeft"/>
              <w:cnfStyle w:val="100000000000" w:firstRow="1" w:lastRow="0" w:firstColumn="0" w:lastColumn="0" w:oddVBand="0" w:evenVBand="0" w:oddHBand="0" w:evenHBand="0" w:firstRowFirstColumn="0" w:firstRowLastColumn="0" w:lastRowFirstColumn="0" w:lastRowLastColumn="0"/>
            </w:pPr>
          </w:p>
        </w:tc>
        <w:tc>
          <w:tcPr>
            <w:tcW w:w="767" w:type="pct"/>
          </w:tcPr>
          <w:p w14:paraId="15372805" w14:textId="77777777" w:rsidR="00B21991" w:rsidRPr="00FB15DB" w:rsidRDefault="00B21991" w:rsidP="009C5096">
            <w:pPr>
              <w:pStyle w:val="TableHeadingLeft"/>
              <w:cnfStyle w:val="100000000000" w:firstRow="1" w:lastRow="0" w:firstColumn="0" w:lastColumn="0" w:oddVBand="0" w:evenVBand="0" w:oddHBand="0" w:evenHBand="0" w:firstRowFirstColumn="0" w:firstRowLastColumn="0" w:lastRowFirstColumn="0" w:lastRowLastColumn="0"/>
            </w:pPr>
            <w:r w:rsidRPr="00FB15DB">
              <w:t>Estimate</w:t>
            </w:r>
          </w:p>
        </w:tc>
        <w:tc>
          <w:tcPr>
            <w:tcW w:w="628" w:type="pct"/>
          </w:tcPr>
          <w:p w14:paraId="000705DC" w14:textId="77777777" w:rsidR="00B21991" w:rsidRPr="00FB15DB" w:rsidRDefault="00B21991" w:rsidP="009C5096">
            <w:pPr>
              <w:pStyle w:val="TableHeadingLeft"/>
              <w:cnfStyle w:val="100000000000" w:firstRow="1" w:lastRow="0" w:firstColumn="0" w:lastColumn="0" w:oddVBand="0" w:evenVBand="0" w:oddHBand="0" w:evenHBand="0" w:firstRowFirstColumn="0" w:firstRowLastColumn="0" w:lastRowFirstColumn="0" w:lastRowLastColumn="0"/>
            </w:pPr>
            <w:r w:rsidRPr="00FB15DB">
              <w:t>Metric</w:t>
            </w:r>
          </w:p>
        </w:tc>
        <w:tc>
          <w:tcPr>
            <w:tcW w:w="746" w:type="pct"/>
          </w:tcPr>
          <w:p w14:paraId="28788BAF" w14:textId="77777777" w:rsidR="00B21991" w:rsidRPr="00FB15DB" w:rsidRDefault="00B21991" w:rsidP="009C5096">
            <w:pPr>
              <w:pStyle w:val="TableHeadingLeft"/>
              <w:cnfStyle w:val="100000000000" w:firstRow="1" w:lastRow="0" w:firstColumn="0" w:lastColumn="0" w:oddVBand="0" w:evenVBand="0" w:oddHBand="0" w:evenHBand="0" w:firstRowFirstColumn="0" w:firstRowLastColumn="0" w:lastRowFirstColumn="0" w:lastRowLastColumn="0"/>
            </w:pPr>
            <w:r w:rsidRPr="00FB15DB">
              <w:t>Year</w:t>
            </w:r>
          </w:p>
        </w:tc>
      </w:tr>
      <w:tr w:rsidR="009C5096" w:rsidRPr="00FB15DB" w14:paraId="2C67390F" w14:textId="77777777" w:rsidTr="009C5096">
        <w:trPr>
          <w:cantSplit/>
        </w:trPr>
        <w:tc>
          <w:tcPr>
            <w:cnfStyle w:val="001000000000" w:firstRow="0" w:lastRow="0" w:firstColumn="1" w:lastColumn="0" w:oddVBand="0" w:evenVBand="0" w:oddHBand="0" w:evenHBand="0" w:firstRowFirstColumn="0" w:firstRowLastColumn="0" w:lastRowFirstColumn="0" w:lastRowLastColumn="0"/>
            <w:tcW w:w="905" w:type="pct"/>
            <w:vMerge w:val="restart"/>
          </w:tcPr>
          <w:p w14:paraId="3E7BF64B" w14:textId="77777777" w:rsidR="00B21991" w:rsidRPr="00FB15DB" w:rsidRDefault="00B21991" w:rsidP="009C5096">
            <w:pPr>
              <w:pStyle w:val="TableTextLeft"/>
            </w:pPr>
            <w:r w:rsidRPr="00FB15DB">
              <w:t>Resource rent</w:t>
            </w:r>
          </w:p>
        </w:tc>
        <w:tc>
          <w:tcPr>
            <w:tcW w:w="1954" w:type="pct"/>
          </w:tcPr>
          <w:p w14:paraId="34A46B6C"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 xml:space="preserve">Hardwood </w:t>
            </w:r>
          </w:p>
        </w:tc>
        <w:tc>
          <w:tcPr>
            <w:tcW w:w="767" w:type="pct"/>
          </w:tcPr>
          <w:p w14:paraId="22B9CF59"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$160</w:t>
            </w:r>
            <w:r w:rsidRPr="00FB15DB">
              <w:rPr>
                <w:vertAlign w:val="superscript"/>
              </w:rPr>
              <w:footnoteReference w:id="58"/>
            </w:r>
          </w:p>
        </w:tc>
        <w:tc>
          <w:tcPr>
            <w:tcW w:w="628" w:type="pct"/>
          </w:tcPr>
          <w:p w14:paraId="4D545D40"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 / Ha</w:t>
            </w:r>
          </w:p>
        </w:tc>
        <w:tc>
          <w:tcPr>
            <w:tcW w:w="746" w:type="pct"/>
          </w:tcPr>
          <w:p w14:paraId="388A4AE0"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2018-19</w:t>
            </w:r>
          </w:p>
        </w:tc>
      </w:tr>
      <w:tr w:rsidR="009C5096" w:rsidRPr="00FB15DB" w14:paraId="0D6B5912" w14:textId="77777777" w:rsidTr="009C5096">
        <w:trPr>
          <w:cantSplit/>
        </w:trPr>
        <w:tc>
          <w:tcPr>
            <w:cnfStyle w:val="001000000000" w:firstRow="0" w:lastRow="0" w:firstColumn="1" w:lastColumn="0" w:oddVBand="0" w:evenVBand="0" w:oddHBand="0" w:evenHBand="0" w:firstRowFirstColumn="0" w:firstRowLastColumn="0" w:lastRowFirstColumn="0" w:lastRowLastColumn="0"/>
            <w:tcW w:w="905" w:type="pct"/>
            <w:vMerge/>
          </w:tcPr>
          <w:p w14:paraId="0F04CB72" w14:textId="77777777" w:rsidR="00B21991" w:rsidRPr="00FB15DB" w:rsidRDefault="00B21991" w:rsidP="009C5096">
            <w:pPr>
              <w:pStyle w:val="TableTextLeft"/>
            </w:pPr>
          </w:p>
        </w:tc>
        <w:tc>
          <w:tcPr>
            <w:tcW w:w="1954" w:type="pct"/>
          </w:tcPr>
          <w:p w14:paraId="45FD8378"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Softwood</w:t>
            </w:r>
          </w:p>
        </w:tc>
        <w:tc>
          <w:tcPr>
            <w:tcW w:w="767" w:type="pct"/>
          </w:tcPr>
          <w:p w14:paraId="29A96F22"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$158</w:t>
            </w:r>
            <w:r w:rsidRPr="00FB15DB">
              <w:rPr>
                <w:vertAlign w:val="superscript"/>
              </w:rPr>
              <w:footnoteReference w:id="59"/>
            </w:r>
          </w:p>
        </w:tc>
        <w:tc>
          <w:tcPr>
            <w:tcW w:w="628" w:type="pct"/>
          </w:tcPr>
          <w:p w14:paraId="64192B57"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 / Ha</w:t>
            </w:r>
          </w:p>
        </w:tc>
        <w:tc>
          <w:tcPr>
            <w:tcW w:w="746" w:type="pct"/>
          </w:tcPr>
          <w:p w14:paraId="34A08717" w14:textId="77777777" w:rsidR="00B21991" w:rsidRPr="00FB15DB" w:rsidRDefault="00B21991" w:rsidP="009C5096">
            <w:pPr>
              <w:pStyle w:val="TableTextLeft"/>
              <w:cnfStyle w:val="000000000000" w:firstRow="0" w:lastRow="0" w:firstColumn="0" w:lastColumn="0" w:oddVBand="0" w:evenVBand="0" w:oddHBand="0" w:evenHBand="0" w:firstRowFirstColumn="0" w:firstRowLastColumn="0" w:lastRowFirstColumn="0" w:lastRowLastColumn="0"/>
            </w:pPr>
            <w:r w:rsidRPr="00FB15DB">
              <w:t>2016-19</w:t>
            </w:r>
          </w:p>
        </w:tc>
      </w:tr>
    </w:tbl>
    <w:p w14:paraId="6BAA4465" w14:textId="77777777" w:rsidR="00B21991" w:rsidRPr="00FB15DB" w:rsidRDefault="00B21991" w:rsidP="00D51121">
      <w:pPr>
        <w:pStyle w:val="BodyText12ptBefore"/>
      </w:pPr>
      <w:r w:rsidRPr="00FB15DB">
        <w:t>These average hardwood and softwood resource rent value ($) estimates per hectare of forest in Victoria are deemed to be proportionate to provide an indicative estimate of timber production from forests in the GORCAP region for this initial GORCAP EEA. More accurate estimates would require specific data on hardwood and softwood timber production value within the GORCAP region.</w:t>
      </w:r>
    </w:p>
    <w:p w14:paraId="7E0ED4A4" w14:textId="77777777" w:rsidR="00B21991" w:rsidRPr="00FB15DB" w:rsidRDefault="00B21991" w:rsidP="00B21991">
      <w:pPr>
        <w:pStyle w:val="BodyText"/>
      </w:pPr>
      <w:r w:rsidRPr="00FB15DB">
        <w:t xml:space="preserve">These per hectare resource rent values are multiplied by the total area (ha) of hardwood and softwood plantation forest within the assessment GORCAP boundary to produce estimates of total timber production value for the GORCAP EEA. </w:t>
      </w:r>
    </w:p>
    <w:p w14:paraId="1A00A4D2" w14:textId="77777777" w:rsidR="00B21991" w:rsidRPr="00FB15DB" w:rsidRDefault="00B21991" w:rsidP="00D51121">
      <w:pPr>
        <w:pStyle w:val="Heading3"/>
      </w:pPr>
      <w:bookmarkStart w:id="175" w:name="_Toc98854666"/>
      <w:bookmarkStart w:id="176" w:name="_Toc163547040"/>
      <w:r w:rsidRPr="00D51121">
        <w:t>Aesthetics</w:t>
      </w:r>
      <w:bookmarkEnd w:id="175"/>
      <w:bookmarkEnd w:id="176"/>
    </w:p>
    <w:p w14:paraId="25BFCEE7" w14:textId="77777777" w:rsidR="00B21991" w:rsidRPr="00FB15DB" w:rsidRDefault="00B21991" w:rsidP="00B21991">
      <w:pPr>
        <w:pStyle w:val="BodyText"/>
      </w:pPr>
      <w:r w:rsidRPr="00FB15DB">
        <w:t>The natural beauty of the GORCAP region is valued by residents and visitors alike, with many recreational visitors coming specifically to observe this. This “aesthetic” value of the regions landscapes / seascapes is a key ecosystem service provided by the ecosystem assets within the GOR Coast and Parks Area and has been captured in the reviewed literature through datasets on the interactions with aesthetic beauty, such as geo-tagged social media uploads of pictures of aesthetically valued landscapes (as per AECOM, 2015).</w:t>
      </w:r>
    </w:p>
    <w:p w14:paraId="4A7139C0" w14:textId="77777777" w:rsidR="00B21991" w:rsidRPr="00FB15DB" w:rsidRDefault="00B21991" w:rsidP="00B21991">
      <w:pPr>
        <w:pStyle w:val="BodyText"/>
      </w:pPr>
      <w:r w:rsidRPr="00FB15DB">
        <w:t xml:space="preserve">In the absence of geo-tagged photos for this GORCAP EEA, the study team has captured the </w:t>
      </w:r>
      <w:r w:rsidRPr="00FB15DB">
        <w:rPr>
          <w:i/>
        </w:rPr>
        <w:t>capacity</w:t>
      </w:r>
      <w:r w:rsidRPr="00FB15DB">
        <w:t xml:space="preserve"> of the regions ecosystems to provide aesthetic value, by estimating the quality of the “</w:t>
      </w:r>
      <w:proofErr w:type="spellStart"/>
      <w:r w:rsidRPr="00FB15DB">
        <w:t>viewscape</w:t>
      </w:r>
      <w:proofErr w:type="spellEnd"/>
      <w:r w:rsidRPr="00FB15DB">
        <w:t xml:space="preserve">” that can be seen from the road of the Great Ocean Road. The aesthetic quality of the viewshed is assumed to be linked to the extent to which the viewshed is filled with (i) with different ecosystem assets (e.g., farmland, marine etc.) and (ii) the built environment. </w:t>
      </w:r>
    </w:p>
    <w:p w14:paraId="74C15FAD" w14:textId="77777777" w:rsidR="00B21991" w:rsidRPr="00FB15DB" w:rsidRDefault="00B21991" w:rsidP="00B21991">
      <w:pPr>
        <w:pStyle w:val="BodyText"/>
      </w:pPr>
      <w:r w:rsidRPr="00FB15DB">
        <w:t xml:space="preserve">The viewshed analysis developed by the team is not intended to be a comprehensive approach to capturing the capacity of all ecosystems to provide aesthetic value, but as a proof-of-concept for how this ecosystem service might be assessed in the future from a single perspective (i.e. the aesthetic enjoyment of ecosystems by road users), noting that a more refined approach could consider the full range of visual perspectives enjoyed by visitors (e.g. from boardwalks to helicopters overlooking key tourist attractions) as well as the key drivers of aesthetic value.  </w:t>
      </w:r>
    </w:p>
    <w:p w14:paraId="39806363" w14:textId="77777777" w:rsidR="00B21991" w:rsidRPr="00FB15DB" w:rsidRDefault="00B21991" w:rsidP="00B21991">
      <w:pPr>
        <w:pStyle w:val="BodyText"/>
      </w:pPr>
      <w:r w:rsidRPr="00FB15DB">
        <w:t>The viewshed is estimated using the ArcGIS 3D analyst extension visibility tool and a digital elevation model by applying a viewshed buffer based on the viewing elevation from the road. This will include land areas within and outside of the GOR Coast and Parks Area. The approach taken replicates the landscape assessment review for the GORCAP region undertaken by Clare Scott Planning (2019) (see Annex 3, Section A3.7.) but extend to cover the seascape as well as the landscape viewshed.</w:t>
      </w:r>
    </w:p>
    <w:p w14:paraId="0D71AA67" w14:textId="77777777" w:rsidR="00B21991" w:rsidRPr="00E8682C" w:rsidRDefault="00B21991" w:rsidP="00E8682C">
      <w:pPr>
        <w:pStyle w:val="Heading3"/>
      </w:pPr>
      <w:bookmarkStart w:id="177" w:name="_Toc98854667"/>
      <w:bookmarkStart w:id="178" w:name="_Toc163547041"/>
      <w:r w:rsidRPr="00E8682C">
        <w:t>Cultural heritage values</w:t>
      </w:r>
      <w:bookmarkEnd w:id="177"/>
      <w:bookmarkEnd w:id="178"/>
      <w:r w:rsidRPr="00E8682C">
        <w:t xml:space="preserve"> </w:t>
      </w:r>
    </w:p>
    <w:p w14:paraId="5CA2F84C" w14:textId="77777777" w:rsidR="00B21991" w:rsidRPr="00FB15DB" w:rsidRDefault="00B21991" w:rsidP="00B21991">
      <w:pPr>
        <w:pStyle w:val="BodyText"/>
      </w:pPr>
      <w:r w:rsidRPr="00FB15DB">
        <w:t xml:space="preserve">This report aims to look at cultural values supported by the environment relating to Traditional Owners living cultural heritage as well as non-Indigenous historic and contemporary cultural heritage. It is important to note that there may be inherent differences between the cultural values reported within the SEEA framework and the cultural values of, and important to, Traditional Owners, and that any representation of Indigenous cultural values in this piece of work could not reflect the full value of the environment to First Peoples. </w:t>
      </w:r>
    </w:p>
    <w:p w14:paraId="731C755D" w14:textId="77777777" w:rsidR="00B21991" w:rsidRPr="00FB15DB" w:rsidRDefault="00B21991" w:rsidP="00D51121">
      <w:pPr>
        <w:pStyle w:val="Heading4"/>
      </w:pPr>
      <w:bookmarkStart w:id="179" w:name="_Toc163547042"/>
      <w:r w:rsidRPr="00FB15DB">
        <w:t>Traditional Owners living cultural heritage</w:t>
      </w:r>
      <w:bookmarkEnd w:id="179"/>
    </w:p>
    <w:p w14:paraId="25CF775C" w14:textId="77777777" w:rsidR="00B21991" w:rsidRPr="00FB15DB" w:rsidRDefault="00B21991" w:rsidP="00B21991">
      <w:pPr>
        <w:pStyle w:val="BodyText"/>
        <w:rPr>
          <w:highlight w:val="yellow"/>
        </w:rPr>
      </w:pPr>
      <w:r w:rsidRPr="00FB15DB">
        <w:t xml:space="preserve">There is no standard process for incorporating Traditional Owners cultural values into the UN System of Environmental-Economic Accounts. It is an area of ongoing work internationally and there is an opportunity to contribute to this work through this GORCAP EEA.  </w:t>
      </w:r>
    </w:p>
    <w:p w14:paraId="2322C097" w14:textId="77777777" w:rsidR="00B21991" w:rsidRPr="00FB15DB" w:rsidRDefault="00B21991" w:rsidP="00B21991">
      <w:pPr>
        <w:pStyle w:val="BodyText"/>
      </w:pPr>
      <w:r w:rsidRPr="00FB15DB">
        <w:lastRenderedPageBreak/>
        <w:t>Including any information on the value of Traditional Owners living cultural heritage within this Great Ocean Road Coast and Parks environmental-economic account requires consultation with the Traditional Owner Groups of the lands that are within the accounts’ geographic boundary (pers. comm, DELWP State-wide Heritage Management Co-ordinator).</w:t>
      </w:r>
    </w:p>
    <w:p w14:paraId="0743353A" w14:textId="77777777" w:rsidR="00B21991" w:rsidRPr="00FB15DB" w:rsidRDefault="00B21991" w:rsidP="00B21991">
      <w:pPr>
        <w:pStyle w:val="BodyText"/>
      </w:pPr>
      <w:r w:rsidRPr="00FB15DB">
        <w:t xml:space="preserve">The study team sought engagement with the two Traditional Owner Groups in the Great Ocean Road region, </w:t>
      </w:r>
      <w:proofErr w:type="spellStart"/>
      <w:r w:rsidRPr="00FB15DB">
        <w:t>Wadawurrung</w:t>
      </w:r>
      <w:proofErr w:type="spellEnd"/>
      <w:r w:rsidRPr="00FB15DB">
        <w:t xml:space="preserve"> Traditional Owners Aboriginal Corporation and Eastern Maar Aboriginal Corporation, to understand if and how it is appropriate to capture Traditional Owner cultural values within the GORCAP EEA in the short-term and long-term.</w:t>
      </w:r>
    </w:p>
    <w:p w14:paraId="385DB9C7" w14:textId="77777777" w:rsidR="00B21991" w:rsidRPr="00FB15DB" w:rsidRDefault="00B21991" w:rsidP="00E8682C">
      <w:pPr>
        <w:pStyle w:val="Heading4"/>
      </w:pPr>
      <w:bookmarkStart w:id="180" w:name="_Toc163547043"/>
      <w:r w:rsidRPr="00FB15DB">
        <w:t>Historic and contemporary non-Indigenous cultural heritage</w:t>
      </w:r>
      <w:bookmarkEnd w:id="180"/>
      <w:r w:rsidRPr="00FB15DB">
        <w:t xml:space="preserve"> </w:t>
      </w:r>
    </w:p>
    <w:p w14:paraId="7EACDA9C" w14:textId="77777777" w:rsidR="00B21991" w:rsidRPr="00FB15DB" w:rsidRDefault="00B21991" w:rsidP="00B21991">
      <w:pPr>
        <w:pStyle w:val="BodyText"/>
      </w:pPr>
      <w:r w:rsidRPr="00FB15DB">
        <w:t xml:space="preserve">Ecosystem assets within the GORCAP include places, landscapes and features that have traditional historical heritage value (e.g., shipwrecks) or contemporary cultural value (e.g., arboreal Avenues of Honour) to different groups (note that the treatment of cultural value to Traditional Owner people is treated separately, see Section 3.3.8.1). </w:t>
      </w:r>
    </w:p>
    <w:p w14:paraId="16376E29" w14:textId="47E24535" w:rsidR="00B21991" w:rsidRPr="00FB15DB" w:rsidRDefault="00B21991" w:rsidP="00B21991">
      <w:pPr>
        <w:pStyle w:val="BodyText"/>
      </w:pPr>
      <w:r w:rsidRPr="00FB15DB">
        <w:t xml:space="preserve">Where information exists on specific ecosystem features with a historic or contemporary cultural value, this will be captured in the ecosystem condition account under “socio-economic characteristics – non-Indigenous cultural assets” which reports on the status of key cultural assets within the GORCAP region (see Table 21). </w:t>
      </w:r>
    </w:p>
    <w:p w14:paraId="6789CF7E" w14:textId="77777777" w:rsidR="00B21991" w:rsidRPr="00FB15DB" w:rsidRDefault="00B21991" w:rsidP="00E8682C">
      <w:pPr>
        <w:pStyle w:val="Heading3"/>
      </w:pPr>
      <w:bookmarkStart w:id="181" w:name="_Toc98854668"/>
      <w:bookmarkStart w:id="182" w:name="_Toc163547044"/>
      <w:r w:rsidRPr="00FB15DB">
        <w:t>Existence / Option value</w:t>
      </w:r>
      <w:bookmarkEnd w:id="181"/>
      <w:bookmarkEnd w:id="182"/>
    </w:p>
    <w:p w14:paraId="2CEA023F" w14:textId="77777777" w:rsidR="00B21991" w:rsidRPr="00FB15DB" w:rsidRDefault="00B21991" w:rsidP="00B21991">
      <w:pPr>
        <w:pStyle w:val="BodyText"/>
      </w:pPr>
      <w:r w:rsidRPr="00FB15DB">
        <w:t xml:space="preserve">Society benefits from knowing that ecosystem assets that are not currently “used” (with “use” being defined in a broad sense of delivering ecosystem services that are enjoyed by society) will be there in future should we need them (akin to an insurance policy), this is known as an </w:t>
      </w:r>
      <w:r w:rsidRPr="00FB15DB">
        <w:rPr>
          <w:b/>
        </w:rPr>
        <w:t>option value.</w:t>
      </w:r>
      <w:r w:rsidRPr="00FB15DB">
        <w:t xml:space="preserve"> This could be people valuing the existence of the Twelve Apostles because they might one day visit the Great Ocean Road Coast and Parks. Option value is particularly important for the diversity of ecosystems, species and genes (i.e., biodiversity) given the potentially significant value of nature based research providing new products (i.e., medicines and technology) as well as the need for the natural environment to be adaptable and resilient to future pressures such as climate change. Ecosystem assets, including biodiversity, also has an </w:t>
      </w:r>
      <w:r w:rsidRPr="00FB15DB">
        <w:rPr>
          <w:b/>
        </w:rPr>
        <w:t>existence value</w:t>
      </w:r>
      <w:r w:rsidRPr="00FB15DB">
        <w:t>, independent of society’s use (also termed “intrinsic value” of nature).</w:t>
      </w:r>
    </w:p>
    <w:p w14:paraId="2864ECD3" w14:textId="77777777" w:rsidR="00B21991" w:rsidRPr="00FB15DB" w:rsidRDefault="00B21991" w:rsidP="00B21991">
      <w:pPr>
        <w:pStyle w:val="BodyText"/>
      </w:pPr>
      <w:r w:rsidRPr="00FB15DB">
        <w:t xml:space="preserve">There is no economic valuation evidence on the existence and option value of the Great Ocean Road Coast and Parks’ ecosystem assets and it is challenging to estimate and apply such a value in a way that appropriately reflects the value that society places on this (i.e., what is the appropriate beneficiary population?). Therefore, for the purpose of this GORCAP EEA, it is assumed that society values the existence and option value of ecosystem assets (including biodiversity) along the GORCAP, as evidenced by significant areas being protected / on </w:t>
      </w:r>
      <w:proofErr w:type="gramStart"/>
      <w:r w:rsidRPr="00FB15DB">
        <w:t>Crown-land</w:t>
      </w:r>
      <w:proofErr w:type="gramEnd"/>
      <w:r w:rsidRPr="00FB15DB">
        <w:t xml:space="preserve"> (i.e., the government acts of behalf of society to secure the future integrity of the ecosystems within the area). This effectively assumes society wants the ecosystems and biodiversity within the GORCAP region to be maintained / restored. </w:t>
      </w:r>
    </w:p>
    <w:p w14:paraId="42DE2E7F" w14:textId="77777777" w:rsidR="00B21991" w:rsidRPr="00FB15DB" w:rsidRDefault="00B21991" w:rsidP="00B21991">
      <w:pPr>
        <w:pStyle w:val="BodyText"/>
      </w:pPr>
      <w:r w:rsidRPr="00FB15DB">
        <w:t>However, it is recognised that there are trade-offs associated with the management of the GORCAP region for different uses (i.e., biodiversity and tourism) and that maintaining the current status of ecosystems might not be possible. In order to inform decision making where ecosystems / biodiversity is at risk of being lost, the metrics in the GORCAP EEA extent and condition accounts are used to understand what is at risk of being lost. This includes tracking changes in the status of rare and threatened species, habitat suitability scores, native vegetation scores etc. over time.</w:t>
      </w:r>
    </w:p>
    <w:p w14:paraId="60AAA1CA" w14:textId="77777777" w:rsidR="00B21991" w:rsidRPr="00FB15DB" w:rsidRDefault="00B21991" w:rsidP="00B21991">
      <w:pPr>
        <w:pStyle w:val="BodyText"/>
      </w:pPr>
      <w:r w:rsidRPr="00FB15DB">
        <w:t>This information can be used to inform decisions regarding potential ways to mitigate potential effects on ecosystems / biodiversity in the GORCAP region, by maintaining the overall (net) level of certain metrics across the region, through policies such as biodiversity offsets, relocation of rare/threatened species etc. This information can therefore be used to ensure the status of ecosystems (and biodiversity) is being secured / protected over time in order that their existence and option value is sustained into the future.</w:t>
      </w:r>
    </w:p>
    <w:p w14:paraId="0D0DB28E" w14:textId="77777777" w:rsidR="00B21991" w:rsidRPr="00FB15DB" w:rsidRDefault="00B21991" w:rsidP="00E8682C">
      <w:pPr>
        <w:pStyle w:val="Heading3"/>
      </w:pPr>
      <w:bookmarkStart w:id="183" w:name="_Toc98854669"/>
      <w:bookmarkStart w:id="184" w:name="_Toc163547045"/>
      <w:r w:rsidRPr="00FB15DB">
        <w:t>Social / community cohesion</w:t>
      </w:r>
      <w:bookmarkEnd w:id="183"/>
      <w:bookmarkEnd w:id="184"/>
    </w:p>
    <w:p w14:paraId="6187A1D7" w14:textId="77777777" w:rsidR="00B21991" w:rsidRPr="00FB15DB" w:rsidRDefault="00B21991" w:rsidP="00B21991">
      <w:pPr>
        <w:pStyle w:val="BodyText"/>
      </w:pPr>
      <w:r w:rsidRPr="00FB15DB">
        <w:t xml:space="preserve">Ecosystem assets provides opportunities to develop a sense of community and social connection through group engagement with the natural environment such as volunteering. Such engagement provides public good benefits (for the ecosystems) and private benefits for the individual/group). This engagement is captured within the GORCAP EEA through data on the number and type of community clubs that are dependent on or interact with ecosystems such as surf lifesaving clubs, beach patrol groups, cycling clubs </w:t>
      </w:r>
      <w:r w:rsidRPr="00FB15DB">
        <w:lastRenderedPageBreak/>
        <w:t xml:space="preserve">etc. This information is collated from a DELWP database, DELWP’s </w:t>
      </w:r>
      <w:proofErr w:type="spellStart"/>
      <w:r w:rsidRPr="00FB15DB">
        <w:t>Coastcare</w:t>
      </w:r>
      <w:proofErr w:type="spellEnd"/>
      <w:r w:rsidRPr="00FB15DB">
        <w:rPr>
          <w:vertAlign w:val="superscript"/>
        </w:rPr>
        <w:footnoteReference w:id="60"/>
      </w:r>
      <w:r w:rsidRPr="00FB15DB">
        <w:t xml:space="preserve"> team and an internet search by the study team.  It has not been possible to obtain information on the number of volunteer days annually within the timeframe of this project, it is possible that such information is held by DELWP (see future work). </w:t>
      </w:r>
    </w:p>
    <w:p w14:paraId="2B588E0C" w14:textId="77777777" w:rsidR="00B21991" w:rsidRPr="00FB15DB" w:rsidRDefault="00B21991" w:rsidP="00D51121">
      <w:pPr>
        <w:pStyle w:val="Heading2"/>
      </w:pPr>
      <w:bookmarkStart w:id="185" w:name="_Toc98854670"/>
      <w:bookmarkStart w:id="186" w:name="_Toc163547046"/>
      <w:r w:rsidRPr="00FB15DB">
        <w:t xml:space="preserve">Supply and use of </w:t>
      </w:r>
      <w:r w:rsidRPr="00D51121">
        <w:t>ecosystem</w:t>
      </w:r>
      <w:r w:rsidRPr="00FB15DB">
        <w:t xml:space="preserve"> services</w:t>
      </w:r>
      <w:bookmarkEnd w:id="185"/>
      <w:bookmarkEnd w:id="186"/>
    </w:p>
    <w:p w14:paraId="7F4E2D22" w14:textId="77777777" w:rsidR="00B21991" w:rsidRPr="00FB15DB" w:rsidRDefault="00B21991" w:rsidP="00B21991">
      <w:pPr>
        <w:pStyle w:val="BodyText"/>
        <w:rPr>
          <w:rFonts w:eastAsiaTheme="minorEastAsia"/>
        </w:rPr>
      </w:pPr>
      <w:r w:rsidRPr="00FB15DB">
        <w:t xml:space="preserve">Understanding the extent to which ecosystems services are “supplied” from ecosystem assets owned by different economic units (business, household, government) and “used” by other economic units / </w:t>
      </w:r>
      <w:r w:rsidRPr="00FB15DB">
        <w:rPr>
          <w:rFonts w:eastAsiaTheme="minorEastAsia"/>
        </w:rPr>
        <w:t>beneficiaries is important from a management perspective as it can facilitate strategic collaborative approaches to natural resource management and can contribute to developing alternative funding models.</w:t>
      </w:r>
    </w:p>
    <w:p w14:paraId="75267C31" w14:textId="77777777" w:rsidR="00B21991" w:rsidRPr="00FB15DB" w:rsidRDefault="00B21991" w:rsidP="00B21991">
      <w:pPr>
        <w:pStyle w:val="BodyText"/>
        <w:rPr>
          <w:rFonts w:eastAsiaTheme="minorEastAsia"/>
        </w:rPr>
      </w:pPr>
      <w:r w:rsidRPr="00FB15DB">
        <w:rPr>
          <w:rFonts w:eastAsiaTheme="minorEastAsia"/>
        </w:rPr>
        <w:t xml:space="preserve">For the GORCAP region understanding the supply of ecosystem services from public (Crown) versus private (non-Crown) land is particularly important for informing the </w:t>
      </w:r>
      <w:r w:rsidRPr="00FB15DB">
        <w:t xml:space="preserve">Authority’s management of the natural resources in the region. </w:t>
      </w:r>
    </w:p>
    <w:p w14:paraId="607753F7" w14:textId="77777777" w:rsidR="00B21991" w:rsidRPr="00FB15DB" w:rsidRDefault="00B21991" w:rsidP="00B21991">
      <w:pPr>
        <w:pStyle w:val="BodyText"/>
        <w:rPr>
          <w:rFonts w:eastAsiaTheme="minorEastAsia"/>
        </w:rPr>
      </w:pPr>
      <w:r w:rsidRPr="00FB15DB">
        <w:t>Based on the reviewed literature (see Annex 10 for more detail), the supply and use of ecosystem services for the GORCAP EEA is assessed as follows:</w:t>
      </w:r>
    </w:p>
    <w:p w14:paraId="5CDD27C9" w14:textId="77777777" w:rsidR="00B21991" w:rsidRPr="00FB15DB" w:rsidRDefault="00B21991" w:rsidP="00B21991">
      <w:pPr>
        <w:pStyle w:val="ListBullet"/>
      </w:pPr>
      <w:r w:rsidRPr="00FB15DB">
        <w:t>Data is compiled on ecosystem type and asset ownership, to attribute the supply of ecosystem services to ecosystem types</w:t>
      </w:r>
      <w:r w:rsidRPr="00FB15DB">
        <w:rPr>
          <w:b/>
        </w:rPr>
        <w:t xml:space="preserve"> and </w:t>
      </w:r>
      <w:r w:rsidRPr="00FB15DB">
        <w:t>economic units (based on asset ownership).</w:t>
      </w:r>
    </w:p>
    <w:p w14:paraId="2B4C29EE" w14:textId="77777777" w:rsidR="00B21991" w:rsidRPr="00FB15DB" w:rsidRDefault="00B21991" w:rsidP="00B21991">
      <w:pPr>
        <w:pStyle w:val="ListBullet"/>
      </w:pPr>
      <w:r w:rsidRPr="00FB15DB">
        <w:t>Economic units “use” ecosystem services and are defined as industrial sectors (e.g., agriculture, forestry and fisheries; tourism), government and households for the purposes of developing supply and use tables, in line with SEEA guidance.</w:t>
      </w:r>
    </w:p>
    <w:p w14:paraId="23F1561F" w14:textId="77777777" w:rsidR="00B21991" w:rsidRPr="00FB15DB" w:rsidRDefault="00B21991" w:rsidP="00B21991">
      <w:pPr>
        <w:pStyle w:val="BodyText12ptBefore"/>
        <w:rPr>
          <w:rFonts w:eastAsia="Arial"/>
        </w:rPr>
      </w:pPr>
      <w:r w:rsidRPr="00FB15DB">
        <w:rPr>
          <w:rFonts w:eastAsia="Arial"/>
        </w:rPr>
        <w:t xml:space="preserve">Table 16 outlines potential data sources that could be used to develop the supply and use tables for the GORCAP EEA, specifically in relation to asset ownership. </w:t>
      </w:r>
    </w:p>
    <w:p w14:paraId="7C81A1C0" w14:textId="77777777" w:rsidR="00B21991" w:rsidRPr="00FB15DB" w:rsidRDefault="00B21991" w:rsidP="00270081">
      <w:pPr>
        <w:pStyle w:val="Caption"/>
        <w:rPr>
          <w:rFonts w:eastAsia="Arial"/>
        </w:rPr>
      </w:pPr>
      <w:r w:rsidRPr="00270081">
        <w:rPr>
          <w:rFonts w:eastAsia="Arial"/>
        </w:rPr>
        <w:t>Table</w:t>
      </w:r>
      <w:r w:rsidRPr="00FB15DB">
        <w:rPr>
          <w:rFonts w:eastAsia="Arial"/>
        </w:rPr>
        <w:t xml:space="preserve"> 16. Identified datasets to inform development of supply and use tables for GORCAP EEA</w:t>
      </w:r>
    </w:p>
    <w:tbl>
      <w:tblPr>
        <w:tblStyle w:val="TableGrid"/>
        <w:tblW w:w="5000" w:type="pct"/>
        <w:tblLook w:val="04A0" w:firstRow="1" w:lastRow="0" w:firstColumn="1" w:lastColumn="0" w:noHBand="0" w:noVBand="1"/>
      </w:tblPr>
      <w:tblGrid>
        <w:gridCol w:w="2269"/>
        <w:gridCol w:w="816"/>
        <w:gridCol w:w="1036"/>
        <w:gridCol w:w="1653"/>
        <w:gridCol w:w="2768"/>
        <w:gridCol w:w="1096"/>
      </w:tblGrid>
      <w:tr w:rsidR="00B21991" w:rsidRPr="00FB15DB" w14:paraId="7515ABDF" w14:textId="77777777" w:rsidTr="00D51121">
        <w:trPr>
          <w:cnfStyle w:val="100000000000" w:firstRow="1" w:lastRow="0" w:firstColumn="0" w:lastColumn="0" w:oddVBand="0" w:evenVBand="0" w:oddHBand="0" w:evenHBand="0" w:firstRowFirstColumn="0" w:firstRowLastColumn="0" w:lastRowFirstColumn="0" w:lastRowLastColumn="0"/>
          <w:trHeight w:val="47"/>
        </w:trPr>
        <w:tc>
          <w:tcPr>
            <w:cnfStyle w:val="001000000000" w:firstRow="0" w:lastRow="0" w:firstColumn="1" w:lastColumn="0" w:oddVBand="0" w:evenVBand="0" w:oddHBand="0" w:evenHBand="0" w:firstRowFirstColumn="0" w:firstRowLastColumn="0" w:lastRowFirstColumn="0" w:lastRowLastColumn="0"/>
            <w:tcW w:w="1185" w:type="pct"/>
          </w:tcPr>
          <w:p w14:paraId="3E4F3E45" w14:textId="77777777" w:rsidR="00B21991" w:rsidRPr="00FB15DB" w:rsidRDefault="00B21991" w:rsidP="00666947">
            <w:pPr>
              <w:pStyle w:val="TableTextLeft"/>
              <w:keepNext w:val="0"/>
            </w:pPr>
            <w:r w:rsidRPr="00FB15DB">
              <w:rPr>
                <w:b/>
              </w:rPr>
              <w:t>Data description</w:t>
            </w:r>
          </w:p>
        </w:tc>
        <w:tc>
          <w:tcPr>
            <w:tcW w:w="386" w:type="pct"/>
          </w:tcPr>
          <w:p w14:paraId="0114C2F9" w14:textId="77777777" w:rsidR="00B21991" w:rsidRPr="00FB15DB" w:rsidRDefault="00B21991" w:rsidP="00666947">
            <w:pPr>
              <w:pStyle w:val="TableTextLeft"/>
              <w:keepNext w:val="0"/>
              <w:cnfStyle w:val="100000000000" w:firstRow="1" w:lastRow="0" w:firstColumn="0" w:lastColumn="0" w:oddVBand="0" w:evenVBand="0" w:oddHBand="0" w:evenHBand="0" w:firstRowFirstColumn="0" w:firstRowLastColumn="0" w:lastRowFirstColumn="0" w:lastRowLastColumn="0"/>
            </w:pPr>
            <w:r w:rsidRPr="00FB15DB">
              <w:rPr>
                <w:b/>
              </w:rPr>
              <w:t>Metric</w:t>
            </w:r>
          </w:p>
        </w:tc>
        <w:tc>
          <w:tcPr>
            <w:tcW w:w="545" w:type="pct"/>
          </w:tcPr>
          <w:p w14:paraId="14887F22" w14:textId="77777777" w:rsidR="00B21991" w:rsidRPr="00FB15DB" w:rsidRDefault="00B21991" w:rsidP="00666947">
            <w:pPr>
              <w:pStyle w:val="TableTextLeft"/>
              <w:keepNext w:val="0"/>
              <w:cnfStyle w:val="100000000000" w:firstRow="1" w:lastRow="0" w:firstColumn="0" w:lastColumn="0" w:oddVBand="0" w:evenVBand="0" w:oddHBand="0" w:evenHBand="0" w:firstRowFirstColumn="0" w:firstRowLastColumn="0" w:lastRowFirstColumn="0" w:lastRowLastColumn="0"/>
            </w:pPr>
            <w:r w:rsidRPr="00FB15DB">
              <w:rPr>
                <w:b/>
              </w:rPr>
              <w:t>Type</w:t>
            </w:r>
          </w:p>
        </w:tc>
        <w:tc>
          <w:tcPr>
            <w:tcW w:w="865" w:type="pct"/>
          </w:tcPr>
          <w:p w14:paraId="5382096D" w14:textId="77777777" w:rsidR="00B21991" w:rsidRPr="00FB15DB" w:rsidRDefault="00B21991" w:rsidP="00666947">
            <w:pPr>
              <w:pStyle w:val="TableTextLeft"/>
              <w:keepNext w:val="0"/>
              <w:cnfStyle w:val="100000000000" w:firstRow="1" w:lastRow="0" w:firstColumn="0" w:lastColumn="0" w:oddVBand="0" w:evenVBand="0" w:oddHBand="0" w:evenHBand="0" w:firstRowFirstColumn="0" w:firstRowLastColumn="0" w:lastRowFirstColumn="0" w:lastRowLastColumn="0"/>
            </w:pPr>
            <w:r w:rsidRPr="00FB15DB">
              <w:rPr>
                <w:b/>
              </w:rPr>
              <w:t>Geographic Scope</w:t>
            </w:r>
          </w:p>
        </w:tc>
        <w:tc>
          <w:tcPr>
            <w:tcW w:w="1443" w:type="pct"/>
          </w:tcPr>
          <w:p w14:paraId="3EB08A47" w14:textId="77777777" w:rsidR="00B21991" w:rsidRPr="00FB15DB" w:rsidRDefault="00B21991" w:rsidP="00666947">
            <w:pPr>
              <w:pStyle w:val="TableTextLeft"/>
              <w:keepNext w:val="0"/>
              <w:cnfStyle w:val="100000000000" w:firstRow="1" w:lastRow="0" w:firstColumn="0" w:lastColumn="0" w:oddVBand="0" w:evenVBand="0" w:oddHBand="0" w:evenHBand="0" w:firstRowFirstColumn="0" w:firstRowLastColumn="0" w:lastRowFirstColumn="0" w:lastRowLastColumn="0"/>
            </w:pPr>
            <w:r w:rsidRPr="00FB15DB">
              <w:rPr>
                <w:b/>
              </w:rPr>
              <w:t>Source</w:t>
            </w:r>
          </w:p>
        </w:tc>
        <w:tc>
          <w:tcPr>
            <w:tcW w:w="576" w:type="pct"/>
          </w:tcPr>
          <w:p w14:paraId="15B5A8B4" w14:textId="77777777" w:rsidR="00B21991" w:rsidRPr="00FB15DB" w:rsidRDefault="00B21991" w:rsidP="00666947">
            <w:pPr>
              <w:pStyle w:val="TableTextLeft"/>
              <w:keepNext w:val="0"/>
              <w:cnfStyle w:val="100000000000" w:firstRow="1" w:lastRow="0" w:firstColumn="0" w:lastColumn="0" w:oddVBand="0" w:evenVBand="0" w:oddHBand="0" w:evenHBand="0" w:firstRowFirstColumn="0" w:firstRowLastColumn="0" w:lastRowFirstColumn="0" w:lastRowLastColumn="0"/>
            </w:pPr>
            <w:r w:rsidRPr="00FB15DB">
              <w:rPr>
                <w:b/>
              </w:rPr>
              <w:t>Year</w:t>
            </w:r>
          </w:p>
        </w:tc>
      </w:tr>
      <w:tr w:rsidR="00B21991" w:rsidRPr="00FB15DB" w14:paraId="05FBFCA9" w14:textId="77777777" w:rsidTr="00D51121">
        <w:trPr>
          <w:trHeight w:val="47"/>
        </w:trPr>
        <w:tc>
          <w:tcPr>
            <w:cnfStyle w:val="001000000000" w:firstRow="0" w:lastRow="0" w:firstColumn="1" w:lastColumn="0" w:oddVBand="0" w:evenVBand="0" w:oddHBand="0" w:evenHBand="0" w:firstRowFirstColumn="0" w:firstRowLastColumn="0" w:lastRowFirstColumn="0" w:lastRowLastColumn="0"/>
            <w:tcW w:w="1185" w:type="pct"/>
          </w:tcPr>
          <w:p w14:paraId="5B6F89D7" w14:textId="77777777" w:rsidR="00B21991" w:rsidRPr="00FB15DB" w:rsidRDefault="00B21991" w:rsidP="00666947">
            <w:pPr>
              <w:pStyle w:val="TableTextLeft"/>
            </w:pPr>
            <w:r w:rsidRPr="00FB15DB">
              <w:t>Ownership of public land</w:t>
            </w:r>
          </w:p>
        </w:tc>
        <w:tc>
          <w:tcPr>
            <w:tcW w:w="386" w:type="pct"/>
          </w:tcPr>
          <w:p w14:paraId="6107D272"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Ha</w:t>
            </w:r>
          </w:p>
        </w:tc>
        <w:tc>
          <w:tcPr>
            <w:tcW w:w="545" w:type="pct"/>
          </w:tcPr>
          <w:p w14:paraId="04215B59"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Spatial</w:t>
            </w:r>
          </w:p>
        </w:tc>
        <w:tc>
          <w:tcPr>
            <w:tcW w:w="865" w:type="pct"/>
          </w:tcPr>
          <w:p w14:paraId="0EBA2972"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Victoria</w:t>
            </w:r>
          </w:p>
        </w:tc>
        <w:tc>
          <w:tcPr>
            <w:tcW w:w="1443" w:type="pct"/>
          </w:tcPr>
          <w:p w14:paraId="16D4B22A"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DELWP PLM25</w:t>
            </w:r>
          </w:p>
        </w:tc>
        <w:tc>
          <w:tcPr>
            <w:tcW w:w="576" w:type="pct"/>
          </w:tcPr>
          <w:p w14:paraId="78C3AE20"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Current</w:t>
            </w:r>
          </w:p>
        </w:tc>
      </w:tr>
      <w:tr w:rsidR="00B21991" w:rsidRPr="00FB15DB" w14:paraId="351CA46A" w14:textId="77777777" w:rsidTr="00D51121">
        <w:trPr>
          <w:trHeight w:val="47"/>
        </w:trPr>
        <w:tc>
          <w:tcPr>
            <w:cnfStyle w:val="001000000000" w:firstRow="0" w:lastRow="0" w:firstColumn="1" w:lastColumn="0" w:oddVBand="0" w:evenVBand="0" w:oddHBand="0" w:evenHBand="0" w:firstRowFirstColumn="0" w:firstRowLastColumn="0" w:lastRowFirstColumn="0" w:lastRowLastColumn="0"/>
            <w:tcW w:w="1185" w:type="pct"/>
          </w:tcPr>
          <w:p w14:paraId="2F189CC3" w14:textId="77777777" w:rsidR="00B21991" w:rsidRPr="00FB15DB" w:rsidRDefault="00B21991" w:rsidP="00666947">
            <w:pPr>
              <w:pStyle w:val="TableTextLeft"/>
            </w:pPr>
            <w:r w:rsidRPr="00FB15DB">
              <w:t>Land use by sector</w:t>
            </w:r>
          </w:p>
        </w:tc>
        <w:tc>
          <w:tcPr>
            <w:tcW w:w="386" w:type="pct"/>
          </w:tcPr>
          <w:p w14:paraId="5E42B59C"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Ha</w:t>
            </w:r>
          </w:p>
        </w:tc>
        <w:tc>
          <w:tcPr>
            <w:tcW w:w="545" w:type="pct"/>
          </w:tcPr>
          <w:p w14:paraId="403E1A88"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Spatial</w:t>
            </w:r>
          </w:p>
        </w:tc>
        <w:tc>
          <w:tcPr>
            <w:tcW w:w="865" w:type="pct"/>
          </w:tcPr>
          <w:p w14:paraId="298CACB9"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Victoria</w:t>
            </w:r>
          </w:p>
        </w:tc>
        <w:tc>
          <w:tcPr>
            <w:tcW w:w="1443" w:type="pct"/>
          </w:tcPr>
          <w:p w14:paraId="14CAFC78"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DJPR - VLUIS</w:t>
            </w:r>
          </w:p>
        </w:tc>
        <w:tc>
          <w:tcPr>
            <w:tcW w:w="576" w:type="pct"/>
          </w:tcPr>
          <w:p w14:paraId="4A44311B"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2006-2016</w:t>
            </w:r>
          </w:p>
        </w:tc>
      </w:tr>
      <w:tr w:rsidR="00B21991" w:rsidRPr="00FB15DB" w14:paraId="43C9B7B5" w14:textId="77777777" w:rsidTr="00D51121">
        <w:trPr>
          <w:trHeight w:val="47"/>
        </w:trPr>
        <w:tc>
          <w:tcPr>
            <w:cnfStyle w:val="001000000000" w:firstRow="0" w:lastRow="0" w:firstColumn="1" w:lastColumn="0" w:oddVBand="0" w:evenVBand="0" w:oddHBand="0" w:evenHBand="0" w:firstRowFirstColumn="0" w:firstRowLastColumn="0" w:lastRowFirstColumn="0" w:lastRowLastColumn="0"/>
            <w:tcW w:w="1185" w:type="pct"/>
          </w:tcPr>
          <w:p w14:paraId="26DC348D" w14:textId="77777777" w:rsidR="00B21991" w:rsidRPr="00FB15DB" w:rsidRDefault="00B21991" w:rsidP="00666947">
            <w:pPr>
              <w:pStyle w:val="TableTextLeft"/>
            </w:pPr>
            <w:r w:rsidRPr="00FB15DB">
              <w:t>Water supply and use</w:t>
            </w:r>
          </w:p>
        </w:tc>
        <w:tc>
          <w:tcPr>
            <w:tcW w:w="386" w:type="pct"/>
          </w:tcPr>
          <w:p w14:paraId="68D8C7FB"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ML</w:t>
            </w:r>
          </w:p>
        </w:tc>
        <w:tc>
          <w:tcPr>
            <w:tcW w:w="545" w:type="pct"/>
          </w:tcPr>
          <w:p w14:paraId="5F7CE251"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Tabular</w:t>
            </w:r>
          </w:p>
        </w:tc>
        <w:tc>
          <w:tcPr>
            <w:tcW w:w="865" w:type="pct"/>
          </w:tcPr>
          <w:p w14:paraId="55031A1C"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 xml:space="preserve">Victoria / </w:t>
            </w:r>
            <w:proofErr w:type="spellStart"/>
            <w:r w:rsidRPr="00FB15DB">
              <w:t>Otways</w:t>
            </w:r>
            <w:proofErr w:type="spellEnd"/>
          </w:p>
        </w:tc>
        <w:tc>
          <w:tcPr>
            <w:tcW w:w="1443" w:type="pct"/>
          </w:tcPr>
          <w:p w14:paraId="730D9875"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Victorian Water accounts</w:t>
            </w:r>
          </w:p>
        </w:tc>
        <w:tc>
          <w:tcPr>
            <w:tcW w:w="576" w:type="pct"/>
          </w:tcPr>
          <w:p w14:paraId="6B9EBD1B"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2018-19</w:t>
            </w:r>
          </w:p>
        </w:tc>
      </w:tr>
      <w:tr w:rsidR="00B21991" w:rsidRPr="00FB15DB" w14:paraId="2E23E4E9" w14:textId="77777777" w:rsidTr="00D51121">
        <w:trPr>
          <w:trHeight w:val="212"/>
        </w:trPr>
        <w:tc>
          <w:tcPr>
            <w:cnfStyle w:val="001000000000" w:firstRow="0" w:lastRow="0" w:firstColumn="1" w:lastColumn="0" w:oddVBand="0" w:evenVBand="0" w:oddHBand="0" w:evenHBand="0" w:firstRowFirstColumn="0" w:firstRowLastColumn="0" w:lastRowFirstColumn="0" w:lastRowLastColumn="0"/>
            <w:tcW w:w="1185" w:type="pct"/>
          </w:tcPr>
          <w:p w14:paraId="2C99812F" w14:textId="77777777" w:rsidR="00B21991" w:rsidRPr="00FB15DB" w:rsidRDefault="00B21991" w:rsidP="00666947">
            <w:pPr>
              <w:pStyle w:val="TableTextLeft"/>
            </w:pPr>
            <w:r w:rsidRPr="00FB15DB">
              <w:t>Use of Marine and Coastal areas</w:t>
            </w:r>
          </w:p>
        </w:tc>
        <w:tc>
          <w:tcPr>
            <w:tcW w:w="386" w:type="pct"/>
          </w:tcPr>
          <w:p w14:paraId="17FDA72B"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545" w:type="pct"/>
          </w:tcPr>
          <w:p w14:paraId="7902CDD9"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865" w:type="pct"/>
          </w:tcPr>
          <w:p w14:paraId="7B9FE4A1"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443" w:type="pct"/>
          </w:tcPr>
          <w:p w14:paraId="4012FCC8"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rPr>
                <w:i/>
              </w:rPr>
            </w:pPr>
            <w:r w:rsidRPr="00FB15DB">
              <w:rPr>
                <w:i/>
              </w:rPr>
              <w:t>TBC from OCES Marine and Coastal indicators</w:t>
            </w:r>
          </w:p>
        </w:tc>
        <w:tc>
          <w:tcPr>
            <w:tcW w:w="576" w:type="pct"/>
          </w:tcPr>
          <w:p w14:paraId="33786E15"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p>
        </w:tc>
      </w:tr>
    </w:tbl>
    <w:p w14:paraId="66087641" w14:textId="77777777" w:rsidR="00B21991" w:rsidRPr="00FB15DB" w:rsidRDefault="00B21991" w:rsidP="00D51121">
      <w:pPr>
        <w:pStyle w:val="Heading2"/>
      </w:pPr>
      <w:bookmarkStart w:id="187" w:name="_Toc98854671"/>
      <w:bookmarkStart w:id="188" w:name="_Toc163547047"/>
      <w:r w:rsidRPr="00FB15DB">
        <w:t xml:space="preserve">Practical and </w:t>
      </w:r>
      <w:r w:rsidRPr="00D51121">
        <w:t>technical</w:t>
      </w:r>
      <w:r w:rsidRPr="00FB15DB">
        <w:t xml:space="preserve"> considerations</w:t>
      </w:r>
      <w:bookmarkEnd w:id="187"/>
      <w:bookmarkEnd w:id="188"/>
    </w:p>
    <w:p w14:paraId="6DAD8A21" w14:textId="77777777" w:rsidR="00B21991" w:rsidRPr="00FB15DB" w:rsidRDefault="00B21991" w:rsidP="00B21991">
      <w:pPr>
        <w:pStyle w:val="BodyText"/>
      </w:pPr>
      <w:r w:rsidRPr="00FB15DB">
        <w:t>Based on the review of literature and study team experience in developing environmental-economic accounts, the GORCAP EEA will take the following approach to key practical and technical issues (see Annex 11 for more detail):</w:t>
      </w:r>
    </w:p>
    <w:p w14:paraId="3599111F" w14:textId="77777777" w:rsidR="00B21991" w:rsidRPr="00FB15DB" w:rsidRDefault="00B21991" w:rsidP="00B21991">
      <w:pPr>
        <w:pStyle w:val="ListBullet"/>
      </w:pPr>
      <w:r w:rsidRPr="00FB15DB">
        <w:t>Whilst the preference is to develop a GORCAP EEA with a strong spatial framing on which data of varying resolutions can be overlayed, constraints on the data and methods available could limit the extent to which this is feasible / proportionate for all sub-accounts. Therefore, the status and productive value of ecosystem assets within the assessment boundary will be reported at a resolution (e.g., 1km², land cover polygon, local government area, broad habitat, GOR Coast and Parks area), type (qualitative, quantitative, monetary) and format (tabular or spatially explicit) that is feasible given data collection and is useful for decision making;</w:t>
      </w:r>
    </w:p>
    <w:p w14:paraId="4C3292ED" w14:textId="77777777" w:rsidR="00B21991" w:rsidRPr="00FB15DB" w:rsidRDefault="00B21991" w:rsidP="00B21991">
      <w:pPr>
        <w:pStyle w:val="ListBullet"/>
      </w:pPr>
      <w:r w:rsidRPr="00FB15DB">
        <w:t xml:space="preserve">The GORCAP EEA will report a single estimate of ecosystem service provision (i.e., </w:t>
      </w:r>
      <w:r w:rsidRPr="00FB15DB">
        <w:rPr>
          <w:i/>
        </w:rPr>
        <w:t>physical</w:t>
      </w:r>
      <w:r w:rsidRPr="00FB15DB">
        <w:t xml:space="preserve"> provision) as opposed to a range, as per SEEA guidance. However, where possible and useful, a range of </w:t>
      </w:r>
      <w:r w:rsidRPr="00FB15DB">
        <w:lastRenderedPageBreak/>
        <w:t xml:space="preserve">monetary valuation approaches (e.g., welfare and exchange values) will be taken and this range will be reported in the </w:t>
      </w:r>
      <w:r w:rsidRPr="00FB15DB">
        <w:rPr>
          <w:i/>
        </w:rPr>
        <w:t>monetary</w:t>
      </w:r>
      <w:r w:rsidRPr="00FB15DB">
        <w:t xml:space="preserve"> account. </w:t>
      </w:r>
    </w:p>
    <w:p w14:paraId="4B3B5E92" w14:textId="77777777" w:rsidR="00B21991" w:rsidRPr="00FB15DB" w:rsidRDefault="00B21991" w:rsidP="00B21991">
      <w:pPr>
        <w:pStyle w:val="ListBullet"/>
      </w:pPr>
      <w:r w:rsidRPr="00FB15DB">
        <w:t>Uncertainty will be summarised by using scores of 1 (low), 2 (medium) and 3 (high) for the robustness of (a) evidence sources and (b) methodological assumptions. These scores will be combined through multiplication to estimate an overall uncertainty score considering the confidence in the underlying data and key assumptions made, see Table 17.  The overall (i.e., combined) uncertainty ratings and scores are as follows:</w:t>
      </w:r>
    </w:p>
    <w:p w14:paraId="3FA7E407" w14:textId="77777777" w:rsidR="00B21991" w:rsidRPr="00FB15DB" w:rsidRDefault="00B21991" w:rsidP="00B21991">
      <w:pPr>
        <w:pStyle w:val="ListBullet"/>
      </w:pPr>
      <w:r w:rsidRPr="00FB15DB">
        <w:t xml:space="preserve">Low uncertainty = 1 to 2 </w:t>
      </w:r>
      <w:r w:rsidRPr="00FB15DB">
        <w:rPr>
          <w:i/>
        </w:rPr>
        <w:t>(high confidence)</w:t>
      </w:r>
    </w:p>
    <w:p w14:paraId="26E3A3FB" w14:textId="77777777" w:rsidR="00B21991" w:rsidRPr="00FB15DB" w:rsidRDefault="00B21991" w:rsidP="00B21991">
      <w:pPr>
        <w:pStyle w:val="ListBullet"/>
      </w:pPr>
      <w:r w:rsidRPr="00FB15DB">
        <w:t xml:space="preserve">Medium uncertainty = 3 to 4 </w:t>
      </w:r>
      <w:r w:rsidRPr="00FB15DB">
        <w:rPr>
          <w:i/>
        </w:rPr>
        <w:t>(medium confidence)</w:t>
      </w:r>
    </w:p>
    <w:p w14:paraId="061699F2" w14:textId="77777777" w:rsidR="00B21991" w:rsidRPr="00FB15DB" w:rsidRDefault="00B21991" w:rsidP="00B21991">
      <w:pPr>
        <w:pStyle w:val="ListBullet"/>
      </w:pPr>
      <w:r w:rsidRPr="00FB15DB">
        <w:t>High uncertainty = 6 to 9</w:t>
      </w:r>
      <w:r w:rsidRPr="00FB15DB">
        <w:rPr>
          <w:i/>
        </w:rPr>
        <w:t xml:space="preserve"> (low confidence)</w:t>
      </w:r>
    </w:p>
    <w:p w14:paraId="2C1C9083" w14:textId="77777777" w:rsidR="00B21991" w:rsidRPr="00FB15DB" w:rsidRDefault="00B21991" w:rsidP="00270081">
      <w:pPr>
        <w:pStyle w:val="Caption"/>
      </w:pPr>
      <w:r w:rsidRPr="00FB15DB">
        <w:t>Table 17. Approach to assessing uncertainty</w:t>
      </w:r>
    </w:p>
    <w:tbl>
      <w:tblPr>
        <w:tblStyle w:val="TableGrid"/>
        <w:tblW w:w="5000" w:type="pct"/>
        <w:tblLook w:val="04A0" w:firstRow="1" w:lastRow="0" w:firstColumn="1" w:lastColumn="0" w:noHBand="0" w:noVBand="1"/>
      </w:tblPr>
      <w:tblGrid>
        <w:gridCol w:w="3199"/>
        <w:gridCol w:w="1850"/>
        <w:gridCol w:w="1336"/>
        <w:gridCol w:w="1850"/>
        <w:gridCol w:w="1403"/>
      </w:tblGrid>
      <w:tr w:rsidR="00B21991" w:rsidRPr="00FB15DB" w14:paraId="08D69D50" w14:textId="77777777" w:rsidTr="009C50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9" w:type="pct"/>
          </w:tcPr>
          <w:p w14:paraId="6FA15B60" w14:textId="77777777" w:rsidR="00B21991" w:rsidRPr="00FB15DB" w:rsidRDefault="00B21991" w:rsidP="009C5096">
            <w:pPr>
              <w:pStyle w:val="TableTextLeft"/>
            </w:pPr>
          </w:p>
        </w:tc>
        <w:tc>
          <w:tcPr>
            <w:tcW w:w="960" w:type="pct"/>
          </w:tcPr>
          <w:p w14:paraId="1C3B54B5" w14:textId="77777777" w:rsidR="00B21991" w:rsidRPr="00FB15DB" w:rsidRDefault="00B21991" w:rsidP="009C5096">
            <w:pPr>
              <w:pStyle w:val="TableTextLeft"/>
              <w:cnfStyle w:val="100000000000" w:firstRow="1" w:lastRow="0" w:firstColumn="0" w:lastColumn="0" w:oddVBand="0" w:evenVBand="0" w:oddHBand="0" w:evenHBand="0" w:firstRowFirstColumn="0" w:firstRowLastColumn="0" w:lastRowFirstColumn="0" w:lastRowLastColumn="0"/>
            </w:pPr>
          </w:p>
        </w:tc>
        <w:tc>
          <w:tcPr>
            <w:tcW w:w="2381" w:type="pct"/>
            <w:gridSpan w:val="3"/>
          </w:tcPr>
          <w:p w14:paraId="2B2D6DB6" w14:textId="77777777" w:rsidR="00B21991" w:rsidRPr="00FB15DB" w:rsidRDefault="00B21991" w:rsidP="00666947">
            <w:pPr>
              <w:pStyle w:val="TableTextLeft"/>
              <w:cnfStyle w:val="100000000000" w:firstRow="1" w:lastRow="0" w:firstColumn="0" w:lastColumn="0" w:oddVBand="0" w:evenVBand="0" w:oddHBand="0" w:evenHBand="0" w:firstRowFirstColumn="0" w:firstRowLastColumn="0" w:lastRowFirstColumn="0" w:lastRowLastColumn="0"/>
              <w:rPr>
                <w:b/>
              </w:rPr>
            </w:pPr>
            <w:r w:rsidRPr="00FB15DB">
              <w:rPr>
                <w:b/>
              </w:rPr>
              <w:t>Evidence (score)</w:t>
            </w:r>
          </w:p>
        </w:tc>
      </w:tr>
      <w:tr w:rsidR="00B21991" w:rsidRPr="00FB15DB" w14:paraId="6977EEEA" w14:textId="77777777" w:rsidTr="009C5096">
        <w:tc>
          <w:tcPr>
            <w:cnfStyle w:val="001000000000" w:firstRow="0" w:lastRow="0" w:firstColumn="1" w:lastColumn="0" w:oddVBand="0" w:evenVBand="0" w:oddHBand="0" w:evenHBand="0" w:firstRowFirstColumn="0" w:firstRowLastColumn="0" w:lastRowFirstColumn="0" w:lastRowLastColumn="0"/>
            <w:tcW w:w="1659" w:type="pct"/>
          </w:tcPr>
          <w:p w14:paraId="2C5DB066" w14:textId="77777777" w:rsidR="00B21991" w:rsidRPr="00FB15DB" w:rsidRDefault="00B21991" w:rsidP="00666947">
            <w:pPr>
              <w:pStyle w:val="TableTextLeft"/>
            </w:pPr>
          </w:p>
        </w:tc>
        <w:tc>
          <w:tcPr>
            <w:tcW w:w="960" w:type="pct"/>
          </w:tcPr>
          <w:p w14:paraId="21450496"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693" w:type="pct"/>
          </w:tcPr>
          <w:p w14:paraId="6FCDA590"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rPr>
                <w:b/>
              </w:rPr>
              <w:t>Low (1)</w:t>
            </w:r>
          </w:p>
        </w:tc>
        <w:tc>
          <w:tcPr>
            <w:tcW w:w="960" w:type="pct"/>
          </w:tcPr>
          <w:p w14:paraId="3F55728F"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rPr>
                <w:b/>
              </w:rPr>
              <w:t>Medium (2)</w:t>
            </w:r>
          </w:p>
        </w:tc>
        <w:tc>
          <w:tcPr>
            <w:tcW w:w="727" w:type="pct"/>
          </w:tcPr>
          <w:p w14:paraId="4C18AB7E"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rPr>
                <w:b/>
              </w:rPr>
            </w:pPr>
            <w:r w:rsidRPr="00FB15DB">
              <w:rPr>
                <w:b/>
              </w:rPr>
              <w:t>High (3)</w:t>
            </w:r>
          </w:p>
        </w:tc>
      </w:tr>
      <w:tr w:rsidR="00B21991" w:rsidRPr="00FB15DB" w14:paraId="54AF5B6F" w14:textId="77777777" w:rsidTr="009C5096">
        <w:tc>
          <w:tcPr>
            <w:cnfStyle w:val="001000000000" w:firstRow="0" w:lastRow="0" w:firstColumn="1" w:lastColumn="0" w:oddVBand="0" w:evenVBand="0" w:oddHBand="0" w:evenHBand="0" w:firstRowFirstColumn="0" w:firstRowLastColumn="0" w:lastRowFirstColumn="0" w:lastRowLastColumn="0"/>
            <w:tcW w:w="1659" w:type="pct"/>
            <w:vMerge w:val="restart"/>
          </w:tcPr>
          <w:p w14:paraId="391587A9" w14:textId="77777777" w:rsidR="00B21991" w:rsidRPr="00FB15DB" w:rsidRDefault="00B21991" w:rsidP="00666947">
            <w:pPr>
              <w:pStyle w:val="TableTextLeft"/>
            </w:pPr>
            <w:r w:rsidRPr="00FB15DB">
              <w:rPr>
                <w:b/>
              </w:rPr>
              <w:t>Assumptions (score)</w:t>
            </w:r>
          </w:p>
        </w:tc>
        <w:tc>
          <w:tcPr>
            <w:tcW w:w="960" w:type="pct"/>
          </w:tcPr>
          <w:p w14:paraId="0A023384"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rPr>
                <w:b/>
              </w:rPr>
            </w:pPr>
            <w:r w:rsidRPr="00FB15DB">
              <w:rPr>
                <w:b/>
              </w:rPr>
              <w:t>Low (1)</w:t>
            </w:r>
          </w:p>
        </w:tc>
        <w:tc>
          <w:tcPr>
            <w:tcW w:w="693" w:type="pct"/>
          </w:tcPr>
          <w:p w14:paraId="117F0F9F"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1</w:t>
            </w:r>
          </w:p>
        </w:tc>
        <w:tc>
          <w:tcPr>
            <w:tcW w:w="960" w:type="pct"/>
          </w:tcPr>
          <w:p w14:paraId="5286F0DF"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2</w:t>
            </w:r>
          </w:p>
        </w:tc>
        <w:tc>
          <w:tcPr>
            <w:tcW w:w="727" w:type="pct"/>
          </w:tcPr>
          <w:p w14:paraId="1DD37800"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3</w:t>
            </w:r>
          </w:p>
        </w:tc>
      </w:tr>
      <w:tr w:rsidR="00B21991" w:rsidRPr="00FB15DB" w14:paraId="34EA6823" w14:textId="77777777" w:rsidTr="009C5096">
        <w:tc>
          <w:tcPr>
            <w:cnfStyle w:val="001000000000" w:firstRow="0" w:lastRow="0" w:firstColumn="1" w:lastColumn="0" w:oddVBand="0" w:evenVBand="0" w:oddHBand="0" w:evenHBand="0" w:firstRowFirstColumn="0" w:firstRowLastColumn="0" w:lastRowFirstColumn="0" w:lastRowLastColumn="0"/>
            <w:tcW w:w="1659" w:type="pct"/>
            <w:vMerge/>
          </w:tcPr>
          <w:p w14:paraId="66539D72" w14:textId="77777777" w:rsidR="00B21991" w:rsidRPr="00FB15DB" w:rsidRDefault="00B21991" w:rsidP="00666947">
            <w:pPr>
              <w:pStyle w:val="TableTextLeft"/>
            </w:pPr>
          </w:p>
        </w:tc>
        <w:tc>
          <w:tcPr>
            <w:tcW w:w="960" w:type="pct"/>
          </w:tcPr>
          <w:p w14:paraId="30CBFC60"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rPr>
                <w:b/>
              </w:rPr>
            </w:pPr>
            <w:r w:rsidRPr="00FB15DB">
              <w:rPr>
                <w:b/>
              </w:rPr>
              <w:t>Medium (2)</w:t>
            </w:r>
          </w:p>
        </w:tc>
        <w:tc>
          <w:tcPr>
            <w:tcW w:w="693" w:type="pct"/>
          </w:tcPr>
          <w:p w14:paraId="1C9DC02D"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2</w:t>
            </w:r>
          </w:p>
        </w:tc>
        <w:tc>
          <w:tcPr>
            <w:tcW w:w="960" w:type="pct"/>
          </w:tcPr>
          <w:p w14:paraId="6AE234E5"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4</w:t>
            </w:r>
          </w:p>
        </w:tc>
        <w:tc>
          <w:tcPr>
            <w:tcW w:w="727" w:type="pct"/>
          </w:tcPr>
          <w:p w14:paraId="03141807"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6</w:t>
            </w:r>
          </w:p>
        </w:tc>
      </w:tr>
      <w:tr w:rsidR="00B21991" w:rsidRPr="00FB15DB" w14:paraId="348EB603" w14:textId="77777777" w:rsidTr="009C5096">
        <w:tc>
          <w:tcPr>
            <w:cnfStyle w:val="001000000000" w:firstRow="0" w:lastRow="0" w:firstColumn="1" w:lastColumn="0" w:oddVBand="0" w:evenVBand="0" w:oddHBand="0" w:evenHBand="0" w:firstRowFirstColumn="0" w:firstRowLastColumn="0" w:lastRowFirstColumn="0" w:lastRowLastColumn="0"/>
            <w:tcW w:w="1659" w:type="pct"/>
            <w:vMerge/>
          </w:tcPr>
          <w:p w14:paraId="1FA9C4E9" w14:textId="77777777" w:rsidR="00B21991" w:rsidRPr="00FB15DB" w:rsidRDefault="00B21991" w:rsidP="00666947">
            <w:pPr>
              <w:pStyle w:val="TableTextLeft"/>
            </w:pPr>
          </w:p>
        </w:tc>
        <w:tc>
          <w:tcPr>
            <w:tcW w:w="960" w:type="pct"/>
          </w:tcPr>
          <w:p w14:paraId="4EF3DFFB"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rPr>
                <w:b/>
              </w:rPr>
            </w:pPr>
            <w:r w:rsidRPr="00FB15DB">
              <w:rPr>
                <w:b/>
              </w:rPr>
              <w:t>High (3)</w:t>
            </w:r>
          </w:p>
        </w:tc>
        <w:tc>
          <w:tcPr>
            <w:tcW w:w="693" w:type="pct"/>
          </w:tcPr>
          <w:p w14:paraId="7CE48901"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3</w:t>
            </w:r>
          </w:p>
        </w:tc>
        <w:tc>
          <w:tcPr>
            <w:tcW w:w="960" w:type="pct"/>
          </w:tcPr>
          <w:p w14:paraId="6668EFFC"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6</w:t>
            </w:r>
          </w:p>
        </w:tc>
        <w:tc>
          <w:tcPr>
            <w:tcW w:w="727" w:type="pct"/>
          </w:tcPr>
          <w:p w14:paraId="62CB83DE" w14:textId="77777777" w:rsidR="00B21991" w:rsidRPr="00FB15DB" w:rsidRDefault="00B21991" w:rsidP="00666947">
            <w:pPr>
              <w:pStyle w:val="TableTextLeft"/>
              <w:cnfStyle w:val="000000000000" w:firstRow="0" w:lastRow="0" w:firstColumn="0" w:lastColumn="0" w:oddVBand="0" w:evenVBand="0" w:oddHBand="0" w:evenHBand="0" w:firstRowFirstColumn="0" w:firstRowLastColumn="0" w:lastRowFirstColumn="0" w:lastRowLastColumn="0"/>
            </w:pPr>
            <w:r w:rsidRPr="00FB15DB">
              <w:t>9</w:t>
            </w:r>
          </w:p>
        </w:tc>
      </w:tr>
    </w:tbl>
    <w:p w14:paraId="530E3A41" w14:textId="77777777" w:rsidR="00B21991" w:rsidRPr="00FB15DB" w:rsidRDefault="00B21991" w:rsidP="007904E8">
      <w:pPr>
        <w:pStyle w:val="ListBullet"/>
        <w:numPr>
          <w:ilvl w:val="0"/>
          <w:numId w:val="15"/>
        </w:numPr>
      </w:pPr>
      <w:r w:rsidRPr="00FB15DB">
        <w:t>Ecosystem service measurement baselines (also referred to as counterfactuals) are needed in environmental-economic accounting to ensure consistent quantification of ecosystem service flows in different contexts and are implicitly set at zero (i.e., no ecosystem service provided) (UN, 2020a). Environmental-economic accounts therefore report the “total” (not marginal) provision of ecosystem services by environmental assets. A “no ecosystem asset (natural capital)” baseline (i.e., concrete) is used in the GORCAP EEA  because it is the only baseline to give us the total provision of ecosystem services of current ecosystem assets.</w:t>
      </w:r>
    </w:p>
    <w:p w14:paraId="63DDA076" w14:textId="7B6869C0" w:rsidR="00B91AFF" w:rsidRDefault="00B21991" w:rsidP="00B21991">
      <w:pPr>
        <w:pStyle w:val="ListBullet"/>
      </w:pPr>
      <w:r w:rsidRPr="00FB15DB">
        <w:t>The year for which an environmental-economic account is developed depends primarily on data availability. Information for 2019 has been used where possible and where 2019 data is not available it is taken from the years 2015 to 2021 (some condition data precedes this but is presented for completeness). Where it is necessary to combine datasets from multiple years to produce an estimate for the GORCAP EEA, assumptions are made to combine this information in a way that relates to a given year (i.e., 2019), although the year of the underlying source and data is still made clear. For example, estimates of the relationship between an ecosystem and its production of an ecosystem service may be from academic research undertaken in 2015 and an assumption is adopted that this relationship is stable and therefore relevant to apply to an analysis that is being developed for 2019. Economic valuation ($) information is drawn from multiple years and will be uprated for inflation to present value (2021) terms. Where capitalised values are used and an annual value is needed an equivalent annual cost calculation will be adopted using a 4 per cent discount rate over an appropriate time period (depending on the asset).</w:t>
      </w:r>
      <w:r w:rsidR="00B91AFF">
        <w:br w:type="page"/>
      </w:r>
    </w:p>
    <w:p w14:paraId="5312394E" w14:textId="77777777" w:rsidR="007904E8" w:rsidRPr="004A34E0" w:rsidRDefault="007904E8" w:rsidP="0004232F">
      <w:pPr>
        <w:pStyle w:val="Heading1"/>
      </w:pPr>
      <w:bookmarkStart w:id="189" w:name="_Toc98854672"/>
      <w:bookmarkStart w:id="190" w:name="_Toc163547048"/>
      <w:r w:rsidRPr="004A34E0">
        <w:lastRenderedPageBreak/>
        <w:t>Results</w:t>
      </w:r>
      <w:bookmarkEnd w:id="189"/>
      <w:bookmarkEnd w:id="190"/>
      <w:r w:rsidRPr="004A34E0">
        <w:t xml:space="preserve"> </w:t>
      </w:r>
      <w:bookmarkStart w:id="191" w:name="_Toc76383495"/>
      <w:bookmarkStart w:id="192" w:name="_Toc76383589"/>
      <w:bookmarkStart w:id="193" w:name="_Toc76383681"/>
      <w:bookmarkStart w:id="194" w:name="_Toc76383773"/>
      <w:bookmarkStart w:id="195" w:name="_Toc76383866"/>
      <w:bookmarkStart w:id="196" w:name="_Toc76383959"/>
      <w:bookmarkEnd w:id="191"/>
      <w:bookmarkEnd w:id="192"/>
      <w:bookmarkEnd w:id="193"/>
      <w:bookmarkEnd w:id="194"/>
      <w:bookmarkEnd w:id="195"/>
      <w:bookmarkEnd w:id="196"/>
    </w:p>
    <w:p w14:paraId="7D2D4863" w14:textId="77777777" w:rsidR="007904E8" w:rsidRPr="004A34E0" w:rsidRDefault="007904E8" w:rsidP="007904E8">
      <w:pPr>
        <w:pStyle w:val="Heading2"/>
        <w:rPr>
          <w:b w:val="0"/>
        </w:rPr>
      </w:pPr>
      <w:bookmarkStart w:id="197" w:name="_Toc98854673"/>
      <w:bookmarkStart w:id="198" w:name="_Toc163547049"/>
      <w:r w:rsidRPr="004A34E0">
        <w:rPr>
          <w:b w:val="0"/>
        </w:rPr>
        <w:t>Stock assessment</w:t>
      </w:r>
      <w:bookmarkEnd w:id="197"/>
      <w:bookmarkEnd w:id="198"/>
      <w:r w:rsidRPr="004A34E0">
        <w:rPr>
          <w:b w:val="0"/>
        </w:rPr>
        <w:t xml:space="preserve"> </w:t>
      </w:r>
    </w:p>
    <w:p w14:paraId="4D3F031D" w14:textId="77777777" w:rsidR="007904E8" w:rsidRPr="004A34E0" w:rsidRDefault="007904E8" w:rsidP="00D10D24">
      <w:pPr>
        <w:pStyle w:val="Heading3"/>
        <w:spacing w:before="0"/>
      </w:pPr>
      <w:bookmarkStart w:id="199" w:name="_Toc98854674"/>
      <w:bookmarkStart w:id="200" w:name="_Toc163547050"/>
      <w:r w:rsidRPr="004A34E0">
        <w:t>Ecosystem asset extent</w:t>
      </w:r>
      <w:bookmarkEnd w:id="199"/>
      <w:bookmarkEnd w:id="200"/>
      <w:r w:rsidRPr="004A34E0">
        <w:t xml:space="preserve"> </w:t>
      </w:r>
    </w:p>
    <w:p w14:paraId="056740D6" w14:textId="77777777" w:rsidR="007904E8" w:rsidRPr="00D10D24" w:rsidRDefault="007904E8" w:rsidP="007904E8">
      <w:pPr>
        <w:pStyle w:val="BodyText"/>
        <w:rPr>
          <w:spacing w:val="-2"/>
        </w:rPr>
      </w:pPr>
      <w:r w:rsidRPr="00D10D24">
        <w:rPr>
          <w:spacing w:val="-2"/>
        </w:rPr>
        <w:t xml:space="preserve">Table 18 shows the mapping of VLCTS land cover categories to the broad ecosystem asset classification in a comprehensive and mutually exclusive way insofar as the entire land area within the region is captured under both classifications and the area within the VLCTS classification maps completely across to the broad ecosystem assets. Table 18 also shows the total area (in hectares) of each of these broad assets within the GOR Coast and Parks Area boundary. Figure 13 illustrates the spatial distribution of these assets within the boundary. Table 19 then details the mapping of the </w:t>
      </w:r>
      <w:proofErr w:type="spellStart"/>
      <w:r w:rsidRPr="00D10D24">
        <w:rPr>
          <w:spacing w:val="-2"/>
        </w:rPr>
        <w:t>CBiCS</w:t>
      </w:r>
      <w:proofErr w:type="spellEnd"/>
      <w:r w:rsidRPr="00D10D24">
        <w:rPr>
          <w:spacing w:val="-2"/>
        </w:rPr>
        <w:t xml:space="preserve"> categories to the broad marine asset class within the GOR Coast and Parks Area boundary, including the total area (in hectares) of each of these narrow assets.</w:t>
      </w:r>
    </w:p>
    <w:p w14:paraId="652F084A" w14:textId="77777777" w:rsidR="007904E8" w:rsidRPr="004A34E0" w:rsidRDefault="007904E8" w:rsidP="00537CBB">
      <w:pPr>
        <w:pStyle w:val="Caption"/>
        <w:rPr>
          <w:rFonts w:eastAsia="Arial"/>
        </w:rPr>
      </w:pPr>
      <w:r w:rsidRPr="004A34E0">
        <w:rPr>
          <w:rFonts w:eastAsia="Arial"/>
        </w:rPr>
        <w:t xml:space="preserve">Table 18. Broad assets within the GOR Coast and Parks </w:t>
      </w:r>
      <w:r w:rsidRPr="00537CBB">
        <w:rPr>
          <w:rFonts w:eastAsia="Arial"/>
        </w:rPr>
        <w:t>Area</w:t>
      </w:r>
      <w:r w:rsidRPr="004A34E0">
        <w:rPr>
          <w:rFonts w:eastAsia="Arial"/>
        </w:rPr>
        <w:t xml:space="preserve"> boundary in 2019 using VLCTS (DELWP, 2020)</w:t>
      </w:r>
    </w:p>
    <w:tbl>
      <w:tblPr>
        <w:tblStyle w:val="TableGrid"/>
        <w:tblW w:w="5000" w:type="pct"/>
        <w:tblLook w:val="04A0" w:firstRow="1" w:lastRow="0" w:firstColumn="1" w:lastColumn="0" w:noHBand="0" w:noVBand="1"/>
      </w:tblPr>
      <w:tblGrid>
        <w:gridCol w:w="1403"/>
        <w:gridCol w:w="1261"/>
        <w:gridCol w:w="1119"/>
        <w:gridCol w:w="4001"/>
        <w:gridCol w:w="949"/>
        <w:gridCol w:w="905"/>
      </w:tblGrid>
      <w:tr w:rsidR="00D10D24" w:rsidRPr="004A34E0" w14:paraId="24754380" w14:textId="77777777" w:rsidTr="00D10D24">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730" w:type="pct"/>
          </w:tcPr>
          <w:p w14:paraId="24A8F35D" w14:textId="77777777" w:rsidR="007904E8" w:rsidRPr="004A34E0" w:rsidRDefault="007904E8" w:rsidP="007904E8">
            <w:pPr>
              <w:pStyle w:val="TableTextLeft"/>
              <w:keepNext w:val="0"/>
            </w:pPr>
            <w:r w:rsidRPr="004A34E0">
              <w:rPr>
                <w:b/>
              </w:rPr>
              <w:t>Broad assets</w:t>
            </w:r>
          </w:p>
        </w:tc>
        <w:tc>
          <w:tcPr>
            <w:tcW w:w="656" w:type="pct"/>
          </w:tcPr>
          <w:p w14:paraId="008CEE03"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pPr>
            <w:r w:rsidRPr="004A34E0">
              <w:rPr>
                <w:b/>
              </w:rPr>
              <w:t>Area (ha.)</w:t>
            </w:r>
          </w:p>
        </w:tc>
        <w:tc>
          <w:tcPr>
            <w:tcW w:w="582" w:type="pct"/>
          </w:tcPr>
          <w:p w14:paraId="3993978C"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pPr>
            <w:r w:rsidRPr="004A34E0">
              <w:rPr>
                <w:b/>
              </w:rPr>
              <w:t>% of total area</w:t>
            </w:r>
          </w:p>
        </w:tc>
        <w:tc>
          <w:tcPr>
            <w:tcW w:w="2077" w:type="pct"/>
          </w:tcPr>
          <w:p w14:paraId="6E29A103"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pPr>
            <w:r w:rsidRPr="004A34E0">
              <w:rPr>
                <w:b/>
              </w:rPr>
              <w:t>Narrow assets (VLCTS land cover class)</w:t>
            </w:r>
          </w:p>
        </w:tc>
        <w:tc>
          <w:tcPr>
            <w:tcW w:w="486" w:type="pct"/>
          </w:tcPr>
          <w:p w14:paraId="4E12DC83"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pPr>
            <w:r w:rsidRPr="004A34E0">
              <w:rPr>
                <w:b/>
              </w:rPr>
              <w:t>Area (ha.)</w:t>
            </w:r>
          </w:p>
        </w:tc>
        <w:tc>
          <w:tcPr>
            <w:tcW w:w="469" w:type="pct"/>
          </w:tcPr>
          <w:p w14:paraId="44A26123"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rPr>
                <w:b/>
              </w:rPr>
            </w:pPr>
            <w:r w:rsidRPr="004A34E0">
              <w:rPr>
                <w:b/>
              </w:rPr>
              <w:t>% total area</w:t>
            </w:r>
          </w:p>
        </w:tc>
      </w:tr>
      <w:tr w:rsidR="00D10D24" w:rsidRPr="004A34E0" w14:paraId="68353996" w14:textId="77777777" w:rsidTr="00D10D24">
        <w:trPr>
          <w:trHeight w:val="297"/>
        </w:trPr>
        <w:tc>
          <w:tcPr>
            <w:cnfStyle w:val="001000000000" w:firstRow="0" w:lastRow="0" w:firstColumn="1" w:lastColumn="0" w:oddVBand="0" w:evenVBand="0" w:oddHBand="0" w:evenHBand="0" w:firstRowFirstColumn="0" w:firstRowLastColumn="0" w:lastRowFirstColumn="0" w:lastRowLastColumn="0"/>
            <w:tcW w:w="730" w:type="pct"/>
          </w:tcPr>
          <w:p w14:paraId="41AB396D" w14:textId="77777777" w:rsidR="007904E8" w:rsidRPr="004A34E0" w:rsidRDefault="007904E8" w:rsidP="00666947">
            <w:pPr>
              <w:pStyle w:val="TableTextLeft"/>
            </w:pPr>
            <w:r w:rsidRPr="004A34E0">
              <w:t>Marine</w:t>
            </w:r>
          </w:p>
        </w:tc>
        <w:tc>
          <w:tcPr>
            <w:tcW w:w="656" w:type="pct"/>
          </w:tcPr>
          <w:p w14:paraId="60C6DFB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128,268</w:t>
            </w:r>
          </w:p>
        </w:tc>
        <w:tc>
          <w:tcPr>
            <w:tcW w:w="582" w:type="pct"/>
          </w:tcPr>
          <w:p w14:paraId="4881568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64.4%</w:t>
            </w:r>
          </w:p>
        </w:tc>
        <w:tc>
          <w:tcPr>
            <w:tcW w:w="2077" w:type="pct"/>
          </w:tcPr>
          <w:p w14:paraId="24E089B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Water*</w:t>
            </w:r>
            <w:r w:rsidRPr="004A34E0">
              <w:rPr>
                <w:vertAlign w:val="superscript"/>
              </w:rPr>
              <w:footnoteReference w:id="61"/>
            </w:r>
          </w:p>
        </w:tc>
        <w:tc>
          <w:tcPr>
            <w:tcW w:w="486" w:type="pct"/>
          </w:tcPr>
          <w:p w14:paraId="550F750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128,268</w:t>
            </w:r>
          </w:p>
        </w:tc>
        <w:tc>
          <w:tcPr>
            <w:tcW w:w="469" w:type="pct"/>
          </w:tcPr>
          <w:p w14:paraId="4D08DDE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64.4%</w:t>
            </w:r>
          </w:p>
        </w:tc>
      </w:tr>
      <w:tr w:rsidR="00D10D24" w:rsidRPr="004A34E0" w14:paraId="7D5E4A0A" w14:textId="77777777" w:rsidTr="00D10D24">
        <w:trPr>
          <w:trHeight w:val="297"/>
        </w:trPr>
        <w:tc>
          <w:tcPr>
            <w:cnfStyle w:val="001000000000" w:firstRow="0" w:lastRow="0" w:firstColumn="1" w:lastColumn="0" w:oddVBand="0" w:evenVBand="0" w:oddHBand="0" w:evenHBand="0" w:firstRowFirstColumn="0" w:firstRowLastColumn="0" w:lastRowFirstColumn="0" w:lastRowLastColumn="0"/>
            <w:tcW w:w="730" w:type="pct"/>
          </w:tcPr>
          <w:p w14:paraId="5CEF0D73" w14:textId="77777777" w:rsidR="007904E8" w:rsidRPr="004A34E0" w:rsidRDefault="007904E8" w:rsidP="00666947">
            <w:pPr>
              <w:pStyle w:val="TableTextLeft"/>
            </w:pPr>
            <w:r w:rsidRPr="004A34E0">
              <w:t>Alpine</w:t>
            </w:r>
          </w:p>
        </w:tc>
        <w:tc>
          <w:tcPr>
            <w:tcW w:w="656" w:type="pct"/>
          </w:tcPr>
          <w:p w14:paraId="59E3EC7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0</w:t>
            </w:r>
          </w:p>
        </w:tc>
        <w:tc>
          <w:tcPr>
            <w:tcW w:w="582" w:type="pct"/>
          </w:tcPr>
          <w:p w14:paraId="17F2619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0.0%</w:t>
            </w:r>
          </w:p>
        </w:tc>
        <w:tc>
          <w:tcPr>
            <w:tcW w:w="2077" w:type="pct"/>
          </w:tcPr>
          <w:p w14:paraId="48970D6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roofErr w:type="spellStart"/>
            <w:r w:rsidRPr="004A34E0">
              <w:t>n.a.</w:t>
            </w:r>
            <w:proofErr w:type="spellEnd"/>
          </w:p>
        </w:tc>
        <w:tc>
          <w:tcPr>
            <w:tcW w:w="486" w:type="pct"/>
          </w:tcPr>
          <w:p w14:paraId="65EA656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0</w:t>
            </w:r>
          </w:p>
        </w:tc>
        <w:tc>
          <w:tcPr>
            <w:tcW w:w="469" w:type="pct"/>
          </w:tcPr>
          <w:p w14:paraId="6C40648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0.0%</w:t>
            </w:r>
          </w:p>
        </w:tc>
      </w:tr>
      <w:tr w:rsidR="00D10D24" w:rsidRPr="004A34E0" w14:paraId="785E9AC6" w14:textId="77777777" w:rsidTr="00D10D24">
        <w:trPr>
          <w:trHeight w:val="297"/>
        </w:trPr>
        <w:tc>
          <w:tcPr>
            <w:cnfStyle w:val="001000000000" w:firstRow="0" w:lastRow="0" w:firstColumn="1" w:lastColumn="0" w:oddVBand="0" w:evenVBand="0" w:oddHBand="0" w:evenHBand="0" w:firstRowFirstColumn="0" w:firstRowLastColumn="0" w:lastRowFirstColumn="0" w:lastRowLastColumn="0"/>
            <w:tcW w:w="730" w:type="pct"/>
            <w:vMerge w:val="restart"/>
          </w:tcPr>
          <w:p w14:paraId="254B5327" w14:textId="77777777" w:rsidR="007904E8" w:rsidRPr="004A34E0" w:rsidRDefault="007904E8" w:rsidP="00666947">
            <w:pPr>
              <w:pStyle w:val="TableTextLeft"/>
            </w:pPr>
            <w:r w:rsidRPr="004A34E0">
              <w:t>Shrubland</w:t>
            </w:r>
          </w:p>
        </w:tc>
        <w:tc>
          <w:tcPr>
            <w:tcW w:w="656" w:type="pct"/>
            <w:vMerge w:val="restart"/>
          </w:tcPr>
          <w:p w14:paraId="55C1B9D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947</w:t>
            </w:r>
          </w:p>
        </w:tc>
        <w:tc>
          <w:tcPr>
            <w:tcW w:w="582" w:type="pct"/>
            <w:vMerge w:val="restart"/>
          </w:tcPr>
          <w:p w14:paraId="0403293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0.5%</w:t>
            </w:r>
          </w:p>
        </w:tc>
        <w:tc>
          <w:tcPr>
            <w:tcW w:w="2077" w:type="pct"/>
          </w:tcPr>
          <w:p w14:paraId="085056E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Native shrubland</w:t>
            </w:r>
          </w:p>
        </w:tc>
        <w:tc>
          <w:tcPr>
            <w:tcW w:w="486" w:type="pct"/>
          </w:tcPr>
          <w:p w14:paraId="0D23B44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808</w:t>
            </w:r>
          </w:p>
        </w:tc>
        <w:tc>
          <w:tcPr>
            <w:tcW w:w="469" w:type="pct"/>
          </w:tcPr>
          <w:p w14:paraId="2DC84DD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0.4%</w:t>
            </w:r>
          </w:p>
        </w:tc>
      </w:tr>
      <w:tr w:rsidR="00D10D24" w:rsidRPr="004A34E0" w14:paraId="22D8D248" w14:textId="77777777" w:rsidTr="00D10D24">
        <w:trPr>
          <w:trHeight w:val="297"/>
        </w:trPr>
        <w:tc>
          <w:tcPr>
            <w:cnfStyle w:val="001000000000" w:firstRow="0" w:lastRow="0" w:firstColumn="1" w:lastColumn="0" w:oddVBand="0" w:evenVBand="0" w:oddHBand="0" w:evenHBand="0" w:firstRowFirstColumn="0" w:firstRowLastColumn="0" w:lastRowFirstColumn="0" w:lastRowLastColumn="0"/>
            <w:tcW w:w="730" w:type="pct"/>
            <w:vMerge/>
          </w:tcPr>
          <w:p w14:paraId="6064992F" w14:textId="77777777" w:rsidR="007904E8" w:rsidRPr="004A34E0" w:rsidRDefault="007904E8" w:rsidP="00666947">
            <w:pPr>
              <w:pStyle w:val="TableTextLeft"/>
            </w:pPr>
          </w:p>
        </w:tc>
        <w:tc>
          <w:tcPr>
            <w:tcW w:w="656" w:type="pct"/>
            <w:vMerge/>
          </w:tcPr>
          <w:p w14:paraId="0E5598A3" w14:textId="77777777" w:rsidR="007904E8" w:rsidRPr="004A34E0" w:rsidDel="004723B6"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582" w:type="pct"/>
            <w:vMerge/>
          </w:tcPr>
          <w:p w14:paraId="04CD62A9" w14:textId="77777777" w:rsidR="007904E8" w:rsidRPr="004A34E0" w:rsidDel="004723B6"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77" w:type="pct"/>
          </w:tcPr>
          <w:p w14:paraId="564E9EC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Natural low cover**</w:t>
            </w:r>
          </w:p>
        </w:tc>
        <w:tc>
          <w:tcPr>
            <w:tcW w:w="486" w:type="pct"/>
          </w:tcPr>
          <w:p w14:paraId="212DE04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138</w:t>
            </w:r>
          </w:p>
        </w:tc>
        <w:tc>
          <w:tcPr>
            <w:tcW w:w="469" w:type="pct"/>
          </w:tcPr>
          <w:p w14:paraId="7802EA0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0.1%</w:t>
            </w:r>
          </w:p>
        </w:tc>
      </w:tr>
      <w:tr w:rsidR="00D10D24" w:rsidRPr="004A34E0" w14:paraId="16A2E5DF" w14:textId="77777777" w:rsidTr="00D10D24">
        <w:trPr>
          <w:trHeight w:val="281"/>
        </w:trPr>
        <w:tc>
          <w:tcPr>
            <w:cnfStyle w:val="001000000000" w:firstRow="0" w:lastRow="0" w:firstColumn="1" w:lastColumn="0" w:oddVBand="0" w:evenVBand="0" w:oddHBand="0" w:evenHBand="0" w:firstRowFirstColumn="0" w:firstRowLastColumn="0" w:lastRowFirstColumn="0" w:lastRowLastColumn="0"/>
            <w:tcW w:w="730" w:type="pct"/>
          </w:tcPr>
          <w:p w14:paraId="7307CF6C" w14:textId="77777777" w:rsidR="007904E8" w:rsidRPr="004A34E0" w:rsidRDefault="007904E8" w:rsidP="00666947">
            <w:pPr>
              <w:pStyle w:val="TableTextLeft"/>
            </w:pPr>
            <w:r w:rsidRPr="004A34E0">
              <w:t>Grassland</w:t>
            </w:r>
          </w:p>
        </w:tc>
        <w:tc>
          <w:tcPr>
            <w:tcW w:w="656" w:type="pct"/>
          </w:tcPr>
          <w:p w14:paraId="0DAD561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843</w:t>
            </w:r>
          </w:p>
        </w:tc>
        <w:tc>
          <w:tcPr>
            <w:tcW w:w="582" w:type="pct"/>
          </w:tcPr>
          <w:p w14:paraId="4DCBE9D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0.4%</w:t>
            </w:r>
          </w:p>
        </w:tc>
        <w:tc>
          <w:tcPr>
            <w:tcW w:w="2077" w:type="pct"/>
          </w:tcPr>
          <w:p w14:paraId="22D7069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Native pasture / grassland</w:t>
            </w:r>
          </w:p>
        </w:tc>
        <w:tc>
          <w:tcPr>
            <w:tcW w:w="486" w:type="pct"/>
          </w:tcPr>
          <w:p w14:paraId="2E24CA1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843</w:t>
            </w:r>
          </w:p>
        </w:tc>
        <w:tc>
          <w:tcPr>
            <w:tcW w:w="469" w:type="pct"/>
          </w:tcPr>
          <w:p w14:paraId="546A8CA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0.4%</w:t>
            </w:r>
          </w:p>
        </w:tc>
      </w:tr>
      <w:tr w:rsidR="00D10D24" w:rsidRPr="004A34E0" w14:paraId="2B53A1A8" w14:textId="77777777" w:rsidTr="00D10D24">
        <w:trPr>
          <w:trHeight w:val="297"/>
        </w:trPr>
        <w:tc>
          <w:tcPr>
            <w:cnfStyle w:val="001000000000" w:firstRow="0" w:lastRow="0" w:firstColumn="1" w:lastColumn="0" w:oddVBand="0" w:evenVBand="0" w:oddHBand="0" w:evenHBand="0" w:firstRowFirstColumn="0" w:firstRowLastColumn="0" w:lastRowFirstColumn="0" w:lastRowLastColumn="0"/>
            <w:tcW w:w="730" w:type="pct"/>
            <w:vMerge w:val="restart"/>
          </w:tcPr>
          <w:p w14:paraId="02595184" w14:textId="77777777" w:rsidR="007904E8" w:rsidRPr="004A34E0" w:rsidRDefault="007904E8" w:rsidP="00666947">
            <w:pPr>
              <w:pStyle w:val="TableTextLeft"/>
            </w:pPr>
            <w:r w:rsidRPr="004A34E0">
              <w:t>Forest / woodland</w:t>
            </w:r>
          </w:p>
        </w:tc>
        <w:tc>
          <w:tcPr>
            <w:tcW w:w="656" w:type="pct"/>
            <w:vMerge w:val="restart"/>
          </w:tcPr>
          <w:p w14:paraId="3798DC9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35,659</w:t>
            </w:r>
          </w:p>
        </w:tc>
        <w:tc>
          <w:tcPr>
            <w:tcW w:w="582" w:type="pct"/>
            <w:vMerge w:val="restart"/>
          </w:tcPr>
          <w:p w14:paraId="7E536A1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17.9%</w:t>
            </w:r>
          </w:p>
        </w:tc>
        <w:tc>
          <w:tcPr>
            <w:tcW w:w="2077" w:type="pct"/>
          </w:tcPr>
          <w:p w14:paraId="6118FD8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Treed native vegetation</w:t>
            </w:r>
          </w:p>
        </w:tc>
        <w:tc>
          <w:tcPr>
            <w:tcW w:w="486" w:type="pct"/>
          </w:tcPr>
          <w:p w14:paraId="16C2AE2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32,873</w:t>
            </w:r>
          </w:p>
        </w:tc>
        <w:tc>
          <w:tcPr>
            <w:tcW w:w="469" w:type="pct"/>
          </w:tcPr>
          <w:p w14:paraId="45A0226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16.5%</w:t>
            </w:r>
          </w:p>
        </w:tc>
      </w:tr>
      <w:tr w:rsidR="00D10D24" w:rsidRPr="004A34E0" w14:paraId="33574299" w14:textId="77777777" w:rsidTr="00D10D24">
        <w:trPr>
          <w:trHeight w:val="311"/>
        </w:trPr>
        <w:tc>
          <w:tcPr>
            <w:cnfStyle w:val="001000000000" w:firstRow="0" w:lastRow="0" w:firstColumn="1" w:lastColumn="0" w:oddVBand="0" w:evenVBand="0" w:oddHBand="0" w:evenHBand="0" w:firstRowFirstColumn="0" w:firstRowLastColumn="0" w:lastRowFirstColumn="0" w:lastRowLastColumn="0"/>
            <w:tcW w:w="730" w:type="pct"/>
            <w:vMerge/>
          </w:tcPr>
          <w:p w14:paraId="426D6945" w14:textId="77777777" w:rsidR="007904E8" w:rsidRPr="004A34E0" w:rsidRDefault="007904E8" w:rsidP="00666947">
            <w:pPr>
              <w:pStyle w:val="TableTextLeft"/>
            </w:pPr>
          </w:p>
        </w:tc>
        <w:tc>
          <w:tcPr>
            <w:tcW w:w="656" w:type="pct"/>
            <w:vMerge/>
          </w:tcPr>
          <w:p w14:paraId="7A6C619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582" w:type="pct"/>
            <w:vMerge/>
          </w:tcPr>
          <w:p w14:paraId="2AE8E2C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77" w:type="pct"/>
          </w:tcPr>
          <w:p w14:paraId="4350CF2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Scattered native trees</w:t>
            </w:r>
          </w:p>
        </w:tc>
        <w:tc>
          <w:tcPr>
            <w:tcW w:w="486" w:type="pct"/>
          </w:tcPr>
          <w:p w14:paraId="0E26C88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275</w:t>
            </w:r>
          </w:p>
        </w:tc>
        <w:tc>
          <w:tcPr>
            <w:tcW w:w="469" w:type="pct"/>
          </w:tcPr>
          <w:p w14:paraId="00E6DA7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0.1%</w:t>
            </w:r>
          </w:p>
        </w:tc>
      </w:tr>
      <w:tr w:rsidR="00D10D24" w:rsidRPr="004A34E0" w14:paraId="5D193FF9" w14:textId="77777777" w:rsidTr="00D10D24">
        <w:trPr>
          <w:trHeight w:val="311"/>
        </w:trPr>
        <w:tc>
          <w:tcPr>
            <w:cnfStyle w:val="001000000000" w:firstRow="0" w:lastRow="0" w:firstColumn="1" w:lastColumn="0" w:oddVBand="0" w:evenVBand="0" w:oddHBand="0" w:evenHBand="0" w:firstRowFirstColumn="0" w:firstRowLastColumn="0" w:lastRowFirstColumn="0" w:lastRowLastColumn="0"/>
            <w:tcW w:w="730" w:type="pct"/>
            <w:vMerge/>
          </w:tcPr>
          <w:p w14:paraId="35A2B2BD" w14:textId="77777777" w:rsidR="007904E8" w:rsidRPr="004A34E0" w:rsidRDefault="007904E8" w:rsidP="00666947">
            <w:pPr>
              <w:pStyle w:val="TableTextLeft"/>
            </w:pPr>
          </w:p>
        </w:tc>
        <w:tc>
          <w:tcPr>
            <w:tcW w:w="656" w:type="pct"/>
            <w:vMerge/>
          </w:tcPr>
          <w:p w14:paraId="3DAFC2C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582" w:type="pct"/>
            <w:vMerge/>
          </w:tcPr>
          <w:p w14:paraId="1ACF503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77" w:type="pct"/>
          </w:tcPr>
          <w:p w14:paraId="1E45094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Hardwood plantation</w:t>
            </w:r>
          </w:p>
        </w:tc>
        <w:tc>
          <w:tcPr>
            <w:tcW w:w="486" w:type="pct"/>
          </w:tcPr>
          <w:p w14:paraId="5980A9B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1,317</w:t>
            </w:r>
          </w:p>
        </w:tc>
        <w:tc>
          <w:tcPr>
            <w:tcW w:w="469" w:type="pct"/>
          </w:tcPr>
          <w:p w14:paraId="37FC175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0.7%</w:t>
            </w:r>
          </w:p>
        </w:tc>
      </w:tr>
      <w:tr w:rsidR="00D10D24" w:rsidRPr="004A34E0" w14:paraId="34A71B77" w14:textId="77777777" w:rsidTr="00D10D24">
        <w:trPr>
          <w:trHeight w:val="311"/>
        </w:trPr>
        <w:tc>
          <w:tcPr>
            <w:cnfStyle w:val="001000000000" w:firstRow="0" w:lastRow="0" w:firstColumn="1" w:lastColumn="0" w:oddVBand="0" w:evenVBand="0" w:oddHBand="0" w:evenHBand="0" w:firstRowFirstColumn="0" w:firstRowLastColumn="0" w:lastRowFirstColumn="0" w:lastRowLastColumn="0"/>
            <w:tcW w:w="730" w:type="pct"/>
            <w:vMerge/>
          </w:tcPr>
          <w:p w14:paraId="2CB81098" w14:textId="77777777" w:rsidR="007904E8" w:rsidRPr="004A34E0" w:rsidRDefault="007904E8" w:rsidP="00666947">
            <w:pPr>
              <w:pStyle w:val="TableTextLeft"/>
            </w:pPr>
          </w:p>
        </w:tc>
        <w:tc>
          <w:tcPr>
            <w:tcW w:w="656" w:type="pct"/>
            <w:vMerge/>
          </w:tcPr>
          <w:p w14:paraId="2C61689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582" w:type="pct"/>
            <w:vMerge/>
          </w:tcPr>
          <w:p w14:paraId="2FF64CB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77" w:type="pct"/>
          </w:tcPr>
          <w:p w14:paraId="16EAA70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Conifer plantation</w:t>
            </w:r>
          </w:p>
        </w:tc>
        <w:tc>
          <w:tcPr>
            <w:tcW w:w="486" w:type="pct"/>
          </w:tcPr>
          <w:p w14:paraId="4315C1F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417</w:t>
            </w:r>
          </w:p>
        </w:tc>
        <w:tc>
          <w:tcPr>
            <w:tcW w:w="469" w:type="pct"/>
          </w:tcPr>
          <w:p w14:paraId="34BF944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0.2%</w:t>
            </w:r>
          </w:p>
        </w:tc>
      </w:tr>
      <w:tr w:rsidR="00D10D24" w:rsidRPr="004A34E0" w14:paraId="26DF077C" w14:textId="77777777" w:rsidTr="00D10D24">
        <w:trPr>
          <w:trHeight w:val="311"/>
        </w:trPr>
        <w:tc>
          <w:tcPr>
            <w:cnfStyle w:val="001000000000" w:firstRow="0" w:lastRow="0" w:firstColumn="1" w:lastColumn="0" w:oddVBand="0" w:evenVBand="0" w:oddHBand="0" w:evenHBand="0" w:firstRowFirstColumn="0" w:firstRowLastColumn="0" w:lastRowFirstColumn="0" w:lastRowLastColumn="0"/>
            <w:tcW w:w="730" w:type="pct"/>
            <w:vMerge/>
          </w:tcPr>
          <w:p w14:paraId="09D57143" w14:textId="77777777" w:rsidR="007904E8" w:rsidRPr="004A34E0" w:rsidRDefault="007904E8" w:rsidP="00666947">
            <w:pPr>
              <w:pStyle w:val="TableTextLeft"/>
            </w:pPr>
          </w:p>
        </w:tc>
        <w:tc>
          <w:tcPr>
            <w:tcW w:w="656" w:type="pct"/>
            <w:vMerge/>
          </w:tcPr>
          <w:p w14:paraId="5C66C05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582" w:type="pct"/>
            <w:vMerge/>
          </w:tcPr>
          <w:p w14:paraId="6CED17B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77" w:type="pct"/>
          </w:tcPr>
          <w:p w14:paraId="5EB32F4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Other exotic tree cover</w:t>
            </w:r>
          </w:p>
        </w:tc>
        <w:tc>
          <w:tcPr>
            <w:tcW w:w="486" w:type="pct"/>
          </w:tcPr>
          <w:p w14:paraId="1B299D5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776</w:t>
            </w:r>
          </w:p>
        </w:tc>
        <w:tc>
          <w:tcPr>
            <w:tcW w:w="469" w:type="pct"/>
          </w:tcPr>
          <w:p w14:paraId="2687128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0.4%</w:t>
            </w:r>
          </w:p>
        </w:tc>
      </w:tr>
      <w:tr w:rsidR="00D10D24" w:rsidRPr="004A34E0" w14:paraId="625E77C7" w14:textId="77777777" w:rsidTr="00D10D24">
        <w:trPr>
          <w:trHeight w:val="297"/>
        </w:trPr>
        <w:tc>
          <w:tcPr>
            <w:cnfStyle w:val="001000000000" w:firstRow="0" w:lastRow="0" w:firstColumn="1" w:lastColumn="0" w:oddVBand="0" w:evenVBand="0" w:oddHBand="0" w:evenHBand="0" w:firstRowFirstColumn="0" w:firstRowLastColumn="0" w:lastRowFirstColumn="0" w:lastRowLastColumn="0"/>
            <w:tcW w:w="730" w:type="pct"/>
            <w:vMerge w:val="restart"/>
          </w:tcPr>
          <w:p w14:paraId="552EE13C" w14:textId="77777777" w:rsidR="007904E8" w:rsidRPr="004A34E0" w:rsidRDefault="007904E8" w:rsidP="00666947">
            <w:pPr>
              <w:pStyle w:val="TableTextLeft"/>
            </w:pPr>
            <w:r w:rsidRPr="004A34E0">
              <w:t>Coastal margins</w:t>
            </w:r>
          </w:p>
        </w:tc>
        <w:tc>
          <w:tcPr>
            <w:tcW w:w="656" w:type="pct"/>
            <w:vMerge w:val="restart"/>
          </w:tcPr>
          <w:p w14:paraId="028395B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1,466</w:t>
            </w:r>
          </w:p>
        </w:tc>
        <w:tc>
          <w:tcPr>
            <w:tcW w:w="582" w:type="pct"/>
            <w:vMerge w:val="restart"/>
          </w:tcPr>
          <w:p w14:paraId="0D12411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0.7%</w:t>
            </w:r>
          </w:p>
        </w:tc>
        <w:tc>
          <w:tcPr>
            <w:tcW w:w="2077" w:type="pct"/>
          </w:tcPr>
          <w:p w14:paraId="1057625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Saltmarsh vegetation</w:t>
            </w:r>
          </w:p>
        </w:tc>
        <w:tc>
          <w:tcPr>
            <w:tcW w:w="486" w:type="pct"/>
          </w:tcPr>
          <w:p w14:paraId="0363F49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75</w:t>
            </w:r>
          </w:p>
        </w:tc>
        <w:tc>
          <w:tcPr>
            <w:tcW w:w="469" w:type="pct"/>
          </w:tcPr>
          <w:p w14:paraId="2CAC204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0.0%</w:t>
            </w:r>
          </w:p>
        </w:tc>
      </w:tr>
      <w:tr w:rsidR="00D10D24" w:rsidRPr="004A34E0" w14:paraId="690C0DDB" w14:textId="77777777" w:rsidTr="00D10D24">
        <w:trPr>
          <w:trHeight w:val="311"/>
        </w:trPr>
        <w:tc>
          <w:tcPr>
            <w:cnfStyle w:val="001000000000" w:firstRow="0" w:lastRow="0" w:firstColumn="1" w:lastColumn="0" w:oddVBand="0" w:evenVBand="0" w:oddHBand="0" w:evenHBand="0" w:firstRowFirstColumn="0" w:firstRowLastColumn="0" w:lastRowFirstColumn="0" w:lastRowLastColumn="0"/>
            <w:tcW w:w="730" w:type="pct"/>
            <w:vMerge/>
          </w:tcPr>
          <w:p w14:paraId="5D25EFC9" w14:textId="77777777" w:rsidR="007904E8" w:rsidRPr="004A34E0" w:rsidRDefault="007904E8" w:rsidP="00666947">
            <w:pPr>
              <w:pStyle w:val="TableTextLeft"/>
            </w:pPr>
          </w:p>
        </w:tc>
        <w:tc>
          <w:tcPr>
            <w:tcW w:w="656" w:type="pct"/>
            <w:vMerge/>
          </w:tcPr>
          <w:p w14:paraId="136CD62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582" w:type="pct"/>
            <w:vMerge/>
          </w:tcPr>
          <w:p w14:paraId="515F56E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77" w:type="pct"/>
          </w:tcPr>
          <w:p w14:paraId="5194B3A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Mangrove vegetation</w:t>
            </w:r>
          </w:p>
        </w:tc>
        <w:tc>
          <w:tcPr>
            <w:tcW w:w="486" w:type="pct"/>
          </w:tcPr>
          <w:p w14:paraId="50BC02A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4</w:t>
            </w:r>
          </w:p>
        </w:tc>
        <w:tc>
          <w:tcPr>
            <w:tcW w:w="469" w:type="pct"/>
          </w:tcPr>
          <w:p w14:paraId="57BF82D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0.0%</w:t>
            </w:r>
          </w:p>
        </w:tc>
      </w:tr>
      <w:tr w:rsidR="00D10D24" w:rsidRPr="004A34E0" w14:paraId="700BA523" w14:textId="77777777" w:rsidTr="00D10D24">
        <w:trPr>
          <w:trHeight w:val="157"/>
        </w:trPr>
        <w:tc>
          <w:tcPr>
            <w:cnfStyle w:val="001000000000" w:firstRow="0" w:lastRow="0" w:firstColumn="1" w:lastColumn="0" w:oddVBand="0" w:evenVBand="0" w:oddHBand="0" w:evenHBand="0" w:firstRowFirstColumn="0" w:firstRowLastColumn="0" w:lastRowFirstColumn="0" w:lastRowLastColumn="0"/>
            <w:tcW w:w="730" w:type="pct"/>
            <w:vMerge/>
          </w:tcPr>
          <w:p w14:paraId="0E7C85E5" w14:textId="77777777" w:rsidR="007904E8" w:rsidRPr="004A34E0" w:rsidRDefault="007904E8" w:rsidP="00666947">
            <w:pPr>
              <w:pStyle w:val="TableTextLeft"/>
            </w:pPr>
          </w:p>
        </w:tc>
        <w:tc>
          <w:tcPr>
            <w:tcW w:w="656" w:type="pct"/>
            <w:vMerge/>
          </w:tcPr>
          <w:p w14:paraId="5A2954E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582" w:type="pct"/>
            <w:vMerge/>
          </w:tcPr>
          <w:p w14:paraId="7EAB941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77" w:type="pct"/>
          </w:tcPr>
          <w:p w14:paraId="175CEC3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Natural low cover**</w:t>
            </w:r>
          </w:p>
        </w:tc>
        <w:tc>
          <w:tcPr>
            <w:tcW w:w="486" w:type="pct"/>
          </w:tcPr>
          <w:p w14:paraId="62DF5DF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845</w:t>
            </w:r>
          </w:p>
        </w:tc>
        <w:tc>
          <w:tcPr>
            <w:tcW w:w="469" w:type="pct"/>
          </w:tcPr>
          <w:p w14:paraId="2E25827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0.4%</w:t>
            </w:r>
          </w:p>
        </w:tc>
      </w:tr>
      <w:tr w:rsidR="00D10D24" w:rsidRPr="004A34E0" w14:paraId="47734EF2" w14:textId="77777777" w:rsidTr="00D10D24">
        <w:trPr>
          <w:trHeight w:val="311"/>
        </w:trPr>
        <w:tc>
          <w:tcPr>
            <w:cnfStyle w:val="001000000000" w:firstRow="0" w:lastRow="0" w:firstColumn="1" w:lastColumn="0" w:oddVBand="0" w:evenVBand="0" w:oddHBand="0" w:evenHBand="0" w:firstRowFirstColumn="0" w:firstRowLastColumn="0" w:lastRowFirstColumn="0" w:lastRowLastColumn="0"/>
            <w:tcW w:w="730" w:type="pct"/>
            <w:vMerge/>
          </w:tcPr>
          <w:p w14:paraId="09CB249B" w14:textId="77777777" w:rsidR="007904E8" w:rsidRPr="004A34E0" w:rsidRDefault="007904E8" w:rsidP="00666947">
            <w:pPr>
              <w:pStyle w:val="TableTextLeft"/>
            </w:pPr>
          </w:p>
        </w:tc>
        <w:tc>
          <w:tcPr>
            <w:tcW w:w="656" w:type="pct"/>
            <w:vMerge/>
          </w:tcPr>
          <w:p w14:paraId="51480F9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582" w:type="pct"/>
            <w:vMerge/>
          </w:tcPr>
          <w:p w14:paraId="548A35E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77" w:type="pct"/>
          </w:tcPr>
          <w:p w14:paraId="5542749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Water*</w:t>
            </w:r>
          </w:p>
        </w:tc>
        <w:tc>
          <w:tcPr>
            <w:tcW w:w="486" w:type="pct"/>
          </w:tcPr>
          <w:p w14:paraId="717EF1D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542</w:t>
            </w:r>
          </w:p>
        </w:tc>
        <w:tc>
          <w:tcPr>
            <w:tcW w:w="469" w:type="pct"/>
          </w:tcPr>
          <w:p w14:paraId="2E106EB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0.3%</w:t>
            </w:r>
          </w:p>
        </w:tc>
      </w:tr>
      <w:tr w:rsidR="00D10D24" w:rsidRPr="004A34E0" w14:paraId="7E1A81BD" w14:textId="77777777" w:rsidTr="00D10D24">
        <w:trPr>
          <w:trHeight w:val="297"/>
        </w:trPr>
        <w:tc>
          <w:tcPr>
            <w:cnfStyle w:val="001000000000" w:firstRow="0" w:lastRow="0" w:firstColumn="1" w:lastColumn="0" w:oddVBand="0" w:evenVBand="0" w:oddHBand="0" w:evenHBand="0" w:firstRowFirstColumn="0" w:firstRowLastColumn="0" w:lastRowFirstColumn="0" w:lastRowLastColumn="0"/>
            <w:tcW w:w="730" w:type="pct"/>
            <w:vMerge w:val="restart"/>
          </w:tcPr>
          <w:p w14:paraId="2DA8812B" w14:textId="77777777" w:rsidR="007904E8" w:rsidRPr="004A34E0" w:rsidRDefault="007904E8" w:rsidP="00666947">
            <w:pPr>
              <w:pStyle w:val="TableTextLeft"/>
            </w:pPr>
            <w:r w:rsidRPr="004A34E0">
              <w:t>Farmland</w:t>
            </w:r>
          </w:p>
        </w:tc>
        <w:tc>
          <w:tcPr>
            <w:tcW w:w="656" w:type="pct"/>
            <w:vMerge w:val="restart"/>
          </w:tcPr>
          <w:p w14:paraId="34700DA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27,394</w:t>
            </w:r>
          </w:p>
        </w:tc>
        <w:tc>
          <w:tcPr>
            <w:tcW w:w="582" w:type="pct"/>
            <w:vMerge w:val="restart"/>
          </w:tcPr>
          <w:p w14:paraId="49C7F6D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13.7%</w:t>
            </w:r>
          </w:p>
        </w:tc>
        <w:tc>
          <w:tcPr>
            <w:tcW w:w="2077" w:type="pct"/>
          </w:tcPr>
          <w:p w14:paraId="17555AA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Horticulture / irrigated pastures and crops</w:t>
            </w:r>
          </w:p>
        </w:tc>
        <w:tc>
          <w:tcPr>
            <w:tcW w:w="486" w:type="pct"/>
          </w:tcPr>
          <w:p w14:paraId="40840D5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3,368</w:t>
            </w:r>
          </w:p>
        </w:tc>
        <w:tc>
          <w:tcPr>
            <w:tcW w:w="469" w:type="pct"/>
          </w:tcPr>
          <w:p w14:paraId="24FFA2E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1.7%</w:t>
            </w:r>
          </w:p>
        </w:tc>
      </w:tr>
      <w:tr w:rsidR="00D10D24" w:rsidRPr="004A34E0" w14:paraId="4FA910A9" w14:textId="77777777" w:rsidTr="00D10D24">
        <w:trPr>
          <w:trHeight w:val="297"/>
        </w:trPr>
        <w:tc>
          <w:tcPr>
            <w:cnfStyle w:val="001000000000" w:firstRow="0" w:lastRow="0" w:firstColumn="1" w:lastColumn="0" w:oddVBand="0" w:evenVBand="0" w:oddHBand="0" w:evenHBand="0" w:firstRowFirstColumn="0" w:firstRowLastColumn="0" w:lastRowFirstColumn="0" w:lastRowLastColumn="0"/>
            <w:tcW w:w="730" w:type="pct"/>
            <w:vMerge/>
          </w:tcPr>
          <w:p w14:paraId="59F02479" w14:textId="77777777" w:rsidR="007904E8" w:rsidRPr="004A34E0" w:rsidRDefault="007904E8" w:rsidP="00666947">
            <w:pPr>
              <w:pStyle w:val="TableTextLeft"/>
            </w:pPr>
          </w:p>
        </w:tc>
        <w:tc>
          <w:tcPr>
            <w:tcW w:w="656" w:type="pct"/>
            <w:vMerge/>
          </w:tcPr>
          <w:p w14:paraId="6CB416B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582" w:type="pct"/>
            <w:vMerge/>
          </w:tcPr>
          <w:p w14:paraId="53D74AE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77" w:type="pct"/>
          </w:tcPr>
          <w:p w14:paraId="05609E2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Dryland cropping</w:t>
            </w:r>
          </w:p>
        </w:tc>
        <w:tc>
          <w:tcPr>
            <w:tcW w:w="486" w:type="pct"/>
          </w:tcPr>
          <w:p w14:paraId="669F7CF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145</w:t>
            </w:r>
          </w:p>
        </w:tc>
        <w:tc>
          <w:tcPr>
            <w:tcW w:w="469" w:type="pct"/>
          </w:tcPr>
          <w:p w14:paraId="0F8A81F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0.1%</w:t>
            </w:r>
          </w:p>
        </w:tc>
      </w:tr>
      <w:tr w:rsidR="00D10D24" w:rsidRPr="004A34E0" w14:paraId="0801FA3C" w14:textId="77777777" w:rsidTr="00D10D24">
        <w:trPr>
          <w:trHeight w:val="311"/>
        </w:trPr>
        <w:tc>
          <w:tcPr>
            <w:cnfStyle w:val="001000000000" w:firstRow="0" w:lastRow="0" w:firstColumn="1" w:lastColumn="0" w:oddVBand="0" w:evenVBand="0" w:oddHBand="0" w:evenHBand="0" w:firstRowFirstColumn="0" w:firstRowLastColumn="0" w:lastRowFirstColumn="0" w:lastRowLastColumn="0"/>
            <w:tcW w:w="730" w:type="pct"/>
            <w:vMerge/>
          </w:tcPr>
          <w:p w14:paraId="23F1101E" w14:textId="77777777" w:rsidR="007904E8" w:rsidRPr="004A34E0" w:rsidRDefault="007904E8" w:rsidP="00666947">
            <w:pPr>
              <w:pStyle w:val="TableTextLeft"/>
            </w:pPr>
          </w:p>
        </w:tc>
        <w:tc>
          <w:tcPr>
            <w:tcW w:w="656" w:type="pct"/>
            <w:vMerge/>
          </w:tcPr>
          <w:p w14:paraId="720417E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582" w:type="pct"/>
            <w:vMerge/>
          </w:tcPr>
          <w:p w14:paraId="2214E96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77" w:type="pct"/>
          </w:tcPr>
          <w:p w14:paraId="174C00F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Exotic pasture / grassland</w:t>
            </w:r>
          </w:p>
        </w:tc>
        <w:tc>
          <w:tcPr>
            <w:tcW w:w="486" w:type="pct"/>
          </w:tcPr>
          <w:p w14:paraId="59CD118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23,881</w:t>
            </w:r>
          </w:p>
        </w:tc>
        <w:tc>
          <w:tcPr>
            <w:tcW w:w="469" w:type="pct"/>
          </w:tcPr>
          <w:p w14:paraId="2B26BBD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12.0%</w:t>
            </w:r>
          </w:p>
        </w:tc>
      </w:tr>
      <w:tr w:rsidR="00D10D24" w:rsidRPr="004A34E0" w14:paraId="105A525F" w14:textId="77777777" w:rsidTr="00D10D24">
        <w:trPr>
          <w:trHeight w:val="297"/>
        </w:trPr>
        <w:tc>
          <w:tcPr>
            <w:cnfStyle w:val="001000000000" w:firstRow="0" w:lastRow="0" w:firstColumn="1" w:lastColumn="0" w:oddVBand="0" w:evenVBand="0" w:oddHBand="0" w:evenHBand="0" w:firstRowFirstColumn="0" w:firstRowLastColumn="0" w:lastRowFirstColumn="0" w:lastRowLastColumn="0"/>
            <w:tcW w:w="730" w:type="pct"/>
            <w:vMerge w:val="restart"/>
          </w:tcPr>
          <w:p w14:paraId="4EE98751" w14:textId="77777777" w:rsidR="007904E8" w:rsidRPr="004A34E0" w:rsidRDefault="007904E8" w:rsidP="00666947">
            <w:pPr>
              <w:pStyle w:val="TableTextLeft"/>
            </w:pPr>
            <w:r w:rsidRPr="004A34E0">
              <w:t>Freshwater and wetland</w:t>
            </w:r>
          </w:p>
        </w:tc>
        <w:tc>
          <w:tcPr>
            <w:tcW w:w="656" w:type="pct"/>
            <w:vMerge w:val="restart"/>
          </w:tcPr>
          <w:p w14:paraId="6FF91F1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2,171</w:t>
            </w:r>
          </w:p>
        </w:tc>
        <w:tc>
          <w:tcPr>
            <w:tcW w:w="582" w:type="pct"/>
            <w:vMerge w:val="restart"/>
          </w:tcPr>
          <w:p w14:paraId="432BA2E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0.8%</w:t>
            </w:r>
          </w:p>
        </w:tc>
        <w:tc>
          <w:tcPr>
            <w:tcW w:w="2077" w:type="pct"/>
          </w:tcPr>
          <w:p w14:paraId="7C1666F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Wetland – perennial</w:t>
            </w:r>
          </w:p>
        </w:tc>
        <w:tc>
          <w:tcPr>
            <w:tcW w:w="486" w:type="pct"/>
          </w:tcPr>
          <w:p w14:paraId="0279F2A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894</w:t>
            </w:r>
          </w:p>
        </w:tc>
        <w:tc>
          <w:tcPr>
            <w:tcW w:w="469" w:type="pct"/>
          </w:tcPr>
          <w:p w14:paraId="1B5E6BC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0.4%</w:t>
            </w:r>
          </w:p>
        </w:tc>
      </w:tr>
      <w:tr w:rsidR="00D10D24" w:rsidRPr="004A34E0" w14:paraId="1A8F5663" w14:textId="77777777" w:rsidTr="00D10D24">
        <w:trPr>
          <w:trHeight w:val="311"/>
        </w:trPr>
        <w:tc>
          <w:tcPr>
            <w:cnfStyle w:val="001000000000" w:firstRow="0" w:lastRow="0" w:firstColumn="1" w:lastColumn="0" w:oddVBand="0" w:evenVBand="0" w:oddHBand="0" w:evenHBand="0" w:firstRowFirstColumn="0" w:firstRowLastColumn="0" w:lastRowFirstColumn="0" w:lastRowLastColumn="0"/>
            <w:tcW w:w="730" w:type="pct"/>
            <w:vMerge/>
          </w:tcPr>
          <w:p w14:paraId="7416C825" w14:textId="77777777" w:rsidR="007904E8" w:rsidRPr="004A34E0" w:rsidRDefault="007904E8" w:rsidP="00666947">
            <w:pPr>
              <w:pStyle w:val="TableTextLeft"/>
            </w:pPr>
          </w:p>
        </w:tc>
        <w:tc>
          <w:tcPr>
            <w:tcW w:w="656" w:type="pct"/>
            <w:vMerge/>
          </w:tcPr>
          <w:p w14:paraId="2909382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582" w:type="pct"/>
            <w:vMerge/>
          </w:tcPr>
          <w:p w14:paraId="61BB8AE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77" w:type="pct"/>
          </w:tcPr>
          <w:p w14:paraId="72CD9BB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Wetland – seasonal</w:t>
            </w:r>
          </w:p>
        </w:tc>
        <w:tc>
          <w:tcPr>
            <w:tcW w:w="486" w:type="pct"/>
          </w:tcPr>
          <w:p w14:paraId="54DC5BE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615</w:t>
            </w:r>
          </w:p>
        </w:tc>
        <w:tc>
          <w:tcPr>
            <w:tcW w:w="469" w:type="pct"/>
          </w:tcPr>
          <w:p w14:paraId="24BDA5D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0.3%</w:t>
            </w:r>
          </w:p>
        </w:tc>
      </w:tr>
      <w:tr w:rsidR="00D10D24" w:rsidRPr="004A34E0" w14:paraId="71A47759" w14:textId="77777777" w:rsidTr="00D10D24">
        <w:trPr>
          <w:trHeight w:val="311"/>
        </w:trPr>
        <w:tc>
          <w:tcPr>
            <w:cnfStyle w:val="001000000000" w:firstRow="0" w:lastRow="0" w:firstColumn="1" w:lastColumn="0" w:oddVBand="0" w:evenVBand="0" w:oddHBand="0" w:evenHBand="0" w:firstRowFirstColumn="0" w:firstRowLastColumn="0" w:lastRowFirstColumn="0" w:lastRowLastColumn="0"/>
            <w:tcW w:w="730" w:type="pct"/>
            <w:vMerge/>
          </w:tcPr>
          <w:p w14:paraId="07F1D96D" w14:textId="77777777" w:rsidR="007904E8" w:rsidRPr="004A34E0" w:rsidRDefault="007904E8" w:rsidP="00666947">
            <w:pPr>
              <w:pStyle w:val="TableTextLeft"/>
            </w:pPr>
          </w:p>
        </w:tc>
        <w:tc>
          <w:tcPr>
            <w:tcW w:w="656" w:type="pct"/>
            <w:vMerge/>
          </w:tcPr>
          <w:p w14:paraId="642EECA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582" w:type="pct"/>
            <w:vMerge/>
          </w:tcPr>
          <w:p w14:paraId="773AD75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77" w:type="pct"/>
          </w:tcPr>
          <w:p w14:paraId="2764997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Water*</w:t>
            </w:r>
          </w:p>
        </w:tc>
        <w:tc>
          <w:tcPr>
            <w:tcW w:w="486" w:type="pct"/>
          </w:tcPr>
          <w:p w14:paraId="5960818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95</w:t>
            </w:r>
          </w:p>
        </w:tc>
        <w:tc>
          <w:tcPr>
            <w:tcW w:w="469" w:type="pct"/>
          </w:tcPr>
          <w:p w14:paraId="66554E2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0.0%</w:t>
            </w:r>
          </w:p>
        </w:tc>
      </w:tr>
      <w:tr w:rsidR="00D10D24" w:rsidRPr="004A34E0" w14:paraId="52DB374D" w14:textId="77777777" w:rsidTr="00D10D24">
        <w:trPr>
          <w:trHeight w:val="297"/>
        </w:trPr>
        <w:tc>
          <w:tcPr>
            <w:cnfStyle w:val="001000000000" w:firstRow="0" w:lastRow="0" w:firstColumn="1" w:lastColumn="0" w:oddVBand="0" w:evenVBand="0" w:oddHBand="0" w:evenHBand="0" w:firstRowFirstColumn="0" w:firstRowLastColumn="0" w:lastRowFirstColumn="0" w:lastRowLastColumn="0"/>
            <w:tcW w:w="730" w:type="pct"/>
            <w:vMerge w:val="restart"/>
          </w:tcPr>
          <w:p w14:paraId="4D838638" w14:textId="77777777" w:rsidR="007904E8" w:rsidRPr="004A34E0" w:rsidRDefault="007904E8" w:rsidP="00666947">
            <w:pPr>
              <w:pStyle w:val="TableTextLeft"/>
            </w:pPr>
            <w:r w:rsidRPr="004A34E0">
              <w:t>Urban</w:t>
            </w:r>
          </w:p>
        </w:tc>
        <w:tc>
          <w:tcPr>
            <w:tcW w:w="656" w:type="pct"/>
            <w:vMerge w:val="restart"/>
          </w:tcPr>
          <w:p w14:paraId="49C0F9F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3,128</w:t>
            </w:r>
          </w:p>
        </w:tc>
        <w:tc>
          <w:tcPr>
            <w:tcW w:w="582" w:type="pct"/>
            <w:vMerge w:val="restart"/>
          </w:tcPr>
          <w:p w14:paraId="0B4280F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1.6%</w:t>
            </w:r>
          </w:p>
        </w:tc>
        <w:tc>
          <w:tcPr>
            <w:tcW w:w="2077" w:type="pct"/>
          </w:tcPr>
          <w:p w14:paraId="1159CCA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Built environment</w:t>
            </w:r>
          </w:p>
        </w:tc>
        <w:tc>
          <w:tcPr>
            <w:tcW w:w="486" w:type="pct"/>
          </w:tcPr>
          <w:p w14:paraId="3D0D35D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106</w:t>
            </w:r>
          </w:p>
        </w:tc>
        <w:tc>
          <w:tcPr>
            <w:tcW w:w="469" w:type="pct"/>
          </w:tcPr>
          <w:p w14:paraId="3ED6D5F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0.1%</w:t>
            </w:r>
          </w:p>
        </w:tc>
      </w:tr>
      <w:tr w:rsidR="00D10D24" w:rsidRPr="004A34E0" w14:paraId="7060211C" w14:textId="77777777" w:rsidTr="00D10D24">
        <w:trPr>
          <w:trHeight w:val="297"/>
        </w:trPr>
        <w:tc>
          <w:tcPr>
            <w:cnfStyle w:val="001000000000" w:firstRow="0" w:lastRow="0" w:firstColumn="1" w:lastColumn="0" w:oddVBand="0" w:evenVBand="0" w:oddHBand="0" w:evenHBand="0" w:firstRowFirstColumn="0" w:firstRowLastColumn="0" w:lastRowFirstColumn="0" w:lastRowLastColumn="0"/>
            <w:tcW w:w="730" w:type="pct"/>
            <w:vMerge/>
          </w:tcPr>
          <w:p w14:paraId="3EE56542" w14:textId="77777777" w:rsidR="007904E8" w:rsidRPr="004A34E0" w:rsidRDefault="007904E8" w:rsidP="00666947">
            <w:pPr>
              <w:pStyle w:val="TableTextLeft"/>
            </w:pPr>
          </w:p>
        </w:tc>
        <w:tc>
          <w:tcPr>
            <w:tcW w:w="656" w:type="pct"/>
            <w:vMerge/>
          </w:tcPr>
          <w:p w14:paraId="016A581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582" w:type="pct"/>
            <w:vMerge/>
          </w:tcPr>
          <w:p w14:paraId="67C320C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77" w:type="pct"/>
          </w:tcPr>
          <w:p w14:paraId="43CD871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Urban area</w:t>
            </w:r>
          </w:p>
        </w:tc>
        <w:tc>
          <w:tcPr>
            <w:tcW w:w="486" w:type="pct"/>
          </w:tcPr>
          <w:p w14:paraId="3EC4CBB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2,807</w:t>
            </w:r>
          </w:p>
        </w:tc>
        <w:tc>
          <w:tcPr>
            <w:tcW w:w="469" w:type="pct"/>
          </w:tcPr>
          <w:p w14:paraId="1EC7C1B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1.4%</w:t>
            </w:r>
          </w:p>
        </w:tc>
      </w:tr>
      <w:tr w:rsidR="00D10D24" w:rsidRPr="004A34E0" w14:paraId="46E9E242" w14:textId="77777777" w:rsidTr="00D10D24">
        <w:trPr>
          <w:trHeight w:val="297"/>
        </w:trPr>
        <w:tc>
          <w:tcPr>
            <w:cnfStyle w:val="001000000000" w:firstRow="0" w:lastRow="0" w:firstColumn="1" w:lastColumn="0" w:oddVBand="0" w:evenVBand="0" w:oddHBand="0" w:evenHBand="0" w:firstRowFirstColumn="0" w:firstRowLastColumn="0" w:lastRowFirstColumn="0" w:lastRowLastColumn="0"/>
            <w:tcW w:w="730" w:type="pct"/>
            <w:vMerge/>
            <w:tcBorders>
              <w:bottom w:val="single" w:sz="4" w:space="0" w:color="auto"/>
            </w:tcBorders>
          </w:tcPr>
          <w:p w14:paraId="32E32AE1" w14:textId="77777777" w:rsidR="007904E8" w:rsidRPr="004A34E0" w:rsidRDefault="007904E8" w:rsidP="00666947">
            <w:pPr>
              <w:pStyle w:val="TableTextLeft"/>
            </w:pPr>
          </w:p>
        </w:tc>
        <w:tc>
          <w:tcPr>
            <w:tcW w:w="656" w:type="pct"/>
            <w:vMerge/>
            <w:tcBorders>
              <w:bottom w:val="single" w:sz="4" w:space="0" w:color="auto"/>
            </w:tcBorders>
          </w:tcPr>
          <w:p w14:paraId="4FF0CF6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582" w:type="pct"/>
            <w:vMerge/>
            <w:tcBorders>
              <w:bottom w:val="single" w:sz="4" w:space="0" w:color="auto"/>
            </w:tcBorders>
          </w:tcPr>
          <w:p w14:paraId="6450ADA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77" w:type="pct"/>
            <w:tcBorders>
              <w:bottom w:val="single" w:sz="4" w:space="0" w:color="auto"/>
            </w:tcBorders>
          </w:tcPr>
          <w:p w14:paraId="0623C63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Disturbed ground</w:t>
            </w:r>
          </w:p>
        </w:tc>
        <w:tc>
          <w:tcPr>
            <w:tcW w:w="486" w:type="pct"/>
            <w:tcBorders>
              <w:bottom w:val="single" w:sz="4" w:space="0" w:color="auto"/>
            </w:tcBorders>
          </w:tcPr>
          <w:p w14:paraId="2577722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216</w:t>
            </w:r>
          </w:p>
        </w:tc>
        <w:tc>
          <w:tcPr>
            <w:tcW w:w="469" w:type="pct"/>
            <w:tcBorders>
              <w:bottom w:val="single" w:sz="4" w:space="0" w:color="auto"/>
            </w:tcBorders>
          </w:tcPr>
          <w:p w14:paraId="726279D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0.1%</w:t>
            </w:r>
          </w:p>
        </w:tc>
      </w:tr>
      <w:tr w:rsidR="00D10D24" w:rsidRPr="004A34E0" w14:paraId="7D960F7D" w14:textId="77777777" w:rsidTr="00D10D24">
        <w:trPr>
          <w:trHeight w:val="281"/>
        </w:trPr>
        <w:tc>
          <w:tcPr>
            <w:cnfStyle w:val="001000000000" w:firstRow="0" w:lastRow="0" w:firstColumn="1" w:lastColumn="0" w:oddVBand="0" w:evenVBand="0" w:oddHBand="0" w:evenHBand="0" w:firstRowFirstColumn="0" w:firstRowLastColumn="0" w:lastRowFirstColumn="0" w:lastRowLastColumn="0"/>
            <w:tcW w:w="730" w:type="pct"/>
            <w:shd w:val="clear" w:color="auto" w:fill="CCDBEA"/>
          </w:tcPr>
          <w:p w14:paraId="1599E934" w14:textId="77777777" w:rsidR="007904E8" w:rsidRPr="004A34E0" w:rsidRDefault="007904E8" w:rsidP="00666947">
            <w:pPr>
              <w:pStyle w:val="TableTextLeft"/>
            </w:pPr>
            <w:r w:rsidRPr="004A34E0">
              <w:rPr>
                <w:b/>
              </w:rPr>
              <w:lastRenderedPageBreak/>
              <w:t>Total</w:t>
            </w:r>
          </w:p>
        </w:tc>
        <w:tc>
          <w:tcPr>
            <w:tcW w:w="656" w:type="pct"/>
            <w:shd w:val="clear" w:color="auto" w:fill="CCDBEA"/>
          </w:tcPr>
          <w:p w14:paraId="4C94209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199,307</w:t>
            </w:r>
          </w:p>
        </w:tc>
        <w:tc>
          <w:tcPr>
            <w:tcW w:w="582" w:type="pct"/>
            <w:shd w:val="clear" w:color="auto" w:fill="CCDBEA"/>
          </w:tcPr>
          <w:p w14:paraId="69B3439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100.0%</w:t>
            </w:r>
          </w:p>
        </w:tc>
        <w:tc>
          <w:tcPr>
            <w:tcW w:w="2077" w:type="pct"/>
            <w:shd w:val="clear" w:color="auto" w:fill="CCDBEA"/>
          </w:tcPr>
          <w:p w14:paraId="1D3569B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486" w:type="pct"/>
            <w:shd w:val="clear" w:color="auto" w:fill="CCDBEA"/>
          </w:tcPr>
          <w:p w14:paraId="2525C4F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199,307</w:t>
            </w:r>
          </w:p>
        </w:tc>
        <w:tc>
          <w:tcPr>
            <w:tcW w:w="469" w:type="pct"/>
            <w:shd w:val="clear" w:color="auto" w:fill="CCDBEA"/>
          </w:tcPr>
          <w:p w14:paraId="3500DFC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rPr>
            </w:pPr>
            <w:r w:rsidRPr="004A34E0">
              <w:rPr>
                <w:b/>
              </w:rPr>
              <w:t>100.0%</w:t>
            </w:r>
          </w:p>
        </w:tc>
      </w:tr>
    </w:tbl>
    <w:p w14:paraId="00DD16B7" w14:textId="77777777" w:rsidR="007904E8" w:rsidRPr="004A34E0" w:rsidRDefault="007904E8" w:rsidP="007904E8">
      <w:pPr>
        <w:pStyle w:val="BodyText"/>
      </w:pPr>
      <w:r w:rsidRPr="004A34E0">
        <w:t xml:space="preserve">*The </w:t>
      </w:r>
      <w:r w:rsidRPr="004A34E0">
        <w:rPr>
          <w:i/>
        </w:rPr>
        <w:t>Water</w:t>
      </w:r>
      <w:r w:rsidRPr="004A34E0">
        <w:t xml:space="preserve"> land cover class has been cut at the coastline to differentiate between marine and terrestrial water assets, while the intersection of </w:t>
      </w:r>
      <w:r w:rsidRPr="004A34E0">
        <w:rPr>
          <w:i/>
        </w:rPr>
        <w:t>Water</w:t>
      </w:r>
      <w:r w:rsidRPr="004A34E0">
        <w:t xml:space="preserve"> with estuaries (from the Index of Estuary Condition (DELWP, 2021) has been redefined as </w:t>
      </w:r>
      <w:r w:rsidRPr="004A34E0">
        <w:rPr>
          <w:i/>
        </w:rPr>
        <w:t>Coastal margins</w:t>
      </w:r>
      <w:r w:rsidRPr="004A34E0">
        <w:t>.</w:t>
      </w:r>
    </w:p>
    <w:p w14:paraId="3CBD17F6" w14:textId="77777777" w:rsidR="007904E8" w:rsidRPr="004A34E0" w:rsidRDefault="007904E8" w:rsidP="007904E8">
      <w:pPr>
        <w:pStyle w:val="BodyText"/>
      </w:pPr>
      <w:r w:rsidRPr="004A34E0">
        <w:t xml:space="preserve">**The </w:t>
      </w:r>
      <w:r w:rsidRPr="004A34E0">
        <w:rPr>
          <w:i/>
        </w:rPr>
        <w:t>Natural low cover</w:t>
      </w:r>
      <w:r w:rsidRPr="004A34E0">
        <w:t xml:space="preserve"> class has been defined as S</w:t>
      </w:r>
      <w:r w:rsidRPr="004A34E0">
        <w:rPr>
          <w:i/>
        </w:rPr>
        <w:t>hrubland</w:t>
      </w:r>
      <w:r w:rsidRPr="004A34E0">
        <w:t xml:space="preserve"> excluding areas within 100 metres of the coastline, which have been defined as </w:t>
      </w:r>
      <w:r w:rsidRPr="004A34E0">
        <w:rPr>
          <w:i/>
        </w:rPr>
        <w:t xml:space="preserve">Coastal margins </w:t>
      </w:r>
      <w:r w:rsidRPr="004A34E0">
        <w:t>in order to capture coastal foredunes included in this class.</w:t>
      </w:r>
    </w:p>
    <w:p w14:paraId="3D4D1C06" w14:textId="77777777" w:rsidR="007904E8" w:rsidRPr="004A34E0" w:rsidRDefault="007904E8" w:rsidP="00537CBB">
      <w:pPr>
        <w:pStyle w:val="Caption"/>
        <w:rPr>
          <w:rFonts w:eastAsia="Arial"/>
        </w:rPr>
      </w:pPr>
      <w:r w:rsidRPr="004A34E0">
        <w:rPr>
          <w:rFonts w:eastAsia="Arial"/>
        </w:rPr>
        <w:t>Table 19. Narrow assets within the marine</w:t>
      </w:r>
      <w:r w:rsidRPr="004A34E0">
        <w:rPr>
          <w:rFonts w:eastAsia="Arial"/>
          <w:vertAlign w:val="superscript"/>
        </w:rPr>
        <w:footnoteReference w:id="62"/>
      </w:r>
      <w:r w:rsidRPr="004A34E0">
        <w:rPr>
          <w:rFonts w:eastAsia="Arial"/>
        </w:rPr>
        <w:t xml:space="preserve"> portion within the GOR Coast and Parks Area boundary based on </w:t>
      </w:r>
      <w:proofErr w:type="spellStart"/>
      <w:r w:rsidRPr="004A34E0">
        <w:rPr>
          <w:rFonts w:eastAsia="Arial"/>
        </w:rPr>
        <w:t>CBiCS</w:t>
      </w:r>
      <w:proofErr w:type="spellEnd"/>
      <w:r w:rsidRPr="004A34E0">
        <w:rPr>
          <w:rFonts w:eastAsia="Arial"/>
        </w:rPr>
        <w:t xml:space="preserve"> (DELWP, 2019)</w:t>
      </w:r>
    </w:p>
    <w:tbl>
      <w:tblPr>
        <w:tblStyle w:val="TableGrid"/>
        <w:tblW w:w="5000" w:type="pct"/>
        <w:tblLook w:val="04A0" w:firstRow="1" w:lastRow="0" w:firstColumn="1" w:lastColumn="0" w:noHBand="0" w:noVBand="1"/>
      </w:tblPr>
      <w:tblGrid>
        <w:gridCol w:w="1335"/>
        <w:gridCol w:w="1473"/>
        <w:gridCol w:w="3749"/>
        <w:gridCol w:w="1473"/>
        <w:gridCol w:w="1608"/>
      </w:tblGrid>
      <w:tr w:rsidR="007904E8" w:rsidRPr="004A34E0" w14:paraId="39CD5B50" w14:textId="77777777" w:rsidTr="00D10D24">
        <w:trPr>
          <w:cnfStyle w:val="100000000000" w:firstRow="1" w:lastRow="0" w:firstColumn="0" w:lastColumn="0" w:oddVBand="0" w:evenVBand="0" w:oddHBand="0"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693" w:type="pct"/>
          </w:tcPr>
          <w:p w14:paraId="6C13F560" w14:textId="77777777" w:rsidR="007904E8" w:rsidRPr="004A34E0" w:rsidRDefault="007904E8" w:rsidP="007904E8">
            <w:pPr>
              <w:pStyle w:val="TableTextLeft"/>
              <w:keepNext w:val="0"/>
            </w:pPr>
            <w:r w:rsidRPr="004A34E0">
              <w:rPr>
                <w:b/>
              </w:rPr>
              <w:t>Broad asset</w:t>
            </w:r>
          </w:p>
        </w:tc>
        <w:tc>
          <w:tcPr>
            <w:tcW w:w="764" w:type="pct"/>
          </w:tcPr>
          <w:p w14:paraId="54B95278"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pPr>
            <w:r w:rsidRPr="004A34E0">
              <w:rPr>
                <w:b/>
              </w:rPr>
              <w:t>Area (sq. km)</w:t>
            </w:r>
          </w:p>
        </w:tc>
        <w:tc>
          <w:tcPr>
            <w:tcW w:w="1945" w:type="pct"/>
          </w:tcPr>
          <w:p w14:paraId="649DA354"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pPr>
            <w:r w:rsidRPr="004A34E0">
              <w:rPr>
                <w:b/>
              </w:rPr>
              <w:t>Narrow assets (</w:t>
            </w:r>
            <w:proofErr w:type="spellStart"/>
            <w:r w:rsidRPr="004A34E0">
              <w:rPr>
                <w:b/>
              </w:rPr>
              <w:t>CBiCS</w:t>
            </w:r>
            <w:proofErr w:type="spellEnd"/>
            <w:r w:rsidRPr="004A34E0">
              <w:rPr>
                <w:b/>
              </w:rPr>
              <w:t xml:space="preserve"> category)</w:t>
            </w:r>
          </w:p>
        </w:tc>
        <w:tc>
          <w:tcPr>
            <w:tcW w:w="764" w:type="pct"/>
          </w:tcPr>
          <w:p w14:paraId="0E8FB046"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pPr>
            <w:r w:rsidRPr="004A34E0">
              <w:rPr>
                <w:b/>
              </w:rPr>
              <w:t>Area (ha.)</w:t>
            </w:r>
          </w:p>
        </w:tc>
        <w:tc>
          <w:tcPr>
            <w:tcW w:w="834" w:type="pct"/>
          </w:tcPr>
          <w:p w14:paraId="396A3057"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rPr>
                <w:b/>
              </w:rPr>
            </w:pPr>
            <w:r w:rsidRPr="004A34E0">
              <w:rPr>
                <w:b/>
              </w:rPr>
              <w:t>% of total area</w:t>
            </w:r>
          </w:p>
        </w:tc>
      </w:tr>
      <w:tr w:rsidR="007904E8" w:rsidRPr="004A34E0" w14:paraId="52699EAC" w14:textId="77777777" w:rsidTr="00D10D24">
        <w:trPr>
          <w:trHeight w:val="251"/>
        </w:trPr>
        <w:tc>
          <w:tcPr>
            <w:cnfStyle w:val="001000000000" w:firstRow="0" w:lastRow="0" w:firstColumn="1" w:lastColumn="0" w:oddVBand="0" w:evenVBand="0" w:oddHBand="0" w:evenHBand="0" w:firstRowFirstColumn="0" w:firstRowLastColumn="0" w:lastRowFirstColumn="0" w:lastRowLastColumn="0"/>
            <w:tcW w:w="693" w:type="pct"/>
            <w:vMerge w:val="restart"/>
          </w:tcPr>
          <w:p w14:paraId="1634E082" w14:textId="77777777" w:rsidR="007904E8" w:rsidRPr="004A34E0" w:rsidRDefault="007904E8" w:rsidP="00666947">
            <w:pPr>
              <w:pStyle w:val="TableTextLeft"/>
            </w:pPr>
            <w:r w:rsidRPr="004A34E0">
              <w:t>Marine</w:t>
            </w:r>
          </w:p>
        </w:tc>
        <w:tc>
          <w:tcPr>
            <w:tcW w:w="764" w:type="pct"/>
            <w:vMerge w:val="restart"/>
          </w:tcPr>
          <w:p w14:paraId="0595A9E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128,268</w:t>
            </w:r>
          </w:p>
        </w:tc>
        <w:tc>
          <w:tcPr>
            <w:tcW w:w="1945" w:type="pct"/>
          </w:tcPr>
          <w:p w14:paraId="59A3D21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Crustose coralline algae</w:t>
            </w:r>
          </w:p>
        </w:tc>
        <w:tc>
          <w:tcPr>
            <w:tcW w:w="764" w:type="pct"/>
          </w:tcPr>
          <w:p w14:paraId="7CC0A28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2,047</w:t>
            </w:r>
          </w:p>
        </w:tc>
        <w:tc>
          <w:tcPr>
            <w:tcW w:w="834" w:type="pct"/>
          </w:tcPr>
          <w:p w14:paraId="05275EB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1.6%</w:t>
            </w:r>
          </w:p>
        </w:tc>
      </w:tr>
      <w:tr w:rsidR="007904E8" w:rsidRPr="004A34E0" w14:paraId="1533A40D" w14:textId="77777777" w:rsidTr="00D10D24">
        <w:trPr>
          <w:trHeight w:val="251"/>
        </w:trPr>
        <w:tc>
          <w:tcPr>
            <w:cnfStyle w:val="001000000000" w:firstRow="0" w:lastRow="0" w:firstColumn="1" w:lastColumn="0" w:oddVBand="0" w:evenVBand="0" w:oddHBand="0" w:evenHBand="0" w:firstRowFirstColumn="0" w:firstRowLastColumn="0" w:lastRowFirstColumn="0" w:lastRowLastColumn="0"/>
            <w:tcW w:w="693" w:type="pct"/>
            <w:vMerge/>
          </w:tcPr>
          <w:p w14:paraId="38F9008E" w14:textId="77777777" w:rsidR="007904E8" w:rsidRPr="004A34E0" w:rsidRDefault="007904E8" w:rsidP="00666947">
            <w:pPr>
              <w:pStyle w:val="TableTextLeft"/>
            </w:pPr>
          </w:p>
        </w:tc>
        <w:tc>
          <w:tcPr>
            <w:tcW w:w="764" w:type="pct"/>
            <w:vMerge/>
          </w:tcPr>
          <w:p w14:paraId="439719C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945" w:type="pct"/>
          </w:tcPr>
          <w:p w14:paraId="16C4F17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Rock/hard substrate</w:t>
            </w:r>
          </w:p>
        </w:tc>
        <w:tc>
          <w:tcPr>
            <w:tcW w:w="764" w:type="pct"/>
          </w:tcPr>
          <w:p w14:paraId="1C70139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7,640 </w:t>
            </w:r>
          </w:p>
        </w:tc>
        <w:tc>
          <w:tcPr>
            <w:tcW w:w="834" w:type="pct"/>
          </w:tcPr>
          <w:p w14:paraId="12AD160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6.0%</w:t>
            </w:r>
          </w:p>
        </w:tc>
      </w:tr>
      <w:tr w:rsidR="007904E8" w:rsidRPr="004A34E0" w14:paraId="32E9511F" w14:textId="77777777" w:rsidTr="00D10D24">
        <w:trPr>
          <w:trHeight w:val="251"/>
        </w:trPr>
        <w:tc>
          <w:tcPr>
            <w:cnfStyle w:val="001000000000" w:firstRow="0" w:lastRow="0" w:firstColumn="1" w:lastColumn="0" w:oddVBand="0" w:evenVBand="0" w:oddHBand="0" w:evenHBand="0" w:firstRowFirstColumn="0" w:firstRowLastColumn="0" w:lastRowFirstColumn="0" w:lastRowLastColumn="0"/>
            <w:tcW w:w="693" w:type="pct"/>
            <w:vMerge/>
          </w:tcPr>
          <w:p w14:paraId="79294A74" w14:textId="77777777" w:rsidR="007904E8" w:rsidRPr="004A34E0" w:rsidRDefault="007904E8" w:rsidP="00666947">
            <w:pPr>
              <w:pStyle w:val="TableTextLeft"/>
            </w:pPr>
          </w:p>
        </w:tc>
        <w:tc>
          <w:tcPr>
            <w:tcW w:w="764" w:type="pct"/>
            <w:vMerge/>
          </w:tcPr>
          <w:p w14:paraId="401A4C2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945" w:type="pct"/>
          </w:tcPr>
          <w:p w14:paraId="4BE7A84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Sponges</w:t>
            </w:r>
          </w:p>
        </w:tc>
        <w:tc>
          <w:tcPr>
            <w:tcW w:w="764" w:type="pct"/>
          </w:tcPr>
          <w:p w14:paraId="112F127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4,661</w:t>
            </w:r>
          </w:p>
        </w:tc>
        <w:tc>
          <w:tcPr>
            <w:tcW w:w="834" w:type="pct"/>
          </w:tcPr>
          <w:p w14:paraId="55E4504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3.6%</w:t>
            </w:r>
          </w:p>
        </w:tc>
      </w:tr>
      <w:tr w:rsidR="007904E8" w:rsidRPr="004A34E0" w14:paraId="2340D00C" w14:textId="77777777" w:rsidTr="00D10D24">
        <w:trPr>
          <w:trHeight w:val="237"/>
        </w:trPr>
        <w:tc>
          <w:tcPr>
            <w:cnfStyle w:val="001000000000" w:firstRow="0" w:lastRow="0" w:firstColumn="1" w:lastColumn="0" w:oddVBand="0" w:evenVBand="0" w:oddHBand="0" w:evenHBand="0" w:firstRowFirstColumn="0" w:firstRowLastColumn="0" w:lastRowFirstColumn="0" w:lastRowLastColumn="0"/>
            <w:tcW w:w="693" w:type="pct"/>
            <w:vMerge/>
          </w:tcPr>
          <w:p w14:paraId="3BD9E01D" w14:textId="77777777" w:rsidR="007904E8" w:rsidRPr="004A34E0" w:rsidRDefault="007904E8" w:rsidP="00666947">
            <w:pPr>
              <w:pStyle w:val="TableTextLeft"/>
            </w:pPr>
          </w:p>
        </w:tc>
        <w:tc>
          <w:tcPr>
            <w:tcW w:w="764" w:type="pct"/>
            <w:vMerge/>
          </w:tcPr>
          <w:p w14:paraId="307787D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945" w:type="pct"/>
          </w:tcPr>
          <w:p w14:paraId="74A1F0C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Tide/wave surge communities</w:t>
            </w:r>
          </w:p>
        </w:tc>
        <w:tc>
          <w:tcPr>
            <w:tcW w:w="764" w:type="pct"/>
          </w:tcPr>
          <w:p w14:paraId="039F07A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6,497</w:t>
            </w:r>
          </w:p>
        </w:tc>
        <w:tc>
          <w:tcPr>
            <w:tcW w:w="834" w:type="pct"/>
          </w:tcPr>
          <w:p w14:paraId="06F5EAE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5.1%</w:t>
            </w:r>
          </w:p>
        </w:tc>
      </w:tr>
      <w:tr w:rsidR="007904E8" w:rsidRPr="004A34E0" w14:paraId="2F5D2E17" w14:textId="77777777" w:rsidTr="00D10D24">
        <w:trPr>
          <w:trHeight w:val="251"/>
        </w:trPr>
        <w:tc>
          <w:tcPr>
            <w:cnfStyle w:val="001000000000" w:firstRow="0" w:lastRow="0" w:firstColumn="1" w:lastColumn="0" w:oddVBand="0" w:evenVBand="0" w:oddHBand="0" w:evenHBand="0" w:firstRowFirstColumn="0" w:firstRowLastColumn="0" w:lastRowFirstColumn="0" w:lastRowLastColumn="0"/>
            <w:tcW w:w="693" w:type="pct"/>
            <w:vMerge/>
          </w:tcPr>
          <w:p w14:paraId="087A1E13" w14:textId="77777777" w:rsidR="007904E8" w:rsidRPr="004A34E0" w:rsidRDefault="007904E8" w:rsidP="00666947">
            <w:pPr>
              <w:pStyle w:val="TableTextLeft"/>
            </w:pPr>
          </w:p>
        </w:tc>
        <w:tc>
          <w:tcPr>
            <w:tcW w:w="764" w:type="pct"/>
            <w:vMerge/>
          </w:tcPr>
          <w:p w14:paraId="4FE07DD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945" w:type="pct"/>
          </w:tcPr>
          <w:p w14:paraId="7248911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Brown algae</w:t>
            </w:r>
          </w:p>
        </w:tc>
        <w:tc>
          <w:tcPr>
            <w:tcW w:w="764" w:type="pct"/>
          </w:tcPr>
          <w:p w14:paraId="64F4414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1,696</w:t>
            </w:r>
          </w:p>
        </w:tc>
        <w:tc>
          <w:tcPr>
            <w:tcW w:w="834" w:type="pct"/>
          </w:tcPr>
          <w:p w14:paraId="097A2EA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1.3%</w:t>
            </w:r>
          </w:p>
        </w:tc>
      </w:tr>
      <w:tr w:rsidR="007904E8" w:rsidRPr="004A34E0" w14:paraId="70ABD368" w14:textId="77777777" w:rsidTr="00D10D24">
        <w:trPr>
          <w:trHeight w:val="263"/>
        </w:trPr>
        <w:tc>
          <w:tcPr>
            <w:cnfStyle w:val="001000000000" w:firstRow="0" w:lastRow="0" w:firstColumn="1" w:lastColumn="0" w:oddVBand="0" w:evenVBand="0" w:oddHBand="0" w:evenHBand="0" w:firstRowFirstColumn="0" w:firstRowLastColumn="0" w:lastRowFirstColumn="0" w:lastRowLastColumn="0"/>
            <w:tcW w:w="693" w:type="pct"/>
            <w:vMerge/>
          </w:tcPr>
          <w:p w14:paraId="24BDE546" w14:textId="77777777" w:rsidR="007904E8" w:rsidRPr="004A34E0" w:rsidRDefault="007904E8" w:rsidP="00666947">
            <w:pPr>
              <w:pStyle w:val="TableTextLeft"/>
            </w:pPr>
          </w:p>
        </w:tc>
        <w:tc>
          <w:tcPr>
            <w:tcW w:w="764" w:type="pct"/>
            <w:vMerge/>
          </w:tcPr>
          <w:p w14:paraId="24117BC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945" w:type="pct"/>
          </w:tcPr>
          <w:p w14:paraId="4DC5865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High energy zone</w:t>
            </w:r>
          </w:p>
        </w:tc>
        <w:tc>
          <w:tcPr>
            <w:tcW w:w="764" w:type="pct"/>
          </w:tcPr>
          <w:p w14:paraId="2DBF684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5,062 </w:t>
            </w:r>
          </w:p>
        </w:tc>
        <w:tc>
          <w:tcPr>
            <w:tcW w:w="834" w:type="pct"/>
          </w:tcPr>
          <w:p w14:paraId="23117B1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3.9%</w:t>
            </w:r>
          </w:p>
        </w:tc>
      </w:tr>
      <w:tr w:rsidR="007904E8" w:rsidRPr="004A34E0" w14:paraId="58D72922" w14:textId="77777777" w:rsidTr="00D10D24">
        <w:trPr>
          <w:trHeight w:val="263"/>
        </w:trPr>
        <w:tc>
          <w:tcPr>
            <w:cnfStyle w:val="001000000000" w:firstRow="0" w:lastRow="0" w:firstColumn="1" w:lastColumn="0" w:oddVBand="0" w:evenVBand="0" w:oddHBand="0" w:evenHBand="0" w:firstRowFirstColumn="0" w:firstRowLastColumn="0" w:lastRowFirstColumn="0" w:lastRowLastColumn="0"/>
            <w:tcW w:w="693" w:type="pct"/>
            <w:vMerge/>
          </w:tcPr>
          <w:p w14:paraId="0ADA2383" w14:textId="77777777" w:rsidR="007904E8" w:rsidRPr="004A34E0" w:rsidRDefault="007904E8" w:rsidP="00666947">
            <w:pPr>
              <w:pStyle w:val="TableTextLeft"/>
            </w:pPr>
          </w:p>
        </w:tc>
        <w:tc>
          <w:tcPr>
            <w:tcW w:w="764" w:type="pct"/>
            <w:vMerge/>
          </w:tcPr>
          <w:p w14:paraId="6D910D4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945" w:type="pct"/>
          </w:tcPr>
          <w:p w14:paraId="70B6B7C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Kelp beds</w:t>
            </w:r>
          </w:p>
        </w:tc>
        <w:tc>
          <w:tcPr>
            <w:tcW w:w="764" w:type="pct"/>
          </w:tcPr>
          <w:p w14:paraId="2CB531A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9,456</w:t>
            </w:r>
          </w:p>
        </w:tc>
        <w:tc>
          <w:tcPr>
            <w:tcW w:w="834" w:type="pct"/>
          </w:tcPr>
          <w:p w14:paraId="3E3D82F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7.4%</w:t>
            </w:r>
          </w:p>
        </w:tc>
      </w:tr>
      <w:tr w:rsidR="007904E8" w:rsidRPr="004A34E0" w14:paraId="3BAC696D" w14:textId="77777777" w:rsidTr="00D10D24">
        <w:trPr>
          <w:trHeight w:val="263"/>
        </w:trPr>
        <w:tc>
          <w:tcPr>
            <w:cnfStyle w:val="001000000000" w:firstRow="0" w:lastRow="0" w:firstColumn="1" w:lastColumn="0" w:oddVBand="0" w:evenVBand="0" w:oddHBand="0" w:evenHBand="0" w:firstRowFirstColumn="0" w:firstRowLastColumn="0" w:lastRowFirstColumn="0" w:lastRowLastColumn="0"/>
            <w:tcW w:w="693" w:type="pct"/>
            <w:vMerge/>
          </w:tcPr>
          <w:p w14:paraId="5151D58B" w14:textId="77777777" w:rsidR="007904E8" w:rsidRPr="004A34E0" w:rsidRDefault="007904E8" w:rsidP="00666947">
            <w:pPr>
              <w:pStyle w:val="TableTextLeft"/>
            </w:pPr>
          </w:p>
        </w:tc>
        <w:tc>
          <w:tcPr>
            <w:tcW w:w="764" w:type="pct"/>
            <w:vMerge/>
          </w:tcPr>
          <w:p w14:paraId="4B7A075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945" w:type="pct"/>
          </w:tcPr>
          <w:p w14:paraId="237795C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Scour communities</w:t>
            </w:r>
          </w:p>
        </w:tc>
        <w:tc>
          <w:tcPr>
            <w:tcW w:w="764" w:type="pct"/>
          </w:tcPr>
          <w:p w14:paraId="3DB8D31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217 </w:t>
            </w:r>
          </w:p>
        </w:tc>
        <w:tc>
          <w:tcPr>
            <w:tcW w:w="834" w:type="pct"/>
          </w:tcPr>
          <w:p w14:paraId="7687329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0.2%</w:t>
            </w:r>
          </w:p>
        </w:tc>
      </w:tr>
      <w:tr w:rsidR="007904E8" w:rsidRPr="004A34E0" w14:paraId="60DC0387" w14:textId="77777777" w:rsidTr="00D10D24">
        <w:trPr>
          <w:trHeight w:val="251"/>
        </w:trPr>
        <w:tc>
          <w:tcPr>
            <w:cnfStyle w:val="001000000000" w:firstRow="0" w:lastRow="0" w:firstColumn="1" w:lastColumn="0" w:oddVBand="0" w:evenVBand="0" w:oddHBand="0" w:evenHBand="0" w:firstRowFirstColumn="0" w:firstRowLastColumn="0" w:lastRowFirstColumn="0" w:lastRowLastColumn="0"/>
            <w:tcW w:w="693" w:type="pct"/>
            <w:vMerge/>
          </w:tcPr>
          <w:p w14:paraId="605558A2" w14:textId="77777777" w:rsidR="007904E8" w:rsidRPr="004A34E0" w:rsidRDefault="007904E8" w:rsidP="00666947">
            <w:pPr>
              <w:pStyle w:val="TableTextLeft"/>
            </w:pPr>
          </w:p>
        </w:tc>
        <w:tc>
          <w:tcPr>
            <w:tcW w:w="764" w:type="pct"/>
            <w:vMerge/>
          </w:tcPr>
          <w:p w14:paraId="4536171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945" w:type="pct"/>
          </w:tcPr>
          <w:p w14:paraId="4721B2B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Seagrass</w:t>
            </w:r>
          </w:p>
        </w:tc>
        <w:tc>
          <w:tcPr>
            <w:tcW w:w="764" w:type="pct"/>
          </w:tcPr>
          <w:p w14:paraId="72D0ED2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1,130</w:t>
            </w:r>
          </w:p>
        </w:tc>
        <w:tc>
          <w:tcPr>
            <w:tcW w:w="834" w:type="pct"/>
          </w:tcPr>
          <w:p w14:paraId="54266AC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0.9%</w:t>
            </w:r>
          </w:p>
        </w:tc>
      </w:tr>
      <w:tr w:rsidR="007904E8" w:rsidRPr="004A34E0" w14:paraId="108631AA" w14:textId="77777777" w:rsidTr="00D10D24">
        <w:trPr>
          <w:trHeight w:val="263"/>
        </w:trPr>
        <w:tc>
          <w:tcPr>
            <w:cnfStyle w:val="001000000000" w:firstRow="0" w:lastRow="0" w:firstColumn="1" w:lastColumn="0" w:oddVBand="0" w:evenVBand="0" w:oddHBand="0" w:evenHBand="0" w:firstRowFirstColumn="0" w:firstRowLastColumn="0" w:lastRowFirstColumn="0" w:lastRowLastColumn="0"/>
            <w:tcW w:w="693" w:type="pct"/>
            <w:vMerge/>
          </w:tcPr>
          <w:p w14:paraId="73802FB3" w14:textId="77777777" w:rsidR="007904E8" w:rsidRPr="004A34E0" w:rsidRDefault="007904E8" w:rsidP="00666947">
            <w:pPr>
              <w:pStyle w:val="TableTextLeft"/>
            </w:pPr>
          </w:p>
        </w:tc>
        <w:tc>
          <w:tcPr>
            <w:tcW w:w="764" w:type="pct"/>
            <w:vMerge/>
          </w:tcPr>
          <w:p w14:paraId="17B2E82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945" w:type="pct"/>
          </w:tcPr>
          <w:p w14:paraId="4581F3D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Epibenthos</w:t>
            </w:r>
          </w:p>
        </w:tc>
        <w:tc>
          <w:tcPr>
            <w:tcW w:w="764" w:type="pct"/>
          </w:tcPr>
          <w:p w14:paraId="2573813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992 </w:t>
            </w:r>
          </w:p>
        </w:tc>
        <w:tc>
          <w:tcPr>
            <w:tcW w:w="834" w:type="pct"/>
          </w:tcPr>
          <w:p w14:paraId="5B3161E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0.8%</w:t>
            </w:r>
          </w:p>
        </w:tc>
      </w:tr>
      <w:tr w:rsidR="007904E8" w:rsidRPr="004A34E0" w14:paraId="64A890AB" w14:textId="77777777" w:rsidTr="00D10D24">
        <w:trPr>
          <w:trHeight w:val="263"/>
        </w:trPr>
        <w:tc>
          <w:tcPr>
            <w:cnfStyle w:val="001000000000" w:firstRow="0" w:lastRow="0" w:firstColumn="1" w:lastColumn="0" w:oddVBand="0" w:evenVBand="0" w:oddHBand="0" w:evenHBand="0" w:firstRowFirstColumn="0" w:firstRowLastColumn="0" w:lastRowFirstColumn="0" w:lastRowLastColumn="0"/>
            <w:tcW w:w="693" w:type="pct"/>
            <w:vMerge/>
          </w:tcPr>
          <w:p w14:paraId="072C1091" w14:textId="77777777" w:rsidR="007904E8" w:rsidRPr="004A34E0" w:rsidRDefault="007904E8" w:rsidP="00666947">
            <w:pPr>
              <w:pStyle w:val="TableTextLeft"/>
            </w:pPr>
          </w:p>
        </w:tc>
        <w:tc>
          <w:tcPr>
            <w:tcW w:w="764" w:type="pct"/>
            <w:vMerge/>
          </w:tcPr>
          <w:p w14:paraId="40843AE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945" w:type="pct"/>
          </w:tcPr>
          <w:p w14:paraId="2BD5956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Mixed sediments</w:t>
            </w:r>
          </w:p>
        </w:tc>
        <w:tc>
          <w:tcPr>
            <w:tcW w:w="764" w:type="pct"/>
          </w:tcPr>
          <w:p w14:paraId="3BD15B3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5,990</w:t>
            </w:r>
          </w:p>
        </w:tc>
        <w:tc>
          <w:tcPr>
            <w:tcW w:w="834" w:type="pct"/>
          </w:tcPr>
          <w:p w14:paraId="69A471A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4.7%</w:t>
            </w:r>
          </w:p>
        </w:tc>
      </w:tr>
      <w:tr w:rsidR="007904E8" w:rsidRPr="004A34E0" w14:paraId="0C67DA92" w14:textId="77777777" w:rsidTr="00D10D24">
        <w:trPr>
          <w:trHeight w:val="251"/>
        </w:trPr>
        <w:tc>
          <w:tcPr>
            <w:cnfStyle w:val="001000000000" w:firstRow="0" w:lastRow="0" w:firstColumn="1" w:lastColumn="0" w:oddVBand="0" w:evenVBand="0" w:oddHBand="0" w:evenHBand="0" w:firstRowFirstColumn="0" w:firstRowLastColumn="0" w:lastRowFirstColumn="0" w:lastRowLastColumn="0"/>
            <w:tcW w:w="693" w:type="pct"/>
            <w:vMerge/>
          </w:tcPr>
          <w:p w14:paraId="31C2E622" w14:textId="77777777" w:rsidR="007904E8" w:rsidRPr="004A34E0" w:rsidRDefault="007904E8" w:rsidP="00666947">
            <w:pPr>
              <w:pStyle w:val="TableTextLeft"/>
            </w:pPr>
          </w:p>
        </w:tc>
        <w:tc>
          <w:tcPr>
            <w:tcW w:w="764" w:type="pct"/>
            <w:vMerge/>
          </w:tcPr>
          <w:p w14:paraId="1D03836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945" w:type="pct"/>
          </w:tcPr>
          <w:p w14:paraId="2AD543E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roofErr w:type="spellStart"/>
            <w:r w:rsidRPr="004A34E0">
              <w:t>Rhodolith</w:t>
            </w:r>
            <w:proofErr w:type="spellEnd"/>
            <w:r w:rsidRPr="004A34E0">
              <w:t xml:space="preserve"> beds</w:t>
            </w:r>
          </w:p>
        </w:tc>
        <w:tc>
          <w:tcPr>
            <w:tcW w:w="764" w:type="pct"/>
          </w:tcPr>
          <w:p w14:paraId="529B29A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282 </w:t>
            </w:r>
          </w:p>
        </w:tc>
        <w:tc>
          <w:tcPr>
            <w:tcW w:w="834" w:type="pct"/>
          </w:tcPr>
          <w:p w14:paraId="25997D4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0.2%</w:t>
            </w:r>
          </w:p>
        </w:tc>
      </w:tr>
      <w:tr w:rsidR="007904E8" w:rsidRPr="004A34E0" w14:paraId="4F795533" w14:textId="77777777" w:rsidTr="00D10D24">
        <w:trPr>
          <w:trHeight w:val="251"/>
        </w:trPr>
        <w:tc>
          <w:tcPr>
            <w:cnfStyle w:val="001000000000" w:firstRow="0" w:lastRow="0" w:firstColumn="1" w:lastColumn="0" w:oddVBand="0" w:evenVBand="0" w:oddHBand="0" w:evenHBand="0" w:firstRowFirstColumn="0" w:firstRowLastColumn="0" w:lastRowFirstColumn="0" w:lastRowLastColumn="0"/>
            <w:tcW w:w="693" w:type="pct"/>
            <w:vMerge/>
          </w:tcPr>
          <w:p w14:paraId="0738DB59" w14:textId="77777777" w:rsidR="007904E8" w:rsidRPr="004A34E0" w:rsidRDefault="007904E8" w:rsidP="00666947">
            <w:pPr>
              <w:pStyle w:val="TableTextLeft"/>
            </w:pPr>
          </w:p>
        </w:tc>
        <w:tc>
          <w:tcPr>
            <w:tcW w:w="764" w:type="pct"/>
            <w:vMerge/>
          </w:tcPr>
          <w:p w14:paraId="2B43A3A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945" w:type="pct"/>
          </w:tcPr>
          <w:p w14:paraId="5CEADC1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Sand</w:t>
            </w:r>
          </w:p>
        </w:tc>
        <w:tc>
          <w:tcPr>
            <w:tcW w:w="764" w:type="pct"/>
          </w:tcPr>
          <w:p w14:paraId="390B548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57,070</w:t>
            </w:r>
          </w:p>
        </w:tc>
        <w:tc>
          <w:tcPr>
            <w:tcW w:w="834" w:type="pct"/>
          </w:tcPr>
          <w:p w14:paraId="02B75D0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44.5%</w:t>
            </w:r>
          </w:p>
        </w:tc>
      </w:tr>
      <w:tr w:rsidR="007904E8" w:rsidRPr="004A34E0" w14:paraId="2395751E" w14:textId="77777777" w:rsidTr="00D10D24">
        <w:trPr>
          <w:trHeight w:val="251"/>
        </w:trPr>
        <w:tc>
          <w:tcPr>
            <w:cnfStyle w:val="001000000000" w:firstRow="0" w:lastRow="0" w:firstColumn="1" w:lastColumn="0" w:oddVBand="0" w:evenVBand="0" w:oddHBand="0" w:evenHBand="0" w:firstRowFirstColumn="0" w:firstRowLastColumn="0" w:lastRowFirstColumn="0" w:lastRowLastColumn="0"/>
            <w:tcW w:w="693" w:type="pct"/>
            <w:vMerge/>
          </w:tcPr>
          <w:p w14:paraId="7CC65613" w14:textId="77777777" w:rsidR="007904E8" w:rsidRPr="004A34E0" w:rsidRDefault="007904E8" w:rsidP="00666947">
            <w:pPr>
              <w:pStyle w:val="TableTextLeft"/>
            </w:pPr>
          </w:p>
        </w:tc>
        <w:tc>
          <w:tcPr>
            <w:tcW w:w="764" w:type="pct"/>
            <w:vMerge/>
          </w:tcPr>
          <w:p w14:paraId="5FE111D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945" w:type="pct"/>
          </w:tcPr>
          <w:p w14:paraId="5877019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Seaweed</w:t>
            </w:r>
          </w:p>
        </w:tc>
        <w:tc>
          <w:tcPr>
            <w:tcW w:w="764" w:type="pct"/>
          </w:tcPr>
          <w:p w14:paraId="68858B9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919 </w:t>
            </w:r>
          </w:p>
        </w:tc>
        <w:tc>
          <w:tcPr>
            <w:tcW w:w="834" w:type="pct"/>
          </w:tcPr>
          <w:p w14:paraId="664942D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0.7%</w:t>
            </w:r>
          </w:p>
        </w:tc>
      </w:tr>
      <w:tr w:rsidR="00D10D24" w:rsidRPr="004A34E0" w14:paraId="49BDF2F5" w14:textId="77777777" w:rsidTr="00D10D24">
        <w:trPr>
          <w:trHeight w:val="263"/>
        </w:trPr>
        <w:tc>
          <w:tcPr>
            <w:cnfStyle w:val="001000000000" w:firstRow="0" w:lastRow="0" w:firstColumn="1" w:lastColumn="0" w:oddVBand="0" w:evenVBand="0" w:oddHBand="0" w:evenHBand="0" w:firstRowFirstColumn="0" w:firstRowLastColumn="0" w:lastRowFirstColumn="0" w:lastRowLastColumn="0"/>
            <w:tcW w:w="693" w:type="pct"/>
            <w:vMerge/>
            <w:tcBorders>
              <w:bottom w:val="single" w:sz="4" w:space="0" w:color="auto"/>
            </w:tcBorders>
          </w:tcPr>
          <w:p w14:paraId="37BAB8EB" w14:textId="77777777" w:rsidR="007904E8" w:rsidRPr="004A34E0" w:rsidRDefault="007904E8" w:rsidP="00666947">
            <w:pPr>
              <w:pStyle w:val="TableTextLeft"/>
            </w:pPr>
          </w:p>
        </w:tc>
        <w:tc>
          <w:tcPr>
            <w:tcW w:w="764" w:type="pct"/>
            <w:vMerge/>
            <w:tcBorders>
              <w:bottom w:val="single" w:sz="4" w:space="0" w:color="auto"/>
            </w:tcBorders>
          </w:tcPr>
          <w:p w14:paraId="1154F1F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945" w:type="pct"/>
            <w:tcBorders>
              <w:bottom w:val="single" w:sz="4" w:space="0" w:color="auto"/>
            </w:tcBorders>
          </w:tcPr>
          <w:p w14:paraId="02D3DF2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i/>
                <w:vertAlign w:val="superscript"/>
              </w:rPr>
            </w:pPr>
            <w:proofErr w:type="gramStart"/>
            <w:r w:rsidRPr="004A34E0">
              <w:rPr>
                <w:i/>
              </w:rPr>
              <w:t>Other</w:t>
            </w:r>
            <w:proofErr w:type="gramEnd"/>
            <w:r w:rsidRPr="004A34E0">
              <w:rPr>
                <w:i/>
              </w:rPr>
              <w:t xml:space="preserve"> </w:t>
            </w:r>
            <w:r w:rsidRPr="004A34E0">
              <w:rPr>
                <w:i/>
                <w:vertAlign w:val="superscript"/>
              </w:rPr>
              <w:t>a</w:t>
            </w:r>
          </w:p>
        </w:tc>
        <w:tc>
          <w:tcPr>
            <w:tcW w:w="764" w:type="pct"/>
            <w:tcBorders>
              <w:bottom w:val="single" w:sz="4" w:space="0" w:color="auto"/>
            </w:tcBorders>
          </w:tcPr>
          <w:p w14:paraId="1524EB7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24,609</w:t>
            </w:r>
          </w:p>
        </w:tc>
        <w:tc>
          <w:tcPr>
            <w:tcW w:w="834" w:type="pct"/>
            <w:tcBorders>
              <w:bottom w:val="single" w:sz="4" w:space="0" w:color="auto"/>
            </w:tcBorders>
          </w:tcPr>
          <w:p w14:paraId="446AA16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19.2%</w:t>
            </w:r>
          </w:p>
        </w:tc>
      </w:tr>
      <w:tr w:rsidR="00D10D24" w:rsidRPr="004A34E0" w14:paraId="284230FF" w14:textId="77777777" w:rsidTr="00D10D24">
        <w:trPr>
          <w:trHeight w:val="237"/>
        </w:trPr>
        <w:tc>
          <w:tcPr>
            <w:cnfStyle w:val="001000000000" w:firstRow="0" w:lastRow="0" w:firstColumn="1" w:lastColumn="0" w:oddVBand="0" w:evenVBand="0" w:oddHBand="0" w:evenHBand="0" w:firstRowFirstColumn="0" w:firstRowLastColumn="0" w:lastRowFirstColumn="0" w:lastRowLastColumn="0"/>
            <w:tcW w:w="693" w:type="pct"/>
            <w:shd w:val="clear" w:color="auto" w:fill="CCDBEA"/>
          </w:tcPr>
          <w:p w14:paraId="171E905A" w14:textId="77777777" w:rsidR="007904E8" w:rsidRPr="004A34E0" w:rsidRDefault="007904E8" w:rsidP="00666947">
            <w:pPr>
              <w:pStyle w:val="TableTextLeft"/>
            </w:pPr>
            <w:r w:rsidRPr="004A34E0">
              <w:rPr>
                <w:b/>
              </w:rPr>
              <w:t>Total</w:t>
            </w:r>
          </w:p>
        </w:tc>
        <w:tc>
          <w:tcPr>
            <w:tcW w:w="764" w:type="pct"/>
            <w:shd w:val="clear" w:color="auto" w:fill="CCDBEA"/>
          </w:tcPr>
          <w:p w14:paraId="0A947D0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128,268</w:t>
            </w:r>
          </w:p>
        </w:tc>
        <w:tc>
          <w:tcPr>
            <w:tcW w:w="1945" w:type="pct"/>
            <w:shd w:val="clear" w:color="auto" w:fill="CCDBEA"/>
          </w:tcPr>
          <w:p w14:paraId="7D8D2F1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764" w:type="pct"/>
            <w:shd w:val="clear" w:color="auto" w:fill="CCDBEA"/>
          </w:tcPr>
          <w:p w14:paraId="2C544C0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128,268</w:t>
            </w:r>
          </w:p>
        </w:tc>
        <w:tc>
          <w:tcPr>
            <w:tcW w:w="834" w:type="pct"/>
            <w:shd w:val="clear" w:color="auto" w:fill="CCDBEA"/>
          </w:tcPr>
          <w:p w14:paraId="38F4F40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rPr>
            </w:pPr>
            <w:r w:rsidRPr="004A34E0">
              <w:rPr>
                <w:b/>
              </w:rPr>
              <w:t>100.0%</w:t>
            </w:r>
          </w:p>
        </w:tc>
      </w:tr>
    </w:tbl>
    <w:p w14:paraId="55381642" w14:textId="657593FA" w:rsidR="00DF2911" w:rsidRDefault="007904E8" w:rsidP="007904E8">
      <w:pPr>
        <w:pStyle w:val="BodyText"/>
      </w:pPr>
      <w:r w:rsidRPr="004A34E0">
        <w:rPr>
          <w:vertAlign w:val="superscript"/>
        </w:rPr>
        <w:t>a</w:t>
      </w:r>
      <w:r w:rsidRPr="004A34E0">
        <w:t xml:space="preserve"> Refers to areas of the marine portion within the GORCAP EEA area (based on VLCTS) that are not covered by the </w:t>
      </w:r>
      <w:proofErr w:type="spellStart"/>
      <w:r w:rsidRPr="004A34E0">
        <w:t>CBiCS</w:t>
      </w:r>
      <w:proofErr w:type="spellEnd"/>
      <w:r w:rsidRPr="004A34E0">
        <w:t xml:space="preserve"> dataset.</w:t>
      </w:r>
      <w:r w:rsidR="00DF2911">
        <w:br w:type="page"/>
      </w:r>
    </w:p>
    <w:p w14:paraId="63BABD9D" w14:textId="77777777" w:rsidR="007904E8" w:rsidRPr="004A34E0" w:rsidRDefault="007904E8" w:rsidP="007904E8">
      <w:pPr>
        <w:pStyle w:val="BodyText"/>
      </w:pPr>
      <w:r w:rsidRPr="004A34E0">
        <w:lastRenderedPageBreak/>
        <w:t xml:space="preserve">Table 20 summarises the uncertainty associated with these results and shows that there is medium uncertainty associated with the extent mapping as the evidence on the broad ecosystem types doesn’t exactly map across from the VLCTS so some assumptions have had to be made in order to classify/re-classify land cover under the nine broad ecosystem types and the resolution of that data is 25 metres. </w:t>
      </w:r>
    </w:p>
    <w:p w14:paraId="0E090F7F" w14:textId="5D4BE643" w:rsidR="007904E8" w:rsidRPr="004A34E0" w:rsidRDefault="007904E8" w:rsidP="00537CBB">
      <w:pPr>
        <w:pStyle w:val="Caption"/>
      </w:pPr>
      <w:r w:rsidRPr="004A34E0">
        <w:t>Table 20. Uncertainty assessment - extent account</w:t>
      </w:r>
    </w:p>
    <w:tbl>
      <w:tblPr>
        <w:tblStyle w:val="TableGrid"/>
        <w:tblW w:w="10120" w:type="dxa"/>
        <w:tblLook w:val="04A0" w:firstRow="1" w:lastRow="0" w:firstColumn="1" w:lastColumn="0" w:noHBand="0" w:noVBand="1"/>
      </w:tblPr>
      <w:tblGrid>
        <w:gridCol w:w="1360"/>
        <w:gridCol w:w="3449"/>
        <w:gridCol w:w="4373"/>
        <w:gridCol w:w="938"/>
      </w:tblGrid>
      <w:tr w:rsidR="00D10D24" w:rsidRPr="004A34E0" w14:paraId="4B30335D" w14:textId="77777777" w:rsidTr="00D10D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shd w:val="clear" w:color="auto" w:fill="004C97"/>
          </w:tcPr>
          <w:p w14:paraId="13F8B38D" w14:textId="77777777" w:rsidR="007904E8" w:rsidRPr="004A34E0" w:rsidRDefault="007904E8" w:rsidP="00D10D24">
            <w:pPr>
              <w:pStyle w:val="TableHeadingLeft"/>
            </w:pPr>
          </w:p>
        </w:tc>
        <w:tc>
          <w:tcPr>
            <w:tcW w:w="7842" w:type="dxa"/>
            <w:gridSpan w:val="2"/>
            <w:shd w:val="clear" w:color="auto" w:fill="004C97"/>
          </w:tcPr>
          <w:p w14:paraId="470CEC2F" w14:textId="77777777" w:rsidR="007904E8" w:rsidRPr="004A34E0" w:rsidRDefault="007904E8" w:rsidP="00D10D24">
            <w:pPr>
              <w:pStyle w:val="TableHeadingLeft"/>
              <w:cnfStyle w:val="100000000000" w:firstRow="1" w:lastRow="0" w:firstColumn="0" w:lastColumn="0" w:oddVBand="0" w:evenVBand="0" w:oddHBand="0" w:evenHBand="0" w:firstRowFirstColumn="0" w:firstRowLastColumn="0" w:lastRowFirstColumn="0" w:lastRowLastColumn="0"/>
            </w:pPr>
            <w:r w:rsidRPr="004A34E0">
              <w:t>Uncertainty in…</w:t>
            </w:r>
          </w:p>
        </w:tc>
        <w:tc>
          <w:tcPr>
            <w:tcW w:w="928" w:type="dxa"/>
            <w:shd w:val="clear" w:color="auto" w:fill="004C97"/>
          </w:tcPr>
          <w:p w14:paraId="55CD973F" w14:textId="77777777" w:rsidR="007904E8" w:rsidRPr="004A34E0" w:rsidRDefault="007904E8" w:rsidP="00D10D24">
            <w:pPr>
              <w:pStyle w:val="TableHeadingLeft"/>
              <w:cnfStyle w:val="100000000000" w:firstRow="1" w:lastRow="0" w:firstColumn="0" w:lastColumn="0" w:oddVBand="0" w:evenVBand="0" w:oddHBand="0" w:evenHBand="0" w:firstRowFirstColumn="0" w:firstRowLastColumn="0" w:lastRowFirstColumn="0" w:lastRowLastColumn="0"/>
            </w:pPr>
          </w:p>
        </w:tc>
      </w:tr>
      <w:tr w:rsidR="00D10D24" w:rsidRPr="004A34E0" w14:paraId="2BC30B2C" w14:textId="77777777" w:rsidTr="00BC7085">
        <w:tc>
          <w:tcPr>
            <w:cnfStyle w:val="001000000000" w:firstRow="0" w:lastRow="0" w:firstColumn="1" w:lastColumn="0" w:oddVBand="0" w:evenVBand="0" w:oddHBand="0" w:evenHBand="0" w:firstRowFirstColumn="0" w:firstRowLastColumn="0" w:lastRowFirstColumn="0" w:lastRowLastColumn="0"/>
            <w:tcW w:w="1350" w:type="dxa"/>
            <w:tcBorders>
              <w:top w:val="nil"/>
            </w:tcBorders>
            <w:shd w:val="clear" w:color="auto" w:fill="004C97"/>
          </w:tcPr>
          <w:p w14:paraId="132F4AB5" w14:textId="77777777" w:rsidR="007904E8" w:rsidRPr="004A34E0" w:rsidRDefault="007904E8" w:rsidP="00D10D24">
            <w:pPr>
              <w:pStyle w:val="TableHeadingLeft"/>
            </w:pPr>
          </w:p>
        </w:tc>
        <w:tc>
          <w:tcPr>
            <w:tcW w:w="3457" w:type="dxa"/>
            <w:tcBorders>
              <w:top w:val="nil"/>
            </w:tcBorders>
            <w:shd w:val="clear" w:color="auto" w:fill="004C97"/>
          </w:tcPr>
          <w:p w14:paraId="1851C604" w14:textId="77777777" w:rsidR="007904E8" w:rsidRPr="004A34E0" w:rsidRDefault="007904E8" w:rsidP="00D10D24">
            <w:pPr>
              <w:pStyle w:val="TableHeadingLeft"/>
              <w:cnfStyle w:val="000000000000" w:firstRow="0" w:lastRow="0" w:firstColumn="0" w:lastColumn="0" w:oddVBand="0" w:evenVBand="0" w:oddHBand="0" w:evenHBand="0" w:firstRowFirstColumn="0" w:firstRowLastColumn="0" w:lastRowFirstColumn="0" w:lastRowLastColumn="0"/>
            </w:pPr>
            <w:r w:rsidRPr="004A34E0">
              <w:t xml:space="preserve">Evidence </w:t>
            </w:r>
          </w:p>
        </w:tc>
        <w:tc>
          <w:tcPr>
            <w:tcW w:w="4385" w:type="dxa"/>
            <w:tcBorders>
              <w:top w:val="nil"/>
            </w:tcBorders>
            <w:shd w:val="clear" w:color="auto" w:fill="004C97"/>
          </w:tcPr>
          <w:p w14:paraId="14264D24" w14:textId="77777777" w:rsidR="007904E8" w:rsidRPr="004A34E0" w:rsidRDefault="007904E8" w:rsidP="00D10D24">
            <w:pPr>
              <w:pStyle w:val="TableHeadingLeft"/>
              <w:cnfStyle w:val="000000000000" w:firstRow="0" w:lastRow="0" w:firstColumn="0" w:lastColumn="0" w:oddVBand="0" w:evenVBand="0" w:oddHBand="0" w:evenHBand="0" w:firstRowFirstColumn="0" w:firstRowLastColumn="0" w:lastRowFirstColumn="0" w:lastRowLastColumn="0"/>
            </w:pPr>
            <w:r w:rsidRPr="004A34E0">
              <w:t>Assumptions</w:t>
            </w:r>
          </w:p>
        </w:tc>
        <w:tc>
          <w:tcPr>
            <w:tcW w:w="928" w:type="dxa"/>
            <w:tcBorders>
              <w:top w:val="nil"/>
            </w:tcBorders>
            <w:shd w:val="clear" w:color="auto" w:fill="004C97"/>
          </w:tcPr>
          <w:p w14:paraId="1C6A0EB6" w14:textId="77777777" w:rsidR="007904E8" w:rsidRPr="004A34E0" w:rsidRDefault="007904E8" w:rsidP="00D10D24">
            <w:pPr>
              <w:pStyle w:val="TableHeadingLeft"/>
              <w:cnfStyle w:val="000000000000" w:firstRow="0" w:lastRow="0" w:firstColumn="0" w:lastColumn="0" w:oddVBand="0" w:evenVBand="0" w:oddHBand="0" w:evenHBand="0" w:firstRowFirstColumn="0" w:firstRowLastColumn="0" w:lastRowFirstColumn="0" w:lastRowLastColumn="0"/>
            </w:pPr>
            <w:r w:rsidRPr="004A34E0">
              <w:t>Total</w:t>
            </w:r>
          </w:p>
        </w:tc>
      </w:tr>
      <w:tr w:rsidR="00D10D24" w:rsidRPr="004A34E0" w14:paraId="07653127" w14:textId="77777777" w:rsidTr="002573E4">
        <w:tc>
          <w:tcPr>
            <w:cnfStyle w:val="001000000000" w:firstRow="0" w:lastRow="0" w:firstColumn="1" w:lastColumn="0" w:oddVBand="0" w:evenVBand="0" w:oddHBand="0" w:evenHBand="0" w:firstRowFirstColumn="0" w:firstRowLastColumn="0" w:lastRowFirstColumn="0" w:lastRowLastColumn="0"/>
            <w:tcW w:w="1350" w:type="dxa"/>
            <w:tcBorders>
              <w:bottom w:val="single" w:sz="4" w:space="0" w:color="auto"/>
            </w:tcBorders>
          </w:tcPr>
          <w:p w14:paraId="74907385" w14:textId="77777777" w:rsidR="007904E8" w:rsidRPr="004A34E0" w:rsidRDefault="007904E8" w:rsidP="00666947">
            <w:pPr>
              <w:pStyle w:val="TableTextLeft"/>
              <w:rPr>
                <w:b/>
              </w:rPr>
            </w:pPr>
            <w:r w:rsidRPr="004A34E0">
              <w:rPr>
                <w:b/>
              </w:rPr>
              <w:t>Explanation</w:t>
            </w:r>
          </w:p>
        </w:tc>
        <w:tc>
          <w:tcPr>
            <w:tcW w:w="3457" w:type="dxa"/>
            <w:tcBorders>
              <w:bottom w:val="single" w:sz="4" w:space="0" w:color="auto"/>
            </w:tcBorders>
          </w:tcPr>
          <w:p w14:paraId="64AC9BAB"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Estimates of the extent of the 9 broad ecosystems is constructed using existing land cover data from VLCTS. The 19 VLCTS classes do not align directly with the 9 ecosystem types.</w:t>
            </w:r>
          </w:p>
          <w:p w14:paraId="4CDCCDC1" w14:textId="77777777" w:rsidR="007904E8" w:rsidRPr="004A34E0" w:rsidRDefault="007904E8" w:rsidP="000035CB">
            <w:pPr>
              <w:pStyle w:val="ListBullet"/>
              <w:numPr>
                <w:ilvl w:val="0"/>
                <w:numId w:val="23"/>
              </w:numPr>
              <w:cnfStyle w:val="000000000000" w:firstRow="0" w:lastRow="0" w:firstColumn="0" w:lastColumn="0" w:oddVBand="0" w:evenVBand="0" w:oddHBand="0" w:evenHBand="0" w:firstRowFirstColumn="0" w:firstRowLastColumn="0" w:lastRowFirstColumn="0" w:lastRowLastColumn="0"/>
            </w:pPr>
            <w:r w:rsidRPr="004A34E0">
              <w:t>The resolution of the data is 25 metres, with one VLCTS class displaying one of the 19 land cover classes.</w:t>
            </w:r>
          </w:p>
        </w:tc>
        <w:tc>
          <w:tcPr>
            <w:tcW w:w="4385" w:type="dxa"/>
            <w:tcBorders>
              <w:bottom w:val="single" w:sz="4" w:space="0" w:color="auto"/>
            </w:tcBorders>
          </w:tcPr>
          <w:p w14:paraId="4DCE4EC3"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Assumptions have been made to map the 19 VLCTS classes across to the 9 broad ecosystem types.</w:t>
            </w:r>
          </w:p>
          <w:p w14:paraId="7EB06D05"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 xml:space="preserve">Some re-classification of land / water cover classes (e.g., natural low cover and water) has been needed using other datasets (e.g., land use and estuary extent data) in order to provide a coherent / logical extent information for each of the 9 broad ecosystems, this has required some justifiable assumptions which are consistently applied and documented. </w:t>
            </w:r>
          </w:p>
        </w:tc>
        <w:tc>
          <w:tcPr>
            <w:tcW w:w="928" w:type="dxa"/>
            <w:tcBorders>
              <w:bottom w:val="single" w:sz="4" w:space="0" w:color="auto"/>
            </w:tcBorders>
          </w:tcPr>
          <w:p w14:paraId="5153656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Medium</w:t>
            </w:r>
          </w:p>
        </w:tc>
      </w:tr>
      <w:tr w:rsidR="002573E4" w:rsidRPr="004A34E0" w14:paraId="6543A34B" w14:textId="77777777" w:rsidTr="002573E4">
        <w:tc>
          <w:tcPr>
            <w:cnfStyle w:val="001000000000" w:firstRow="0" w:lastRow="0" w:firstColumn="1" w:lastColumn="0" w:oddVBand="0" w:evenVBand="0" w:oddHBand="0" w:evenHBand="0" w:firstRowFirstColumn="0" w:firstRowLastColumn="0" w:lastRowFirstColumn="0" w:lastRowLastColumn="0"/>
            <w:tcW w:w="1350" w:type="dxa"/>
            <w:shd w:val="clear" w:color="auto" w:fill="CCDBEA"/>
          </w:tcPr>
          <w:p w14:paraId="501B62C2" w14:textId="77777777" w:rsidR="007904E8" w:rsidRPr="004A34E0" w:rsidRDefault="007904E8" w:rsidP="00666947">
            <w:pPr>
              <w:pStyle w:val="TableTextLeft"/>
              <w:rPr>
                <w:b/>
              </w:rPr>
            </w:pPr>
            <w:r w:rsidRPr="004A34E0">
              <w:rPr>
                <w:b/>
              </w:rPr>
              <w:t xml:space="preserve">Rating </w:t>
            </w:r>
          </w:p>
        </w:tc>
        <w:tc>
          <w:tcPr>
            <w:tcW w:w="3457" w:type="dxa"/>
            <w:shd w:val="clear" w:color="auto" w:fill="CCDBEA"/>
          </w:tcPr>
          <w:p w14:paraId="45A8922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w:t>
            </w:r>
          </w:p>
        </w:tc>
        <w:tc>
          <w:tcPr>
            <w:tcW w:w="4385" w:type="dxa"/>
            <w:shd w:val="clear" w:color="auto" w:fill="CCDBEA"/>
          </w:tcPr>
          <w:p w14:paraId="6EFBCEA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w:t>
            </w:r>
          </w:p>
        </w:tc>
        <w:tc>
          <w:tcPr>
            <w:tcW w:w="928" w:type="dxa"/>
            <w:shd w:val="clear" w:color="auto" w:fill="CCDBEA"/>
          </w:tcPr>
          <w:p w14:paraId="4D342A3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4</w:t>
            </w:r>
          </w:p>
        </w:tc>
      </w:tr>
    </w:tbl>
    <w:p w14:paraId="6EDC59FF" w14:textId="77777777" w:rsidR="007904E8" w:rsidRPr="004A34E0" w:rsidRDefault="007904E8" w:rsidP="007904E8">
      <w:pPr>
        <w:pStyle w:val="BodyText"/>
        <w:sectPr w:rsidR="007904E8" w:rsidRPr="004A34E0" w:rsidSect="00E52A9A">
          <w:headerReference w:type="even" r:id="rId108"/>
          <w:headerReference w:type="default" r:id="rId109"/>
          <w:footerReference w:type="even" r:id="rId110"/>
          <w:footerReference w:type="default" r:id="rId111"/>
          <w:headerReference w:type="first" r:id="rId112"/>
          <w:footerReference w:type="first" r:id="rId113"/>
          <w:pgSz w:w="11906" w:h="16838" w:code="9"/>
          <w:pgMar w:top="1134" w:right="1134" w:bottom="1134" w:left="1134" w:header="283" w:footer="283" w:gutter="0"/>
          <w:cols w:space="284"/>
          <w:docGrid w:linePitch="360"/>
        </w:sectPr>
      </w:pPr>
    </w:p>
    <w:p w14:paraId="16757F1B" w14:textId="77777777" w:rsidR="007904E8" w:rsidRPr="004A34E0" w:rsidRDefault="007904E8" w:rsidP="00537CBB">
      <w:pPr>
        <w:pStyle w:val="Caption"/>
        <w:rPr>
          <w:rFonts w:eastAsia="Arial"/>
        </w:rPr>
      </w:pPr>
      <w:r w:rsidRPr="004A34E0">
        <w:rPr>
          <w:noProof/>
        </w:rPr>
        <w:lastRenderedPageBreak/>
        <mc:AlternateContent>
          <mc:Choice Requires="wps">
            <w:drawing>
              <wp:anchor distT="45720" distB="45720" distL="114300" distR="114300" simplePos="0" relativeHeight="251658307" behindDoc="0" locked="0" layoutInCell="1" allowOverlap="1" wp14:anchorId="0739ACBE" wp14:editId="3998B0B1">
                <wp:simplePos x="0" y="0"/>
                <wp:positionH relativeFrom="column">
                  <wp:posOffset>752475</wp:posOffset>
                </wp:positionH>
                <wp:positionV relativeFrom="paragraph">
                  <wp:posOffset>3723414</wp:posOffset>
                </wp:positionV>
                <wp:extent cx="1581150" cy="1404620"/>
                <wp:effectExtent l="0" t="0" r="0" b="3175"/>
                <wp:wrapNone/>
                <wp:docPr id="791" name="Text Box 7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1404620"/>
                        </a:xfrm>
                        <a:prstGeom prst="rect">
                          <a:avLst/>
                        </a:prstGeom>
                        <a:solidFill>
                          <a:schemeClr val="bg1"/>
                        </a:solidFill>
                        <a:ln w="9525">
                          <a:noFill/>
                          <a:miter lim="800000"/>
                          <a:headEnd/>
                          <a:tailEnd/>
                        </a:ln>
                      </wps:spPr>
                      <wps:txbx>
                        <w:txbxContent>
                          <w:p w14:paraId="73FF1A27" w14:textId="77777777" w:rsidR="007904E8" w:rsidRPr="00165BAD" w:rsidRDefault="007904E8" w:rsidP="007904E8">
                            <w:pPr>
                              <w:rPr>
                                <w:b/>
                                <w:bCs/>
                                <w:sz w:val="24"/>
                                <w:szCs w:val="24"/>
                              </w:rPr>
                            </w:pPr>
                            <w:r w:rsidRPr="00165BAD">
                              <w:rPr>
                                <w:b/>
                                <w:bCs/>
                                <w:sz w:val="24"/>
                                <w:szCs w:val="24"/>
                              </w:rPr>
                              <w:t>GORCAP EEA area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739ACBE" id="Text Box 791" o:spid="_x0000_s1056" type="#_x0000_t202" style="position:absolute;margin-left:59.25pt;margin-top:293.2pt;width:124.5pt;height:110.6pt;z-index:25165830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" fillcolor="white [3212]" stroked="f">
                <v:textbox style="mso-fit-shape-to-text:t">
                  <w:txbxContent>
                    <w:p w14:paraId="73FF1A27" w14:textId="77777777" w:rsidR="007904E8" w:rsidRPr="00165BAD" w:rsidRDefault="007904E8" w:rsidP="007904E8">
                      <w:pPr>
                        <w:rPr>
                          <w:b/>
                          <w:bCs/>
                          <w:sz w:val="24"/>
                          <w:szCs w:val="24"/>
                        </w:rPr>
                      </w:pPr>
                      <w:r w:rsidRPr="00165BAD">
                        <w:rPr>
                          <w:b/>
                          <w:bCs/>
                          <w:sz w:val="24"/>
                          <w:szCs w:val="24"/>
                        </w:rPr>
                        <w:t>GORCAP EEA area</w:t>
                      </w:r>
                    </w:p>
                  </w:txbxContent>
                </v:textbox>
              </v:shape>
            </w:pict>
          </mc:Fallback>
        </mc:AlternateContent>
      </w:r>
      <w:r w:rsidRPr="004A34E0">
        <w:rPr>
          <w:noProof/>
        </w:rPr>
        <w:drawing>
          <wp:anchor distT="0" distB="0" distL="114300" distR="114300" simplePos="0" relativeHeight="251658306" behindDoc="0" locked="0" layoutInCell="1" allowOverlap="1" wp14:anchorId="2A8AA08B" wp14:editId="7D8B78D6">
            <wp:simplePos x="0" y="0"/>
            <wp:positionH relativeFrom="margin">
              <wp:posOffset>-6985</wp:posOffset>
            </wp:positionH>
            <wp:positionV relativeFrom="margin">
              <wp:posOffset>283210</wp:posOffset>
            </wp:positionV>
            <wp:extent cx="14018895" cy="6883400"/>
            <wp:effectExtent l="0" t="0" r="1905" b="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114" cstate="email">
                      <a:extLst>
                        <a:ext uri="{28A0092B-C50C-407E-A947-70E740481C1C}">
                          <a14:useLocalDpi xmlns:a14="http://schemas.microsoft.com/office/drawing/2010/main"/>
                        </a:ext>
                      </a:extLst>
                    </a:blip>
                    <a:stretch>
                      <a:fillRect/>
                    </a:stretch>
                  </pic:blipFill>
                  <pic:spPr>
                    <a:xfrm>
                      <a:off x="0" y="0"/>
                      <a:ext cx="14018895" cy="6883400"/>
                    </a:xfrm>
                    <a:prstGeom prst="rect">
                      <a:avLst/>
                    </a:prstGeom>
                  </pic:spPr>
                </pic:pic>
              </a:graphicData>
            </a:graphic>
            <wp14:sizeRelH relativeFrom="page">
              <wp14:pctWidth>0</wp14:pctWidth>
            </wp14:sizeRelH>
            <wp14:sizeRelV relativeFrom="page">
              <wp14:pctHeight>0</wp14:pctHeight>
            </wp14:sizeRelV>
          </wp:anchor>
        </w:drawing>
      </w:r>
      <w:r w:rsidRPr="004A34E0">
        <w:rPr>
          <w:rFonts w:eastAsia="Arial"/>
        </w:rPr>
        <w:t>Figure 13. Broad ecosystem assets within the GORCAP EEA area in 2019 (DELWP, 2020)</w:t>
      </w:r>
    </w:p>
    <w:p w14:paraId="3499DED7" w14:textId="77777777" w:rsidR="007904E8" w:rsidRPr="004A34E0" w:rsidRDefault="007904E8" w:rsidP="007904E8">
      <w:pPr>
        <w:pStyle w:val="BodyText"/>
      </w:pPr>
    </w:p>
    <w:p w14:paraId="2F871639" w14:textId="77777777" w:rsidR="007904E8" w:rsidRPr="004A34E0" w:rsidRDefault="007904E8" w:rsidP="007904E8">
      <w:pPr>
        <w:pStyle w:val="BodyText"/>
      </w:pPr>
    </w:p>
    <w:p w14:paraId="6C6C45B2" w14:textId="77777777" w:rsidR="007904E8" w:rsidRPr="004A34E0" w:rsidRDefault="007904E8" w:rsidP="007904E8">
      <w:pPr>
        <w:pStyle w:val="BodyText"/>
        <w:sectPr w:rsidR="007904E8" w:rsidRPr="004A34E0" w:rsidSect="00E52A9A">
          <w:headerReference w:type="even" r:id="rId115"/>
          <w:headerReference w:type="default" r:id="rId116"/>
          <w:footerReference w:type="even" r:id="rId117"/>
          <w:footerReference w:type="default" r:id="rId118"/>
          <w:pgSz w:w="23811" w:h="16838" w:orient="landscape" w:code="8"/>
          <w:pgMar w:top="1134" w:right="1134" w:bottom="1134" w:left="1134" w:header="283" w:footer="283" w:gutter="0"/>
          <w:cols w:space="284"/>
          <w:docGrid w:linePitch="360"/>
        </w:sectPr>
      </w:pPr>
    </w:p>
    <w:p w14:paraId="10BAB853" w14:textId="77777777" w:rsidR="007904E8" w:rsidRPr="004A34E0" w:rsidRDefault="007904E8" w:rsidP="007904E8">
      <w:pPr>
        <w:pStyle w:val="Heading3"/>
      </w:pPr>
      <w:bookmarkStart w:id="217" w:name="_Toc98854675"/>
      <w:bookmarkStart w:id="218" w:name="_Toc163547051"/>
      <w:r w:rsidRPr="004A34E0">
        <w:lastRenderedPageBreak/>
        <w:t>Ecosystem condition</w:t>
      </w:r>
      <w:bookmarkEnd w:id="217"/>
      <w:bookmarkEnd w:id="218"/>
    </w:p>
    <w:p w14:paraId="663E08F7" w14:textId="77777777" w:rsidR="007904E8" w:rsidRPr="004A34E0" w:rsidRDefault="007904E8" w:rsidP="007904E8">
      <w:pPr>
        <w:pStyle w:val="BodyText"/>
      </w:pPr>
      <w:r w:rsidRPr="004A34E0">
        <w:t>The condition account is set out in Table 21 including a range of ecological condition metrics, socio-economic characteristics, a list of the primary ecosystem services these indicators support, the resolution of the data used, its geographic coverage, the source and year of the data as well as the metrics and estimates of the GORCAP EEA broken down by GORCAPA and non-GORCAPA regions. The uncertainty rating for the condition account is presented for each metric in Table 21 based on the robustness of evidence sources and methodological assumptions.</w:t>
      </w:r>
    </w:p>
    <w:p w14:paraId="74EACA23" w14:textId="77777777" w:rsidR="007904E8" w:rsidRPr="004A34E0" w:rsidRDefault="007904E8" w:rsidP="007904E8">
      <w:pPr>
        <w:pStyle w:val="BodyText"/>
      </w:pPr>
      <w:r w:rsidRPr="004A34E0">
        <w:t>The distribution of ecosystem condition across the GORCAP EEA is also presented as maps and tables as follows:</w:t>
      </w:r>
    </w:p>
    <w:p w14:paraId="6E599BD2" w14:textId="77777777" w:rsidR="007904E8" w:rsidRPr="004A34E0" w:rsidRDefault="007904E8" w:rsidP="007904E8">
      <w:pPr>
        <w:pStyle w:val="ListBullet"/>
      </w:pPr>
      <w:r w:rsidRPr="004A34E0">
        <w:t>Vegetation condition score in Figure 14 and by ecosystem in Table 23.</w:t>
      </w:r>
    </w:p>
    <w:p w14:paraId="7EBBB1E9" w14:textId="77777777" w:rsidR="007904E8" w:rsidRPr="004A34E0" w:rsidRDefault="007904E8" w:rsidP="007904E8">
      <w:pPr>
        <w:pStyle w:val="ListBullet"/>
      </w:pPr>
      <w:r w:rsidRPr="004A34E0">
        <w:t>Habitat importance for threatened species in Figure 15 and by ecosystem in Table 24.</w:t>
      </w:r>
    </w:p>
    <w:p w14:paraId="01A523C5" w14:textId="77777777" w:rsidR="007904E8" w:rsidRPr="004A34E0" w:rsidRDefault="007904E8" w:rsidP="007904E8">
      <w:pPr>
        <w:pStyle w:val="ListBullet"/>
      </w:pPr>
      <w:r w:rsidRPr="004A34E0">
        <w:t>Threatened fauna observations in Figure 16 and by GORCAPA versus non-GORCAPA area in Table 25.</w:t>
      </w:r>
    </w:p>
    <w:p w14:paraId="3759F43D" w14:textId="77777777" w:rsidR="007904E8" w:rsidRPr="004A34E0" w:rsidRDefault="007904E8" w:rsidP="007904E8">
      <w:pPr>
        <w:pStyle w:val="ListBullet"/>
      </w:pPr>
      <w:r w:rsidRPr="004A34E0">
        <w:t>Threatened flora observations in Figure 17 and by GORCAPA versus non-GORCAPA area in Table 26.</w:t>
      </w:r>
    </w:p>
    <w:p w14:paraId="10FBA06E" w14:textId="77777777" w:rsidR="007904E8" w:rsidRPr="004A34E0" w:rsidRDefault="007904E8" w:rsidP="007904E8">
      <w:pPr>
        <w:pStyle w:val="ListBullet"/>
      </w:pPr>
      <w:r w:rsidRPr="004A34E0">
        <w:t>Above ground biomass in Figure 18, over time from 2012 to 2017 in Figure 28 and by ecosystem in Table 27.</w:t>
      </w:r>
    </w:p>
    <w:p w14:paraId="204659DB" w14:textId="77777777" w:rsidR="007904E8" w:rsidRPr="004A34E0" w:rsidRDefault="007904E8" w:rsidP="007904E8">
      <w:pPr>
        <w:pStyle w:val="ListBullet"/>
      </w:pPr>
      <w:r w:rsidRPr="004A34E0">
        <w:t>Landslide and coastal acid sulphate soil susceptibility in Figure 19.</w:t>
      </w:r>
    </w:p>
    <w:p w14:paraId="45F1DB62" w14:textId="77777777" w:rsidR="007904E8" w:rsidRPr="004A34E0" w:rsidRDefault="007904E8" w:rsidP="007904E8">
      <w:pPr>
        <w:pStyle w:val="ListBullet"/>
      </w:pPr>
      <w:r w:rsidRPr="004A34E0">
        <w:t>Stream condition in Figure 20, and in Table 28.</w:t>
      </w:r>
    </w:p>
    <w:p w14:paraId="6A7A1A9C" w14:textId="77777777" w:rsidR="007904E8" w:rsidRPr="004A34E0" w:rsidRDefault="007904E8" w:rsidP="007904E8">
      <w:pPr>
        <w:pStyle w:val="ListBullet"/>
      </w:pPr>
      <w:r w:rsidRPr="004A34E0">
        <w:t>Estuary catchment area in Figure 21 and estuary specific information on catchment area, percentage of estuary catchment that is farmland and urban and estuary condition in Table 29.</w:t>
      </w:r>
    </w:p>
    <w:p w14:paraId="695BD4F8" w14:textId="77777777" w:rsidR="007904E8" w:rsidRPr="004A34E0" w:rsidRDefault="007904E8" w:rsidP="007904E8">
      <w:pPr>
        <w:pStyle w:val="ListBullet"/>
      </w:pPr>
      <w:r w:rsidRPr="004A34E0">
        <w:t>Site carbon stock in Figure 22.</w:t>
      </w:r>
    </w:p>
    <w:p w14:paraId="0306296E" w14:textId="77777777" w:rsidR="007904E8" w:rsidRPr="004A34E0" w:rsidRDefault="007904E8" w:rsidP="007904E8">
      <w:pPr>
        <w:pStyle w:val="ListBullet"/>
      </w:pPr>
      <w:r w:rsidRPr="004A34E0">
        <w:t>Visibility from Great Ocean Road in Figure 23.</w:t>
      </w:r>
    </w:p>
    <w:p w14:paraId="1E7013B1" w14:textId="77777777" w:rsidR="007904E8" w:rsidRPr="004A34E0" w:rsidRDefault="007904E8" w:rsidP="007904E8">
      <w:pPr>
        <w:pStyle w:val="ListBullet"/>
      </w:pPr>
      <w:r w:rsidRPr="004A34E0">
        <w:t>Light pollution in Figure 24.</w:t>
      </w:r>
    </w:p>
    <w:p w14:paraId="4CB01FA8" w14:textId="77777777" w:rsidR="007904E8" w:rsidRPr="004A34E0" w:rsidRDefault="007904E8" w:rsidP="007904E8">
      <w:pPr>
        <w:pStyle w:val="ListBullet"/>
      </w:pPr>
      <w:r w:rsidRPr="004A34E0">
        <w:t>Non-Indigenous historic cultural heritage in Figure 25.</w:t>
      </w:r>
    </w:p>
    <w:p w14:paraId="1BBB3CE9" w14:textId="77777777" w:rsidR="007904E8" w:rsidRPr="004A34E0" w:rsidRDefault="007904E8" w:rsidP="007904E8">
      <w:pPr>
        <w:pStyle w:val="ListBullet"/>
      </w:pPr>
      <w:r w:rsidRPr="004A34E0">
        <w:t>Conservation protection in Figure 26.</w:t>
      </w:r>
    </w:p>
    <w:p w14:paraId="791C780E" w14:textId="77777777" w:rsidR="007904E8" w:rsidRPr="004A34E0" w:rsidRDefault="007904E8" w:rsidP="007904E8">
      <w:pPr>
        <w:pStyle w:val="ListBullet"/>
      </w:pPr>
      <w:r w:rsidRPr="004A34E0">
        <w:t>Built assets in Figure 27.</w:t>
      </w:r>
    </w:p>
    <w:p w14:paraId="409ED0CD" w14:textId="77777777" w:rsidR="00537CBB" w:rsidRDefault="00537CBB" w:rsidP="007904E8">
      <w:pPr>
        <w:pStyle w:val="BodyText12ptBefore"/>
        <w:sectPr w:rsidR="00537CBB" w:rsidSect="00E52A9A">
          <w:headerReference w:type="even" r:id="rId119"/>
          <w:headerReference w:type="default" r:id="rId120"/>
          <w:footerReference w:type="even" r:id="rId121"/>
          <w:footerReference w:type="default" r:id="rId122"/>
          <w:pgSz w:w="11906" w:h="16838" w:code="9"/>
          <w:pgMar w:top="1134" w:right="1134" w:bottom="1134" w:left="1134" w:header="283" w:footer="283" w:gutter="0"/>
          <w:cols w:space="284"/>
          <w:docGrid w:linePitch="360"/>
        </w:sectPr>
      </w:pPr>
    </w:p>
    <w:p w14:paraId="7EBDF8BE" w14:textId="77777777" w:rsidR="00537CBB" w:rsidRDefault="00537CBB" w:rsidP="00537CBB">
      <w:pPr>
        <w:pStyle w:val="Caption"/>
      </w:pPr>
      <w:r w:rsidRPr="004A34E0">
        <w:lastRenderedPageBreak/>
        <w:t>Table 21. Headline condition account for GORCAP EEA</w:t>
      </w:r>
    </w:p>
    <w:tbl>
      <w:tblPr>
        <w:tblStyle w:val="TableGrid"/>
        <w:tblW w:w="0" w:type="auto"/>
        <w:tblLook w:val="04A0" w:firstRow="1" w:lastRow="0" w:firstColumn="1" w:lastColumn="0" w:noHBand="0" w:noVBand="1"/>
      </w:tblPr>
      <w:tblGrid>
        <w:gridCol w:w="485"/>
        <w:gridCol w:w="2761"/>
        <w:gridCol w:w="2052"/>
        <w:gridCol w:w="3632"/>
        <w:gridCol w:w="1260"/>
        <w:gridCol w:w="2252"/>
        <w:gridCol w:w="727"/>
        <w:gridCol w:w="2252"/>
        <w:gridCol w:w="1577"/>
        <w:gridCol w:w="1249"/>
        <w:gridCol w:w="1969"/>
        <w:gridCol w:w="1327"/>
      </w:tblGrid>
      <w:tr w:rsidR="003D4383" w:rsidRPr="004A34E0" w14:paraId="1AEB6B31" w14:textId="77777777" w:rsidTr="000C1F21">
        <w:trPr>
          <w:cnfStyle w:val="100000000000" w:firstRow="1" w:lastRow="0" w:firstColumn="0" w:lastColumn="0" w:oddVBand="0" w:evenVBand="0" w:oddHBand="0"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0" w:type="auto"/>
            <w:gridSpan w:val="2"/>
            <w:vMerge w:val="restart"/>
          </w:tcPr>
          <w:p w14:paraId="2FD71DB4" w14:textId="77777777" w:rsidR="00B96836" w:rsidRPr="004A34E0" w:rsidRDefault="00B96836" w:rsidP="00666947">
            <w:pPr>
              <w:pStyle w:val="TableHeadingLeft"/>
            </w:pPr>
            <w:r w:rsidRPr="004A34E0">
              <w:t xml:space="preserve">Condition category / Indicator </w:t>
            </w:r>
          </w:p>
        </w:tc>
        <w:tc>
          <w:tcPr>
            <w:tcW w:w="0" w:type="auto"/>
            <w:vMerge w:val="restart"/>
          </w:tcPr>
          <w:p w14:paraId="6A9B5A21" w14:textId="77777777" w:rsidR="00B96836" w:rsidRPr="004A34E0" w:rsidRDefault="00B96836" w:rsidP="00666947">
            <w:pPr>
              <w:pStyle w:val="TableHeadingLeft"/>
              <w:cnfStyle w:val="100000000000" w:firstRow="1" w:lastRow="0" w:firstColumn="0" w:lastColumn="0" w:oddVBand="0" w:evenVBand="0" w:oddHBand="0" w:evenHBand="0" w:firstRowFirstColumn="0" w:firstRowLastColumn="0" w:lastRowFirstColumn="0" w:lastRowLastColumn="0"/>
            </w:pPr>
            <w:r w:rsidRPr="004A34E0">
              <w:t xml:space="preserve">Ecosystem </w:t>
            </w:r>
          </w:p>
        </w:tc>
        <w:tc>
          <w:tcPr>
            <w:tcW w:w="0" w:type="auto"/>
            <w:vMerge w:val="restart"/>
          </w:tcPr>
          <w:p w14:paraId="64DD98BA" w14:textId="77777777" w:rsidR="00B96836" w:rsidRPr="004A34E0" w:rsidRDefault="00B96836" w:rsidP="00666947">
            <w:pPr>
              <w:pStyle w:val="TableHeadingLeft"/>
              <w:cnfStyle w:val="100000000000" w:firstRow="1" w:lastRow="0" w:firstColumn="0" w:lastColumn="0" w:oddVBand="0" w:evenVBand="0" w:oddHBand="0" w:evenHBand="0" w:firstRowFirstColumn="0" w:firstRowLastColumn="0" w:lastRowFirstColumn="0" w:lastRowLastColumn="0"/>
            </w:pPr>
            <w:r w:rsidRPr="004A34E0">
              <w:t>Primary ecosystem service being supported</w:t>
            </w:r>
          </w:p>
        </w:tc>
        <w:tc>
          <w:tcPr>
            <w:tcW w:w="0" w:type="auto"/>
            <w:vMerge w:val="restart"/>
          </w:tcPr>
          <w:p w14:paraId="2438F143" w14:textId="77777777" w:rsidR="00B96836" w:rsidRPr="004A34E0" w:rsidRDefault="00B96836" w:rsidP="00666947">
            <w:pPr>
              <w:pStyle w:val="TableHeadingLeft"/>
              <w:cnfStyle w:val="100000000000" w:firstRow="1" w:lastRow="0" w:firstColumn="0" w:lastColumn="0" w:oddVBand="0" w:evenVBand="0" w:oddHBand="0" w:evenHBand="0" w:firstRowFirstColumn="0" w:firstRowLastColumn="0" w:lastRowFirstColumn="0" w:lastRowLastColumn="0"/>
            </w:pPr>
            <w:r w:rsidRPr="004A34E0">
              <w:t>Resolution</w:t>
            </w:r>
          </w:p>
        </w:tc>
        <w:tc>
          <w:tcPr>
            <w:tcW w:w="0" w:type="auto"/>
            <w:vMerge w:val="restart"/>
          </w:tcPr>
          <w:p w14:paraId="378C5B13" w14:textId="77777777" w:rsidR="00B96836" w:rsidRPr="004A34E0" w:rsidRDefault="00B96836" w:rsidP="00666947">
            <w:pPr>
              <w:pStyle w:val="TableHeadingLeft"/>
              <w:cnfStyle w:val="100000000000" w:firstRow="1" w:lastRow="0" w:firstColumn="0" w:lastColumn="0" w:oddVBand="0" w:evenVBand="0" w:oddHBand="0" w:evenHBand="0" w:firstRowFirstColumn="0" w:firstRowLastColumn="0" w:lastRowFirstColumn="0" w:lastRowLastColumn="0"/>
            </w:pPr>
            <w:r w:rsidRPr="004A34E0">
              <w:t>Source</w:t>
            </w:r>
          </w:p>
        </w:tc>
        <w:tc>
          <w:tcPr>
            <w:tcW w:w="0" w:type="auto"/>
            <w:vMerge w:val="restart"/>
          </w:tcPr>
          <w:p w14:paraId="1E8EC989" w14:textId="77777777" w:rsidR="00B96836" w:rsidRPr="004A34E0" w:rsidRDefault="00B96836" w:rsidP="00666947">
            <w:pPr>
              <w:pStyle w:val="TableHeadingLeft"/>
              <w:cnfStyle w:val="100000000000" w:firstRow="1" w:lastRow="0" w:firstColumn="0" w:lastColumn="0" w:oddVBand="0" w:evenVBand="0" w:oddHBand="0" w:evenHBand="0" w:firstRowFirstColumn="0" w:firstRowLastColumn="0" w:lastRowFirstColumn="0" w:lastRowLastColumn="0"/>
            </w:pPr>
            <w:r w:rsidRPr="004A34E0">
              <w:t>Year</w:t>
            </w:r>
          </w:p>
        </w:tc>
        <w:tc>
          <w:tcPr>
            <w:tcW w:w="0" w:type="auto"/>
            <w:vMerge w:val="restart"/>
          </w:tcPr>
          <w:p w14:paraId="66D65A3E" w14:textId="77777777" w:rsidR="00B96836" w:rsidRPr="004A34E0" w:rsidRDefault="00B96836" w:rsidP="00666947">
            <w:pPr>
              <w:pStyle w:val="TableHeadingLeft"/>
              <w:cnfStyle w:val="100000000000" w:firstRow="1" w:lastRow="0" w:firstColumn="0" w:lastColumn="0" w:oddVBand="0" w:evenVBand="0" w:oddHBand="0" w:evenHBand="0" w:firstRowFirstColumn="0" w:firstRowLastColumn="0" w:lastRowFirstColumn="0" w:lastRowLastColumn="0"/>
            </w:pPr>
            <w:r w:rsidRPr="004A34E0">
              <w:t>Metric</w:t>
            </w:r>
          </w:p>
        </w:tc>
        <w:tc>
          <w:tcPr>
            <w:tcW w:w="0" w:type="auto"/>
            <w:gridSpan w:val="3"/>
            <w:tcBorders>
              <w:bottom w:val="single" w:sz="4" w:space="0" w:color="FFFFFF" w:themeColor="background1"/>
            </w:tcBorders>
          </w:tcPr>
          <w:p w14:paraId="4850F5AF" w14:textId="77777777" w:rsidR="00B96836" w:rsidRPr="004A34E0" w:rsidRDefault="00B96836" w:rsidP="00666947">
            <w:pPr>
              <w:pStyle w:val="TableHeadingLeft"/>
              <w:cnfStyle w:val="100000000000" w:firstRow="1" w:lastRow="0" w:firstColumn="0" w:lastColumn="0" w:oddVBand="0" w:evenVBand="0" w:oddHBand="0" w:evenHBand="0" w:firstRowFirstColumn="0" w:firstRowLastColumn="0" w:lastRowFirstColumn="0" w:lastRowLastColumn="0"/>
            </w:pPr>
            <w:r w:rsidRPr="004A34E0">
              <w:t>Condition Score</w:t>
            </w:r>
          </w:p>
        </w:tc>
        <w:tc>
          <w:tcPr>
            <w:tcW w:w="0" w:type="auto"/>
            <w:vMerge w:val="restart"/>
          </w:tcPr>
          <w:p w14:paraId="64EE0966" w14:textId="77777777" w:rsidR="00B96836" w:rsidRPr="004A34E0" w:rsidRDefault="00B96836" w:rsidP="00666947">
            <w:pPr>
              <w:pStyle w:val="TableHeadingLeft"/>
              <w:cnfStyle w:val="100000000000" w:firstRow="1" w:lastRow="0" w:firstColumn="0" w:lastColumn="0" w:oddVBand="0" w:evenVBand="0" w:oddHBand="0" w:evenHBand="0" w:firstRowFirstColumn="0" w:firstRowLastColumn="0" w:lastRowFirstColumn="0" w:lastRowLastColumn="0"/>
            </w:pPr>
            <w:r w:rsidRPr="004A34E0">
              <w:t>Uncertainty</w:t>
            </w:r>
          </w:p>
        </w:tc>
      </w:tr>
      <w:tr w:rsidR="00B96836" w:rsidRPr="004A34E0" w14:paraId="15D60235" w14:textId="77777777" w:rsidTr="000C1F21">
        <w:trPr>
          <w:trHeight w:val="118"/>
        </w:trPr>
        <w:tc>
          <w:tcPr>
            <w:cnfStyle w:val="001000000000" w:firstRow="0" w:lastRow="0" w:firstColumn="1" w:lastColumn="0" w:oddVBand="0" w:evenVBand="0" w:oddHBand="0" w:evenHBand="0" w:firstRowFirstColumn="0" w:firstRowLastColumn="0" w:lastRowFirstColumn="0" w:lastRowLastColumn="0"/>
            <w:tcW w:w="0" w:type="auto"/>
            <w:gridSpan w:val="2"/>
            <w:vMerge/>
          </w:tcPr>
          <w:p w14:paraId="547C082C" w14:textId="77777777" w:rsidR="00B96836" w:rsidRPr="004A34E0" w:rsidRDefault="00B96836" w:rsidP="00666947">
            <w:pPr>
              <w:pStyle w:val="TableHeadingLeft"/>
            </w:pPr>
          </w:p>
        </w:tc>
        <w:tc>
          <w:tcPr>
            <w:tcW w:w="0" w:type="auto"/>
            <w:vMerge/>
          </w:tcPr>
          <w:p w14:paraId="355263DD" w14:textId="77777777" w:rsidR="00B96836" w:rsidRPr="004A34E0" w:rsidRDefault="00B96836" w:rsidP="00666947">
            <w:pPr>
              <w:pStyle w:val="TableHeadingLeft"/>
              <w:cnfStyle w:val="000000000000" w:firstRow="0" w:lastRow="0" w:firstColumn="0" w:lastColumn="0" w:oddVBand="0" w:evenVBand="0" w:oddHBand="0" w:evenHBand="0" w:firstRowFirstColumn="0" w:firstRowLastColumn="0" w:lastRowFirstColumn="0" w:lastRowLastColumn="0"/>
            </w:pPr>
          </w:p>
        </w:tc>
        <w:tc>
          <w:tcPr>
            <w:tcW w:w="0" w:type="auto"/>
            <w:vMerge/>
          </w:tcPr>
          <w:p w14:paraId="34CDF3FF" w14:textId="77777777" w:rsidR="00B96836" w:rsidRPr="004A34E0" w:rsidRDefault="00B96836" w:rsidP="00666947">
            <w:pPr>
              <w:pStyle w:val="TableHeadingLeft"/>
              <w:cnfStyle w:val="000000000000" w:firstRow="0" w:lastRow="0" w:firstColumn="0" w:lastColumn="0" w:oddVBand="0" w:evenVBand="0" w:oddHBand="0" w:evenHBand="0" w:firstRowFirstColumn="0" w:firstRowLastColumn="0" w:lastRowFirstColumn="0" w:lastRowLastColumn="0"/>
            </w:pPr>
          </w:p>
        </w:tc>
        <w:tc>
          <w:tcPr>
            <w:tcW w:w="0" w:type="auto"/>
            <w:vMerge/>
          </w:tcPr>
          <w:p w14:paraId="5C1647E4" w14:textId="77777777" w:rsidR="00B96836" w:rsidRPr="004A34E0" w:rsidRDefault="00B96836" w:rsidP="00666947">
            <w:pPr>
              <w:pStyle w:val="TableHeadingLeft"/>
              <w:cnfStyle w:val="000000000000" w:firstRow="0" w:lastRow="0" w:firstColumn="0" w:lastColumn="0" w:oddVBand="0" w:evenVBand="0" w:oddHBand="0" w:evenHBand="0" w:firstRowFirstColumn="0" w:firstRowLastColumn="0" w:lastRowFirstColumn="0" w:lastRowLastColumn="0"/>
            </w:pPr>
          </w:p>
        </w:tc>
        <w:tc>
          <w:tcPr>
            <w:tcW w:w="0" w:type="auto"/>
            <w:vMerge/>
          </w:tcPr>
          <w:p w14:paraId="5DD0CFE4" w14:textId="77777777" w:rsidR="00B96836" w:rsidRPr="004A34E0" w:rsidRDefault="00B96836" w:rsidP="00666947">
            <w:pPr>
              <w:pStyle w:val="TableHeadingLeft"/>
              <w:cnfStyle w:val="000000000000" w:firstRow="0" w:lastRow="0" w:firstColumn="0" w:lastColumn="0" w:oddVBand="0" w:evenVBand="0" w:oddHBand="0" w:evenHBand="0" w:firstRowFirstColumn="0" w:firstRowLastColumn="0" w:lastRowFirstColumn="0" w:lastRowLastColumn="0"/>
            </w:pPr>
          </w:p>
        </w:tc>
        <w:tc>
          <w:tcPr>
            <w:tcW w:w="0" w:type="auto"/>
            <w:vMerge/>
          </w:tcPr>
          <w:p w14:paraId="2EC44468" w14:textId="77777777" w:rsidR="00B96836" w:rsidRPr="004A34E0" w:rsidRDefault="00B96836" w:rsidP="00666947">
            <w:pPr>
              <w:pStyle w:val="TableHeadingLeft"/>
              <w:cnfStyle w:val="000000000000" w:firstRow="0" w:lastRow="0" w:firstColumn="0" w:lastColumn="0" w:oddVBand="0" w:evenVBand="0" w:oddHBand="0" w:evenHBand="0" w:firstRowFirstColumn="0" w:firstRowLastColumn="0" w:lastRowFirstColumn="0" w:lastRowLastColumn="0"/>
            </w:pPr>
          </w:p>
        </w:tc>
        <w:tc>
          <w:tcPr>
            <w:tcW w:w="0" w:type="auto"/>
            <w:vMerge/>
          </w:tcPr>
          <w:p w14:paraId="3A8116CF" w14:textId="77777777" w:rsidR="00B96836" w:rsidRPr="004A34E0" w:rsidRDefault="00B96836" w:rsidP="00666947">
            <w:pPr>
              <w:pStyle w:val="TableHeadingLeft"/>
              <w:cnfStyle w:val="000000000000" w:firstRow="0" w:lastRow="0" w:firstColumn="0" w:lastColumn="0" w:oddVBand="0" w:evenVBand="0" w:oddHBand="0" w:evenHBand="0" w:firstRowFirstColumn="0" w:firstRowLastColumn="0" w:lastRowFirstColumn="0" w:lastRowLastColumn="0"/>
            </w:pPr>
          </w:p>
        </w:tc>
        <w:tc>
          <w:tcPr>
            <w:tcW w:w="0" w:type="auto"/>
            <w:tcBorders>
              <w:top w:val="single" w:sz="4" w:space="0" w:color="FFFFFF" w:themeColor="background1"/>
            </w:tcBorders>
            <w:shd w:val="clear" w:color="auto" w:fill="004C97" w:themeFill="accent1"/>
          </w:tcPr>
          <w:p w14:paraId="0554D28D" w14:textId="77777777" w:rsidR="00B96836" w:rsidRPr="00537CBB" w:rsidRDefault="00B96836" w:rsidP="00666947">
            <w:pPr>
              <w:pStyle w:val="TableHeadingLeft"/>
              <w:cnfStyle w:val="000000000000" w:firstRow="0" w:lastRow="0" w:firstColumn="0" w:lastColumn="0" w:oddVBand="0" w:evenVBand="0" w:oddHBand="0" w:evenHBand="0" w:firstRowFirstColumn="0" w:firstRowLastColumn="0" w:lastRowFirstColumn="0" w:lastRowLastColumn="0"/>
              <w:rPr>
                <w:color w:val="FFFFFF" w:themeColor="background1"/>
              </w:rPr>
            </w:pPr>
            <w:r w:rsidRPr="00537CBB">
              <w:rPr>
                <w:color w:val="FFFFFF" w:themeColor="background1"/>
              </w:rPr>
              <w:t>Non-GORCAPA</w:t>
            </w:r>
          </w:p>
        </w:tc>
        <w:tc>
          <w:tcPr>
            <w:tcW w:w="0" w:type="auto"/>
            <w:tcBorders>
              <w:top w:val="single" w:sz="4" w:space="0" w:color="FFFFFF" w:themeColor="background1"/>
            </w:tcBorders>
            <w:shd w:val="clear" w:color="auto" w:fill="004C97" w:themeFill="accent1"/>
          </w:tcPr>
          <w:p w14:paraId="221E2C6A" w14:textId="77777777" w:rsidR="00B96836" w:rsidRPr="00537CBB" w:rsidRDefault="00B96836" w:rsidP="00666947">
            <w:pPr>
              <w:pStyle w:val="TableHeadingLeft"/>
              <w:cnfStyle w:val="000000000000" w:firstRow="0" w:lastRow="0" w:firstColumn="0" w:lastColumn="0" w:oddVBand="0" w:evenVBand="0" w:oddHBand="0" w:evenHBand="0" w:firstRowFirstColumn="0" w:firstRowLastColumn="0" w:lastRowFirstColumn="0" w:lastRowLastColumn="0"/>
              <w:rPr>
                <w:color w:val="FFFFFF" w:themeColor="background1"/>
              </w:rPr>
            </w:pPr>
            <w:r w:rsidRPr="00537CBB">
              <w:rPr>
                <w:color w:val="FFFFFF" w:themeColor="background1"/>
              </w:rPr>
              <w:t>GORCAPA</w:t>
            </w:r>
          </w:p>
        </w:tc>
        <w:tc>
          <w:tcPr>
            <w:tcW w:w="0" w:type="auto"/>
            <w:tcBorders>
              <w:top w:val="single" w:sz="4" w:space="0" w:color="FFFFFF" w:themeColor="background1"/>
            </w:tcBorders>
            <w:shd w:val="clear" w:color="auto" w:fill="004C97" w:themeFill="accent1"/>
          </w:tcPr>
          <w:p w14:paraId="7A9A9308" w14:textId="77777777" w:rsidR="00B96836" w:rsidRPr="00537CBB" w:rsidRDefault="00B96836" w:rsidP="00666947">
            <w:pPr>
              <w:pStyle w:val="TableHeadingLeft"/>
              <w:cnfStyle w:val="000000000000" w:firstRow="0" w:lastRow="0" w:firstColumn="0" w:lastColumn="0" w:oddVBand="0" w:evenVBand="0" w:oddHBand="0" w:evenHBand="0" w:firstRowFirstColumn="0" w:firstRowLastColumn="0" w:lastRowFirstColumn="0" w:lastRowLastColumn="0"/>
              <w:rPr>
                <w:color w:val="FFFFFF" w:themeColor="background1"/>
              </w:rPr>
            </w:pPr>
            <w:r w:rsidRPr="00537CBB">
              <w:rPr>
                <w:color w:val="FFFFFF" w:themeColor="background1"/>
              </w:rPr>
              <w:t>Total GORCAPA EEA</w:t>
            </w:r>
          </w:p>
        </w:tc>
        <w:tc>
          <w:tcPr>
            <w:tcW w:w="0" w:type="auto"/>
            <w:vMerge/>
          </w:tcPr>
          <w:p w14:paraId="17078069" w14:textId="77777777" w:rsidR="00B96836" w:rsidRPr="004A34E0" w:rsidRDefault="00B96836" w:rsidP="00666947">
            <w:pPr>
              <w:pStyle w:val="TableHeadingLeft"/>
              <w:cnfStyle w:val="000000000000" w:firstRow="0" w:lastRow="0" w:firstColumn="0" w:lastColumn="0" w:oddVBand="0" w:evenVBand="0" w:oddHBand="0" w:evenHBand="0" w:firstRowFirstColumn="0" w:firstRowLastColumn="0" w:lastRowFirstColumn="0" w:lastRowLastColumn="0"/>
            </w:pPr>
          </w:p>
        </w:tc>
      </w:tr>
      <w:tr w:rsidR="00B96836" w:rsidRPr="004A34E0" w14:paraId="0C89D3FF" w14:textId="77777777" w:rsidTr="00666947">
        <w:trPr>
          <w:trHeight w:val="118"/>
        </w:trPr>
        <w:tc>
          <w:tcPr>
            <w:cnfStyle w:val="001000000000" w:firstRow="0" w:lastRow="0" w:firstColumn="1" w:lastColumn="0" w:oddVBand="0" w:evenVBand="0" w:oddHBand="0" w:evenHBand="0" w:firstRowFirstColumn="0" w:firstRowLastColumn="0" w:lastRowFirstColumn="0" w:lastRowLastColumn="0"/>
            <w:tcW w:w="0" w:type="auto"/>
            <w:gridSpan w:val="11"/>
            <w:shd w:val="clear" w:color="auto" w:fill="201547" w:themeFill="text2"/>
          </w:tcPr>
          <w:p w14:paraId="4E1F585C" w14:textId="77777777" w:rsidR="00B96836" w:rsidRPr="004A34E0" w:rsidRDefault="00B96836" w:rsidP="000C1F21">
            <w:pPr>
              <w:pStyle w:val="TableTextLeftBold"/>
            </w:pPr>
            <w:r w:rsidRPr="004A34E0">
              <w:t>Ecological condition - Biodiversity</w:t>
            </w:r>
          </w:p>
        </w:tc>
        <w:tc>
          <w:tcPr>
            <w:tcW w:w="0" w:type="auto"/>
            <w:shd w:val="clear" w:color="auto" w:fill="201547" w:themeFill="text2"/>
          </w:tcPr>
          <w:p w14:paraId="238DA89A" w14:textId="77777777" w:rsidR="00B96836" w:rsidRPr="004A34E0" w:rsidRDefault="00B96836" w:rsidP="00666947">
            <w:pPr>
              <w:pStyle w:val="TableHeadingLeft"/>
              <w:cnfStyle w:val="000000000000" w:firstRow="0" w:lastRow="0" w:firstColumn="0" w:lastColumn="0" w:oddVBand="0" w:evenVBand="0" w:oddHBand="0" w:evenHBand="0" w:firstRowFirstColumn="0" w:firstRowLastColumn="0" w:lastRowFirstColumn="0" w:lastRowLastColumn="0"/>
              <w:rPr>
                <w:i/>
              </w:rPr>
            </w:pPr>
          </w:p>
        </w:tc>
      </w:tr>
      <w:tr w:rsidR="00B96836" w:rsidRPr="004A34E0" w14:paraId="784089F7" w14:textId="77777777" w:rsidTr="00666947">
        <w:trPr>
          <w:trHeight w:val="118"/>
        </w:trPr>
        <w:tc>
          <w:tcPr>
            <w:cnfStyle w:val="001000000000" w:firstRow="0" w:lastRow="0" w:firstColumn="1" w:lastColumn="0" w:oddVBand="0" w:evenVBand="0" w:oddHBand="0" w:evenHBand="0" w:firstRowFirstColumn="0" w:firstRowLastColumn="0" w:lastRowFirstColumn="0" w:lastRowLastColumn="0"/>
            <w:tcW w:w="0" w:type="auto"/>
            <w:gridSpan w:val="2"/>
          </w:tcPr>
          <w:p w14:paraId="1E968C05" w14:textId="77777777" w:rsidR="00B96836" w:rsidRPr="004A34E0" w:rsidRDefault="00B96836" w:rsidP="00666947">
            <w:pPr>
              <w:pStyle w:val="TableTextLeft"/>
            </w:pPr>
            <w:r w:rsidRPr="004A34E0">
              <w:t>Native vegetation condition</w:t>
            </w:r>
          </w:p>
        </w:tc>
        <w:tc>
          <w:tcPr>
            <w:tcW w:w="0" w:type="auto"/>
          </w:tcPr>
          <w:p w14:paraId="10866001"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Terrestrial</w:t>
            </w:r>
          </w:p>
        </w:tc>
        <w:tc>
          <w:tcPr>
            <w:tcW w:w="0" w:type="auto"/>
          </w:tcPr>
          <w:p w14:paraId="0E1DC515"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Existence / option value</w:t>
            </w:r>
          </w:p>
        </w:tc>
        <w:tc>
          <w:tcPr>
            <w:tcW w:w="0" w:type="auto"/>
          </w:tcPr>
          <w:p w14:paraId="271E6B61"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75m grid</w:t>
            </w:r>
          </w:p>
        </w:tc>
        <w:tc>
          <w:tcPr>
            <w:tcW w:w="0" w:type="auto"/>
          </w:tcPr>
          <w:p w14:paraId="550A3D48"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DELWP (2017)</w:t>
            </w:r>
          </w:p>
        </w:tc>
        <w:tc>
          <w:tcPr>
            <w:tcW w:w="0" w:type="auto"/>
          </w:tcPr>
          <w:p w14:paraId="04DDD338"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2017</w:t>
            </w:r>
          </w:p>
        </w:tc>
        <w:tc>
          <w:tcPr>
            <w:tcW w:w="0" w:type="auto"/>
          </w:tcPr>
          <w:p w14:paraId="4CFCB993"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Score 1 -100</w:t>
            </w:r>
          </w:p>
        </w:tc>
        <w:tc>
          <w:tcPr>
            <w:tcW w:w="0" w:type="auto"/>
          </w:tcPr>
          <w:p w14:paraId="16681904"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29</w:t>
            </w:r>
          </w:p>
        </w:tc>
        <w:tc>
          <w:tcPr>
            <w:tcW w:w="0" w:type="auto"/>
          </w:tcPr>
          <w:p w14:paraId="32947569"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73</w:t>
            </w:r>
          </w:p>
        </w:tc>
        <w:tc>
          <w:tcPr>
            <w:tcW w:w="0" w:type="auto"/>
          </w:tcPr>
          <w:p w14:paraId="04691783"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45</w:t>
            </w:r>
          </w:p>
        </w:tc>
        <w:tc>
          <w:tcPr>
            <w:tcW w:w="0" w:type="auto"/>
          </w:tcPr>
          <w:p w14:paraId="4EB7B250"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Medium</w:t>
            </w:r>
          </w:p>
        </w:tc>
      </w:tr>
      <w:tr w:rsidR="00B96836" w:rsidRPr="004A34E0" w14:paraId="3674E5D4" w14:textId="77777777" w:rsidTr="00666947">
        <w:trPr>
          <w:trHeight w:val="159"/>
        </w:trPr>
        <w:tc>
          <w:tcPr>
            <w:cnfStyle w:val="001000000000" w:firstRow="0" w:lastRow="0" w:firstColumn="1" w:lastColumn="0" w:oddVBand="0" w:evenVBand="0" w:oddHBand="0" w:evenHBand="0" w:firstRowFirstColumn="0" w:firstRowLastColumn="0" w:lastRowFirstColumn="0" w:lastRowLastColumn="0"/>
            <w:tcW w:w="0" w:type="auto"/>
            <w:gridSpan w:val="2"/>
          </w:tcPr>
          <w:p w14:paraId="5EF9BFF1" w14:textId="77777777" w:rsidR="00B96836" w:rsidRPr="004A34E0" w:rsidRDefault="00B96836" w:rsidP="00666947">
            <w:pPr>
              <w:pStyle w:val="TableTextLeft"/>
            </w:pPr>
            <w:r w:rsidRPr="004A34E0">
              <w:t>Habitat importance-threatened species</w:t>
            </w:r>
          </w:p>
        </w:tc>
        <w:tc>
          <w:tcPr>
            <w:tcW w:w="0" w:type="auto"/>
          </w:tcPr>
          <w:p w14:paraId="2E455A17"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Terrestrial</w:t>
            </w:r>
          </w:p>
        </w:tc>
        <w:tc>
          <w:tcPr>
            <w:tcW w:w="0" w:type="auto"/>
          </w:tcPr>
          <w:p w14:paraId="359E0085"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Existence / option value</w:t>
            </w:r>
          </w:p>
        </w:tc>
        <w:tc>
          <w:tcPr>
            <w:tcW w:w="0" w:type="auto"/>
          </w:tcPr>
          <w:p w14:paraId="0986B1D5"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225m grid</w:t>
            </w:r>
          </w:p>
        </w:tc>
        <w:tc>
          <w:tcPr>
            <w:tcW w:w="0" w:type="auto"/>
          </w:tcPr>
          <w:p w14:paraId="0F60DEBF"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DELWP (2016c)</w:t>
            </w:r>
          </w:p>
        </w:tc>
        <w:tc>
          <w:tcPr>
            <w:tcW w:w="0" w:type="auto"/>
          </w:tcPr>
          <w:p w14:paraId="124DF8DE"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2016</w:t>
            </w:r>
          </w:p>
        </w:tc>
        <w:tc>
          <w:tcPr>
            <w:tcW w:w="0" w:type="auto"/>
          </w:tcPr>
          <w:p w14:paraId="545107F5"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Score 1-100</w:t>
            </w:r>
          </w:p>
        </w:tc>
        <w:tc>
          <w:tcPr>
            <w:tcW w:w="0" w:type="auto"/>
          </w:tcPr>
          <w:p w14:paraId="43AB1B65"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54</w:t>
            </w:r>
          </w:p>
        </w:tc>
        <w:tc>
          <w:tcPr>
            <w:tcW w:w="0" w:type="auto"/>
          </w:tcPr>
          <w:p w14:paraId="1646BFEB"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77</w:t>
            </w:r>
          </w:p>
        </w:tc>
        <w:tc>
          <w:tcPr>
            <w:tcW w:w="0" w:type="auto"/>
          </w:tcPr>
          <w:p w14:paraId="333D6620"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63</w:t>
            </w:r>
          </w:p>
        </w:tc>
        <w:tc>
          <w:tcPr>
            <w:tcW w:w="0" w:type="auto"/>
          </w:tcPr>
          <w:p w14:paraId="5583A59A"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Medium</w:t>
            </w:r>
          </w:p>
        </w:tc>
      </w:tr>
      <w:tr w:rsidR="00B96836" w:rsidRPr="004A34E0" w14:paraId="4632EAC3" w14:textId="77777777" w:rsidTr="00666947">
        <w:trPr>
          <w:trHeight w:val="159"/>
        </w:trPr>
        <w:tc>
          <w:tcPr>
            <w:cnfStyle w:val="001000000000" w:firstRow="0" w:lastRow="0" w:firstColumn="1" w:lastColumn="0" w:oddVBand="0" w:evenVBand="0" w:oddHBand="0" w:evenHBand="0" w:firstRowFirstColumn="0" w:firstRowLastColumn="0" w:lastRowFirstColumn="0" w:lastRowLastColumn="0"/>
            <w:tcW w:w="0" w:type="auto"/>
            <w:gridSpan w:val="2"/>
          </w:tcPr>
          <w:p w14:paraId="3DA1CA89" w14:textId="77777777" w:rsidR="00B96836" w:rsidRPr="004A34E0" w:rsidRDefault="00B96836" w:rsidP="00666947">
            <w:pPr>
              <w:pStyle w:val="TableTextLeft"/>
            </w:pPr>
            <w:r w:rsidRPr="004A34E0">
              <w:t>Threatened flora</w:t>
            </w:r>
          </w:p>
        </w:tc>
        <w:tc>
          <w:tcPr>
            <w:tcW w:w="0" w:type="auto"/>
          </w:tcPr>
          <w:p w14:paraId="02E3BF6B"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Terrestrial</w:t>
            </w:r>
          </w:p>
        </w:tc>
        <w:tc>
          <w:tcPr>
            <w:tcW w:w="0" w:type="auto"/>
          </w:tcPr>
          <w:p w14:paraId="76331095"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Existence / option value</w:t>
            </w:r>
          </w:p>
        </w:tc>
        <w:tc>
          <w:tcPr>
            <w:tcW w:w="0" w:type="auto"/>
          </w:tcPr>
          <w:p w14:paraId="2010247C"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Point data</w:t>
            </w:r>
          </w:p>
        </w:tc>
        <w:tc>
          <w:tcPr>
            <w:tcW w:w="0" w:type="auto"/>
          </w:tcPr>
          <w:p w14:paraId="2654794C"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DELWP (2021)</w:t>
            </w:r>
          </w:p>
        </w:tc>
        <w:tc>
          <w:tcPr>
            <w:tcW w:w="0" w:type="auto"/>
          </w:tcPr>
          <w:p w14:paraId="11BE20B2"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2021</w:t>
            </w:r>
          </w:p>
        </w:tc>
        <w:tc>
          <w:tcPr>
            <w:tcW w:w="0" w:type="auto"/>
          </w:tcPr>
          <w:p w14:paraId="45F8F619"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Species count</w:t>
            </w:r>
          </w:p>
        </w:tc>
        <w:tc>
          <w:tcPr>
            <w:tcW w:w="0" w:type="auto"/>
          </w:tcPr>
          <w:p w14:paraId="7B060814"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63</w:t>
            </w:r>
          </w:p>
        </w:tc>
        <w:tc>
          <w:tcPr>
            <w:tcW w:w="0" w:type="auto"/>
          </w:tcPr>
          <w:p w14:paraId="3170CFCB"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72</w:t>
            </w:r>
          </w:p>
        </w:tc>
        <w:tc>
          <w:tcPr>
            <w:tcW w:w="0" w:type="auto"/>
          </w:tcPr>
          <w:p w14:paraId="4FE06135"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89</w:t>
            </w:r>
          </w:p>
        </w:tc>
        <w:tc>
          <w:tcPr>
            <w:tcW w:w="0" w:type="auto"/>
          </w:tcPr>
          <w:p w14:paraId="6DFE0C83"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Medium</w:t>
            </w:r>
          </w:p>
        </w:tc>
      </w:tr>
      <w:tr w:rsidR="00B96836" w:rsidRPr="004A34E0" w14:paraId="5212A18E" w14:textId="77777777" w:rsidTr="00666947">
        <w:trPr>
          <w:trHeight w:val="159"/>
        </w:trPr>
        <w:tc>
          <w:tcPr>
            <w:cnfStyle w:val="001000000000" w:firstRow="0" w:lastRow="0" w:firstColumn="1" w:lastColumn="0" w:oddVBand="0" w:evenVBand="0" w:oddHBand="0" w:evenHBand="0" w:firstRowFirstColumn="0" w:firstRowLastColumn="0" w:lastRowFirstColumn="0" w:lastRowLastColumn="0"/>
            <w:tcW w:w="0" w:type="auto"/>
            <w:gridSpan w:val="2"/>
          </w:tcPr>
          <w:p w14:paraId="2A650758" w14:textId="77777777" w:rsidR="00B96836" w:rsidRPr="004A34E0" w:rsidRDefault="00B96836" w:rsidP="00666947">
            <w:pPr>
              <w:pStyle w:val="TableTextLeft"/>
            </w:pPr>
            <w:r w:rsidRPr="004A34E0">
              <w:t>Threatened fauna</w:t>
            </w:r>
          </w:p>
        </w:tc>
        <w:tc>
          <w:tcPr>
            <w:tcW w:w="0" w:type="auto"/>
          </w:tcPr>
          <w:p w14:paraId="00D77FE8"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All</w:t>
            </w:r>
          </w:p>
        </w:tc>
        <w:tc>
          <w:tcPr>
            <w:tcW w:w="0" w:type="auto"/>
          </w:tcPr>
          <w:p w14:paraId="66529EF3"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Existence / option value</w:t>
            </w:r>
          </w:p>
        </w:tc>
        <w:tc>
          <w:tcPr>
            <w:tcW w:w="0" w:type="auto"/>
          </w:tcPr>
          <w:p w14:paraId="0AA8CEE9"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Point data</w:t>
            </w:r>
          </w:p>
        </w:tc>
        <w:tc>
          <w:tcPr>
            <w:tcW w:w="0" w:type="auto"/>
          </w:tcPr>
          <w:p w14:paraId="09167E8A"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DELWP (2021)</w:t>
            </w:r>
          </w:p>
        </w:tc>
        <w:tc>
          <w:tcPr>
            <w:tcW w:w="0" w:type="auto"/>
          </w:tcPr>
          <w:p w14:paraId="3F0128F5"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2021</w:t>
            </w:r>
          </w:p>
        </w:tc>
        <w:tc>
          <w:tcPr>
            <w:tcW w:w="0" w:type="auto"/>
          </w:tcPr>
          <w:p w14:paraId="2A8D1B04"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Species count</w:t>
            </w:r>
          </w:p>
        </w:tc>
        <w:tc>
          <w:tcPr>
            <w:tcW w:w="0" w:type="auto"/>
          </w:tcPr>
          <w:p w14:paraId="02524465"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53</w:t>
            </w:r>
          </w:p>
        </w:tc>
        <w:tc>
          <w:tcPr>
            <w:tcW w:w="0" w:type="auto"/>
          </w:tcPr>
          <w:p w14:paraId="2916854C"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64</w:t>
            </w:r>
          </w:p>
        </w:tc>
        <w:tc>
          <w:tcPr>
            <w:tcW w:w="0" w:type="auto"/>
          </w:tcPr>
          <w:p w14:paraId="60048DB3"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70</w:t>
            </w:r>
          </w:p>
        </w:tc>
        <w:tc>
          <w:tcPr>
            <w:tcW w:w="0" w:type="auto"/>
          </w:tcPr>
          <w:p w14:paraId="29BCFBBF"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Medium</w:t>
            </w:r>
          </w:p>
        </w:tc>
      </w:tr>
      <w:tr w:rsidR="00B96836" w:rsidRPr="004A34E0" w14:paraId="3EED8312" w14:textId="77777777" w:rsidTr="00666947">
        <w:trPr>
          <w:trHeight w:val="159"/>
        </w:trPr>
        <w:tc>
          <w:tcPr>
            <w:cnfStyle w:val="001000000000" w:firstRow="0" w:lastRow="0" w:firstColumn="1" w:lastColumn="0" w:oddVBand="0" w:evenVBand="0" w:oddHBand="0" w:evenHBand="0" w:firstRowFirstColumn="0" w:firstRowLastColumn="0" w:lastRowFirstColumn="0" w:lastRowLastColumn="0"/>
            <w:tcW w:w="0" w:type="auto"/>
            <w:gridSpan w:val="2"/>
            <w:vMerge w:val="restart"/>
          </w:tcPr>
          <w:p w14:paraId="2FCCB641" w14:textId="77777777" w:rsidR="00B96836" w:rsidRPr="004A34E0" w:rsidRDefault="00B96836" w:rsidP="00666947">
            <w:pPr>
              <w:pStyle w:val="TableTextLeft"/>
            </w:pPr>
            <w:r w:rsidRPr="004A34E0">
              <w:t xml:space="preserve">Forest </w:t>
            </w:r>
            <w:proofErr w:type="spellStart"/>
            <w:r w:rsidRPr="004A34E0">
              <w:t>age</w:t>
            </w:r>
            <w:r w:rsidRPr="004A34E0">
              <w:rPr>
                <w:vertAlign w:val="superscript"/>
              </w:rPr>
              <w:t>e</w:t>
            </w:r>
            <w:proofErr w:type="spellEnd"/>
          </w:p>
        </w:tc>
        <w:tc>
          <w:tcPr>
            <w:tcW w:w="0" w:type="auto"/>
            <w:vMerge w:val="restart"/>
          </w:tcPr>
          <w:p w14:paraId="5B78A424"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Terrestrial</w:t>
            </w:r>
          </w:p>
        </w:tc>
        <w:tc>
          <w:tcPr>
            <w:tcW w:w="0" w:type="auto"/>
            <w:vMerge w:val="restart"/>
          </w:tcPr>
          <w:p w14:paraId="3E3DF2B0"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Existence / option value</w:t>
            </w:r>
          </w:p>
        </w:tc>
        <w:tc>
          <w:tcPr>
            <w:tcW w:w="0" w:type="auto"/>
            <w:vMerge w:val="restart"/>
          </w:tcPr>
          <w:p w14:paraId="69941C35"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1:25k</w:t>
            </w:r>
          </w:p>
        </w:tc>
        <w:tc>
          <w:tcPr>
            <w:tcW w:w="0" w:type="auto"/>
            <w:vMerge w:val="restart"/>
          </w:tcPr>
          <w:p w14:paraId="720B0806"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DELWP (2021d)</w:t>
            </w:r>
          </w:p>
        </w:tc>
        <w:tc>
          <w:tcPr>
            <w:tcW w:w="0" w:type="auto"/>
            <w:vMerge w:val="restart"/>
          </w:tcPr>
          <w:p w14:paraId="2C3FC82A"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2021</w:t>
            </w:r>
          </w:p>
        </w:tc>
        <w:tc>
          <w:tcPr>
            <w:tcW w:w="0" w:type="auto"/>
          </w:tcPr>
          <w:p w14:paraId="25EEC202"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Late Mature</w:t>
            </w:r>
          </w:p>
        </w:tc>
        <w:tc>
          <w:tcPr>
            <w:tcW w:w="0" w:type="auto"/>
          </w:tcPr>
          <w:p w14:paraId="53959CE5"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0" w:type="auto"/>
          </w:tcPr>
          <w:p w14:paraId="2DB0D2B0"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0" w:type="auto"/>
          </w:tcPr>
          <w:p w14:paraId="738F6713"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31.6%</w:t>
            </w:r>
          </w:p>
        </w:tc>
        <w:tc>
          <w:tcPr>
            <w:tcW w:w="0" w:type="auto"/>
          </w:tcPr>
          <w:p w14:paraId="5F724C7F"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Low</w:t>
            </w:r>
          </w:p>
        </w:tc>
      </w:tr>
      <w:tr w:rsidR="00B96836" w:rsidRPr="004A34E0" w14:paraId="14016C67" w14:textId="77777777" w:rsidTr="00666947">
        <w:trPr>
          <w:trHeight w:val="159"/>
        </w:trPr>
        <w:tc>
          <w:tcPr>
            <w:cnfStyle w:val="001000000000" w:firstRow="0" w:lastRow="0" w:firstColumn="1" w:lastColumn="0" w:oddVBand="0" w:evenVBand="0" w:oddHBand="0" w:evenHBand="0" w:firstRowFirstColumn="0" w:firstRowLastColumn="0" w:lastRowFirstColumn="0" w:lastRowLastColumn="0"/>
            <w:tcW w:w="0" w:type="auto"/>
            <w:gridSpan w:val="2"/>
            <w:vMerge/>
          </w:tcPr>
          <w:p w14:paraId="38CA28B3" w14:textId="77777777" w:rsidR="00B96836" w:rsidRPr="004A34E0" w:rsidRDefault="00B96836" w:rsidP="00666947">
            <w:pPr>
              <w:pStyle w:val="TableTextLeft"/>
            </w:pPr>
          </w:p>
        </w:tc>
        <w:tc>
          <w:tcPr>
            <w:tcW w:w="0" w:type="auto"/>
            <w:vMerge/>
          </w:tcPr>
          <w:p w14:paraId="3E8828BA"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tcPr>
          <w:p w14:paraId="088F4F46"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tcPr>
          <w:p w14:paraId="7CE0F2E3"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tcPr>
          <w:p w14:paraId="5CD2F316"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tcPr>
          <w:p w14:paraId="23C4802A"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tcPr>
          <w:p w14:paraId="447597AF"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Mature</w:t>
            </w:r>
          </w:p>
        </w:tc>
        <w:tc>
          <w:tcPr>
            <w:tcW w:w="0" w:type="auto"/>
          </w:tcPr>
          <w:p w14:paraId="6E48F8E7"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0" w:type="auto"/>
          </w:tcPr>
          <w:p w14:paraId="00819814"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0" w:type="auto"/>
          </w:tcPr>
          <w:p w14:paraId="06B3E8CC"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22.8%</w:t>
            </w:r>
          </w:p>
        </w:tc>
        <w:tc>
          <w:tcPr>
            <w:tcW w:w="0" w:type="auto"/>
          </w:tcPr>
          <w:p w14:paraId="3EF6900F"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Low</w:t>
            </w:r>
          </w:p>
        </w:tc>
      </w:tr>
      <w:tr w:rsidR="00B96836" w:rsidRPr="004A34E0" w14:paraId="0A1FB437" w14:textId="77777777" w:rsidTr="00666947">
        <w:trPr>
          <w:trHeight w:val="159"/>
        </w:trPr>
        <w:tc>
          <w:tcPr>
            <w:cnfStyle w:val="001000000000" w:firstRow="0" w:lastRow="0" w:firstColumn="1" w:lastColumn="0" w:oddVBand="0" w:evenVBand="0" w:oddHBand="0" w:evenHBand="0" w:firstRowFirstColumn="0" w:firstRowLastColumn="0" w:lastRowFirstColumn="0" w:lastRowLastColumn="0"/>
            <w:tcW w:w="0" w:type="auto"/>
            <w:gridSpan w:val="2"/>
            <w:vMerge/>
          </w:tcPr>
          <w:p w14:paraId="15A8583A" w14:textId="77777777" w:rsidR="00B96836" w:rsidRPr="004A34E0" w:rsidRDefault="00B96836" w:rsidP="00666947">
            <w:pPr>
              <w:pStyle w:val="TableTextLeft"/>
            </w:pPr>
          </w:p>
        </w:tc>
        <w:tc>
          <w:tcPr>
            <w:tcW w:w="0" w:type="auto"/>
            <w:vMerge/>
          </w:tcPr>
          <w:p w14:paraId="764D745F"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tcPr>
          <w:p w14:paraId="14764F69"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tcPr>
          <w:p w14:paraId="19D11C07"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tcPr>
          <w:p w14:paraId="062D0AD1"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tcPr>
          <w:p w14:paraId="0904B857"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tcPr>
          <w:p w14:paraId="15208EDD"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Regenerating</w:t>
            </w:r>
          </w:p>
        </w:tc>
        <w:tc>
          <w:tcPr>
            <w:tcW w:w="0" w:type="auto"/>
          </w:tcPr>
          <w:p w14:paraId="1D15830A"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0" w:type="auto"/>
          </w:tcPr>
          <w:p w14:paraId="5D50C670"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0" w:type="auto"/>
          </w:tcPr>
          <w:p w14:paraId="7ED98C2D"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0.1%</w:t>
            </w:r>
          </w:p>
        </w:tc>
        <w:tc>
          <w:tcPr>
            <w:tcW w:w="0" w:type="auto"/>
          </w:tcPr>
          <w:p w14:paraId="7AE3A436"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Low</w:t>
            </w:r>
          </w:p>
        </w:tc>
      </w:tr>
      <w:tr w:rsidR="00B96836" w:rsidRPr="004A34E0" w14:paraId="447125D6" w14:textId="77777777" w:rsidTr="00666947">
        <w:trPr>
          <w:trHeight w:val="159"/>
        </w:trPr>
        <w:tc>
          <w:tcPr>
            <w:cnfStyle w:val="001000000000" w:firstRow="0" w:lastRow="0" w:firstColumn="1" w:lastColumn="0" w:oddVBand="0" w:evenVBand="0" w:oddHBand="0" w:evenHBand="0" w:firstRowFirstColumn="0" w:firstRowLastColumn="0" w:lastRowFirstColumn="0" w:lastRowLastColumn="0"/>
            <w:tcW w:w="0" w:type="auto"/>
            <w:gridSpan w:val="2"/>
            <w:vMerge/>
          </w:tcPr>
          <w:p w14:paraId="7D515A8C" w14:textId="77777777" w:rsidR="00B96836" w:rsidRPr="004A34E0" w:rsidRDefault="00B96836" w:rsidP="00666947">
            <w:pPr>
              <w:pStyle w:val="TableTextLeft"/>
            </w:pPr>
          </w:p>
        </w:tc>
        <w:tc>
          <w:tcPr>
            <w:tcW w:w="0" w:type="auto"/>
            <w:vMerge/>
          </w:tcPr>
          <w:p w14:paraId="350BB262"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tcPr>
          <w:p w14:paraId="1CC7274E"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tcPr>
          <w:p w14:paraId="1F3B9CAD"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tcPr>
          <w:p w14:paraId="4CF65B4F"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tcPr>
          <w:p w14:paraId="2219C3F6"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tcPr>
          <w:p w14:paraId="517F7B2C"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Regrowth</w:t>
            </w:r>
          </w:p>
        </w:tc>
        <w:tc>
          <w:tcPr>
            <w:tcW w:w="0" w:type="auto"/>
          </w:tcPr>
          <w:p w14:paraId="22A539C7"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0" w:type="auto"/>
          </w:tcPr>
          <w:p w14:paraId="37A64542"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0" w:type="auto"/>
          </w:tcPr>
          <w:p w14:paraId="00BBD723"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2.6%</w:t>
            </w:r>
          </w:p>
        </w:tc>
        <w:tc>
          <w:tcPr>
            <w:tcW w:w="0" w:type="auto"/>
          </w:tcPr>
          <w:p w14:paraId="41390B3E"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Low</w:t>
            </w:r>
          </w:p>
        </w:tc>
      </w:tr>
      <w:tr w:rsidR="00B96836" w:rsidRPr="004A34E0" w14:paraId="382D39E5" w14:textId="77777777" w:rsidTr="00666947">
        <w:trPr>
          <w:trHeight w:val="159"/>
        </w:trPr>
        <w:tc>
          <w:tcPr>
            <w:cnfStyle w:val="001000000000" w:firstRow="0" w:lastRow="0" w:firstColumn="1" w:lastColumn="0" w:oddVBand="0" w:evenVBand="0" w:oddHBand="0" w:evenHBand="0" w:firstRowFirstColumn="0" w:firstRowLastColumn="0" w:lastRowFirstColumn="0" w:lastRowLastColumn="0"/>
            <w:tcW w:w="0" w:type="auto"/>
            <w:gridSpan w:val="2"/>
            <w:vMerge/>
          </w:tcPr>
          <w:p w14:paraId="43C55FA7" w14:textId="77777777" w:rsidR="00B96836" w:rsidRPr="004A34E0" w:rsidRDefault="00B96836" w:rsidP="00666947">
            <w:pPr>
              <w:pStyle w:val="TableTextLeft"/>
            </w:pPr>
          </w:p>
        </w:tc>
        <w:tc>
          <w:tcPr>
            <w:tcW w:w="0" w:type="auto"/>
            <w:vMerge/>
          </w:tcPr>
          <w:p w14:paraId="05F36C81"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tcPr>
          <w:p w14:paraId="66963461"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tcPr>
          <w:p w14:paraId="2B644AD3"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tcPr>
          <w:p w14:paraId="41975579"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tcPr>
          <w:p w14:paraId="65B6CE1C"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tcPr>
          <w:p w14:paraId="310DE921"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Senescent</w:t>
            </w:r>
          </w:p>
        </w:tc>
        <w:tc>
          <w:tcPr>
            <w:tcW w:w="0" w:type="auto"/>
          </w:tcPr>
          <w:p w14:paraId="7DB57279"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0" w:type="auto"/>
          </w:tcPr>
          <w:p w14:paraId="34F583D8"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0" w:type="auto"/>
          </w:tcPr>
          <w:p w14:paraId="49CFC0EC"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23.1%</w:t>
            </w:r>
          </w:p>
        </w:tc>
        <w:tc>
          <w:tcPr>
            <w:tcW w:w="0" w:type="auto"/>
          </w:tcPr>
          <w:p w14:paraId="4228F434"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Low</w:t>
            </w:r>
          </w:p>
        </w:tc>
      </w:tr>
      <w:tr w:rsidR="00B96836" w:rsidRPr="004A34E0" w14:paraId="1054A907" w14:textId="77777777" w:rsidTr="00666947">
        <w:trPr>
          <w:trHeight w:val="159"/>
        </w:trPr>
        <w:tc>
          <w:tcPr>
            <w:cnfStyle w:val="001000000000" w:firstRow="0" w:lastRow="0" w:firstColumn="1" w:lastColumn="0" w:oddVBand="0" w:evenVBand="0" w:oddHBand="0" w:evenHBand="0" w:firstRowFirstColumn="0" w:firstRowLastColumn="0" w:lastRowFirstColumn="0" w:lastRowLastColumn="0"/>
            <w:tcW w:w="0" w:type="auto"/>
            <w:gridSpan w:val="2"/>
            <w:vMerge/>
          </w:tcPr>
          <w:p w14:paraId="3A12D936" w14:textId="77777777" w:rsidR="00B96836" w:rsidRPr="004A34E0" w:rsidRDefault="00B96836" w:rsidP="00666947">
            <w:pPr>
              <w:pStyle w:val="TableTextLeft"/>
            </w:pPr>
          </w:p>
        </w:tc>
        <w:tc>
          <w:tcPr>
            <w:tcW w:w="0" w:type="auto"/>
            <w:vMerge/>
          </w:tcPr>
          <w:p w14:paraId="0023D05A"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tcPr>
          <w:p w14:paraId="78FCB71A"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tcPr>
          <w:p w14:paraId="1209594F"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tcPr>
          <w:p w14:paraId="0BB3ECF7"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tcPr>
          <w:p w14:paraId="10967B3A"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tcPr>
          <w:p w14:paraId="78021C16"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Uneven-aged</w:t>
            </w:r>
          </w:p>
        </w:tc>
        <w:tc>
          <w:tcPr>
            <w:tcW w:w="0" w:type="auto"/>
          </w:tcPr>
          <w:p w14:paraId="03FC64CB"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0" w:type="auto"/>
          </w:tcPr>
          <w:p w14:paraId="04B36956"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0" w:type="auto"/>
          </w:tcPr>
          <w:p w14:paraId="71DCB472"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19.9%</w:t>
            </w:r>
          </w:p>
        </w:tc>
        <w:tc>
          <w:tcPr>
            <w:tcW w:w="0" w:type="auto"/>
          </w:tcPr>
          <w:p w14:paraId="3B038010"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Low</w:t>
            </w:r>
          </w:p>
        </w:tc>
      </w:tr>
      <w:tr w:rsidR="00B96836" w:rsidRPr="004A34E0" w14:paraId="639DA0F3" w14:textId="77777777" w:rsidTr="00666947">
        <w:trPr>
          <w:trHeight w:val="310"/>
        </w:trPr>
        <w:tc>
          <w:tcPr>
            <w:cnfStyle w:val="001000000000" w:firstRow="0" w:lastRow="0" w:firstColumn="1" w:lastColumn="0" w:oddVBand="0" w:evenVBand="0" w:oddHBand="0" w:evenHBand="0" w:firstRowFirstColumn="0" w:firstRowLastColumn="0" w:lastRowFirstColumn="0" w:lastRowLastColumn="0"/>
            <w:tcW w:w="0" w:type="auto"/>
            <w:gridSpan w:val="2"/>
            <w:vMerge w:val="restart"/>
          </w:tcPr>
          <w:p w14:paraId="1AE52266" w14:textId="77777777" w:rsidR="00B96836" w:rsidRPr="004A34E0" w:rsidRDefault="00B96836" w:rsidP="00666947">
            <w:pPr>
              <w:pStyle w:val="TableTextLeft"/>
            </w:pPr>
            <w:r w:rsidRPr="004A34E0">
              <w:t xml:space="preserve">Above Ground Vegetation </w:t>
            </w:r>
            <w:proofErr w:type="spellStart"/>
            <w:r w:rsidRPr="004A34E0">
              <w:t>biomass</w:t>
            </w:r>
            <w:r w:rsidRPr="004A34E0">
              <w:rPr>
                <w:vertAlign w:val="superscript"/>
              </w:rPr>
              <w:t>a</w:t>
            </w:r>
            <w:proofErr w:type="spellEnd"/>
          </w:p>
        </w:tc>
        <w:tc>
          <w:tcPr>
            <w:tcW w:w="0" w:type="auto"/>
            <w:vMerge w:val="restart"/>
          </w:tcPr>
          <w:p w14:paraId="63656703"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Terrestrial</w:t>
            </w:r>
          </w:p>
        </w:tc>
        <w:tc>
          <w:tcPr>
            <w:tcW w:w="0" w:type="auto"/>
            <w:vMerge w:val="restart"/>
          </w:tcPr>
          <w:p w14:paraId="442DD4A0"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Timber/Global Climate Reg</w:t>
            </w:r>
          </w:p>
        </w:tc>
        <w:tc>
          <w:tcPr>
            <w:tcW w:w="0" w:type="auto"/>
            <w:vMerge w:val="restart"/>
          </w:tcPr>
          <w:p w14:paraId="2D42E59A"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30m grid</w:t>
            </w:r>
          </w:p>
        </w:tc>
        <w:tc>
          <w:tcPr>
            <w:tcW w:w="0" w:type="auto"/>
            <w:vMerge w:val="restart"/>
          </w:tcPr>
          <w:p w14:paraId="7A6F18DD"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DELWP (2018b)</w:t>
            </w:r>
          </w:p>
        </w:tc>
        <w:tc>
          <w:tcPr>
            <w:tcW w:w="0" w:type="auto"/>
            <w:vMerge w:val="restart"/>
          </w:tcPr>
          <w:p w14:paraId="1319C0E9"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2017</w:t>
            </w:r>
          </w:p>
        </w:tc>
        <w:tc>
          <w:tcPr>
            <w:tcW w:w="0" w:type="auto"/>
          </w:tcPr>
          <w:p w14:paraId="5E0A7067"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Tonnes/Ha (forested)</w:t>
            </w:r>
          </w:p>
        </w:tc>
        <w:tc>
          <w:tcPr>
            <w:tcW w:w="0" w:type="auto"/>
          </w:tcPr>
          <w:p w14:paraId="5186FD61"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0" w:type="auto"/>
          </w:tcPr>
          <w:p w14:paraId="42B34389"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0" w:type="auto"/>
          </w:tcPr>
          <w:p w14:paraId="7232BBAE"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490</w:t>
            </w:r>
          </w:p>
        </w:tc>
        <w:tc>
          <w:tcPr>
            <w:tcW w:w="0" w:type="auto"/>
          </w:tcPr>
          <w:p w14:paraId="1F56E50B"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Low</w:t>
            </w:r>
          </w:p>
        </w:tc>
      </w:tr>
      <w:tr w:rsidR="00B96836" w:rsidRPr="004A34E0" w14:paraId="78E0EC54" w14:textId="77777777" w:rsidTr="00666947">
        <w:trPr>
          <w:trHeight w:val="159"/>
        </w:trPr>
        <w:tc>
          <w:tcPr>
            <w:cnfStyle w:val="001000000000" w:firstRow="0" w:lastRow="0" w:firstColumn="1" w:lastColumn="0" w:oddVBand="0" w:evenVBand="0" w:oddHBand="0" w:evenHBand="0" w:firstRowFirstColumn="0" w:firstRowLastColumn="0" w:lastRowFirstColumn="0" w:lastRowLastColumn="0"/>
            <w:tcW w:w="0" w:type="auto"/>
            <w:gridSpan w:val="2"/>
            <w:vMerge/>
          </w:tcPr>
          <w:p w14:paraId="31346ED5" w14:textId="77777777" w:rsidR="00B96836" w:rsidRPr="004A34E0" w:rsidRDefault="00B96836" w:rsidP="00666947">
            <w:pPr>
              <w:pStyle w:val="TableTextLeft"/>
            </w:pPr>
          </w:p>
        </w:tc>
        <w:tc>
          <w:tcPr>
            <w:tcW w:w="0" w:type="auto"/>
            <w:vMerge/>
          </w:tcPr>
          <w:p w14:paraId="438CB214"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tcPr>
          <w:p w14:paraId="079874CC"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tcPr>
          <w:p w14:paraId="7EC56D2E"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tcPr>
          <w:p w14:paraId="76FA6AF4"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tcPr>
          <w:p w14:paraId="7FE60C65"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tcPr>
          <w:p w14:paraId="37768557"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Tonnes/Ha (non- forested)</w:t>
            </w:r>
          </w:p>
        </w:tc>
        <w:tc>
          <w:tcPr>
            <w:tcW w:w="0" w:type="auto"/>
          </w:tcPr>
          <w:p w14:paraId="58E61DD1"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rPr>
                <w:vertAlign w:val="superscript"/>
              </w:rPr>
            </w:pPr>
            <w:r w:rsidRPr="004A34E0">
              <w:t>-</w:t>
            </w:r>
          </w:p>
        </w:tc>
        <w:tc>
          <w:tcPr>
            <w:tcW w:w="0" w:type="auto"/>
          </w:tcPr>
          <w:p w14:paraId="0F12B225"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0" w:type="auto"/>
          </w:tcPr>
          <w:p w14:paraId="5B48F966"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227</w:t>
            </w:r>
          </w:p>
        </w:tc>
        <w:tc>
          <w:tcPr>
            <w:tcW w:w="0" w:type="auto"/>
          </w:tcPr>
          <w:p w14:paraId="1994B498"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Low</w:t>
            </w:r>
          </w:p>
        </w:tc>
      </w:tr>
      <w:tr w:rsidR="00B96836" w:rsidRPr="004A34E0" w14:paraId="69CEC4AD" w14:textId="77777777" w:rsidTr="00666947">
        <w:trPr>
          <w:trHeight w:val="67"/>
        </w:trPr>
        <w:tc>
          <w:tcPr>
            <w:cnfStyle w:val="001000000000" w:firstRow="0" w:lastRow="0" w:firstColumn="1" w:lastColumn="0" w:oddVBand="0" w:evenVBand="0" w:oddHBand="0" w:evenHBand="0" w:firstRowFirstColumn="0" w:firstRowLastColumn="0" w:lastRowFirstColumn="0" w:lastRowLastColumn="0"/>
            <w:tcW w:w="0" w:type="auto"/>
            <w:gridSpan w:val="2"/>
            <w:vMerge w:val="restart"/>
          </w:tcPr>
          <w:p w14:paraId="67D74CCC" w14:textId="77777777" w:rsidR="00B96836" w:rsidRPr="004A34E0" w:rsidRDefault="00B96836" w:rsidP="00666947">
            <w:pPr>
              <w:pStyle w:val="TableTextLeft"/>
            </w:pPr>
            <w:r w:rsidRPr="004A34E0">
              <w:t xml:space="preserve">Abalone biomass </w:t>
            </w:r>
          </w:p>
        </w:tc>
        <w:tc>
          <w:tcPr>
            <w:tcW w:w="0" w:type="auto"/>
            <w:vMerge w:val="restart"/>
          </w:tcPr>
          <w:p w14:paraId="49AA18BB"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Marine/Coastal Margin</w:t>
            </w:r>
          </w:p>
        </w:tc>
        <w:tc>
          <w:tcPr>
            <w:tcW w:w="0" w:type="auto"/>
            <w:vMerge w:val="restart"/>
          </w:tcPr>
          <w:p w14:paraId="1D83A9FC"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Food</w:t>
            </w:r>
          </w:p>
        </w:tc>
        <w:tc>
          <w:tcPr>
            <w:tcW w:w="0" w:type="auto"/>
            <w:vMerge w:val="restart"/>
          </w:tcPr>
          <w:p w14:paraId="5F1CD92C"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30m grid</w:t>
            </w:r>
          </w:p>
        </w:tc>
        <w:tc>
          <w:tcPr>
            <w:tcW w:w="0" w:type="auto"/>
            <w:vMerge w:val="restart"/>
          </w:tcPr>
          <w:p w14:paraId="70C468C3"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roofErr w:type="spellStart"/>
            <w:r w:rsidRPr="004A34E0">
              <w:t>Ierodiaconou</w:t>
            </w:r>
            <w:proofErr w:type="spellEnd"/>
            <w:r w:rsidRPr="004A34E0">
              <w:t xml:space="preserve"> et al (2018) </w:t>
            </w:r>
          </w:p>
        </w:tc>
        <w:tc>
          <w:tcPr>
            <w:tcW w:w="0" w:type="auto"/>
            <w:vMerge w:val="restart"/>
          </w:tcPr>
          <w:p w14:paraId="39F403BE"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2018</w:t>
            </w:r>
          </w:p>
        </w:tc>
        <w:tc>
          <w:tcPr>
            <w:tcW w:w="0" w:type="auto"/>
          </w:tcPr>
          <w:p w14:paraId="61405016"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Tonnes</w:t>
            </w:r>
          </w:p>
        </w:tc>
        <w:tc>
          <w:tcPr>
            <w:tcW w:w="0" w:type="auto"/>
          </w:tcPr>
          <w:p w14:paraId="7B4D4171"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0" w:type="auto"/>
          </w:tcPr>
          <w:p w14:paraId="5DD48A01"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0" w:type="auto"/>
          </w:tcPr>
          <w:p w14:paraId="3DBF2F3E"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32,000</w:t>
            </w:r>
          </w:p>
        </w:tc>
        <w:tc>
          <w:tcPr>
            <w:tcW w:w="0" w:type="auto"/>
          </w:tcPr>
          <w:p w14:paraId="6A84200F"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Medium</w:t>
            </w:r>
          </w:p>
        </w:tc>
      </w:tr>
      <w:tr w:rsidR="00B96836" w:rsidRPr="004A34E0" w14:paraId="5EC85A31" w14:textId="77777777" w:rsidTr="00666947">
        <w:trPr>
          <w:trHeight w:val="159"/>
        </w:trPr>
        <w:tc>
          <w:tcPr>
            <w:cnfStyle w:val="001000000000" w:firstRow="0" w:lastRow="0" w:firstColumn="1" w:lastColumn="0" w:oddVBand="0" w:evenVBand="0" w:oddHBand="0" w:evenHBand="0" w:firstRowFirstColumn="0" w:firstRowLastColumn="0" w:lastRowFirstColumn="0" w:lastRowLastColumn="0"/>
            <w:tcW w:w="0" w:type="auto"/>
            <w:gridSpan w:val="2"/>
            <w:vMerge/>
          </w:tcPr>
          <w:p w14:paraId="3C5C09E6" w14:textId="77777777" w:rsidR="00B96836" w:rsidRPr="004A34E0" w:rsidRDefault="00B96836" w:rsidP="00666947">
            <w:pPr>
              <w:pStyle w:val="TableTextLeft"/>
            </w:pPr>
          </w:p>
        </w:tc>
        <w:tc>
          <w:tcPr>
            <w:tcW w:w="0" w:type="auto"/>
            <w:vMerge/>
          </w:tcPr>
          <w:p w14:paraId="31F4895B"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tcPr>
          <w:p w14:paraId="0D4648DF"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tcPr>
          <w:p w14:paraId="5C663A33"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tcPr>
          <w:p w14:paraId="58D3904A"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tcPr>
          <w:p w14:paraId="475357F3"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tcPr>
          <w:p w14:paraId="6361E2C9"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Victoria total</w:t>
            </w:r>
          </w:p>
        </w:tc>
        <w:tc>
          <w:tcPr>
            <w:tcW w:w="0" w:type="auto"/>
          </w:tcPr>
          <w:p w14:paraId="3D462D3C"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0" w:type="auto"/>
          </w:tcPr>
          <w:p w14:paraId="48422612"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0" w:type="auto"/>
          </w:tcPr>
          <w:p w14:paraId="2CBB6120"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39</w:t>
            </w:r>
          </w:p>
        </w:tc>
        <w:tc>
          <w:tcPr>
            <w:tcW w:w="0" w:type="auto"/>
          </w:tcPr>
          <w:p w14:paraId="2B89C146"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Medium</w:t>
            </w:r>
          </w:p>
        </w:tc>
      </w:tr>
      <w:tr w:rsidR="000C1F21" w:rsidRPr="004A34E0" w14:paraId="493E399E" w14:textId="77777777" w:rsidTr="00666947">
        <w:trPr>
          <w:trHeight w:val="159"/>
        </w:trPr>
        <w:tc>
          <w:tcPr>
            <w:cnfStyle w:val="001000000000" w:firstRow="0" w:lastRow="0" w:firstColumn="1" w:lastColumn="0" w:oddVBand="0" w:evenVBand="0" w:oddHBand="0" w:evenHBand="0" w:firstRowFirstColumn="0" w:firstRowLastColumn="0" w:lastRowFirstColumn="0" w:lastRowLastColumn="0"/>
            <w:tcW w:w="0" w:type="auto"/>
            <w:gridSpan w:val="10"/>
            <w:shd w:val="clear" w:color="auto" w:fill="201547" w:themeFill="text2"/>
          </w:tcPr>
          <w:p w14:paraId="4738F9BE" w14:textId="77777777" w:rsidR="00B96836" w:rsidRPr="004A34E0" w:rsidRDefault="00B96836" w:rsidP="000C1F21">
            <w:pPr>
              <w:pStyle w:val="TableTextLeftBold"/>
            </w:pPr>
            <w:r w:rsidRPr="004A34E0">
              <w:t>Ecological condition – Soil</w:t>
            </w:r>
          </w:p>
        </w:tc>
        <w:tc>
          <w:tcPr>
            <w:tcW w:w="0" w:type="auto"/>
            <w:shd w:val="clear" w:color="auto" w:fill="201547" w:themeFill="text2"/>
          </w:tcPr>
          <w:p w14:paraId="6FD1D619"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shd w:val="clear" w:color="auto" w:fill="201547" w:themeFill="text2"/>
          </w:tcPr>
          <w:p w14:paraId="600F6262"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rPr>
                <w:i/>
              </w:rPr>
            </w:pPr>
          </w:p>
        </w:tc>
      </w:tr>
      <w:tr w:rsidR="00B96836" w:rsidRPr="004A34E0" w14:paraId="4316B06E" w14:textId="77777777" w:rsidTr="00666947">
        <w:trPr>
          <w:trHeight w:val="159"/>
        </w:trPr>
        <w:tc>
          <w:tcPr>
            <w:cnfStyle w:val="001000000000" w:firstRow="0" w:lastRow="0" w:firstColumn="1" w:lastColumn="0" w:oddVBand="0" w:evenVBand="0" w:oddHBand="0" w:evenHBand="0" w:firstRowFirstColumn="0" w:firstRowLastColumn="0" w:lastRowFirstColumn="0" w:lastRowLastColumn="0"/>
            <w:tcW w:w="0" w:type="auto"/>
            <w:gridSpan w:val="2"/>
          </w:tcPr>
          <w:p w14:paraId="73355170" w14:textId="77777777" w:rsidR="00B96836" w:rsidRPr="004A34E0" w:rsidRDefault="00B96836" w:rsidP="00666947">
            <w:pPr>
              <w:pStyle w:val="TableTextLeft"/>
            </w:pPr>
            <w:r w:rsidRPr="004A34E0">
              <w:t>Coastal acid sulphate soil susceptibility</w:t>
            </w:r>
          </w:p>
        </w:tc>
        <w:tc>
          <w:tcPr>
            <w:tcW w:w="0" w:type="auto"/>
          </w:tcPr>
          <w:p w14:paraId="5F823D3B"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Any / All</w:t>
            </w:r>
          </w:p>
        </w:tc>
        <w:tc>
          <w:tcPr>
            <w:tcW w:w="0" w:type="auto"/>
          </w:tcPr>
          <w:p w14:paraId="2273F0E7"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Saltwater ecosystem services</w:t>
            </w:r>
          </w:p>
        </w:tc>
        <w:tc>
          <w:tcPr>
            <w:tcW w:w="0" w:type="auto"/>
          </w:tcPr>
          <w:p w14:paraId="54ED9A0B"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1:100k</w:t>
            </w:r>
          </w:p>
        </w:tc>
        <w:tc>
          <w:tcPr>
            <w:tcW w:w="0" w:type="auto"/>
          </w:tcPr>
          <w:p w14:paraId="3A3B86D1"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DJPR (2003)</w:t>
            </w:r>
          </w:p>
        </w:tc>
        <w:tc>
          <w:tcPr>
            <w:tcW w:w="0" w:type="auto"/>
          </w:tcPr>
          <w:p w14:paraId="18AFCC35"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2003</w:t>
            </w:r>
          </w:p>
        </w:tc>
        <w:tc>
          <w:tcPr>
            <w:tcW w:w="0" w:type="auto"/>
          </w:tcPr>
          <w:p w14:paraId="2B39BD49"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Ha</w:t>
            </w:r>
          </w:p>
        </w:tc>
        <w:tc>
          <w:tcPr>
            <w:tcW w:w="0" w:type="auto"/>
          </w:tcPr>
          <w:p w14:paraId="611F5D8D"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1,768 </w:t>
            </w:r>
          </w:p>
        </w:tc>
        <w:tc>
          <w:tcPr>
            <w:tcW w:w="0" w:type="auto"/>
          </w:tcPr>
          <w:p w14:paraId="0B54E7BB"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2,082 </w:t>
            </w:r>
          </w:p>
        </w:tc>
        <w:tc>
          <w:tcPr>
            <w:tcW w:w="0" w:type="auto"/>
          </w:tcPr>
          <w:p w14:paraId="534AADED"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3849</w:t>
            </w:r>
          </w:p>
        </w:tc>
        <w:tc>
          <w:tcPr>
            <w:tcW w:w="0" w:type="auto"/>
          </w:tcPr>
          <w:p w14:paraId="72FF3164"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Medium</w:t>
            </w:r>
          </w:p>
        </w:tc>
      </w:tr>
      <w:tr w:rsidR="00B96836" w:rsidRPr="004A34E0" w14:paraId="581D0DFF" w14:textId="77777777" w:rsidTr="00666947">
        <w:trPr>
          <w:trHeight w:val="159"/>
        </w:trPr>
        <w:tc>
          <w:tcPr>
            <w:cnfStyle w:val="001000000000" w:firstRow="0" w:lastRow="0" w:firstColumn="1" w:lastColumn="0" w:oddVBand="0" w:evenVBand="0" w:oddHBand="0" w:evenHBand="0" w:firstRowFirstColumn="0" w:firstRowLastColumn="0" w:lastRowFirstColumn="0" w:lastRowLastColumn="0"/>
            <w:tcW w:w="0" w:type="auto"/>
            <w:gridSpan w:val="2"/>
          </w:tcPr>
          <w:p w14:paraId="587B4367" w14:textId="77777777" w:rsidR="00B96836" w:rsidRPr="004A34E0" w:rsidRDefault="00B96836" w:rsidP="00666947">
            <w:pPr>
              <w:pStyle w:val="TableTextLeft"/>
            </w:pPr>
            <w:r w:rsidRPr="004A34E0">
              <w:t>Landslip susceptibility</w:t>
            </w:r>
          </w:p>
        </w:tc>
        <w:tc>
          <w:tcPr>
            <w:tcW w:w="0" w:type="auto"/>
          </w:tcPr>
          <w:p w14:paraId="0BD59F49"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Any / All</w:t>
            </w:r>
          </w:p>
        </w:tc>
        <w:tc>
          <w:tcPr>
            <w:tcW w:w="0" w:type="auto"/>
          </w:tcPr>
          <w:p w14:paraId="1D4C7755"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Erosion regulation</w:t>
            </w:r>
          </w:p>
        </w:tc>
        <w:tc>
          <w:tcPr>
            <w:tcW w:w="0" w:type="auto"/>
          </w:tcPr>
          <w:p w14:paraId="198ABA1E"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1:250k</w:t>
            </w:r>
          </w:p>
        </w:tc>
        <w:tc>
          <w:tcPr>
            <w:tcW w:w="0" w:type="auto"/>
          </w:tcPr>
          <w:p w14:paraId="7A12DA40"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DJPR and </w:t>
            </w:r>
            <w:proofErr w:type="spellStart"/>
            <w:r w:rsidRPr="004A34E0">
              <w:t>A.Miner</w:t>
            </w:r>
            <w:proofErr w:type="spellEnd"/>
            <w:r w:rsidRPr="004A34E0">
              <w:t xml:space="preserve"> (2017)</w:t>
            </w:r>
          </w:p>
        </w:tc>
        <w:tc>
          <w:tcPr>
            <w:tcW w:w="0" w:type="auto"/>
          </w:tcPr>
          <w:p w14:paraId="404BC2C9"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2017</w:t>
            </w:r>
          </w:p>
        </w:tc>
        <w:tc>
          <w:tcPr>
            <w:tcW w:w="0" w:type="auto"/>
          </w:tcPr>
          <w:p w14:paraId="357C6453"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Ha (high and </w:t>
            </w:r>
            <w:proofErr w:type="spellStart"/>
            <w:r w:rsidRPr="004A34E0">
              <w:t>v.high</w:t>
            </w:r>
            <w:proofErr w:type="spellEnd"/>
            <w:r w:rsidRPr="004A34E0">
              <w:t>)</w:t>
            </w:r>
          </w:p>
        </w:tc>
        <w:tc>
          <w:tcPr>
            <w:tcW w:w="0" w:type="auto"/>
          </w:tcPr>
          <w:p w14:paraId="00218CB0"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21,838 </w:t>
            </w:r>
          </w:p>
        </w:tc>
        <w:tc>
          <w:tcPr>
            <w:tcW w:w="0" w:type="auto"/>
          </w:tcPr>
          <w:p w14:paraId="221EE8D2"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19,377 </w:t>
            </w:r>
          </w:p>
        </w:tc>
        <w:tc>
          <w:tcPr>
            <w:tcW w:w="0" w:type="auto"/>
          </w:tcPr>
          <w:p w14:paraId="16D69291"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41215</w:t>
            </w:r>
          </w:p>
        </w:tc>
        <w:tc>
          <w:tcPr>
            <w:tcW w:w="0" w:type="auto"/>
          </w:tcPr>
          <w:p w14:paraId="40C1711C"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Medium</w:t>
            </w:r>
          </w:p>
        </w:tc>
      </w:tr>
      <w:tr w:rsidR="00B96836" w:rsidRPr="004A34E0" w14:paraId="20A192D6" w14:textId="77777777" w:rsidTr="00666947">
        <w:trPr>
          <w:trHeight w:val="159"/>
        </w:trPr>
        <w:tc>
          <w:tcPr>
            <w:cnfStyle w:val="001000000000" w:firstRow="0" w:lastRow="0" w:firstColumn="1" w:lastColumn="0" w:oddVBand="0" w:evenVBand="0" w:oddHBand="0" w:evenHBand="0" w:firstRowFirstColumn="0" w:firstRowLastColumn="0" w:lastRowFirstColumn="0" w:lastRowLastColumn="0"/>
            <w:tcW w:w="0" w:type="auto"/>
            <w:gridSpan w:val="8"/>
          </w:tcPr>
          <w:p w14:paraId="6DAECCC5" w14:textId="77777777" w:rsidR="00B96836" w:rsidRPr="004A34E0" w:rsidRDefault="00B96836" w:rsidP="00666947">
            <w:pPr>
              <w:pStyle w:val="TableTextLeft"/>
            </w:pPr>
            <w:r w:rsidRPr="004A34E0">
              <w:rPr>
                <w:i/>
              </w:rPr>
              <w:t>Ecological condition - Water</w:t>
            </w:r>
          </w:p>
        </w:tc>
        <w:tc>
          <w:tcPr>
            <w:tcW w:w="0" w:type="auto"/>
          </w:tcPr>
          <w:p w14:paraId="65F2994D"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tcPr>
          <w:p w14:paraId="26F002DB"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tcPr>
          <w:p w14:paraId="60AA43E7"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tcPr>
          <w:p w14:paraId="7EFBE588"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rPr>
                <w:i/>
              </w:rPr>
            </w:pPr>
          </w:p>
        </w:tc>
      </w:tr>
      <w:tr w:rsidR="00B96836" w:rsidRPr="004A34E0" w14:paraId="3167D42E" w14:textId="77777777" w:rsidTr="00666947">
        <w:trPr>
          <w:trHeight w:val="288"/>
        </w:trPr>
        <w:tc>
          <w:tcPr>
            <w:cnfStyle w:val="001000000000" w:firstRow="0" w:lastRow="0" w:firstColumn="1" w:lastColumn="0" w:oddVBand="0" w:evenVBand="0" w:oddHBand="0" w:evenHBand="0" w:firstRowFirstColumn="0" w:firstRowLastColumn="0" w:lastRowFirstColumn="0" w:lastRowLastColumn="0"/>
            <w:tcW w:w="0" w:type="auto"/>
            <w:gridSpan w:val="2"/>
          </w:tcPr>
          <w:p w14:paraId="718ADBF4" w14:textId="77777777" w:rsidR="00B96836" w:rsidRPr="004A34E0" w:rsidRDefault="00B96836" w:rsidP="00666947">
            <w:pPr>
              <w:pStyle w:val="TableTextLeft"/>
            </w:pPr>
            <w:r w:rsidRPr="004A34E0">
              <w:t>Stream condition (index)</w:t>
            </w:r>
          </w:p>
        </w:tc>
        <w:tc>
          <w:tcPr>
            <w:tcW w:w="0" w:type="auto"/>
          </w:tcPr>
          <w:p w14:paraId="77251307"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Streams</w:t>
            </w:r>
          </w:p>
        </w:tc>
        <w:tc>
          <w:tcPr>
            <w:tcW w:w="0" w:type="auto"/>
          </w:tcPr>
          <w:p w14:paraId="6457E941"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Freshwater ecosystem services</w:t>
            </w:r>
          </w:p>
        </w:tc>
        <w:tc>
          <w:tcPr>
            <w:tcW w:w="0" w:type="auto"/>
          </w:tcPr>
          <w:p w14:paraId="1B9C4A3E"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1:25k</w:t>
            </w:r>
          </w:p>
        </w:tc>
        <w:tc>
          <w:tcPr>
            <w:tcW w:w="0" w:type="auto"/>
          </w:tcPr>
          <w:p w14:paraId="55D8E804"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DELWP (2010)</w:t>
            </w:r>
          </w:p>
        </w:tc>
        <w:tc>
          <w:tcPr>
            <w:tcW w:w="0" w:type="auto"/>
          </w:tcPr>
          <w:p w14:paraId="7D49C3D5"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2010</w:t>
            </w:r>
          </w:p>
        </w:tc>
        <w:tc>
          <w:tcPr>
            <w:tcW w:w="0" w:type="auto"/>
          </w:tcPr>
          <w:p w14:paraId="11EAAF2E"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Score 0-50</w:t>
            </w:r>
          </w:p>
        </w:tc>
        <w:tc>
          <w:tcPr>
            <w:tcW w:w="0" w:type="auto"/>
          </w:tcPr>
          <w:p w14:paraId="734F214B"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32</w:t>
            </w:r>
          </w:p>
        </w:tc>
        <w:tc>
          <w:tcPr>
            <w:tcW w:w="0" w:type="auto"/>
          </w:tcPr>
          <w:p w14:paraId="3DBD332E"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34</w:t>
            </w:r>
          </w:p>
        </w:tc>
        <w:tc>
          <w:tcPr>
            <w:tcW w:w="0" w:type="auto"/>
          </w:tcPr>
          <w:p w14:paraId="1E614BFF"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34</w:t>
            </w:r>
          </w:p>
        </w:tc>
        <w:tc>
          <w:tcPr>
            <w:tcW w:w="0" w:type="auto"/>
          </w:tcPr>
          <w:p w14:paraId="15AD38C6"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Medium</w:t>
            </w:r>
          </w:p>
        </w:tc>
      </w:tr>
      <w:tr w:rsidR="00B96836" w:rsidRPr="004A34E0" w14:paraId="17F3D676" w14:textId="77777777" w:rsidTr="00666947">
        <w:trPr>
          <w:trHeight w:val="296"/>
        </w:trPr>
        <w:tc>
          <w:tcPr>
            <w:cnfStyle w:val="001000000000" w:firstRow="0" w:lastRow="0" w:firstColumn="1" w:lastColumn="0" w:oddVBand="0" w:evenVBand="0" w:oddHBand="0" w:evenHBand="0" w:firstRowFirstColumn="0" w:firstRowLastColumn="0" w:lastRowFirstColumn="0" w:lastRowLastColumn="0"/>
            <w:tcW w:w="0" w:type="auto"/>
            <w:gridSpan w:val="2"/>
          </w:tcPr>
          <w:p w14:paraId="7743B0CA" w14:textId="77777777" w:rsidR="00B96836" w:rsidRPr="004A34E0" w:rsidRDefault="00B96836" w:rsidP="00666947">
            <w:pPr>
              <w:pStyle w:val="TableTextLeft"/>
            </w:pPr>
            <w:r w:rsidRPr="004A34E0">
              <w:t>Estuary condition (index)</w:t>
            </w:r>
          </w:p>
        </w:tc>
        <w:tc>
          <w:tcPr>
            <w:tcW w:w="0" w:type="auto"/>
          </w:tcPr>
          <w:p w14:paraId="7AE22B8B"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Estuaries</w:t>
            </w:r>
          </w:p>
        </w:tc>
        <w:tc>
          <w:tcPr>
            <w:tcW w:w="0" w:type="auto"/>
          </w:tcPr>
          <w:p w14:paraId="51AD5E91"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Freshwater ecosystem services</w:t>
            </w:r>
          </w:p>
        </w:tc>
        <w:tc>
          <w:tcPr>
            <w:tcW w:w="0" w:type="auto"/>
          </w:tcPr>
          <w:p w14:paraId="0311D040"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1:25k</w:t>
            </w:r>
          </w:p>
        </w:tc>
        <w:tc>
          <w:tcPr>
            <w:tcW w:w="0" w:type="auto"/>
          </w:tcPr>
          <w:p w14:paraId="5D6EC61E"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DELWP (2021b)</w:t>
            </w:r>
          </w:p>
        </w:tc>
        <w:tc>
          <w:tcPr>
            <w:tcW w:w="0" w:type="auto"/>
          </w:tcPr>
          <w:p w14:paraId="7DB366CE"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2021</w:t>
            </w:r>
          </w:p>
        </w:tc>
        <w:tc>
          <w:tcPr>
            <w:tcW w:w="0" w:type="auto"/>
          </w:tcPr>
          <w:p w14:paraId="667BF1FB"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Score 0-50</w:t>
            </w:r>
          </w:p>
        </w:tc>
        <w:tc>
          <w:tcPr>
            <w:tcW w:w="0" w:type="auto"/>
          </w:tcPr>
          <w:p w14:paraId="3BFF21D8"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rPr>
                <w:vertAlign w:val="superscript"/>
              </w:rPr>
            </w:pPr>
            <w:r w:rsidRPr="004A34E0">
              <w:t>n/a</w:t>
            </w:r>
            <w:r w:rsidRPr="004A34E0">
              <w:rPr>
                <w:vertAlign w:val="superscript"/>
              </w:rPr>
              <w:t xml:space="preserve"> b</w:t>
            </w:r>
          </w:p>
        </w:tc>
        <w:tc>
          <w:tcPr>
            <w:tcW w:w="0" w:type="auto"/>
          </w:tcPr>
          <w:p w14:paraId="45C23861"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A34E0">
              <w:t>31</w:t>
            </w:r>
          </w:p>
        </w:tc>
        <w:tc>
          <w:tcPr>
            <w:tcW w:w="0" w:type="auto"/>
          </w:tcPr>
          <w:p w14:paraId="46F9C412"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A34E0">
              <w:t>31</w:t>
            </w:r>
          </w:p>
        </w:tc>
        <w:tc>
          <w:tcPr>
            <w:tcW w:w="0" w:type="auto"/>
          </w:tcPr>
          <w:p w14:paraId="76E3B06A"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Medium</w:t>
            </w:r>
          </w:p>
        </w:tc>
      </w:tr>
      <w:tr w:rsidR="00B96836" w:rsidRPr="004A34E0" w14:paraId="11BE9D30" w14:textId="77777777" w:rsidTr="00666947">
        <w:trPr>
          <w:trHeight w:val="159"/>
        </w:trPr>
        <w:tc>
          <w:tcPr>
            <w:cnfStyle w:val="001000000000" w:firstRow="0" w:lastRow="0" w:firstColumn="1" w:lastColumn="0" w:oddVBand="0" w:evenVBand="0" w:oddHBand="0" w:evenHBand="0" w:firstRowFirstColumn="0" w:firstRowLastColumn="0" w:lastRowFirstColumn="0" w:lastRowLastColumn="0"/>
            <w:tcW w:w="0" w:type="auto"/>
            <w:gridSpan w:val="11"/>
            <w:shd w:val="clear" w:color="auto" w:fill="201547" w:themeFill="text2"/>
          </w:tcPr>
          <w:p w14:paraId="00771B67" w14:textId="77777777" w:rsidR="00B96836" w:rsidRPr="004A34E0" w:rsidRDefault="00B96836" w:rsidP="000C1F21">
            <w:pPr>
              <w:pStyle w:val="TableTextLeftBold"/>
            </w:pPr>
            <w:r w:rsidRPr="004A34E0">
              <w:t>Ecological condition – Carbon</w:t>
            </w:r>
          </w:p>
        </w:tc>
        <w:tc>
          <w:tcPr>
            <w:tcW w:w="0" w:type="auto"/>
            <w:shd w:val="clear" w:color="auto" w:fill="201547" w:themeFill="text2"/>
          </w:tcPr>
          <w:p w14:paraId="7462EA2C"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rPr>
                <w:i/>
              </w:rPr>
            </w:pPr>
          </w:p>
        </w:tc>
      </w:tr>
      <w:tr w:rsidR="00B96836" w:rsidRPr="004A34E0" w14:paraId="144B8B2C" w14:textId="77777777" w:rsidTr="00666947">
        <w:trPr>
          <w:trHeight w:val="159"/>
        </w:trPr>
        <w:tc>
          <w:tcPr>
            <w:cnfStyle w:val="001000000000" w:firstRow="0" w:lastRow="0" w:firstColumn="1" w:lastColumn="0" w:oddVBand="0" w:evenVBand="0" w:oddHBand="0" w:evenHBand="0" w:firstRowFirstColumn="0" w:firstRowLastColumn="0" w:lastRowFirstColumn="0" w:lastRowLastColumn="0"/>
            <w:tcW w:w="0" w:type="auto"/>
            <w:gridSpan w:val="2"/>
          </w:tcPr>
          <w:p w14:paraId="58A0FB66" w14:textId="77777777" w:rsidR="00B96836" w:rsidRPr="004A34E0" w:rsidRDefault="00B96836" w:rsidP="00666947">
            <w:pPr>
              <w:pStyle w:val="TableTextLeft"/>
            </w:pPr>
            <w:r w:rsidRPr="004A34E0">
              <w:t>Carbon stock</w:t>
            </w:r>
          </w:p>
        </w:tc>
        <w:tc>
          <w:tcPr>
            <w:tcW w:w="0" w:type="auto"/>
          </w:tcPr>
          <w:p w14:paraId="32D96467"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All</w:t>
            </w:r>
          </w:p>
        </w:tc>
        <w:tc>
          <w:tcPr>
            <w:tcW w:w="0" w:type="auto"/>
          </w:tcPr>
          <w:p w14:paraId="58ED8FEB"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Global climate regulation</w:t>
            </w:r>
          </w:p>
        </w:tc>
        <w:tc>
          <w:tcPr>
            <w:tcW w:w="0" w:type="auto"/>
          </w:tcPr>
          <w:p w14:paraId="2CB715AB"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100m grid</w:t>
            </w:r>
          </w:p>
        </w:tc>
        <w:tc>
          <w:tcPr>
            <w:tcW w:w="0" w:type="auto"/>
          </w:tcPr>
          <w:p w14:paraId="06C71F29"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DISER (2021)</w:t>
            </w:r>
          </w:p>
        </w:tc>
        <w:tc>
          <w:tcPr>
            <w:tcW w:w="0" w:type="auto"/>
          </w:tcPr>
          <w:p w14:paraId="200319CD"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2019</w:t>
            </w:r>
          </w:p>
        </w:tc>
        <w:tc>
          <w:tcPr>
            <w:tcW w:w="0" w:type="auto"/>
          </w:tcPr>
          <w:p w14:paraId="32017FE7"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tCO2e</w:t>
            </w:r>
          </w:p>
        </w:tc>
        <w:tc>
          <w:tcPr>
            <w:tcW w:w="0" w:type="auto"/>
          </w:tcPr>
          <w:p w14:paraId="7E947DC2"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0" w:type="auto"/>
          </w:tcPr>
          <w:p w14:paraId="21A96833"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0" w:type="auto"/>
          </w:tcPr>
          <w:p w14:paraId="7B0F3594"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35,500,000</w:t>
            </w:r>
          </w:p>
        </w:tc>
        <w:tc>
          <w:tcPr>
            <w:tcW w:w="0" w:type="auto"/>
          </w:tcPr>
          <w:p w14:paraId="118772CB"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Medium</w:t>
            </w:r>
          </w:p>
        </w:tc>
      </w:tr>
      <w:tr w:rsidR="00B96836" w:rsidRPr="004A34E0" w14:paraId="5A9696FC" w14:textId="77777777" w:rsidTr="00666947">
        <w:trPr>
          <w:trHeight w:val="159"/>
        </w:trPr>
        <w:tc>
          <w:tcPr>
            <w:cnfStyle w:val="001000000000" w:firstRow="0" w:lastRow="0" w:firstColumn="1" w:lastColumn="0" w:oddVBand="0" w:evenVBand="0" w:oddHBand="0" w:evenHBand="0" w:firstRowFirstColumn="0" w:firstRowLastColumn="0" w:lastRowFirstColumn="0" w:lastRowLastColumn="0"/>
            <w:tcW w:w="0" w:type="auto"/>
            <w:gridSpan w:val="11"/>
          </w:tcPr>
          <w:p w14:paraId="3126DE05" w14:textId="77777777" w:rsidR="00B96836" w:rsidRPr="004A34E0" w:rsidRDefault="00B96836" w:rsidP="00666947">
            <w:pPr>
              <w:pStyle w:val="TableTextLeft"/>
            </w:pPr>
            <w:r w:rsidRPr="004A34E0">
              <w:rPr>
                <w:i/>
              </w:rPr>
              <w:t>Socio-economic characteristics – Location</w:t>
            </w:r>
          </w:p>
        </w:tc>
        <w:tc>
          <w:tcPr>
            <w:tcW w:w="0" w:type="auto"/>
          </w:tcPr>
          <w:p w14:paraId="3B2020C9"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rPr>
                <w:i/>
              </w:rPr>
            </w:pPr>
          </w:p>
        </w:tc>
      </w:tr>
      <w:tr w:rsidR="00B96836" w:rsidRPr="004A34E0" w14:paraId="41CDBDEB" w14:textId="77777777" w:rsidTr="00666947">
        <w:trPr>
          <w:trHeight w:val="191"/>
        </w:trPr>
        <w:tc>
          <w:tcPr>
            <w:cnfStyle w:val="001000000000" w:firstRow="0" w:lastRow="0" w:firstColumn="1" w:lastColumn="0" w:oddVBand="0" w:evenVBand="0" w:oddHBand="0" w:evenHBand="0" w:firstRowFirstColumn="0" w:firstRowLastColumn="0" w:lastRowFirstColumn="0" w:lastRowLastColumn="0"/>
            <w:tcW w:w="0" w:type="auto"/>
            <w:gridSpan w:val="2"/>
          </w:tcPr>
          <w:p w14:paraId="5E2B24D3" w14:textId="77777777" w:rsidR="00B96836" w:rsidRPr="004A34E0" w:rsidRDefault="00B96836" w:rsidP="00666947">
            <w:pPr>
              <w:pStyle w:val="TableTextLeft"/>
            </w:pPr>
            <w:r w:rsidRPr="004A34E0">
              <w:t>Landscape/seascape views from road</w:t>
            </w:r>
          </w:p>
        </w:tc>
        <w:tc>
          <w:tcPr>
            <w:tcW w:w="0" w:type="auto"/>
          </w:tcPr>
          <w:p w14:paraId="3830A658"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All </w:t>
            </w:r>
          </w:p>
        </w:tc>
        <w:tc>
          <w:tcPr>
            <w:tcW w:w="0" w:type="auto"/>
          </w:tcPr>
          <w:p w14:paraId="3D6A42D4"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Aesthetics / Recreation</w:t>
            </w:r>
          </w:p>
        </w:tc>
        <w:tc>
          <w:tcPr>
            <w:tcW w:w="0" w:type="auto"/>
          </w:tcPr>
          <w:p w14:paraId="30929615"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25m grid</w:t>
            </w:r>
          </w:p>
        </w:tc>
        <w:tc>
          <w:tcPr>
            <w:tcW w:w="0" w:type="auto"/>
          </w:tcPr>
          <w:p w14:paraId="02948005"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DELWP (2016d)</w:t>
            </w:r>
          </w:p>
        </w:tc>
        <w:tc>
          <w:tcPr>
            <w:tcW w:w="0" w:type="auto"/>
          </w:tcPr>
          <w:p w14:paraId="15FFF1DF"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2016</w:t>
            </w:r>
          </w:p>
        </w:tc>
        <w:tc>
          <w:tcPr>
            <w:tcW w:w="0" w:type="auto"/>
          </w:tcPr>
          <w:p w14:paraId="16EEB861"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of viewshed</w:t>
            </w:r>
          </w:p>
        </w:tc>
        <w:tc>
          <w:tcPr>
            <w:tcW w:w="0" w:type="auto"/>
          </w:tcPr>
          <w:p w14:paraId="5F242CD7"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rPr>
                <w:vertAlign w:val="superscript"/>
              </w:rPr>
            </w:pPr>
            <w:r w:rsidRPr="004A34E0">
              <w:t>87%</w:t>
            </w:r>
            <w:r w:rsidRPr="004A34E0">
              <w:rPr>
                <w:vertAlign w:val="superscript"/>
              </w:rPr>
              <w:t>c</w:t>
            </w:r>
          </w:p>
        </w:tc>
        <w:tc>
          <w:tcPr>
            <w:tcW w:w="0" w:type="auto"/>
          </w:tcPr>
          <w:p w14:paraId="09D91883"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13%</w:t>
            </w:r>
          </w:p>
        </w:tc>
        <w:tc>
          <w:tcPr>
            <w:tcW w:w="0" w:type="auto"/>
          </w:tcPr>
          <w:p w14:paraId="688E1C59"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100%</w:t>
            </w:r>
          </w:p>
        </w:tc>
        <w:tc>
          <w:tcPr>
            <w:tcW w:w="0" w:type="auto"/>
          </w:tcPr>
          <w:p w14:paraId="2EE27C77"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Low</w:t>
            </w:r>
          </w:p>
        </w:tc>
      </w:tr>
      <w:tr w:rsidR="00B96836" w:rsidRPr="004A34E0" w14:paraId="22FA1DB6" w14:textId="77777777" w:rsidTr="00666947">
        <w:trPr>
          <w:trHeight w:val="191"/>
        </w:trPr>
        <w:tc>
          <w:tcPr>
            <w:cnfStyle w:val="001000000000" w:firstRow="0" w:lastRow="0" w:firstColumn="1" w:lastColumn="0" w:oddVBand="0" w:evenVBand="0" w:oddHBand="0" w:evenHBand="0" w:firstRowFirstColumn="0" w:firstRowLastColumn="0" w:lastRowFirstColumn="0" w:lastRowLastColumn="0"/>
            <w:tcW w:w="0" w:type="auto"/>
            <w:gridSpan w:val="2"/>
          </w:tcPr>
          <w:p w14:paraId="0CFBAE4D" w14:textId="77777777" w:rsidR="00B96836" w:rsidRPr="004A34E0" w:rsidRDefault="00B96836" w:rsidP="00666947">
            <w:pPr>
              <w:pStyle w:val="TableTextLeft"/>
            </w:pPr>
            <w:r w:rsidRPr="004A34E0">
              <w:t>Light pollution</w:t>
            </w:r>
          </w:p>
        </w:tc>
        <w:tc>
          <w:tcPr>
            <w:tcW w:w="0" w:type="auto"/>
          </w:tcPr>
          <w:p w14:paraId="2E5A6FDA"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All</w:t>
            </w:r>
          </w:p>
        </w:tc>
        <w:tc>
          <w:tcPr>
            <w:tcW w:w="0" w:type="auto"/>
          </w:tcPr>
          <w:p w14:paraId="5E81DAA8"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Aesthetics / Recreation </w:t>
            </w:r>
          </w:p>
        </w:tc>
        <w:tc>
          <w:tcPr>
            <w:tcW w:w="0" w:type="auto"/>
          </w:tcPr>
          <w:p w14:paraId="36AE3E6A"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350m </w:t>
            </w:r>
          </w:p>
        </w:tc>
        <w:tc>
          <w:tcPr>
            <w:tcW w:w="0" w:type="auto"/>
          </w:tcPr>
          <w:p w14:paraId="559D4B1D"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Stare (2021) </w:t>
            </w:r>
          </w:p>
        </w:tc>
        <w:tc>
          <w:tcPr>
            <w:tcW w:w="0" w:type="auto"/>
          </w:tcPr>
          <w:p w14:paraId="0E5772E0"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2019 </w:t>
            </w:r>
          </w:p>
        </w:tc>
        <w:tc>
          <w:tcPr>
            <w:tcW w:w="0" w:type="auto"/>
          </w:tcPr>
          <w:p w14:paraId="4BDEBEF6"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Bortle Scale 1-9 </w:t>
            </w:r>
          </w:p>
        </w:tc>
        <w:tc>
          <w:tcPr>
            <w:tcW w:w="0" w:type="auto"/>
          </w:tcPr>
          <w:p w14:paraId="3B50B710"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w:t>
            </w:r>
          </w:p>
        </w:tc>
        <w:tc>
          <w:tcPr>
            <w:tcW w:w="0" w:type="auto"/>
          </w:tcPr>
          <w:p w14:paraId="228BB688"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w:t>
            </w:r>
          </w:p>
        </w:tc>
        <w:tc>
          <w:tcPr>
            <w:tcW w:w="0" w:type="auto"/>
          </w:tcPr>
          <w:p w14:paraId="64E65173"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1 </w:t>
            </w:r>
          </w:p>
        </w:tc>
        <w:tc>
          <w:tcPr>
            <w:tcW w:w="0" w:type="auto"/>
          </w:tcPr>
          <w:p w14:paraId="72CFA501"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Low </w:t>
            </w:r>
          </w:p>
        </w:tc>
      </w:tr>
      <w:tr w:rsidR="00B96836" w:rsidRPr="004A34E0" w14:paraId="1CB413F4" w14:textId="77777777" w:rsidTr="00666947">
        <w:trPr>
          <w:trHeight w:val="191"/>
        </w:trPr>
        <w:tc>
          <w:tcPr>
            <w:cnfStyle w:val="001000000000" w:firstRow="0" w:lastRow="0" w:firstColumn="1" w:lastColumn="0" w:oddVBand="0" w:evenVBand="0" w:oddHBand="0" w:evenHBand="0" w:firstRowFirstColumn="0" w:firstRowLastColumn="0" w:lastRowFirstColumn="0" w:lastRowLastColumn="0"/>
            <w:tcW w:w="0" w:type="auto"/>
            <w:gridSpan w:val="11"/>
            <w:shd w:val="clear" w:color="auto" w:fill="201547" w:themeFill="text2"/>
          </w:tcPr>
          <w:p w14:paraId="70529CD1" w14:textId="77777777" w:rsidR="00B96836" w:rsidRPr="004A34E0" w:rsidRDefault="00B96836" w:rsidP="000C1F21">
            <w:pPr>
              <w:pStyle w:val="TableTextLeftBold"/>
            </w:pPr>
            <w:r w:rsidRPr="004A34E0">
              <w:t>Socio-economic characteristics – Non-Indigenous cultural assets</w:t>
            </w:r>
          </w:p>
        </w:tc>
        <w:tc>
          <w:tcPr>
            <w:tcW w:w="0" w:type="auto"/>
            <w:shd w:val="clear" w:color="auto" w:fill="201547" w:themeFill="text2"/>
          </w:tcPr>
          <w:p w14:paraId="2C56E5A1"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rPr>
                <w:i/>
              </w:rPr>
            </w:pPr>
          </w:p>
        </w:tc>
      </w:tr>
      <w:tr w:rsidR="00B96836" w:rsidRPr="004A34E0" w14:paraId="6221369B" w14:textId="77777777" w:rsidTr="00666947">
        <w:trPr>
          <w:trHeight w:val="191"/>
        </w:trPr>
        <w:tc>
          <w:tcPr>
            <w:cnfStyle w:val="001000000000" w:firstRow="0" w:lastRow="0" w:firstColumn="1" w:lastColumn="0" w:oddVBand="0" w:evenVBand="0" w:oddHBand="0" w:evenHBand="0" w:firstRowFirstColumn="0" w:firstRowLastColumn="0" w:lastRowFirstColumn="0" w:lastRowLastColumn="0"/>
            <w:tcW w:w="0" w:type="auto"/>
            <w:gridSpan w:val="2"/>
          </w:tcPr>
          <w:p w14:paraId="436E2F8A" w14:textId="77777777" w:rsidR="00B96836" w:rsidRPr="004A34E0" w:rsidRDefault="00B96836" w:rsidP="00666947">
            <w:pPr>
              <w:pStyle w:val="TableTextLeft"/>
            </w:pPr>
            <w:r w:rsidRPr="004A34E0">
              <w:t xml:space="preserve">Assets of historic cultural heritage </w:t>
            </w:r>
          </w:p>
        </w:tc>
        <w:tc>
          <w:tcPr>
            <w:tcW w:w="0" w:type="auto"/>
          </w:tcPr>
          <w:p w14:paraId="752287F0"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All</w:t>
            </w:r>
          </w:p>
        </w:tc>
        <w:tc>
          <w:tcPr>
            <w:tcW w:w="0" w:type="auto"/>
          </w:tcPr>
          <w:p w14:paraId="48C5F4FA"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Existence / Recreation </w:t>
            </w:r>
          </w:p>
        </w:tc>
        <w:tc>
          <w:tcPr>
            <w:tcW w:w="0" w:type="auto"/>
          </w:tcPr>
          <w:p w14:paraId="6D53FF26"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Point data</w:t>
            </w:r>
          </w:p>
        </w:tc>
        <w:tc>
          <w:tcPr>
            <w:tcW w:w="0" w:type="auto"/>
          </w:tcPr>
          <w:p w14:paraId="4A7036F6"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DELWP (2019c)</w:t>
            </w:r>
          </w:p>
        </w:tc>
        <w:tc>
          <w:tcPr>
            <w:tcW w:w="0" w:type="auto"/>
          </w:tcPr>
          <w:p w14:paraId="4DF95342"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2019</w:t>
            </w:r>
          </w:p>
        </w:tc>
        <w:tc>
          <w:tcPr>
            <w:tcW w:w="0" w:type="auto"/>
          </w:tcPr>
          <w:p w14:paraId="70FBE749"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Count</w:t>
            </w:r>
          </w:p>
        </w:tc>
        <w:tc>
          <w:tcPr>
            <w:tcW w:w="0" w:type="auto"/>
          </w:tcPr>
          <w:p w14:paraId="0AE4D355"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36</w:t>
            </w:r>
          </w:p>
        </w:tc>
        <w:tc>
          <w:tcPr>
            <w:tcW w:w="0" w:type="auto"/>
          </w:tcPr>
          <w:p w14:paraId="078C2871"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129</w:t>
            </w:r>
          </w:p>
        </w:tc>
        <w:tc>
          <w:tcPr>
            <w:tcW w:w="0" w:type="auto"/>
          </w:tcPr>
          <w:p w14:paraId="26F8323F"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165</w:t>
            </w:r>
          </w:p>
        </w:tc>
        <w:tc>
          <w:tcPr>
            <w:tcW w:w="0" w:type="auto"/>
          </w:tcPr>
          <w:p w14:paraId="1AAC6166"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Low</w:t>
            </w:r>
          </w:p>
        </w:tc>
      </w:tr>
      <w:tr w:rsidR="00B96836" w:rsidRPr="004A34E0" w14:paraId="2BE45638" w14:textId="77777777" w:rsidTr="00D30977">
        <w:trPr>
          <w:trHeight w:val="191"/>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auto"/>
            </w:tcBorders>
          </w:tcPr>
          <w:p w14:paraId="2F38CD20" w14:textId="77777777" w:rsidR="00B96836" w:rsidRPr="004A34E0" w:rsidRDefault="00B96836" w:rsidP="00666947">
            <w:pPr>
              <w:pStyle w:val="TableTextLeft"/>
            </w:pPr>
          </w:p>
        </w:tc>
        <w:tc>
          <w:tcPr>
            <w:tcW w:w="0" w:type="auto"/>
            <w:tcBorders>
              <w:bottom w:val="single" w:sz="4" w:space="0" w:color="auto"/>
            </w:tcBorders>
          </w:tcPr>
          <w:p w14:paraId="3121FEEC"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rPr>
                <w:vertAlign w:val="superscript"/>
              </w:rPr>
            </w:pPr>
            <w:r w:rsidRPr="004A34E0">
              <w:t xml:space="preserve">Shipwrecks </w:t>
            </w:r>
            <w:r w:rsidRPr="004A34E0">
              <w:rPr>
                <w:vertAlign w:val="superscript"/>
              </w:rPr>
              <w:t>d</w:t>
            </w:r>
          </w:p>
        </w:tc>
        <w:tc>
          <w:tcPr>
            <w:tcW w:w="0" w:type="auto"/>
            <w:tcBorders>
              <w:bottom w:val="single" w:sz="4" w:space="0" w:color="auto"/>
            </w:tcBorders>
          </w:tcPr>
          <w:p w14:paraId="003D635A"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Marine</w:t>
            </w:r>
          </w:p>
        </w:tc>
        <w:tc>
          <w:tcPr>
            <w:tcW w:w="0" w:type="auto"/>
            <w:tcBorders>
              <w:bottom w:val="single" w:sz="4" w:space="0" w:color="auto"/>
            </w:tcBorders>
          </w:tcPr>
          <w:p w14:paraId="4E192F56"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Recreation and Tourism</w:t>
            </w:r>
          </w:p>
        </w:tc>
        <w:tc>
          <w:tcPr>
            <w:tcW w:w="0" w:type="auto"/>
            <w:tcBorders>
              <w:bottom w:val="single" w:sz="4" w:space="0" w:color="auto"/>
            </w:tcBorders>
          </w:tcPr>
          <w:p w14:paraId="3739E690"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Point data</w:t>
            </w:r>
          </w:p>
        </w:tc>
        <w:tc>
          <w:tcPr>
            <w:tcW w:w="0" w:type="auto"/>
            <w:tcBorders>
              <w:bottom w:val="single" w:sz="4" w:space="0" w:color="auto"/>
            </w:tcBorders>
          </w:tcPr>
          <w:p w14:paraId="434EEEE4"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DELWP (2019c)</w:t>
            </w:r>
          </w:p>
        </w:tc>
        <w:tc>
          <w:tcPr>
            <w:tcW w:w="0" w:type="auto"/>
            <w:tcBorders>
              <w:bottom w:val="single" w:sz="4" w:space="0" w:color="auto"/>
            </w:tcBorders>
          </w:tcPr>
          <w:p w14:paraId="462F6CBB"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2019</w:t>
            </w:r>
          </w:p>
        </w:tc>
        <w:tc>
          <w:tcPr>
            <w:tcW w:w="0" w:type="auto"/>
            <w:tcBorders>
              <w:bottom w:val="single" w:sz="4" w:space="0" w:color="auto"/>
            </w:tcBorders>
          </w:tcPr>
          <w:p w14:paraId="246B1BD9"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Count</w:t>
            </w:r>
          </w:p>
        </w:tc>
        <w:tc>
          <w:tcPr>
            <w:tcW w:w="0" w:type="auto"/>
            <w:tcBorders>
              <w:bottom w:val="single" w:sz="4" w:space="0" w:color="auto"/>
            </w:tcBorders>
          </w:tcPr>
          <w:p w14:paraId="3C182C79"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4</w:t>
            </w:r>
          </w:p>
        </w:tc>
        <w:tc>
          <w:tcPr>
            <w:tcW w:w="0" w:type="auto"/>
            <w:tcBorders>
              <w:bottom w:val="single" w:sz="4" w:space="0" w:color="auto"/>
            </w:tcBorders>
          </w:tcPr>
          <w:p w14:paraId="066EF33B"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30</w:t>
            </w:r>
          </w:p>
        </w:tc>
        <w:tc>
          <w:tcPr>
            <w:tcW w:w="0" w:type="auto"/>
            <w:tcBorders>
              <w:bottom w:val="single" w:sz="4" w:space="0" w:color="auto"/>
            </w:tcBorders>
          </w:tcPr>
          <w:p w14:paraId="6975C6AB"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34</w:t>
            </w:r>
          </w:p>
        </w:tc>
        <w:tc>
          <w:tcPr>
            <w:tcW w:w="0" w:type="auto"/>
            <w:tcBorders>
              <w:bottom w:val="single" w:sz="4" w:space="0" w:color="auto"/>
            </w:tcBorders>
          </w:tcPr>
          <w:p w14:paraId="66537CB7"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Low</w:t>
            </w:r>
          </w:p>
        </w:tc>
      </w:tr>
      <w:tr w:rsidR="004C5A82" w:rsidRPr="004A34E0" w14:paraId="3218C67D" w14:textId="77777777" w:rsidTr="00D30977">
        <w:trPr>
          <w:trHeight w:val="191"/>
        </w:trPr>
        <w:tc>
          <w:tcPr>
            <w:cnfStyle w:val="001000000000" w:firstRow="0" w:lastRow="0" w:firstColumn="1" w:lastColumn="0" w:oddVBand="0" w:evenVBand="0" w:oddHBand="0" w:evenHBand="0" w:firstRowFirstColumn="0" w:firstRowLastColumn="0" w:lastRowFirstColumn="0" w:lastRowLastColumn="0"/>
            <w:tcW w:w="0" w:type="auto"/>
            <w:tcBorders>
              <w:bottom w:val="nil"/>
            </w:tcBorders>
            <w:shd w:val="clear" w:color="auto" w:fill="auto"/>
          </w:tcPr>
          <w:p w14:paraId="09B2F73A" w14:textId="77777777" w:rsidR="004C5A82" w:rsidRPr="004A34E0" w:rsidRDefault="004C5A82" w:rsidP="00666947">
            <w:pPr>
              <w:pStyle w:val="TableTextLeft"/>
            </w:pPr>
          </w:p>
        </w:tc>
        <w:tc>
          <w:tcPr>
            <w:tcW w:w="0" w:type="auto"/>
            <w:tcBorders>
              <w:bottom w:val="nil"/>
            </w:tcBorders>
            <w:shd w:val="clear" w:color="auto" w:fill="auto"/>
          </w:tcPr>
          <w:p w14:paraId="31C332A7" w14:textId="77777777" w:rsidR="004C5A82" w:rsidRPr="004A34E0" w:rsidRDefault="004C5A82"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tcBorders>
              <w:bottom w:val="nil"/>
            </w:tcBorders>
            <w:shd w:val="clear" w:color="auto" w:fill="auto"/>
          </w:tcPr>
          <w:p w14:paraId="287B0E8E" w14:textId="77777777" w:rsidR="004C5A82" w:rsidRPr="004A34E0" w:rsidRDefault="004C5A82"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tcBorders>
              <w:bottom w:val="nil"/>
            </w:tcBorders>
            <w:shd w:val="clear" w:color="auto" w:fill="auto"/>
          </w:tcPr>
          <w:p w14:paraId="13EA27EB" w14:textId="77777777" w:rsidR="004C5A82" w:rsidRPr="004A34E0" w:rsidRDefault="004C5A82"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tcBorders>
              <w:bottom w:val="nil"/>
            </w:tcBorders>
            <w:shd w:val="clear" w:color="auto" w:fill="auto"/>
          </w:tcPr>
          <w:p w14:paraId="190A1D0B" w14:textId="77777777" w:rsidR="004C5A82" w:rsidRPr="004A34E0" w:rsidRDefault="004C5A82"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tcBorders>
              <w:bottom w:val="nil"/>
            </w:tcBorders>
            <w:shd w:val="clear" w:color="auto" w:fill="auto"/>
          </w:tcPr>
          <w:p w14:paraId="3408EB17" w14:textId="77777777" w:rsidR="004C5A82" w:rsidRPr="004A34E0" w:rsidRDefault="004C5A82"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tcBorders>
              <w:bottom w:val="nil"/>
            </w:tcBorders>
            <w:shd w:val="clear" w:color="auto" w:fill="auto"/>
          </w:tcPr>
          <w:p w14:paraId="552F9EC1" w14:textId="77777777" w:rsidR="004C5A82" w:rsidRPr="004A34E0" w:rsidRDefault="004C5A82"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tcBorders>
              <w:bottom w:val="nil"/>
            </w:tcBorders>
            <w:shd w:val="clear" w:color="auto" w:fill="auto"/>
          </w:tcPr>
          <w:p w14:paraId="1EEA444E" w14:textId="77777777" w:rsidR="004C5A82" w:rsidRPr="004A34E0" w:rsidRDefault="004C5A82"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tcBorders>
              <w:bottom w:val="nil"/>
            </w:tcBorders>
            <w:shd w:val="clear" w:color="auto" w:fill="auto"/>
          </w:tcPr>
          <w:p w14:paraId="1C4B3749" w14:textId="77777777" w:rsidR="004C5A82" w:rsidRPr="004A34E0" w:rsidRDefault="004C5A82"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tcBorders>
              <w:bottom w:val="nil"/>
            </w:tcBorders>
            <w:shd w:val="clear" w:color="auto" w:fill="auto"/>
          </w:tcPr>
          <w:p w14:paraId="0C94A1EC" w14:textId="77777777" w:rsidR="004C5A82" w:rsidRPr="004A34E0" w:rsidRDefault="004C5A82"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tcBorders>
              <w:bottom w:val="nil"/>
            </w:tcBorders>
            <w:shd w:val="clear" w:color="auto" w:fill="auto"/>
          </w:tcPr>
          <w:p w14:paraId="3D148944" w14:textId="77777777" w:rsidR="004C5A82" w:rsidRPr="004A34E0" w:rsidRDefault="004C5A82"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tcBorders>
              <w:bottom w:val="nil"/>
            </w:tcBorders>
            <w:shd w:val="clear" w:color="auto" w:fill="auto"/>
          </w:tcPr>
          <w:p w14:paraId="57E2C7D3" w14:textId="77777777" w:rsidR="004C5A82" w:rsidRPr="004A34E0" w:rsidRDefault="004C5A82"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B96836" w:rsidRPr="004A34E0" w14:paraId="6F0931D1" w14:textId="77777777" w:rsidTr="00D30977">
        <w:trPr>
          <w:trHeight w:val="191"/>
        </w:trPr>
        <w:tc>
          <w:tcPr>
            <w:cnfStyle w:val="001000000000" w:firstRow="0" w:lastRow="0" w:firstColumn="1" w:lastColumn="0" w:oddVBand="0" w:evenVBand="0" w:oddHBand="0" w:evenHBand="0" w:firstRowFirstColumn="0" w:firstRowLastColumn="0" w:lastRowFirstColumn="0" w:lastRowLastColumn="0"/>
            <w:tcW w:w="0" w:type="auto"/>
            <w:gridSpan w:val="11"/>
            <w:tcBorders>
              <w:top w:val="nil"/>
            </w:tcBorders>
            <w:shd w:val="clear" w:color="auto" w:fill="201547" w:themeFill="text2"/>
          </w:tcPr>
          <w:p w14:paraId="71CC5EBC" w14:textId="77777777" w:rsidR="00B96836" w:rsidRPr="004A34E0" w:rsidRDefault="00B96836" w:rsidP="000C1F21">
            <w:pPr>
              <w:pStyle w:val="TableTextLeftBold"/>
            </w:pPr>
            <w:r w:rsidRPr="004A34E0">
              <w:lastRenderedPageBreak/>
              <w:t>Socio-economic characteristics - Governance and management</w:t>
            </w:r>
          </w:p>
        </w:tc>
        <w:tc>
          <w:tcPr>
            <w:tcW w:w="0" w:type="auto"/>
            <w:tcBorders>
              <w:top w:val="nil"/>
            </w:tcBorders>
            <w:shd w:val="clear" w:color="auto" w:fill="201547" w:themeFill="text2"/>
          </w:tcPr>
          <w:p w14:paraId="485B3B92"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rPr>
                <w:i/>
              </w:rPr>
            </w:pPr>
          </w:p>
        </w:tc>
      </w:tr>
      <w:tr w:rsidR="00B96836" w:rsidRPr="004A34E0" w14:paraId="76129C00" w14:textId="77777777" w:rsidTr="00666947">
        <w:trPr>
          <w:trHeight w:val="191"/>
        </w:trPr>
        <w:tc>
          <w:tcPr>
            <w:cnfStyle w:val="001000000000" w:firstRow="0" w:lastRow="0" w:firstColumn="1" w:lastColumn="0" w:oddVBand="0" w:evenVBand="0" w:oddHBand="0" w:evenHBand="0" w:firstRowFirstColumn="0" w:firstRowLastColumn="0" w:lastRowFirstColumn="0" w:lastRowLastColumn="0"/>
            <w:tcW w:w="0" w:type="auto"/>
            <w:gridSpan w:val="2"/>
          </w:tcPr>
          <w:p w14:paraId="4EC920B3" w14:textId="77777777" w:rsidR="00B96836" w:rsidRPr="004A34E0" w:rsidRDefault="00B96836" w:rsidP="00666947">
            <w:pPr>
              <w:pStyle w:val="TableTextLeft"/>
            </w:pPr>
            <w:proofErr w:type="spellStart"/>
            <w:r w:rsidRPr="004A34E0">
              <w:t>CoastCare</w:t>
            </w:r>
            <w:proofErr w:type="spellEnd"/>
          </w:p>
        </w:tc>
        <w:tc>
          <w:tcPr>
            <w:tcW w:w="0" w:type="auto"/>
          </w:tcPr>
          <w:p w14:paraId="14F863F2"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Coastal margin</w:t>
            </w:r>
          </w:p>
        </w:tc>
        <w:tc>
          <w:tcPr>
            <w:tcW w:w="0" w:type="auto"/>
          </w:tcPr>
          <w:p w14:paraId="181F0A7E"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Community cohesion</w:t>
            </w:r>
          </w:p>
        </w:tc>
        <w:tc>
          <w:tcPr>
            <w:tcW w:w="0" w:type="auto"/>
          </w:tcPr>
          <w:p w14:paraId="79E23380"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n/a</w:t>
            </w:r>
          </w:p>
        </w:tc>
        <w:tc>
          <w:tcPr>
            <w:tcW w:w="0" w:type="auto"/>
          </w:tcPr>
          <w:p w14:paraId="75DEAA63"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DELWP</w:t>
            </w:r>
          </w:p>
        </w:tc>
        <w:tc>
          <w:tcPr>
            <w:tcW w:w="0" w:type="auto"/>
          </w:tcPr>
          <w:p w14:paraId="7A3B7F96"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2021</w:t>
            </w:r>
          </w:p>
        </w:tc>
        <w:tc>
          <w:tcPr>
            <w:tcW w:w="0" w:type="auto"/>
          </w:tcPr>
          <w:p w14:paraId="579AA5C9"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Number people</w:t>
            </w:r>
          </w:p>
        </w:tc>
        <w:tc>
          <w:tcPr>
            <w:tcW w:w="0" w:type="auto"/>
          </w:tcPr>
          <w:p w14:paraId="62D6F971"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0" w:type="auto"/>
          </w:tcPr>
          <w:p w14:paraId="6C2C53B1"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0" w:type="auto"/>
          </w:tcPr>
          <w:p w14:paraId="7B939FDD"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1,300</w:t>
            </w:r>
          </w:p>
        </w:tc>
        <w:tc>
          <w:tcPr>
            <w:tcW w:w="0" w:type="auto"/>
          </w:tcPr>
          <w:p w14:paraId="6968D725"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Low</w:t>
            </w:r>
          </w:p>
        </w:tc>
      </w:tr>
      <w:tr w:rsidR="00B96836" w:rsidRPr="004A34E0" w14:paraId="3801EBF0" w14:textId="77777777" w:rsidTr="00666947">
        <w:trPr>
          <w:trHeight w:val="191"/>
        </w:trPr>
        <w:tc>
          <w:tcPr>
            <w:cnfStyle w:val="001000000000" w:firstRow="0" w:lastRow="0" w:firstColumn="1" w:lastColumn="0" w:oddVBand="0" w:evenVBand="0" w:oddHBand="0" w:evenHBand="0" w:firstRowFirstColumn="0" w:firstRowLastColumn="0" w:lastRowFirstColumn="0" w:lastRowLastColumn="0"/>
            <w:tcW w:w="0" w:type="auto"/>
            <w:gridSpan w:val="2"/>
          </w:tcPr>
          <w:p w14:paraId="42F7ABFA" w14:textId="77777777" w:rsidR="00B96836" w:rsidRPr="004A34E0" w:rsidRDefault="00B96836" w:rsidP="00666947">
            <w:pPr>
              <w:pStyle w:val="TableTextLeft"/>
            </w:pPr>
            <w:r w:rsidRPr="004A34E0">
              <w:t>Community stewardship</w:t>
            </w:r>
          </w:p>
        </w:tc>
        <w:tc>
          <w:tcPr>
            <w:tcW w:w="0" w:type="auto"/>
          </w:tcPr>
          <w:p w14:paraId="328D78F4"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All</w:t>
            </w:r>
          </w:p>
        </w:tc>
        <w:tc>
          <w:tcPr>
            <w:tcW w:w="0" w:type="auto"/>
          </w:tcPr>
          <w:p w14:paraId="7865E807"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Community cohesion</w:t>
            </w:r>
          </w:p>
        </w:tc>
        <w:tc>
          <w:tcPr>
            <w:tcW w:w="0" w:type="auto"/>
          </w:tcPr>
          <w:p w14:paraId="78834801"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n/a</w:t>
            </w:r>
          </w:p>
        </w:tc>
        <w:tc>
          <w:tcPr>
            <w:tcW w:w="0" w:type="auto"/>
          </w:tcPr>
          <w:p w14:paraId="5F6E4B1E"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Various</w:t>
            </w:r>
          </w:p>
        </w:tc>
        <w:tc>
          <w:tcPr>
            <w:tcW w:w="0" w:type="auto"/>
          </w:tcPr>
          <w:p w14:paraId="2544A860"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2021</w:t>
            </w:r>
          </w:p>
        </w:tc>
        <w:tc>
          <w:tcPr>
            <w:tcW w:w="0" w:type="auto"/>
          </w:tcPr>
          <w:p w14:paraId="55FC229F"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Number groups</w:t>
            </w:r>
          </w:p>
        </w:tc>
        <w:tc>
          <w:tcPr>
            <w:tcW w:w="0" w:type="auto"/>
          </w:tcPr>
          <w:p w14:paraId="44C90CFF"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0" w:type="auto"/>
          </w:tcPr>
          <w:p w14:paraId="7004674E"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0" w:type="auto"/>
          </w:tcPr>
          <w:p w14:paraId="73FBFEEA"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51</w:t>
            </w:r>
          </w:p>
        </w:tc>
        <w:tc>
          <w:tcPr>
            <w:tcW w:w="0" w:type="auto"/>
          </w:tcPr>
          <w:p w14:paraId="256F4049"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Low</w:t>
            </w:r>
          </w:p>
        </w:tc>
      </w:tr>
      <w:tr w:rsidR="00B96836" w:rsidRPr="004A34E0" w14:paraId="56287F1E" w14:textId="77777777" w:rsidTr="00666947">
        <w:trPr>
          <w:trHeight w:val="191"/>
        </w:trPr>
        <w:tc>
          <w:tcPr>
            <w:cnfStyle w:val="001000000000" w:firstRow="0" w:lastRow="0" w:firstColumn="1" w:lastColumn="0" w:oddVBand="0" w:evenVBand="0" w:oddHBand="0" w:evenHBand="0" w:firstRowFirstColumn="0" w:firstRowLastColumn="0" w:lastRowFirstColumn="0" w:lastRowLastColumn="0"/>
            <w:tcW w:w="0" w:type="auto"/>
            <w:gridSpan w:val="2"/>
            <w:vMerge w:val="restart"/>
          </w:tcPr>
          <w:p w14:paraId="3CC5319A" w14:textId="77777777" w:rsidR="00B96836" w:rsidRPr="004A34E0" w:rsidRDefault="00B96836" w:rsidP="00666947">
            <w:pPr>
              <w:pStyle w:val="TableTextLeft"/>
            </w:pPr>
            <w:r w:rsidRPr="004A34E0">
              <w:t>National parks and nature reserves</w:t>
            </w:r>
          </w:p>
        </w:tc>
        <w:tc>
          <w:tcPr>
            <w:tcW w:w="0" w:type="auto"/>
            <w:vMerge w:val="restart"/>
          </w:tcPr>
          <w:p w14:paraId="740CAB7F"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All</w:t>
            </w:r>
          </w:p>
        </w:tc>
        <w:tc>
          <w:tcPr>
            <w:tcW w:w="0" w:type="auto"/>
            <w:vMerge w:val="restart"/>
          </w:tcPr>
          <w:p w14:paraId="251C1D13"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Various</w:t>
            </w:r>
          </w:p>
        </w:tc>
        <w:tc>
          <w:tcPr>
            <w:tcW w:w="0" w:type="auto"/>
            <w:vMerge w:val="restart"/>
          </w:tcPr>
          <w:p w14:paraId="429437FF"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1:25k</w:t>
            </w:r>
          </w:p>
        </w:tc>
        <w:tc>
          <w:tcPr>
            <w:tcW w:w="0" w:type="auto"/>
            <w:vMerge w:val="restart"/>
          </w:tcPr>
          <w:p w14:paraId="4B350029"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DELWP (2021c)</w:t>
            </w:r>
          </w:p>
        </w:tc>
        <w:tc>
          <w:tcPr>
            <w:tcW w:w="0" w:type="auto"/>
            <w:vMerge w:val="restart"/>
          </w:tcPr>
          <w:p w14:paraId="4B540C85"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2021</w:t>
            </w:r>
          </w:p>
        </w:tc>
        <w:tc>
          <w:tcPr>
            <w:tcW w:w="0" w:type="auto"/>
          </w:tcPr>
          <w:p w14:paraId="72712C2C"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Ha</w:t>
            </w:r>
          </w:p>
        </w:tc>
        <w:tc>
          <w:tcPr>
            <w:tcW w:w="0" w:type="auto"/>
          </w:tcPr>
          <w:p w14:paraId="7AB8765D"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0" w:type="auto"/>
          </w:tcPr>
          <w:p w14:paraId="11A1BAA9"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0" w:type="auto"/>
          </w:tcPr>
          <w:p w14:paraId="04829607"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33,400</w:t>
            </w:r>
          </w:p>
        </w:tc>
        <w:tc>
          <w:tcPr>
            <w:tcW w:w="0" w:type="auto"/>
            <w:vMerge w:val="restart"/>
          </w:tcPr>
          <w:p w14:paraId="20C2399A"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Low</w:t>
            </w:r>
          </w:p>
        </w:tc>
      </w:tr>
      <w:tr w:rsidR="00B96836" w:rsidRPr="004A34E0" w14:paraId="3C8508DB" w14:textId="77777777" w:rsidTr="00666947">
        <w:trPr>
          <w:trHeight w:val="191"/>
        </w:trPr>
        <w:tc>
          <w:tcPr>
            <w:cnfStyle w:val="001000000000" w:firstRow="0" w:lastRow="0" w:firstColumn="1" w:lastColumn="0" w:oddVBand="0" w:evenVBand="0" w:oddHBand="0" w:evenHBand="0" w:firstRowFirstColumn="0" w:firstRowLastColumn="0" w:lastRowFirstColumn="0" w:lastRowLastColumn="0"/>
            <w:tcW w:w="0" w:type="auto"/>
            <w:gridSpan w:val="2"/>
            <w:vMerge/>
          </w:tcPr>
          <w:p w14:paraId="6AA18840" w14:textId="77777777" w:rsidR="00B96836" w:rsidRPr="004A34E0" w:rsidRDefault="00B96836" w:rsidP="00666947">
            <w:pPr>
              <w:pStyle w:val="TableTextLeft"/>
            </w:pPr>
          </w:p>
        </w:tc>
        <w:tc>
          <w:tcPr>
            <w:tcW w:w="0" w:type="auto"/>
            <w:vMerge/>
          </w:tcPr>
          <w:p w14:paraId="51F4DDBC"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tcPr>
          <w:p w14:paraId="39EB5103"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tcPr>
          <w:p w14:paraId="138FA028"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tcPr>
          <w:p w14:paraId="07FFDDA0"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tcPr>
          <w:p w14:paraId="7DE5F459"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tcPr>
          <w:p w14:paraId="79DC077E"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Number</w:t>
            </w:r>
          </w:p>
        </w:tc>
        <w:tc>
          <w:tcPr>
            <w:tcW w:w="0" w:type="auto"/>
          </w:tcPr>
          <w:p w14:paraId="09187512"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0" w:type="auto"/>
          </w:tcPr>
          <w:p w14:paraId="0A4FF69A"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0" w:type="auto"/>
          </w:tcPr>
          <w:p w14:paraId="38B43B3A"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13</w:t>
            </w:r>
          </w:p>
        </w:tc>
        <w:tc>
          <w:tcPr>
            <w:tcW w:w="0" w:type="auto"/>
            <w:vMerge/>
          </w:tcPr>
          <w:p w14:paraId="7550EC45"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B96836" w:rsidRPr="004A34E0" w14:paraId="014C8500" w14:textId="77777777" w:rsidTr="00666947">
        <w:trPr>
          <w:trHeight w:val="191"/>
        </w:trPr>
        <w:tc>
          <w:tcPr>
            <w:cnfStyle w:val="001000000000" w:firstRow="0" w:lastRow="0" w:firstColumn="1" w:lastColumn="0" w:oddVBand="0" w:evenVBand="0" w:oddHBand="0" w:evenHBand="0" w:firstRowFirstColumn="0" w:firstRowLastColumn="0" w:lastRowFirstColumn="0" w:lastRowLastColumn="0"/>
            <w:tcW w:w="0" w:type="auto"/>
            <w:gridSpan w:val="2"/>
            <w:vMerge w:val="restart"/>
          </w:tcPr>
          <w:p w14:paraId="56B181B7" w14:textId="77777777" w:rsidR="00B96836" w:rsidRPr="004A34E0" w:rsidRDefault="00B96836" w:rsidP="00666947">
            <w:pPr>
              <w:pStyle w:val="TableTextLeft"/>
            </w:pPr>
            <w:r w:rsidRPr="004A34E0">
              <w:t>Other conservation reserves</w:t>
            </w:r>
          </w:p>
        </w:tc>
        <w:tc>
          <w:tcPr>
            <w:tcW w:w="0" w:type="auto"/>
            <w:vMerge w:val="restart"/>
          </w:tcPr>
          <w:p w14:paraId="72CA203F"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All</w:t>
            </w:r>
          </w:p>
        </w:tc>
        <w:tc>
          <w:tcPr>
            <w:tcW w:w="0" w:type="auto"/>
            <w:vMerge w:val="restart"/>
          </w:tcPr>
          <w:p w14:paraId="4F43F7C3"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Various</w:t>
            </w:r>
          </w:p>
        </w:tc>
        <w:tc>
          <w:tcPr>
            <w:tcW w:w="0" w:type="auto"/>
            <w:vMerge w:val="restart"/>
          </w:tcPr>
          <w:p w14:paraId="7D84DCD0"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1:25k</w:t>
            </w:r>
          </w:p>
        </w:tc>
        <w:tc>
          <w:tcPr>
            <w:tcW w:w="0" w:type="auto"/>
            <w:vMerge w:val="restart"/>
          </w:tcPr>
          <w:p w14:paraId="6D1803C2"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DELWP (2021c)</w:t>
            </w:r>
          </w:p>
        </w:tc>
        <w:tc>
          <w:tcPr>
            <w:tcW w:w="0" w:type="auto"/>
            <w:vMerge w:val="restart"/>
          </w:tcPr>
          <w:p w14:paraId="4D550E68"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2021</w:t>
            </w:r>
          </w:p>
        </w:tc>
        <w:tc>
          <w:tcPr>
            <w:tcW w:w="0" w:type="auto"/>
          </w:tcPr>
          <w:p w14:paraId="53167908"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Ha</w:t>
            </w:r>
          </w:p>
        </w:tc>
        <w:tc>
          <w:tcPr>
            <w:tcW w:w="0" w:type="auto"/>
          </w:tcPr>
          <w:p w14:paraId="202E0C2A"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0" w:type="auto"/>
          </w:tcPr>
          <w:p w14:paraId="21955C16"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0" w:type="auto"/>
          </w:tcPr>
          <w:p w14:paraId="79FA6DA3"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7,500</w:t>
            </w:r>
          </w:p>
        </w:tc>
        <w:tc>
          <w:tcPr>
            <w:tcW w:w="0" w:type="auto"/>
            <w:vMerge w:val="restart"/>
          </w:tcPr>
          <w:p w14:paraId="174D0885"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Low</w:t>
            </w:r>
          </w:p>
        </w:tc>
      </w:tr>
      <w:tr w:rsidR="00B96836" w:rsidRPr="004A34E0" w14:paraId="2377F936" w14:textId="77777777" w:rsidTr="00666947">
        <w:trPr>
          <w:trHeight w:val="191"/>
        </w:trPr>
        <w:tc>
          <w:tcPr>
            <w:cnfStyle w:val="001000000000" w:firstRow="0" w:lastRow="0" w:firstColumn="1" w:lastColumn="0" w:oddVBand="0" w:evenVBand="0" w:oddHBand="0" w:evenHBand="0" w:firstRowFirstColumn="0" w:firstRowLastColumn="0" w:lastRowFirstColumn="0" w:lastRowLastColumn="0"/>
            <w:tcW w:w="0" w:type="auto"/>
            <w:gridSpan w:val="2"/>
            <w:vMerge/>
          </w:tcPr>
          <w:p w14:paraId="6F970AB1" w14:textId="77777777" w:rsidR="00B96836" w:rsidRPr="004A34E0" w:rsidRDefault="00B96836" w:rsidP="00666947">
            <w:pPr>
              <w:pStyle w:val="TableTextLeft"/>
            </w:pPr>
          </w:p>
        </w:tc>
        <w:tc>
          <w:tcPr>
            <w:tcW w:w="0" w:type="auto"/>
            <w:vMerge/>
          </w:tcPr>
          <w:p w14:paraId="10822343"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tcPr>
          <w:p w14:paraId="6B8F830D"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tcPr>
          <w:p w14:paraId="7BA36F06"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tcPr>
          <w:p w14:paraId="47E72933"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tcPr>
          <w:p w14:paraId="0A245249"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0" w:type="auto"/>
          </w:tcPr>
          <w:p w14:paraId="2E757C4F"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Number</w:t>
            </w:r>
          </w:p>
        </w:tc>
        <w:tc>
          <w:tcPr>
            <w:tcW w:w="0" w:type="auto"/>
          </w:tcPr>
          <w:p w14:paraId="6C2EA89B"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0" w:type="auto"/>
          </w:tcPr>
          <w:p w14:paraId="55072E34"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0" w:type="auto"/>
          </w:tcPr>
          <w:p w14:paraId="0F847050"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52</w:t>
            </w:r>
          </w:p>
        </w:tc>
        <w:tc>
          <w:tcPr>
            <w:tcW w:w="0" w:type="auto"/>
            <w:vMerge/>
          </w:tcPr>
          <w:p w14:paraId="66D5645C"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B96836" w:rsidRPr="004A34E0" w14:paraId="06AA8D2F" w14:textId="77777777" w:rsidTr="00666947">
        <w:trPr>
          <w:trHeight w:val="80"/>
        </w:trPr>
        <w:tc>
          <w:tcPr>
            <w:cnfStyle w:val="001000000000" w:firstRow="0" w:lastRow="0" w:firstColumn="1" w:lastColumn="0" w:oddVBand="0" w:evenVBand="0" w:oddHBand="0" w:evenHBand="0" w:firstRowFirstColumn="0" w:firstRowLastColumn="0" w:lastRowFirstColumn="0" w:lastRowLastColumn="0"/>
            <w:tcW w:w="0" w:type="auto"/>
            <w:gridSpan w:val="11"/>
            <w:shd w:val="clear" w:color="auto" w:fill="201547" w:themeFill="text2"/>
          </w:tcPr>
          <w:p w14:paraId="4CA053A6" w14:textId="77777777" w:rsidR="00B96836" w:rsidRPr="004A34E0" w:rsidRDefault="00B96836" w:rsidP="000C1F21">
            <w:pPr>
              <w:pStyle w:val="TableTextLeftBold"/>
            </w:pPr>
            <w:r w:rsidRPr="004A34E0">
              <w:t>Socio-economic characteristics - Built assets</w:t>
            </w:r>
          </w:p>
        </w:tc>
        <w:tc>
          <w:tcPr>
            <w:tcW w:w="0" w:type="auto"/>
            <w:shd w:val="clear" w:color="auto" w:fill="201547" w:themeFill="text2"/>
          </w:tcPr>
          <w:p w14:paraId="3DB5E8A3"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rPr>
                <w:i/>
              </w:rPr>
            </w:pPr>
          </w:p>
        </w:tc>
      </w:tr>
      <w:tr w:rsidR="00B96836" w:rsidRPr="004A34E0" w14:paraId="14595E31" w14:textId="77777777" w:rsidTr="00666947">
        <w:trPr>
          <w:trHeight w:val="80"/>
        </w:trPr>
        <w:tc>
          <w:tcPr>
            <w:cnfStyle w:val="001000000000" w:firstRow="0" w:lastRow="0" w:firstColumn="1" w:lastColumn="0" w:oddVBand="0" w:evenVBand="0" w:oddHBand="0" w:evenHBand="0" w:firstRowFirstColumn="0" w:firstRowLastColumn="0" w:lastRowFirstColumn="0" w:lastRowLastColumn="0"/>
            <w:tcW w:w="0" w:type="auto"/>
            <w:gridSpan w:val="2"/>
          </w:tcPr>
          <w:p w14:paraId="57F700FD" w14:textId="77777777" w:rsidR="00B96836" w:rsidRPr="004A34E0" w:rsidRDefault="00B96836" w:rsidP="00666947">
            <w:pPr>
              <w:pStyle w:val="TableTextLeft"/>
            </w:pPr>
            <w:r w:rsidRPr="004A34E0">
              <w:t>Piers and jetties</w:t>
            </w:r>
          </w:p>
        </w:tc>
        <w:tc>
          <w:tcPr>
            <w:tcW w:w="0" w:type="auto"/>
          </w:tcPr>
          <w:p w14:paraId="39EDDD9A"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Marine</w:t>
            </w:r>
          </w:p>
        </w:tc>
        <w:tc>
          <w:tcPr>
            <w:tcW w:w="0" w:type="auto"/>
          </w:tcPr>
          <w:p w14:paraId="755B21CD"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Recreation and Tourism</w:t>
            </w:r>
          </w:p>
        </w:tc>
        <w:tc>
          <w:tcPr>
            <w:tcW w:w="0" w:type="auto"/>
          </w:tcPr>
          <w:p w14:paraId="442CB2E7"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Point data</w:t>
            </w:r>
          </w:p>
        </w:tc>
        <w:tc>
          <w:tcPr>
            <w:tcW w:w="0" w:type="auto"/>
          </w:tcPr>
          <w:p w14:paraId="01D8244F"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DELWP (2020)</w:t>
            </w:r>
          </w:p>
        </w:tc>
        <w:tc>
          <w:tcPr>
            <w:tcW w:w="0" w:type="auto"/>
          </w:tcPr>
          <w:p w14:paraId="5BF59CC0"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2020</w:t>
            </w:r>
          </w:p>
        </w:tc>
        <w:tc>
          <w:tcPr>
            <w:tcW w:w="0" w:type="auto"/>
          </w:tcPr>
          <w:p w14:paraId="788B587A"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Count</w:t>
            </w:r>
          </w:p>
        </w:tc>
        <w:tc>
          <w:tcPr>
            <w:tcW w:w="0" w:type="auto"/>
          </w:tcPr>
          <w:p w14:paraId="14CE324A"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0</w:t>
            </w:r>
          </w:p>
        </w:tc>
        <w:tc>
          <w:tcPr>
            <w:tcW w:w="0" w:type="auto"/>
          </w:tcPr>
          <w:p w14:paraId="456BFF00"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7</w:t>
            </w:r>
          </w:p>
        </w:tc>
        <w:tc>
          <w:tcPr>
            <w:tcW w:w="0" w:type="auto"/>
          </w:tcPr>
          <w:p w14:paraId="5B226CBA"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7</w:t>
            </w:r>
          </w:p>
        </w:tc>
        <w:tc>
          <w:tcPr>
            <w:tcW w:w="0" w:type="auto"/>
          </w:tcPr>
          <w:p w14:paraId="52B21195"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Low</w:t>
            </w:r>
          </w:p>
        </w:tc>
      </w:tr>
      <w:tr w:rsidR="00B96836" w:rsidRPr="004A34E0" w14:paraId="4CA67AB2" w14:textId="77777777" w:rsidTr="00666947">
        <w:trPr>
          <w:trHeight w:val="80"/>
        </w:trPr>
        <w:tc>
          <w:tcPr>
            <w:cnfStyle w:val="001000000000" w:firstRow="0" w:lastRow="0" w:firstColumn="1" w:lastColumn="0" w:oddVBand="0" w:evenVBand="0" w:oddHBand="0" w:evenHBand="0" w:firstRowFirstColumn="0" w:firstRowLastColumn="0" w:lastRowFirstColumn="0" w:lastRowLastColumn="0"/>
            <w:tcW w:w="0" w:type="auto"/>
            <w:gridSpan w:val="2"/>
          </w:tcPr>
          <w:p w14:paraId="437F4834" w14:textId="77777777" w:rsidR="00B96836" w:rsidRPr="004A34E0" w:rsidRDefault="00B96836" w:rsidP="00666947">
            <w:pPr>
              <w:pStyle w:val="TableTextLeft"/>
            </w:pPr>
            <w:r w:rsidRPr="004A34E0">
              <w:t>Boating Infrastructure </w:t>
            </w:r>
          </w:p>
        </w:tc>
        <w:tc>
          <w:tcPr>
            <w:tcW w:w="0" w:type="auto"/>
          </w:tcPr>
          <w:p w14:paraId="0501DAE5"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Marine </w:t>
            </w:r>
          </w:p>
        </w:tc>
        <w:tc>
          <w:tcPr>
            <w:tcW w:w="0" w:type="auto"/>
          </w:tcPr>
          <w:p w14:paraId="33373B2A"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Recreation and Tourism </w:t>
            </w:r>
          </w:p>
        </w:tc>
        <w:tc>
          <w:tcPr>
            <w:tcW w:w="0" w:type="auto"/>
          </w:tcPr>
          <w:p w14:paraId="68E58808"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Point data </w:t>
            </w:r>
          </w:p>
        </w:tc>
        <w:tc>
          <w:tcPr>
            <w:tcW w:w="0" w:type="auto"/>
          </w:tcPr>
          <w:p w14:paraId="48A08993"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DELWP (2020)</w:t>
            </w:r>
          </w:p>
        </w:tc>
        <w:tc>
          <w:tcPr>
            <w:tcW w:w="0" w:type="auto"/>
          </w:tcPr>
          <w:p w14:paraId="51CAB11B"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2021 </w:t>
            </w:r>
          </w:p>
        </w:tc>
        <w:tc>
          <w:tcPr>
            <w:tcW w:w="0" w:type="auto"/>
          </w:tcPr>
          <w:p w14:paraId="67F93771"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Count </w:t>
            </w:r>
          </w:p>
        </w:tc>
        <w:tc>
          <w:tcPr>
            <w:tcW w:w="0" w:type="auto"/>
          </w:tcPr>
          <w:p w14:paraId="5ED0D3B3"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0 </w:t>
            </w:r>
          </w:p>
        </w:tc>
        <w:tc>
          <w:tcPr>
            <w:tcW w:w="0" w:type="auto"/>
          </w:tcPr>
          <w:p w14:paraId="0C565837"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33 </w:t>
            </w:r>
          </w:p>
        </w:tc>
        <w:tc>
          <w:tcPr>
            <w:tcW w:w="0" w:type="auto"/>
          </w:tcPr>
          <w:p w14:paraId="6782F5D1"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33 </w:t>
            </w:r>
          </w:p>
        </w:tc>
        <w:tc>
          <w:tcPr>
            <w:tcW w:w="0" w:type="auto"/>
          </w:tcPr>
          <w:p w14:paraId="261D49D7"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Low </w:t>
            </w:r>
          </w:p>
        </w:tc>
      </w:tr>
      <w:tr w:rsidR="00B96836" w:rsidRPr="004A34E0" w14:paraId="1A4336ED" w14:textId="77777777" w:rsidTr="00666947">
        <w:trPr>
          <w:trHeight w:val="80"/>
        </w:trPr>
        <w:tc>
          <w:tcPr>
            <w:cnfStyle w:val="001000000000" w:firstRow="0" w:lastRow="0" w:firstColumn="1" w:lastColumn="0" w:oddVBand="0" w:evenVBand="0" w:oddHBand="0" w:evenHBand="0" w:firstRowFirstColumn="0" w:firstRowLastColumn="0" w:lastRowFirstColumn="0" w:lastRowLastColumn="0"/>
            <w:tcW w:w="0" w:type="auto"/>
            <w:gridSpan w:val="2"/>
          </w:tcPr>
          <w:p w14:paraId="29BDE458" w14:textId="77777777" w:rsidR="00B96836" w:rsidRPr="004A34E0" w:rsidRDefault="00B96836" w:rsidP="00666947">
            <w:pPr>
              <w:pStyle w:val="TableTextLeft"/>
            </w:pPr>
            <w:r w:rsidRPr="004A34E0">
              <w:t>Walking tracks</w:t>
            </w:r>
          </w:p>
        </w:tc>
        <w:tc>
          <w:tcPr>
            <w:tcW w:w="0" w:type="auto"/>
          </w:tcPr>
          <w:p w14:paraId="74EDCA19"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Terrestrial</w:t>
            </w:r>
          </w:p>
        </w:tc>
        <w:tc>
          <w:tcPr>
            <w:tcW w:w="0" w:type="auto"/>
          </w:tcPr>
          <w:p w14:paraId="616F21E2"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Recreation and Tourism</w:t>
            </w:r>
          </w:p>
        </w:tc>
        <w:tc>
          <w:tcPr>
            <w:tcW w:w="0" w:type="auto"/>
          </w:tcPr>
          <w:p w14:paraId="7F73BE3A"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1:25k</w:t>
            </w:r>
          </w:p>
        </w:tc>
        <w:tc>
          <w:tcPr>
            <w:tcW w:w="0" w:type="auto"/>
          </w:tcPr>
          <w:p w14:paraId="1655C330"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DELWP (2021d)</w:t>
            </w:r>
          </w:p>
        </w:tc>
        <w:tc>
          <w:tcPr>
            <w:tcW w:w="0" w:type="auto"/>
          </w:tcPr>
          <w:p w14:paraId="732DD589"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2020</w:t>
            </w:r>
          </w:p>
        </w:tc>
        <w:tc>
          <w:tcPr>
            <w:tcW w:w="0" w:type="auto"/>
          </w:tcPr>
          <w:p w14:paraId="4065E573"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Km</w:t>
            </w:r>
          </w:p>
        </w:tc>
        <w:tc>
          <w:tcPr>
            <w:tcW w:w="0" w:type="auto"/>
          </w:tcPr>
          <w:p w14:paraId="20205036"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17</w:t>
            </w:r>
          </w:p>
        </w:tc>
        <w:tc>
          <w:tcPr>
            <w:tcW w:w="0" w:type="auto"/>
          </w:tcPr>
          <w:p w14:paraId="12B1DC85"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222</w:t>
            </w:r>
          </w:p>
        </w:tc>
        <w:tc>
          <w:tcPr>
            <w:tcW w:w="0" w:type="auto"/>
          </w:tcPr>
          <w:p w14:paraId="4C6596EF"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239</w:t>
            </w:r>
          </w:p>
        </w:tc>
        <w:tc>
          <w:tcPr>
            <w:tcW w:w="0" w:type="auto"/>
          </w:tcPr>
          <w:p w14:paraId="705C26A3"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Low</w:t>
            </w:r>
          </w:p>
        </w:tc>
      </w:tr>
      <w:tr w:rsidR="00B96836" w:rsidRPr="004A34E0" w14:paraId="399BC867" w14:textId="77777777" w:rsidTr="00666947">
        <w:trPr>
          <w:trHeight w:val="64"/>
        </w:trPr>
        <w:tc>
          <w:tcPr>
            <w:cnfStyle w:val="001000000000" w:firstRow="0" w:lastRow="0" w:firstColumn="1" w:lastColumn="0" w:oddVBand="0" w:evenVBand="0" w:oddHBand="0" w:evenHBand="0" w:firstRowFirstColumn="0" w:firstRowLastColumn="0" w:lastRowFirstColumn="0" w:lastRowLastColumn="0"/>
            <w:tcW w:w="0" w:type="auto"/>
            <w:gridSpan w:val="2"/>
          </w:tcPr>
          <w:p w14:paraId="1F9ED161" w14:textId="77777777" w:rsidR="00B96836" w:rsidRPr="004A34E0" w:rsidRDefault="00B96836" w:rsidP="00666947">
            <w:pPr>
              <w:pStyle w:val="TableTextLeft"/>
            </w:pPr>
            <w:r w:rsidRPr="004A34E0">
              <w:t>Bike paths &amp; mountain bike trails</w:t>
            </w:r>
          </w:p>
        </w:tc>
        <w:tc>
          <w:tcPr>
            <w:tcW w:w="0" w:type="auto"/>
          </w:tcPr>
          <w:p w14:paraId="2AD34151"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Terrestrial</w:t>
            </w:r>
          </w:p>
        </w:tc>
        <w:tc>
          <w:tcPr>
            <w:tcW w:w="0" w:type="auto"/>
          </w:tcPr>
          <w:p w14:paraId="057D9A6B"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Recreation and Tourism</w:t>
            </w:r>
          </w:p>
        </w:tc>
        <w:tc>
          <w:tcPr>
            <w:tcW w:w="0" w:type="auto"/>
          </w:tcPr>
          <w:p w14:paraId="3E99B41E"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1:25k</w:t>
            </w:r>
          </w:p>
        </w:tc>
        <w:tc>
          <w:tcPr>
            <w:tcW w:w="0" w:type="auto"/>
          </w:tcPr>
          <w:p w14:paraId="299FB40C"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proofErr w:type="spellStart"/>
            <w:r w:rsidRPr="004A34E0">
              <w:t>Trailforks</w:t>
            </w:r>
            <w:proofErr w:type="spellEnd"/>
            <w:r w:rsidRPr="004A34E0">
              <w:t xml:space="preserve"> (2021)</w:t>
            </w:r>
          </w:p>
        </w:tc>
        <w:tc>
          <w:tcPr>
            <w:tcW w:w="0" w:type="auto"/>
          </w:tcPr>
          <w:p w14:paraId="6ECAFF55"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2021</w:t>
            </w:r>
          </w:p>
        </w:tc>
        <w:tc>
          <w:tcPr>
            <w:tcW w:w="0" w:type="auto"/>
          </w:tcPr>
          <w:p w14:paraId="7CB24AF3"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Km</w:t>
            </w:r>
          </w:p>
        </w:tc>
        <w:tc>
          <w:tcPr>
            <w:tcW w:w="0" w:type="auto"/>
          </w:tcPr>
          <w:p w14:paraId="5EF23BD8"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0" w:type="auto"/>
          </w:tcPr>
          <w:p w14:paraId="0DEEB925"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0" w:type="auto"/>
          </w:tcPr>
          <w:p w14:paraId="1A417498"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69</w:t>
            </w:r>
          </w:p>
        </w:tc>
        <w:tc>
          <w:tcPr>
            <w:tcW w:w="0" w:type="auto"/>
          </w:tcPr>
          <w:p w14:paraId="5C22AEE1" w14:textId="77777777" w:rsidR="00B96836" w:rsidRPr="004A34E0" w:rsidRDefault="00B96836" w:rsidP="00666947">
            <w:pPr>
              <w:pStyle w:val="TableTextLeft"/>
              <w:cnfStyle w:val="000000000000" w:firstRow="0" w:lastRow="0" w:firstColumn="0" w:lastColumn="0" w:oddVBand="0" w:evenVBand="0" w:oddHBand="0" w:evenHBand="0" w:firstRowFirstColumn="0" w:firstRowLastColumn="0" w:lastRowFirstColumn="0" w:lastRowLastColumn="0"/>
            </w:pPr>
            <w:r w:rsidRPr="004A34E0">
              <w:t>Medium</w:t>
            </w:r>
          </w:p>
        </w:tc>
      </w:tr>
    </w:tbl>
    <w:p w14:paraId="046844C5" w14:textId="77777777" w:rsidR="00537CBB" w:rsidRDefault="007904E8" w:rsidP="00537CBB">
      <w:pPr>
        <w:pStyle w:val="NoteHeading"/>
      </w:pPr>
      <w:r w:rsidRPr="004A34E0">
        <w:rPr>
          <w:vertAlign w:val="superscript"/>
        </w:rPr>
        <w:t xml:space="preserve">a </w:t>
      </w:r>
      <w:r w:rsidRPr="004A34E0">
        <w:t>Vegetation biomass data is only available on public land.</w:t>
      </w:r>
    </w:p>
    <w:p w14:paraId="21BD3367" w14:textId="77777777" w:rsidR="00537CBB" w:rsidRDefault="007904E8" w:rsidP="00537CBB">
      <w:pPr>
        <w:pStyle w:val="NoteHeading"/>
      </w:pPr>
      <w:r w:rsidRPr="004A34E0">
        <w:rPr>
          <w:vertAlign w:val="superscript"/>
        </w:rPr>
        <w:t xml:space="preserve">b </w:t>
      </w:r>
      <w:r w:rsidRPr="004A34E0">
        <w:t>There are no estuaries outside the GORCAPA area.</w:t>
      </w:r>
    </w:p>
    <w:p w14:paraId="4C1DD36B" w14:textId="77777777" w:rsidR="00537CBB" w:rsidRDefault="007904E8" w:rsidP="00537CBB">
      <w:pPr>
        <w:pStyle w:val="NoteHeading"/>
        <w:rPr>
          <w:vertAlign w:val="superscript"/>
        </w:rPr>
      </w:pPr>
      <w:r w:rsidRPr="004A34E0">
        <w:rPr>
          <w:vertAlign w:val="superscript"/>
        </w:rPr>
        <w:t xml:space="preserve">c </w:t>
      </w:r>
      <w:r w:rsidRPr="004A34E0">
        <w:t>The majority of views from the GOR are to the ocean, which only a small part is within GORCAPA area.</w:t>
      </w:r>
    </w:p>
    <w:p w14:paraId="57A5BF18" w14:textId="0736606C" w:rsidR="00537CBB" w:rsidRDefault="007904E8" w:rsidP="00537CBB">
      <w:pPr>
        <w:pStyle w:val="NoteHeading"/>
      </w:pPr>
      <w:r w:rsidRPr="004A34E0">
        <w:rPr>
          <w:vertAlign w:val="superscript"/>
        </w:rPr>
        <w:t xml:space="preserve">d </w:t>
      </w:r>
      <w:r w:rsidRPr="004A34E0">
        <w:t>Shipwrecks are included within “Assets of cultural heritage”.</w:t>
      </w:r>
    </w:p>
    <w:p w14:paraId="41A30956" w14:textId="5EB8190C" w:rsidR="007904E8" w:rsidRPr="004A34E0" w:rsidRDefault="007904E8" w:rsidP="00537CBB">
      <w:pPr>
        <w:pStyle w:val="NoteHeading"/>
        <w:rPr>
          <w:b/>
        </w:rPr>
        <w:sectPr w:rsidR="007904E8" w:rsidRPr="004A34E0" w:rsidSect="00E52A9A">
          <w:headerReference w:type="even" r:id="rId123"/>
          <w:headerReference w:type="default" r:id="rId124"/>
          <w:footerReference w:type="even" r:id="rId125"/>
          <w:footerReference w:type="default" r:id="rId126"/>
          <w:pgSz w:w="23811" w:h="16838" w:orient="landscape" w:code="8"/>
          <w:pgMar w:top="1134" w:right="1134" w:bottom="1134" w:left="1134" w:header="283" w:footer="283" w:gutter="0"/>
          <w:cols w:space="284"/>
          <w:docGrid w:linePitch="360"/>
        </w:sectPr>
      </w:pPr>
      <w:r w:rsidRPr="004A34E0">
        <w:rPr>
          <w:vertAlign w:val="superscript"/>
        </w:rPr>
        <w:t>e</w:t>
      </w:r>
      <w:r w:rsidRPr="004A34E0">
        <w:t xml:space="preserve"> Relative forest age dataset is only populated for public land forests.</w:t>
      </w:r>
    </w:p>
    <w:p w14:paraId="26AA0B60" w14:textId="77777777" w:rsidR="007904E8" w:rsidRPr="004A34E0" w:rsidRDefault="007904E8" w:rsidP="007904E8">
      <w:pPr>
        <w:pStyle w:val="BodyText"/>
      </w:pPr>
      <w:r w:rsidRPr="004A34E0">
        <w:lastRenderedPageBreak/>
        <w:t>Table 22 summarises the uncertainty associated with these results and shows that there is low to medium uncertainty given that all datasets used in the condition account did not undertake any further extrapolation or interpretation by the AAE GOR team and that these datasets were either recorded data (low uncertainty) or interpolated / extrapolated / modelled data from reliable sources (medium uncertainty).</w:t>
      </w:r>
    </w:p>
    <w:p w14:paraId="64832CBA" w14:textId="77777777" w:rsidR="007904E8" w:rsidRPr="004A34E0" w:rsidRDefault="007904E8" w:rsidP="00270081">
      <w:pPr>
        <w:pStyle w:val="Caption"/>
      </w:pPr>
      <w:r w:rsidRPr="004A34E0">
        <w:t>Table 22. Uncertainty assessment - condition account</w:t>
      </w:r>
    </w:p>
    <w:tbl>
      <w:tblPr>
        <w:tblStyle w:val="TableGrid"/>
        <w:tblW w:w="5000" w:type="pct"/>
        <w:tblLook w:val="04A0" w:firstRow="1" w:lastRow="0" w:firstColumn="1" w:lastColumn="0" w:noHBand="0" w:noVBand="1"/>
      </w:tblPr>
      <w:tblGrid>
        <w:gridCol w:w="1360"/>
        <w:gridCol w:w="3696"/>
        <w:gridCol w:w="3644"/>
        <w:gridCol w:w="938"/>
      </w:tblGrid>
      <w:tr w:rsidR="007904E8" w:rsidRPr="004A34E0" w14:paraId="48325C22" w14:textId="77777777" w:rsidTr="002573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2" w:type="pct"/>
            <w:shd w:val="clear" w:color="auto" w:fill="004C97"/>
          </w:tcPr>
          <w:p w14:paraId="1D7AD06D" w14:textId="77777777" w:rsidR="007904E8" w:rsidRPr="004A34E0" w:rsidRDefault="007904E8" w:rsidP="002573E4">
            <w:pPr>
              <w:pStyle w:val="TableHeadingLeft"/>
            </w:pPr>
          </w:p>
        </w:tc>
        <w:tc>
          <w:tcPr>
            <w:tcW w:w="3865" w:type="pct"/>
            <w:gridSpan w:val="2"/>
            <w:shd w:val="clear" w:color="auto" w:fill="004C97"/>
          </w:tcPr>
          <w:p w14:paraId="0B9AB5A0" w14:textId="77777777" w:rsidR="007904E8" w:rsidRPr="004A34E0" w:rsidRDefault="007904E8" w:rsidP="002573E4">
            <w:pPr>
              <w:pStyle w:val="TableHeadingLeft"/>
              <w:cnfStyle w:val="100000000000" w:firstRow="1" w:lastRow="0" w:firstColumn="0" w:lastColumn="0" w:oddVBand="0" w:evenVBand="0" w:oddHBand="0" w:evenHBand="0" w:firstRowFirstColumn="0" w:firstRowLastColumn="0" w:lastRowFirstColumn="0" w:lastRowLastColumn="0"/>
            </w:pPr>
            <w:r w:rsidRPr="004A34E0">
              <w:t>Uncertainty in…</w:t>
            </w:r>
          </w:p>
        </w:tc>
        <w:tc>
          <w:tcPr>
            <w:tcW w:w="463" w:type="pct"/>
            <w:shd w:val="clear" w:color="auto" w:fill="004C97"/>
          </w:tcPr>
          <w:p w14:paraId="49366E4D" w14:textId="77777777" w:rsidR="007904E8" w:rsidRPr="004A34E0" w:rsidRDefault="007904E8" w:rsidP="002573E4">
            <w:pPr>
              <w:pStyle w:val="TableHeadingLeft"/>
              <w:cnfStyle w:val="100000000000" w:firstRow="1" w:lastRow="0" w:firstColumn="0" w:lastColumn="0" w:oddVBand="0" w:evenVBand="0" w:oddHBand="0" w:evenHBand="0" w:firstRowFirstColumn="0" w:firstRowLastColumn="0" w:lastRowFirstColumn="0" w:lastRowLastColumn="0"/>
            </w:pPr>
          </w:p>
        </w:tc>
      </w:tr>
      <w:tr w:rsidR="002573E4" w:rsidRPr="004A34E0" w14:paraId="4DAFF4AB" w14:textId="77777777" w:rsidTr="002573E4">
        <w:tc>
          <w:tcPr>
            <w:cnfStyle w:val="001000000000" w:firstRow="0" w:lastRow="0" w:firstColumn="1" w:lastColumn="0" w:oddVBand="0" w:evenVBand="0" w:oddHBand="0" w:evenHBand="0" w:firstRowFirstColumn="0" w:firstRowLastColumn="0" w:lastRowFirstColumn="0" w:lastRowLastColumn="0"/>
            <w:tcW w:w="672" w:type="pct"/>
            <w:tcBorders>
              <w:top w:val="nil"/>
            </w:tcBorders>
            <w:shd w:val="clear" w:color="auto" w:fill="004C97"/>
          </w:tcPr>
          <w:p w14:paraId="4F056E3A" w14:textId="77777777" w:rsidR="007904E8" w:rsidRPr="004A34E0" w:rsidRDefault="007904E8" w:rsidP="002573E4">
            <w:pPr>
              <w:pStyle w:val="TableHeadingLeft"/>
            </w:pPr>
          </w:p>
        </w:tc>
        <w:tc>
          <w:tcPr>
            <w:tcW w:w="1946" w:type="pct"/>
            <w:tcBorders>
              <w:top w:val="nil"/>
            </w:tcBorders>
            <w:shd w:val="clear" w:color="auto" w:fill="004C97"/>
          </w:tcPr>
          <w:p w14:paraId="1E6273CD" w14:textId="77777777" w:rsidR="007904E8" w:rsidRPr="004A34E0" w:rsidRDefault="007904E8" w:rsidP="002573E4">
            <w:pPr>
              <w:pStyle w:val="TableHeadingLeft"/>
              <w:cnfStyle w:val="000000000000" w:firstRow="0" w:lastRow="0" w:firstColumn="0" w:lastColumn="0" w:oddVBand="0" w:evenVBand="0" w:oddHBand="0" w:evenHBand="0" w:firstRowFirstColumn="0" w:firstRowLastColumn="0" w:lastRowFirstColumn="0" w:lastRowLastColumn="0"/>
            </w:pPr>
            <w:r w:rsidRPr="004A34E0">
              <w:t xml:space="preserve">Evidence </w:t>
            </w:r>
          </w:p>
        </w:tc>
        <w:tc>
          <w:tcPr>
            <w:tcW w:w="1919" w:type="pct"/>
            <w:tcBorders>
              <w:top w:val="nil"/>
            </w:tcBorders>
            <w:shd w:val="clear" w:color="auto" w:fill="004C97"/>
          </w:tcPr>
          <w:p w14:paraId="420132F3" w14:textId="77777777" w:rsidR="007904E8" w:rsidRPr="004A34E0" w:rsidRDefault="007904E8" w:rsidP="002573E4">
            <w:pPr>
              <w:pStyle w:val="TableHeadingLeft"/>
              <w:cnfStyle w:val="000000000000" w:firstRow="0" w:lastRow="0" w:firstColumn="0" w:lastColumn="0" w:oddVBand="0" w:evenVBand="0" w:oddHBand="0" w:evenHBand="0" w:firstRowFirstColumn="0" w:firstRowLastColumn="0" w:lastRowFirstColumn="0" w:lastRowLastColumn="0"/>
            </w:pPr>
            <w:r w:rsidRPr="004A34E0">
              <w:t>Assumptions</w:t>
            </w:r>
          </w:p>
        </w:tc>
        <w:tc>
          <w:tcPr>
            <w:tcW w:w="463" w:type="pct"/>
            <w:tcBorders>
              <w:top w:val="nil"/>
            </w:tcBorders>
            <w:shd w:val="clear" w:color="auto" w:fill="004C97"/>
          </w:tcPr>
          <w:p w14:paraId="430C65F3" w14:textId="77777777" w:rsidR="007904E8" w:rsidRPr="004A34E0" w:rsidRDefault="007904E8" w:rsidP="002573E4">
            <w:pPr>
              <w:pStyle w:val="TableHeadingLeft"/>
              <w:cnfStyle w:val="000000000000" w:firstRow="0" w:lastRow="0" w:firstColumn="0" w:lastColumn="0" w:oddVBand="0" w:evenVBand="0" w:oddHBand="0" w:evenHBand="0" w:firstRowFirstColumn="0" w:firstRowLastColumn="0" w:lastRowFirstColumn="0" w:lastRowLastColumn="0"/>
            </w:pPr>
            <w:r w:rsidRPr="004A34E0">
              <w:t>Total</w:t>
            </w:r>
          </w:p>
        </w:tc>
      </w:tr>
      <w:tr w:rsidR="002573E4" w:rsidRPr="004A34E0" w14:paraId="474AC9A0" w14:textId="77777777" w:rsidTr="002573E4">
        <w:tc>
          <w:tcPr>
            <w:cnfStyle w:val="001000000000" w:firstRow="0" w:lastRow="0" w:firstColumn="1" w:lastColumn="0" w:oddVBand="0" w:evenVBand="0" w:oddHBand="0" w:evenHBand="0" w:firstRowFirstColumn="0" w:firstRowLastColumn="0" w:lastRowFirstColumn="0" w:lastRowLastColumn="0"/>
            <w:tcW w:w="672" w:type="pct"/>
            <w:tcBorders>
              <w:bottom w:val="single" w:sz="4" w:space="0" w:color="auto"/>
            </w:tcBorders>
          </w:tcPr>
          <w:p w14:paraId="724A1258" w14:textId="77777777" w:rsidR="007904E8" w:rsidRPr="004A34E0" w:rsidRDefault="007904E8" w:rsidP="00666947">
            <w:pPr>
              <w:pStyle w:val="TableTextLeft"/>
              <w:rPr>
                <w:b/>
              </w:rPr>
            </w:pPr>
            <w:r w:rsidRPr="004A34E0">
              <w:rPr>
                <w:b/>
              </w:rPr>
              <w:t>Explanation</w:t>
            </w:r>
          </w:p>
        </w:tc>
        <w:tc>
          <w:tcPr>
            <w:tcW w:w="1946" w:type="pct"/>
            <w:tcBorders>
              <w:bottom w:val="single" w:sz="4" w:space="0" w:color="auto"/>
            </w:tcBorders>
          </w:tcPr>
          <w:p w14:paraId="1EAEAC16"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The data available does not comprehensively capture the ecological condition or socio-economic characteristics of ecosystem assets within the GORCAP EEA</w:t>
            </w:r>
          </w:p>
          <w:p w14:paraId="2E0C940C"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 xml:space="preserve">There is currently limited data on the ecological condition of marine biodiversity  </w:t>
            </w:r>
          </w:p>
          <w:p w14:paraId="339851D9"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The robustness of the evidence depends in part on the resolution of the data.</w:t>
            </w:r>
          </w:p>
          <w:p w14:paraId="7588C23A"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A large number of spatial datasets have been used to build the condition account. Some are based on recorded data (length of bike trails, number of jetties, area of national parks) whilst others are based on interpretations/ extrapolations from recorded data and/or modelled data (vegetation &amp; estuary condition score, landslip/coastal acid sulphate soil susceptibility, and carbon stock)</w:t>
            </w:r>
          </w:p>
        </w:tc>
        <w:tc>
          <w:tcPr>
            <w:tcW w:w="1919" w:type="pct"/>
            <w:tcBorders>
              <w:bottom w:val="single" w:sz="4" w:space="0" w:color="auto"/>
            </w:tcBorders>
          </w:tcPr>
          <w:p w14:paraId="274654B3" w14:textId="0E6B646C" w:rsidR="007904E8" w:rsidRPr="004A34E0" w:rsidRDefault="007904E8" w:rsidP="000C1F21">
            <w:pPr>
              <w:pStyle w:val="ListBullet"/>
              <w:cnfStyle w:val="000000000000" w:firstRow="0" w:lastRow="0" w:firstColumn="0" w:lastColumn="0" w:oddVBand="0" w:evenVBand="0" w:oddHBand="0" w:evenHBand="0" w:firstRowFirstColumn="0" w:firstRowLastColumn="0" w:lastRowFirstColumn="0" w:lastRowLastColumn="0"/>
            </w:pPr>
            <w:r w:rsidRPr="004A34E0">
              <w:t>No assumptions have been made by the GOR AAE team when using data to create the condition accounts, the data has been collated without modification, however each dataset used will have its own inherent assumptions, in particular the datasets that rely on interpolations/extrapolations and modelling as part of their creation. This fact has been used when designating the uncertainty scores to each condition category within table 21.</w:t>
            </w:r>
          </w:p>
        </w:tc>
        <w:tc>
          <w:tcPr>
            <w:tcW w:w="463" w:type="pct"/>
            <w:tcBorders>
              <w:bottom w:val="single" w:sz="4" w:space="0" w:color="auto"/>
            </w:tcBorders>
          </w:tcPr>
          <w:p w14:paraId="502C1C6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Medium</w:t>
            </w:r>
          </w:p>
        </w:tc>
      </w:tr>
      <w:tr w:rsidR="002573E4" w:rsidRPr="004A34E0" w14:paraId="720D43C1" w14:textId="77777777" w:rsidTr="002573E4">
        <w:tc>
          <w:tcPr>
            <w:cnfStyle w:val="001000000000" w:firstRow="0" w:lastRow="0" w:firstColumn="1" w:lastColumn="0" w:oddVBand="0" w:evenVBand="0" w:oddHBand="0" w:evenHBand="0" w:firstRowFirstColumn="0" w:firstRowLastColumn="0" w:lastRowFirstColumn="0" w:lastRowLastColumn="0"/>
            <w:tcW w:w="672" w:type="pct"/>
            <w:shd w:val="clear" w:color="auto" w:fill="CCDBEA"/>
          </w:tcPr>
          <w:p w14:paraId="1B25E508" w14:textId="77777777" w:rsidR="007904E8" w:rsidRPr="004A34E0" w:rsidRDefault="007904E8" w:rsidP="00666947">
            <w:pPr>
              <w:pStyle w:val="TableTextLeft"/>
              <w:rPr>
                <w:b/>
              </w:rPr>
            </w:pPr>
            <w:r w:rsidRPr="004A34E0">
              <w:rPr>
                <w:b/>
              </w:rPr>
              <w:t xml:space="preserve">Rating </w:t>
            </w:r>
          </w:p>
        </w:tc>
        <w:tc>
          <w:tcPr>
            <w:tcW w:w="1946" w:type="pct"/>
            <w:shd w:val="clear" w:color="auto" w:fill="CCDBEA"/>
          </w:tcPr>
          <w:p w14:paraId="17D0189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w:t>
            </w:r>
          </w:p>
        </w:tc>
        <w:tc>
          <w:tcPr>
            <w:tcW w:w="1919" w:type="pct"/>
            <w:shd w:val="clear" w:color="auto" w:fill="CCDBEA"/>
          </w:tcPr>
          <w:p w14:paraId="254BDA3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w:t>
            </w:r>
          </w:p>
        </w:tc>
        <w:tc>
          <w:tcPr>
            <w:tcW w:w="463" w:type="pct"/>
            <w:shd w:val="clear" w:color="auto" w:fill="CCDBEA"/>
          </w:tcPr>
          <w:p w14:paraId="69FEE11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w:t>
            </w:r>
          </w:p>
        </w:tc>
      </w:tr>
    </w:tbl>
    <w:p w14:paraId="01ED499D" w14:textId="77777777" w:rsidR="007904E8" w:rsidRPr="004A34E0" w:rsidRDefault="007904E8" w:rsidP="007904E8">
      <w:pPr>
        <w:pStyle w:val="BodyText"/>
        <w:rPr>
          <w:b/>
        </w:rPr>
      </w:pPr>
    </w:p>
    <w:p w14:paraId="072DC150" w14:textId="77777777" w:rsidR="007904E8" w:rsidRPr="004A34E0" w:rsidRDefault="007904E8" w:rsidP="007904E8">
      <w:pPr>
        <w:pStyle w:val="BodyText"/>
        <w:rPr>
          <w:b/>
        </w:rPr>
        <w:sectPr w:rsidR="007904E8" w:rsidRPr="004A34E0" w:rsidSect="00E52A9A">
          <w:headerReference w:type="default" r:id="rId127"/>
          <w:footerReference w:type="even" r:id="rId128"/>
          <w:footerReference w:type="default" r:id="rId129"/>
          <w:pgSz w:w="11906" w:h="16838" w:code="9"/>
          <w:pgMar w:top="1134" w:right="1134" w:bottom="1134" w:left="1134" w:header="283" w:footer="283" w:gutter="0"/>
          <w:cols w:space="284"/>
          <w:docGrid w:linePitch="360"/>
        </w:sectPr>
      </w:pPr>
    </w:p>
    <w:p w14:paraId="015DD32A" w14:textId="77777777" w:rsidR="007904E8" w:rsidRPr="002573E4" w:rsidRDefault="007904E8" w:rsidP="00B22F84">
      <w:pPr>
        <w:pStyle w:val="Caption"/>
      </w:pPr>
      <w:r w:rsidRPr="002573E4">
        <w:lastRenderedPageBreak/>
        <w:t>Figure 14. Vegetation condition score (DELWP, 2017)</w:t>
      </w:r>
    </w:p>
    <w:p w14:paraId="077AA61A" w14:textId="77777777" w:rsidR="007904E8" w:rsidRPr="004A34E0" w:rsidRDefault="007904E8" w:rsidP="007904E8">
      <w:pPr>
        <w:pStyle w:val="BodyText"/>
      </w:pPr>
      <w:r w:rsidRPr="004A34E0">
        <w:rPr>
          <w:noProof/>
        </w:rPr>
        <mc:AlternateContent>
          <mc:Choice Requires="wps">
            <w:drawing>
              <wp:anchor distT="45720" distB="45720" distL="114300" distR="114300" simplePos="0" relativeHeight="251658308" behindDoc="0" locked="0" layoutInCell="1" allowOverlap="1" wp14:anchorId="131F0211" wp14:editId="4E083FBB">
                <wp:simplePos x="0" y="0"/>
                <wp:positionH relativeFrom="column">
                  <wp:posOffset>615210</wp:posOffset>
                </wp:positionH>
                <wp:positionV relativeFrom="paragraph">
                  <wp:posOffset>2763468</wp:posOffset>
                </wp:positionV>
                <wp:extent cx="1581150" cy="1404620"/>
                <wp:effectExtent l="0" t="0" r="0" b="3175"/>
                <wp:wrapNone/>
                <wp:docPr id="792" name="Text Box 7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1404620"/>
                        </a:xfrm>
                        <a:prstGeom prst="rect">
                          <a:avLst/>
                        </a:prstGeom>
                        <a:solidFill>
                          <a:schemeClr val="bg1"/>
                        </a:solidFill>
                        <a:ln w="9525">
                          <a:noFill/>
                          <a:miter lim="800000"/>
                          <a:headEnd/>
                          <a:tailEnd/>
                        </a:ln>
                      </wps:spPr>
                      <wps:txbx>
                        <w:txbxContent>
                          <w:p w14:paraId="0C0DF56F" w14:textId="77777777" w:rsidR="007904E8" w:rsidRPr="00165BAD" w:rsidRDefault="007904E8" w:rsidP="007904E8">
                            <w:pPr>
                              <w:rPr>
                                <w:b/>
                                <w:bCs/>
                                <w:sz w:val="24"/>
                                <w:szCs w:val="24"/>
                              </w:rPr>
                            </w:pPr>
                            <w:r w:rsidRPr="00165BAD">
                              <w:rPr>
                                <w:b/>
                                <w:bCs/>
                                <w:sz w:val="24"/>
                                <w:szCs w:val="24"/>
                              </w:rPr>
                              <w:t>GORCAP EEA area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31F0211" id="Text Box 792" o:spid="_x0000_s1057" type="#_x0000_t202" style="position:absolute;margin-left:48.45pt;margin-top:217.6pt;width:124.5pt;height:110.6pt;z-index:2516583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" fillcolor="white [3212]" stroked="f">
                <v:textbox style="mso-fit-shape-to-text:t">
                  <w:txbxContent>
                    <w:p w14:paraId="0C0DF56F" w14:textId="77777777" w:rsidR="007904E8" w:rsidRPr="00165BAD" w:rsidRDefault="007904E8" w:rsidP="007904E8">
                      <w:pPr>
                        <w:rPr>
                          <w:b/>
                          <w:bCs/>
                          <w:sz w:val="24"/>
                          <w:szCs w:val="24"/>
                        </w:rPr>
                      </w:pPr>
                      <w:r w:rsidRPr="00165BAD">
                        <w:rPr>
                          <w:b/>
                          <w:bCs/>
                          <w:sz w:val="24"/>
                          <w:szCs w:val="24"/>
                        </w:rPr>
                        <w:t>GORCAP EEA area</w:t>
                      </w:r>
                    </w:p>
                  </w:txbxContent>
                </v:textbox>
              </v:shape>
            </w:pict>
          </mc:Fallback>
        </mc:AlternateContent>
      </w:r>
      <w:r w:rsidRPr="004A34E0">
        <w:rPr>
          <w:rFonts w:eastAsia="Calibri"/>
          <w:noProof/>
        </w:rPr>
        <w:drawing>
          <wp:inline distT="0" distB="0" distL="0" distR="0" wp14:anchorId="1A1B5EFD" wp14:editId="57233A96">
            <wp:extent cx="12587844" cy="5423984"/>
            <wp:effectExtent l="0" t="0" r="4445" b="5715"/>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0" cstate="email">
                      <a:extLst>
                        <a:ext uri="{28A0092B-C50C-407E-A947-70E740481C1C}">
                          <a14:useLocalDpi xmlns:a14="http://schemas.microsoft.com/office/drawing/2010/main"/>
                        </a:ext>
                      </a:extLst>
                    </a:blip>
                    <a:srcRect/>
                    <a:stretch/>
                  </pic:blipFill>
                  <pic:spPr bwMode="auto">
                    <a:xfrm>
                      <a:off x="0" y="0"/>
                      <a:ext cx="12600556" cy="5429461"/>
                    </a:xfrm>
                    <a:prstGeom prst="rect">
                      <a:avLst/>
                    </a:prstGeom>
                    <a:noFill/>
                    <a:ln>
                      <a:noFill/>
                    </a:ln>
                    <a:extLst>
                      <a:ext uri="{53640926-AAD7-44D8-BBD7-CCE9431645EC}">
                        <a14:shadowObscured xmlns:a14="http://schemas.microsoft.com/office/drawing/2010/main"/>
                      </a:ext>
                    </a:extLst>
                  </pic:spPr>
                </pic:pic>
              </a:graphicData>
            </a:graphic>
          </wp:inline>
        </w:drawing>
      </w:r>
    </w:p>
    <w:p w14:paraId="0742F258" w14:textId="3A55DBF7" w:rsidR="007904E8" w:rsidRPr="004A34E0" w:rsidRDefault="007904E8" w:rsidP="00B22F84">
      <w:pPr>
        <w:pStyle w:val="Caption"/>
      </w:pPr>
      <w:r w:rsidRPr="004A34E0">
        <w:t>Table 23. Mean vegetation score by broad ecosystem</w:t>
      </w:r>
    </w:p>
    <w:tbl>
      <w:tblPr>
        <w:tblStyle w:val="TableGrid"/>
        <w:tblW w:w="0" w:type="auto"/>
        <w:tblLook w:val="04A0" w:firstRow="1" w:lastRow="0" w:firstColumn="1" w:lastColumn="0" w:noHBand="0" w:noVBand="1"/>
      </w:tblPr>
      <w:tblGrid>
        <w:gridCol w:w="3402"/>
        <w:gridCol w:w="3402"/>
        <w:gridCol w:w="3402"/>
      </w:tblGrid>
      <w:tr w:rsidR="007904E8" w:rsidRPr="004A34E0" w14:paraId="176280AC" w14:textId="77777777" w:rsidTr="000C1F21">
        <w:trPr>
          <w:cnfStyle w:val="100000000000" w:firstRow="1" w:lastRow="0" w:firstColumn="0" w:lastColumn="0" w:oddVBand="0" w:evenVBand="0" w:oddHBand="0"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3402" w:type="dxa"/>
            <w:noWrap/>
            <w:hideMark/>
          </w:tcPr>
          <w:p w14:paraId="78CE9B68" w14:textId="77777777" w:rsidR="007904E8" w:rsidRPr="004A34E0" w:rsidRDefault="007904E8" w:rsidP="000C1F21">
            <w:pPr>
              <w:pStyle w:val="TableHeadingLeft"/>
            </w:pPr>
            <w:bookmarkStart w:id="219" w:name="_Hlk77738926"/>
            <w:bookmarkStart w:id="220" w:name="_Hlk77738966"/>
            <w:r w:rsidRPr="004A34E0">
              <w:t>Ecosystem</w:t>
            </w:r>
          </w:p>
        </w:tc>
        <w:tc>
          <w:tcPr>
            <w:tcW w:w="3402" w:type="dxa"/>
            <w:hideMark/>
          </w:tcPr>
          <w:p w14:paraId="292CD955" w14:textId="77777777" w:rsidR="007904E8" w:rsidRPr="004A34E0" w:rsidRDefault="007904E8" w:rsidP="000C1F21">
            <w:pPr>
              <w:pStyle w:val="TableHeadingLeft"/>
              <w:cnfStyle w:val="100000000000" w:firstRow="1" w:lastRow="0" w:firstColumn="0" w:lastColumn="0" w:oddVBand="0" w:evenVBand="0" w:oddHBand="0" w:evenHBand="0" w:firstRowFirstColumn="0" w:firstRowLastColumn="0" w:lastRowFirstColumn="0" w:lastRowLastColumn="0"/>
            </w:pPr>
            <w:r w:rsidRPr="004A34E0">
              <w:t>Mean vegetation condition score (0-100)</w:t>
            </w:r>
          </w:p>
        </w:tc>
        <w:tc>
          <w:tcPr>
            <w:tcW w:w="3402" w:type="dxa"/>
            <w:hideMark/>
          </w:tcPr>
          <w:p w14:paraId="389A6D5E" w14:textId="77777777" w:rsidR="007904E8" w:rsidRPr="004A34E0" w:rsidRDefault="007904E8" w:rsidP="000C1F21">
            <w:pPr>
              <w:pStyle w:val="TableHeadingLeft"/>
              <w:cnfStyle w:val="100000000000" w:firstRow="1" w:lastRow="0" w:firstColumn="0" w:lastColumn="0" w:oddVBand="0" w:evenVBand="0" w:oddHBand="0" w:evenHBand="0" w:firstRowFirstColumn="0" w:firstRowLastColumn="0" w:lastRowFirstColumn="0" w:lastRowLastColumn="0"/>
            </w:pPr>
            <w:r w:rsidRPr="004A34E0">
              <w:t>Area covered by dataset (Ha)</w:t>
            </w:r>
          </w:p>
        </w:tc>
      </w:tr>
      <w:tr w:rsidR="007904E8" w:rsidRPr="004A34E0" w14:paraId="53468E4A" w14:textId="77777777" w:rsidTr="000C1F21">
        <w:trPr>
          <w:trHeight w:val="288"/>
        </w:trPr>
        <w:tc>
          <w:tcPr>
            <w:cnfStyle w:val="001000000000" w:firstRow="0" w:lastRow="0" w:firstColumn="1" w:lastColumn="0" w:oddVBand="0" w:evenVBand="0" w:oddHBand="0" w:evenHBand="0" w:firstRowFirstColumn="0" w:firstRowLastColumn="0" w:lastRowFirstColumn="0" w:lastRowLastColumn="0"/>
            <w:tcW w:w="3402" w:type="dxa"/>
            <w:noWrap/>
            <w:hideMark/>
          </w:tcPr>
          <w:p w14:paraId="38EF11F0" w14:textId="77777777" w:rsidR="007904E8" w:rsidRPr="004A34E0" w:rsidRDefault="007904E8" w:rsidP="00666947">
            <w:pPr>
              <w:pStyle w:val="TableTextLeft"/>
            </w:pPr>
            <w:r w:rsidRPr="004A34E0">
              <w:t>Grassland</w:t>
            </w:r>
          </w:p>
        </w:tc>
        <w:tc>
          <w:tcPr>
            <w:tcW w:w="3402" w:type="dxa"/>
            <w:noWrap/>
            <w:hideMark/>
          </w:tcPr>
          <w:p w14:paraId="468FFAA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44</w:t>
            </w:r>
          </w:p>
        </w:tc>
        <w:tc>
          <w:tcPr>
            <w:tcW w:w="3402" w:type="dxa"/>
            <w:noWrap/>
            <w:hideMark/>
          </w:tcPr>
          <w:p w14:paraId="1C8FCA0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838</w:t>
            </w:r>
          </w:p>
        </w:tc>
      </w:tr>
      <w:tr w:rsidR="007904E8" w:rsidRPr="004A34E0" w14:paraId="7945C00D" w14:textId="77777777" w:rsidTr="000C1F21">
        <w:trPr>
          <w:trHeight w:val="288"/>
        </w:trPr>
        <w:tc>
          <w:tcPr>
            <w:cnfStyle w:val="001000000000" w:firstRow="0" w:lastRow="0" w:firstColumn="1" w:lastColumn="0" w:oddVBand="0" w:evenVBand="0" w:oddHBand="0" w:evenHBand="0" w:firstRowFirstColumn="0" w:firstRowLastColumn="0" w:lastRowFirstColumn="0" w:lastRowLastColumn="0"/>
            <w:tcW w:w="3402" w:type="dxa"/>
            <w:noWrap/>
            <w:hideMark/>
          </w:tcPr>
          <w:p w14:paraId="54CD909D" w14:textId="77777777" w:rsidR="007904E8" w:rsidRPr="004A34E0" w:rsidRDefault="007904E8" w:rsidP="00666947">
            <w:pPr>
              <w:pStyle w:val="TableTextLeft"/>
            </w:pPr>
            <w:r w:rsidRPr="004A34E0">
              <w:t>Shrubland</w:t>
            </w:r>
          </w:p>
        </w:tc>
        <w:tc>
          <w:tcPr>
            <w:tcW w:w="3402" w:type="dxa"/>
            <w:noWrap/>
            <w:hideMark/>
          </w:tcPr>
          <w:p w14:paraId="6D31A7C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58</w:t>
            </w:r>
          </w:p>
        </w:tc>
        <w:tc>
          <w:tcPr>
            <w:tcW w:w="3402" w:type="dxa"/>
            <w:noWrap/>
            <w:hideMark/>
          </w:tcPr>
          <w:p w14:paraId="24FF82B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961</w:t>
            </w:r>
          </w:p>
        </w:tc>
      </w:tr>
      <w:tr w:rsidR="007904E8" w:rsidRPr="004A34E0" w14:paraId="739552CC" w14:textId="77777777" w:rsidTr="000C1F21">
        <w:trPr>
          <w:trHeight w:val="288"/>
        </w:trPr>
        <w:tc>
          <w:tcPr>
            <w:cnfStyle w:val="001000000000" w:firstRow="0" w:lastRow="0" w:firstColumn="1" w:lastColumn="0" w:oddVBand="0" w:evenVBand="0" w:oddHBand="0" w:evenHBand="0" w:firstRowFirstColumn="0" w:firstRowLastColumn="0" w:lastRowFirstColumn="0" w:lastRowLastColumn="0"/>
            <w:tcW w:w="3402" w:type="dxa"/>
            <w:noWrap/>
            <w:hideMark/>
          </w:tcPr>
          <w:p w14:paraId="03E5A751" w14:textId="77777777" w:rsidR="007904E8" w:rsidRPr="004A34E0" w:rsidRDefault="007904E8" w:rsidP="00666947">
            <w:pPr>
              <w:pStyle w:val="TableTextLeft"/>
            </w:pPr>
            <w:r w:rsidRPr="004A34E0">
              <w:t>Forest / woodland</w:t>
            </w:r>
          </w:p>
        </w:tc>
        <w:tc>
          <w:tcPr>
            <w:tcW w:w="3402" w:type="dxa"/>
            <w:noWrap/>
            <w:hideMark/>
          </w:tcPr>
          <w:p w14:paraId="1C5073D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72</w:t>
            </w:r>
          </w:p>
        </w:tc>
        <w:tc>
          <w:tcPr>
            <w:tcW w:w="3402" w:type="dxa"/>
            <w:noWrap/>
            <w:hideMark/>
          </w:tcPr>
          <w:p w14:paraId="5577E4E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35,660</w:t>
            </w:r>
          </w:p>
        </w:tc>
      </w:tr>
      <w:tr w:rsidR="007904E8" w:rsidRPr="004A34E0" w14:paraId="07014AC5" w14:textId="77777777" w:rsidTr="000C1F21">
        <w:trPr>
          <w:trHeight w:val="288"/>
        </w:trPr>
        <w:tc>
          <w:tcPr>
            <w:cnfStyle w:val="001000000000" w:firstRow="0" w:lastRow="0" w:firstColumn="1" w:lastColumn="0" w:oddVBand="0" w:evenVBand="0" w:oddHBand="0" w:evenHBand="0" w:firstRowFirstColumn="0" w:firstRowLastColumn="0" w:lastRowFirstColumn="0" w:lastRowLastColumn="0"/>
            <w:tcW w:w="3402" w:type="dxa"/>
            <w:noWrap/>
            <w:hideMark/>
          </w:tcPr>
          <w:p w14:paraId="429656FE" w14:textId="77777777" w:rsidR="007904E8" w:rsidRPr="004A34E0" w:rsidRDefault="007904E8" w:rsidP="00666947">
            <w:pPr>
              <w:pStyle w:val="TableTextLeft"/>
            </w:pPr>
            <w:r w:rsidRPr="004A34E0">
              <w:t>Farmland</w:t>
            </w:r>
          </w:p>
        </w:tc>
        <w:tc>
          <w:tcPr>
            <w:tcW w:w="3402" w:type="dxa"/>
            <w:noWrap/>
            <w:hideMark/>
          </w:tcPr>
          <w:p w14:paraId="1C9423E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12</w:t>
            </w:r>
          </w:p>
        </w:tc>
        <w:tc>
          <w:tcPr>
            <w:tcW w:w="3402" w:type="dxa"/>
            <w:noWrap/>
            <w:hideMark/>
          </w:tcPr>
          <w:p w14:paraId="7A32B97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27,391</w:t>
            </w:r>
          </w:p>
        </w:tc>
      </w:tr>
      <w:tr w:rsidR="007904E8" w:rsidRPr="004A34E0" w14:paraId="60B5CAA1" w14:textId="77777777" w:rsidTr="000C1F21">
        <w:trPr>
          <w:trHeight w:val="288"/>
        </w:trPr>
        <w:tc>
          <w:tcPr>
            <w:cnfStyle w:val="001000000000" w:firstRow="0" w:lastRow="0" w:firstColumn="1" w:lastColumn="0" w:oddVBand="0" w:evenVBand="0" w:oddHBand="0" w:evenHBand="0" w:firstRowFirstColumn="0" w:firstRowLastColumn="0" w:lastRowFirstColumn="0" w:lastRowLastColumn="0"/>
            <w:tcW w:w="3402" w:type="dxa"/>
            <w:noWrap/>
            <w:hideMark/>
          </w:tcPr>
          <w:p w14:paraId="579E20E3" w14:textId="77777777" w:rsidR="007904E8" w:rsidRPr="004A34E0" w:rsidRDefault="007904E8" w:rsidP="00666947">
            <w:pPr>
              <w:pStyle w:val="TableTextLeft"/>
            </w:pPr>
            <w:r w:rsidRPr="004A34E0">
              <w:t>Freshwater and wetland</w:t>
            </w:r>
          </w:p>
        </w:tc>
        <w:tc>
          <w:tcPr>
            <w:tcW w:w="3402" w:type="dxa"/>
            <w:noWrap/>
            <w:hideMark/>
          </w:tcPr>
          <w:p w14:paraId="68607C9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52</w:t>
            </w:r>
          </w:p>
        </w:tc>
        <w:tc>
          <w:tcPr>
            <w:tcW w:w="3402" w:type="dxa"/>
            <w:noWrap/>
            <w:hideMark/>
          </w:tcPr>
          <w:p w14:paraId="58982AF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1,585</w:t>
            </w:r>
          </w:p>
        </w:tc>
      </w:tr>
      <w:bookmarkEnd w:id="219"/>
      <w:tr w:rsidR="007904E8" w:rsidRPr="004A34E0" w14:paraId="7B877A4F" w14:textId="77777777" w:rsidTr="000C1F21">
        <w:trPr>
          <w:trHeight w:val="288"/>
        </w:trPr>
        <w:tc>
          <w:tcPr>
            <w:cnfStyle w:val="001000000000" w:firstRow="0" w:lastRow="0" w:firstColumn="1" w:lastColumn="0" w:oddVBand="0" w:evenVBand="0" w:oddHBand="0" w:evenHBand="0" w:firstRowFirstColumn="0" w:firstRowLastColumn="0" w:lastRowFirstColumn="0" w:lastRowLastColumn="0"/>
            <w:tcW w:w="3402" w:type="dxa"/>
            <w:noWrap/>
            <w:hideMark/>
          </w:tcPr>
          <w:p w14:paraId="392B6E76" w14:textId="77777777" w:rsidR="007904E8" w:rsidRPr="004A34E0" w:rsidRDefault="007904E8" w:rsidP="00666947">
            <w:pPr>
              <w:pStyle w:val="TableTextLeft"/>
            </w:pPr>
            <w:r w:rsidRPr="004A34E0">
              <w:t>Urban</w:t>
            </w:r>
          </w:p>
        </w:tc>
        <w:tc>
          <w:tcPr>
            <w:tcW w:w="3402" w:type="dxa"/>
            <w:noWrap/>
            <w:hideMark/>
          </w:tcPr>
          <w:p w14:paraId="523974E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11</w:t>
            </w:r>
          </w:p>
        </w:tc>
        <w:tc>
          <w:tcPr>
            <w:tcW w:w="3402" w:type="dxa"/>
            <w:noWrap/>
            <w:hideMark/>
          </w:tcPr>
          <w:p w14:paraId="0146285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3,140</w:t>
            </w:r>
          </w:p>
        </w:tc>
      </w:tr>
      <w:tr w:rsidR="007904E8" w:rsidRPr="004A34E0" w14:paraId="437040BE" w14:textId="77777777" w:rsidTr="000C1F21">
        <w:trPr>
          <w:trHeight w:val="288"/>
        </w:trPr>
        <w:tc>
          <w:tcPr>
            <w:cnfStyle w:val="001000000000" w:firstRow="0" w:lastRow="0" w:firstColumn="1" w:lastColumn="0" w:oddVBand="0" w:evenVBand="0" w:oddHBand="0" w:evenHBand="0" w:firstRowFirstColumn="0" w:firstRowLastColumn="0" w:lastRowFirstColumn="0" w:lastRowLastColumn="0"/>
            <w:tcW w:w="3402" w:type="dxa"/>
            <w:noWrap/>
            <w:hideMark/>
          </w:tcPr>
          <w:p w14:paraId="176C1294" w14:textId="77777777" w:rsidR="007904E8" w:rsidRPr="004A34E0" w:rsidRDefault="007904E8" w:rsidP="00666947">
            <w:pPr>
              <w:pStyle w:val="TableTextLeft"/>
            </w:pPr>
            <w:r w:rsidRPr="004A34E0">
              <w:t>Coastal margins</w:t>
            </w:r>
          </w:p>
        </w:tc>
        <w:tc>
          <w:tcPr>
            <w:tcW w:w="3402" w:type="dxa"/>
            <w:noWrap/>
            <w:hideMark/>
          </w:tcPr>
          <w:p w14:paraId="281169B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60</w:t>
            </w:r>
          </w:p>
        </w:tc>
        <w:tc>
          <w:tcPr>
            <w:tcW w:w="3402" w:type="dxa"/>
            <w:noWrap/>
            <w:hideMark/>
          </w:tcPr>
          <w:p w14:paraId="3F127DC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1,475</w:t>
            </w:r>
          </w:p>
        </w:tc>
      </w:tr>
    </w:tbl>
    <w:bookmarkEnd w:id="220"/>
    <w:p w14:paraId="44707FC1" w14:textId="77777777" w:rsidR="007904E8" w:rsidRPr="004A34E0" w:rsidRDefault="007904E8" w:rsidP="00B22F84">
      <w:pPr>
        <w:pStyle w:val="Caption"/>
      </w:pPr>
      <w:r w:rsidRPr="004A34E0">
        <w:lastRenderedPageBreak/>
        <w:t>Figure 15. Habitat importance for threatened species (DELWP, 2016c)</w:t>
      </w:r>
    </w:p>
    <w:p w14:paraId="2AE1FAF0" w14:textId="77777777" w:rsidR="007904E8" w:rsidRPr="004A34E0" w:rsidRDefault="007904E8" w:rsidP="007904E8">
      <w:pPr>
        <w:pStyle w:val="BodyText"/>
      </w:pPr>
      <w:r w:rsidRPr="004A34E0">
        <w:rPr>
          <w:noProof/>
        </w:rPr>
        <mc:AlternateContent>
          <mc:Choice Requires="wps">
            <w:drawing>
              <wp:anchor distT="45720" distB="45720" distL="114300" distR="114300" simplePos="0" relativeHeight="251658309" behindDoc="0" locked="0" layoutInCell="1" allowOverlap="1" wp14:anchorId="560E5A5E" wp14:editId="36F45650">
                <wp:simplePos x="0" y="0"/>
                <wp:positionH relativeFrom="column">
                  <wp:posOffset>663575</wp:posOffset>
                </wp:positionH>
                <wp:positionV relativeFrom="paragraph">
                  <wp:posOffset>3254784</wp:posOffset>
                </wp:positionV>
                <wp:extent cx="1581150" cy="1404620"/>
                <wp:effectExtent l="0" t="0" r="0" b="3175"/>
                <wp:wrapNone/>
                <wp:docPr id="793" name="Text Box 7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1404620"/>
                        </a:xfrm>
                        <a:prstGeom prst="rect">
                          <a:avLst/>
                        </a:prstGeom>
                        <a:solidFill>
                          <a:schemeClr val="bg1"/>
                        </a:solidFill>
                        <a:ln w="9525">
                          <a:noFill/>
                          <a:miter lim="800000"/>
                          <a:headEnd/>
                          <a:tailEnd/>
                        </a:ln>
                      </wps:spPr>
                      <wps:txbx>
                        <w:txbxContent>
                          <w:p w14:paraId="61F6C93C" w14:textId="77777777" w:rsidR="007904E8" w:rsidRPr="00165BAD" w:rsidRDefault="007904E8" w:rsidP="007904E8">
                            <w:pPr>
                              <w:rPr>
                                <w:b/>
                                <w:bCs/>
                                <w:sz w:val="24"/>
                                <w:szCs w:val="24"/>
                              </w:rPr>
                            </w:pPr>
                            <w:r w:rsidRPr="00165BAD">
                              <w:rPr>
                                <w:b/>
                                <w:bCs/>
                                <w:sz w:val="24"/>
                                <w:szCs w:val="24"/>
                              </w:rPr>
                              <w:t>GORCAP EEA area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60E5A5E" id="Text Box 793" o:spid="_x0000_s1058" type="#_x0000_t202" style="position:absolute;margin-left:52.25pt;margin-top:256.3pt;width:124.5pt;height:110.6pt;z-index:25165830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" fillcolor="white [3212]" stroked="f">
                <v:textbox style="mso-fit-shape-to-text:t">
                  <w:txbxContent>
                    <w:p w14:paraId="61F6C93C" w14:textId="77777777" w:rsidR="007904E8" w:rsidRPr="00165BAD" w:rsidRDefault="007904E8" w:rsidP="007904E8">
                      <w:pPr>
                        <w:rPr>
                          <w:b/>
                          <w:bCs/>
                          <w:sz w:val="24"/>
                          <w:szCs w:val="24"/>
                        </w:rPr>
                      </w:pPr>
                      <w:r w:rsidRPr="00165BAD">
                        <w:rPr>
                          <w:b/>
                          <w:bCs/>
                          <w:sz w:val="24"/>
                          <w:szCs w:val="24"/>
                        </w:rPr>
                        <w:t>GORCAP EEA area</w:t>
                      </w:r>
                    </w:p>
                  </w:txbxContent>
                </v:textbox>
              </v:shape>
            </w:pict>
          </mc:Fallback>
        </mc:AlternateContent>
      </w:r>
      <w:r w:rsidRPr="004A34E0">
        <w:rPr>
          <w:noProof/>
        </w:rPr>
        <w:drawing>
          <wp:inline distT="0" distB="0" distL="0" distR="0" wp14:anchorId="45B8BB3A" wp14:editId="2E218620">
            <wp:extent cx="12877136" cy="5355771"/>
            <wp:effectExtent l="0" t="0" r="1270" b="0"/>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Picture 779"/>
                    <pic:cNvPicPr>
                      <a:picLocks noChangeAspect="1" noChangeArrowheads="1"/>
                    </pic:cNvPicPr>
                  </pic:nvPicPr>
                  <pic:blipFill rotWithShape="1">
                    <a:blip r:embed="rId131" cstate="email">
                      <a:extLst>
                        <a:ext uri="{28A0092B-C50C-407E-A947-70E740481C1C}">
                          <a14:useLocalDpi xmlns:a14="http://schemas.microsoft.com/office/drawing/2010/main"/>
                        </a:ext>
                      </a:extLst>
                    </a:blip>
                    <a:srcRect l="-249" t="-1347" b="-1809"/>
                    <a:stretch/>
                  </pic:blipFill>
                  <pic:spPr bwMode="auto">
                    <a:xfrm>
                      <a:off x="0" y="0"/>
                      <a:ext cx="12898157" cy="5364514"/>
                    </a:xfrm>
                    <a:prstGeom prst="rect">
                      <a:avLst/>
                    </a:prstGeom>
                    <a:noFill/>
                    <a:ln>
                      <a:noFill/>
                    </a:ln>
                    <a:extLst>
                      <a:ext uri="{53640926-AAD7-44D8-BBD7-CCE9431645EC}">
                        <a14:shadowObscured xmlns:a14="http://schemas.microsoft.com/office/drawing/2010/main"/>
                      </a:ext>
                    </a:extLst>
                  </pic:spPr>
                </pic:pic>
              </a:graphicData>
            </a:graphic>
          </wp:inline>
        </w:drawing>
      </w:r>
    </w:p>
    <w:p w14:paraId="3A648B46" w14:textId="314F54A0" w:rsidR="007904E8" w:rsidRDefault="002573E4" w:rsidP="00B22F84">
      <w:pPr>
        <w:pStyle w:val="Caption"/>
      </w:pPr>
      <w:r>
        <w:t>T</w:t>
      </w:r>
      <w:r w:rsidR="007904E8" w:rsidRPr="004A34E0">
        <w:t>able 24. Mean habitat importance for threatened species score by broad ecosystem</w:t>
      </w:r>
    </w:p>
    <w:tbl>
      <w:tblPr>
        <w:tblStyle w:val="TableGrid"/>
        <w:tblW w:w="10206" w:type="dxa"/>
        <w:tblLook w:val="04A0" w:firstRow="1" w:lastRow="0" w:firstColumn="1" w:lastColumn="0" w:noHBand="0" w:noVBand="1"/>
      </w:tblPr>
      <w:tblGrid>
        <w:gridCol w:w="3402"/>
        <w:gridCol w:w="3402"/>
        <w:gridCol w:w="3402"/>
      </w:tblGrid>
      <w:tr w:rsidR="00D51121" w:rsidRPr="004A34E0" w14:paraId="38CA06B8" w14:textId="77777777" w:rsidTr="000C1F21">
        <w:trPr>
          <w:cnfStyle w:val="100000000000" w:firstRow="1" w:lastRow="0" w:firstColumn="0" w:lastColumn="0" w:oddVBand="0" w:evenVBand="0" w:oddHBand="0"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3402" w:type="dxa"/>
            <w:noWrap/>
            <w:hideMark/>
          </w:tcPr>
          <w:p w14:paraId="365C0FD4" w14:textId="77777777" w:rsidR="00D51121" w:rsidRPr="004A34E0" w:rsidRDefault="00D51121" w:rsidP="000C1F21">
            <w:pPr>
              <w:pStyle w:val="TableHeadingLeft"/>
            </w:pPr>
            <w:r w:rsidRPr="004A34E0">
              <w:t>Ecosystem</w:t>
            </w:r>
          </w:p>
        </w:tc>
        <w:tc>
          <w:tcPr>
            <w:tcW w:w="3402" w:type="dxa"/>
            <w:hideMark/>
          </w:tcPr>
          <w:p w14:paraId="04D7FAA1" w14:textId="77777777" w:rsidR="00D51121" w:rsidRPr="004A34E0" w:rsidRDefault="00D51121" w:rsidP="000C1F21">
            <w:pPr>
              <w:pStyle w:val="TableHeadingLeft"/>
              <w:cnfStyle w:val="100000000000" w:firstRow="1" w:lastRow="0" w:firstColumn="0" w:lastColumn="0" w:oddVBand="0" w:evenVBand="0" w:oddHBand="0" w:evenHBand="0" w:firstRowFirstColumn="0" w:firstRowLastColumn="0" w:lastRowFirstColumn="0" w:lastRowLastColumn="0"/>
            </w:pPr>
            <w:r w:rsidRPr="004A34E0">
              <w:t>Mean habitat importance for threatened species score (0-100)</w:t>
            </w:r>
          </w:p>
        </w:tc>
        <w:tc>
          <w:tcPr>
            <w:tcW w:w="3402" w:type="dxa"/>
            <w:hideMark/>
          </w:tcPr>
          <w:p w14:paraId="6CB6B852" w14:textId="77777777" w:rsidR="00D51121" w:rsidRPr="004A34E0" w:rsidRDefault="00D51121" w:rsidP="000C1F21">
            <w:pPr>
              <w:pStyle w:val="TableHeadingLeft"/>
              <w:cnfStyle w:val="100000000000" w:firstRow="1" w:lastRow="0" w:firstColumn="0" w:lastColumn="0" w:oddVBand="0" w:evenVBand="0" w:oddHBand="0" w:evenHBand="0" w:firstRowFirstColumn="0" w:firstRowLastColumn="0" w:lastRowFirstColumn="0" w:lastRowLastColumn="0"/>
            </w:pPr>
            <w:r w:rsidRPr="004A34E0">
              <w:t>Area covered by dataset</w:t>
            </w:r>
            <w:r w:rsidRPr="004A34E0">
              <w:br/>
              <w:t>(Ha)</w:t>
            </w:r>
          </w:p>
        </w:tc>
      </w:tr>
      <w:tr w:rsidR="00D51121" w:rsidRPr="004A34E0" w14:paraId="766156F3" w14:textId="77777777" w:rsidTr="000C1F21">
        <w:trPr>
          <w:trHeight w:val="289"/>
        </w:trPr>
        <w:tc>
          <w:tcPr>
            <w:cnfStyle w:val="001000000000" w:firstRow="0" w:lastRow="0" w:firstColumn="1" w:lastColumn="0" w:oddVBand="0" w:evenVBand="0" w:oddHBand="0" w:evenHBand="0" w:firstRowFirstColumn="0" w:firstRowLastColumn="0" w:lastRowFirstColumn="0" w:lastRowLastColumn="0"/>
            <w:tcW w:w="3402" w:type="dxa"/>
            <w:noWrap/>
            <w:hideMark/>
          </w:tcPr>
          <w:p w14:paraId="39708E18" w14:textId="77777777" w:rsidR="00D51121" w:rsidRPr="004A34E0" w:rsidRDefault="00D51121" w:rsidP="00666947">
            <w:pPr>
              <w:pStyle w:val="TableTextLeft"/>
            </w:pPr>
            <w:r w:rsidRPr="004A34E0">
              <w:t>Grassland</w:t>
            </w:r>
          </w:p>
        </w:tc>
        <w:tc>
          <w:tcPr>
            <w:tcW w:w="3402" w:type="dxa"/>
            <w:noWrap/>
            <w:hideMark/>
          </w:tcPr>
          <w:p w14:paraId="2E0812F9" w14:textId="77777777" w:rsidR="00D51121" w:rsidRPr="004A34E0" w:rsidRDefault="00D51121" w:rsidP="00666947">
            <w:pPr>
              <w:pStyle w:val="TableTextLeft"/>
              <w:cnfStyle w:val="000000000000" w:firstRow="0" w:lastRow="0" w:firstColumn="0" w:lastColumn="0" w:oddVBand="0" w:evenVBand="0" w:oddHBand="0" w:evenHBand="0" w:firstRowFirstColumn="0" w:firstRowLastColumn="0" w:lastRowFirstColumn="0" w:lastRowLastColumn="0"/>
            </w:pPr>
            <w:r w:rsidRPr="004A34E0">
              <w:t>72</w:t>
            </w:r>
          </w:p>
        </w:tc>
        <w:tc>
          <w:tcPr>
            <w:tcW w:w="3402" w:type="dxa"/>
            <w:noWrap/>
            <w:hideMark/>
          </w:tcPr>
          <w:p w14:paraId="06CCB5A6" w14:textId="77777777" w:rsidR="00D51121" w:rsidRPr="004A34E0" w:rsidRDefault="00D51121" w:rsidP="00666947">
            <w:pPr>
              <w:pStyle w:val="TableTextLeft"/>
              <w:cnfStyle w:val="000000000000" w:firstRow="0" w:lastRow="0" w:firstColumn="0" w:lastColumn="0" w:oddVBand="0" w:evenVBand="0" w:oddHBand="0" w:evenHBand="0" w:firstRowFirstColumn="0" w:firstRowLastColumn="0" w:lastRowFirstColumn="0" w:lastRowLastColumn="0"/>
            </w:pPr>
            <w:r w:rsidRPr="004A34E0">
              <w:t>830</w:t>
            </w:r>
          </w:p>
        </w:tc>
      </w:tr>
      <w:tr w:rsidR="00D51121" w:rsidRPr="004A34E0" w14:paraId="5A65CD92" w14:textId="77777777" w:rsidTr="000C1F21">
        <w:trPr>
          <w:trHeight w:val="289"/>
        </w:trPr>
        <w:tc>
          <w:tcPr>
            <w:cnfStyle w:val="001000000000" w:firstRow="0" w:lastRow="0" w:firstColumn="1" w:lastColumn="0" w:oddVBand="0" w:evenVBand="0" w:oddHBand="0" w:evenHBand="0" w:firstRowFirstColumn="0" w:firstRowLastColumn="0" w:lastRowFirstColumn="0" w:lastRowLastColumn="0"/>
            <w:tcW w:w="3402" w:type="dxa"/>
            <w:noWrap/>
            <w:hideMark/>
          </w:tcPr>
          <w:p w14:paraId="0F51AA95" w14:textId="77777777" w:rsidR="00D51121" w:rsidRPr="004A34E0" w:rsidRDefault="00D51121" w:rsidP="00666947">
            <w:pPr>
              <w:pStyle w:val="TableTextLeft"/>
            </w:pPr>
            <w:r w:rsidRPr="004A34E0">
              <w:t>Shrubland</w:t>
            </w:r>
          </w:p>
        </w:tc>
        <w:tc>
          <w:tcPr>
            <w:tcW w:w="3402" w:type="dxa"/>
            <w:noWrap/>
            <w:hideMark/>
          </w:tcPr>
          <w:p w14:paraId="4B09C4CF" w14:textId="77777777" w:rsidR="00D51121" w:rsidRPr="004A34E0" w:rsidRDefault="00D51121" w:rsidP="00666947">
            <w:pPr>
              <w:pStyle w:val="TableTextLeft"/>
              <w:cnfStyle w:val="000000000000" w:firstRow="0" w:lastRow="0" w:firstColumn="0" w:lastColumn="0" w:oddVBand="0" w:evenVBand="0" w:oddHBand="0" w:evenHBand="0" w:firstRowFirstColumn="0" w:firstRowLastColumn="0" w:lastRowFirstColumn="0" w:lastRowLastColumn="0"/>
            </w:pPr>
            <w:r w:rsidRPr="004A34E0">
              <w:t>82</w:t>
            </w:r>
          </w:p>
        </w:tc>
        <w:tc>
          <w:tcPr>
            <w:tcW w:w="3402" w:type="dxa"/>
            <w:noWrap/>
            <w:hideMark/>
          </w:tcPr>
          <w:p w14:paraId="50D01942" w14:textId="77777777" w:rsidR="00D51121" w:rsidRPr="004A34E0" w:rsidRDefault="00D51121" w:rsidP="00666947">
            <w:pPr>
              <w:pStyle w:val="TableTextLeft"/>
              <w:cnfStyle w:val="000000000000" w:firstRow="0" w:lastRow="0" w:firstColumn="0" w:lastColumn="0" w:oddVBand="0" w:evenVBand="0" w:oddHBand="0" w:evenHBand="0" w:firstRowFirstColumn="0" w:firstRowLastColumn="0" w:lastRowFirstColumn="0" w:lastRowLastColumn="0"/>
            </w:pPr>
            <w:r w:rsidRPr="004A34E0">
              <w:t>977</w:t>
            </w:r>
          </w:p>
        </w:tc>
      </w:tr>
      <w:tr w:rsidR="00D51121" w:rsidRPr="004A34E0" w14:paraId="6FEC9E7F" w14:textId="77777777" w:rsidTr="000C1F21">
        <w:trPr>
          <w:trHeight w:val="289"/>
        </w:trPr>
        <w:tc>
          <w:tcPr>
            <w:cnfStyle w:val="001000000000" w:firstRow="0" w:lastRow="0" w:firstColumn="1" w:lastColumn="0" w:oddVBand="0" w:evenVBand="0" w:oddHBand="0" w:evenHBand="0" w:firstRowFirstColumn="0" w:firstRowLastColumn="0" w:lastRowFirstColumn="0" w:lastRowLastColumn="0"/>
            <w:tcW w:w="3402" w:type="dxa"/>
            <w:noWrap/>
            <w:hideMark/>
          </w:tcPr>
          <w:p w14:paraId="0E8C36A7" w14:textId="77777777" w:rsidR="00D51121" w:rsidRPr="004A34E0" w:rsidRDefault="00D51121" w:rsidP="00666947">
            <w:pPr>
              <w:pStyle w:val="TableTextLeft"/>
            </w:pPr>
            <w:r w:rsidRPr="004A34E0">
              <w:t>Forest / woodland</w:t>
            </w:r>
          </w:p>
        </w:tc>
        <w:tc>
          <w:tcPr>
            <w:tcW w:w="3402" w:type="dxa"/>
            <w:noWrap/>
            <w:hideMark/>
          </w:tcPr>
          <w:p w14:paraId="34196BA0" w14:textId="77777777" w:rsidR="00D51121" w:rsidRPr="004A34E0" w:rsidRDefault="00D51121" w:rsidP="00666947">
            <w:pPr>
              <w:pStyle w:val="TableTextLeft"/>
              <w:cnfStyle w:val="000000000000" w:firstRow="0" w:lastRow="0" w:firstColumn="0" w:lastColumn="0" w:oddVBand="0" w:evenVBand="0" w:oddHBand="0" w:evenHBand="0" w:firstRowFirstColumn="0" w:firstRowLastColumn="0" w:lastRowFirstColumn="0" w:lastRowLastColumn="0"/>
            </w:pPr>
            <w:r w:rsidRPr="004A34E0">
              <w:t>81</w:t>
            </w:r>
          </w:p>
        </w:tc>
        <w:tc>
          <w:tcPr>
            <w:tcW w:w="3402" w:type="dxa"/>
            <w:noWrap/>
            <w:hideMark/>
          </w:tcPr>
          <w:p w14:paraId="4E42B37D" w14:textId="77777777" w:rsidR="00D51121" w:rsidRPr="004A34E0" w:rsidRDefault="00D51121"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35,432</w:t>
            </w:r>
          </w:p>
        </w:tc>
      </w:tr>
      <w:tr w:rsidR="00D51121" w:rsidRPr="004A34E0" w14:paraId="2236DC05" w14:textId="77777777" w:rsidTr="000C1F21">
        <w:trPr>
          <w:trHeight w:val="289"/>
        </w:trPr>
        <w:tc>
          <w:tcPr>
            <w:cnfStyle w:val="001000000000" w:firstRow="0" w:lastRow="0" w:firstColumn="1" w:lastColumn="0" w:oddVBand="0" w:evenVBand="0" w:oddHBand="0" w:evenHBand="0" w:firstRowFirstColumn="0" w:firstRowLastColumn="0" w:lastRowFirstColumn="0" w:lastRowLastColumn="0"/>
            <w:tcW w:w="3402" w:type="dxa"/>
            <w:noWrap/>
            <w:hideMark/>
          </w:tcPr>
          <w:p w14:paraId="6389510A" w14:textId="77777777" w:rsidR="00D51121" w:rsidRPr="004A34E0" w:rsidRDefault="00D51121" w:rsidP="00666947">
            <w:pPr>
              <w:pStyle w:val="TableTextLeft"/>
            </w:pPr>
            <w:r w:rsidRPr="004A34E0">
              <w:t>Farmland</w:t>
            </w:r>
          </w:p>
        </w:tc>
        <w:tc>
          <w:tcPr>
            <w:tcW w:w="3402" w:type="dxa"/>
            <w:noWrap/>
            <w:hideMark/>
          </w:tcPr>
          <w:p w14:paraId="25F6E3D8" w14:textId="77777777" w:rsidR="00D51121" w:rsidRPr="004A34E0" w:rsidRDefault="00D51121" w:rsidP="00666947">
            <w:pPr>
              <w:pStyle w:val="TableTextLeft"/>
              <w:cnfStyle w:val="000000000000" w:firstRow="0" w:lastRow="0" w:firstColumn="0" w:lastColumn="0" w:oddVBand="0" w:evenVBand="0" w:oddHBand="0" w:evenHBand="0" w:firstRowFirstColumn="0" w:firstRowLastColumn="0" w:lastRowFirstColumn="0" w:lastRowLastColumn="0"/>
            </w:pPr>
            <w:r w:rsidRPr="004A34E0">
              <w:t>45</w:t>
            </w:r>
          </w:p>
        </w:tc>
        <w:tc>
          <w:tcPr>
            <w:tcW w:w="3402" w:type="dxa"/>
            <w:noWrap/>
            <w:hideMark/>
          </w:tcPr>
          <w:p w14:paraId="0B8FAEF0" w14:textId="77777777" w:rsidR="00D51121" w:rsidRPr="004A34E0" w:rsidRDefault="00D51121"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27,550</w:t>
            </w:r>
          </w:p>
        </w:tc>
      </w:tr>
      <w:tr w:rsidR="00D51121" w:rsidRPr="004A34E0" w14:paraId="62D1F69B" w14:textId="77777777" w:rsidTr="000C1F21">
        <w:trPr>
          <w:trHeight w:val="289"/>
        </w:trPr>
        <w:tc>
          <w:tcPr>
            <w:cnfStyle w:val="001000000000" w:firstRow="0" w:lastRow="0" w:firstColumn="1" w:lastColumn="0" w:oddVBand="0" w:evenVBand="0" w:oddHBand="0" w:evenHBand="0" w:firstRowFirstColumn="0" w:firstRowLastColumn="0" w:lastRowFirstColumn="0" w:lastRowLastColumn="0"/>
            <w:tcW w:w="3402" w:type="dxa"/>
            <w:noWrap/>
            <w:hideMark/>
          </w:tcPr>
          <w:p w14:paraId="2DA37373" w14:textId="77777777" w:rsidR="00D51121" w:rsidRPr="004A34E0" w:rsidRDefault="00D51121" w:rsidP="00666947">
            <w:pPr>
              <w:pStyle w:val="TableTextLeft"/>
            </w:pPr>
            <w:r w:rsidRPr="004A34E0">
              <w:t>Freshwater and wetland</w:t>
            </w:r>
          </w:p>
        </w:tc>
        <w:tc>
          <w:tcPr>
            <w:tcW w:w="3402" w:type="dxa"/>
            <w:noWrap/>
            <w:hideMark/>
          </w:tcPr>
          <w:p w14:paraId="7290CF20" w14:textId="77777777" w:rsidR="00D51121" w:rsidRPr="004A34E0" w:rsidRDefault="00D51121" w:rsidP="00666947">
            <w:pPr>
              <w:pStyle w:val="TableTextLeft"/>
              <w:cnfStyle w:val="000000000000" w:firstRow="0" w:lastRow="0" w:firstColumn="0" w:lastColumn="0" w:oddVBand="0" w:evenVBand="0" w:oddHBand="0" w:evenHBand="0" w:firstRowFirstColumn="0" w:firstRowLastColumn="0" w:lastRowFirstColumn="0" w:lastRowLastColumn="0"/>
            </w:pPr>
            <w:r w:rsidRPr="004A34E0">
              <w:t>81</w:t>
            </w:r>
          </w:p>
        </w:tc>
        <w:tc>
          <w:tcPr>
            <w:tcW w:w="3402" w:type="dxa"/>
            <w:noWrap/>
            <w:hideMark/>
          </w:tcPr>
          <w:p w14:paraId="3867025A" w14:textId="77777777" w:rsidR="00D51121" w:rsidRPr="004A34E0" w:rsidRDefault="00D51121"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1,564</w:t>
            </w:r>
          </w:p>
        </w:tc>
      </w:tr>
      <w:tr w:rsidR="00D51121" w:rsidRPr="004A34E0" w14:paraId="0AB7D7E0" w14:textId="77777777" w:rsidTr="000C1F21">
        <w:trPr>
          <w:trHeight w:val="289"/>
        </w:trPr>
        <w:tc>
          <w:tcPr>
            <w:cnfStyle w:val="001000000000" w:firstRow="0" w:lastRow="0" w:firstColumn="1" w:lastColumn="0" w:oddVBand="0" w:evenVBand="0" w:oddHBand="0" w:evenHBand="0" w:firstRowFirstColumn="0" w:firstRowLastColumn="0" w:lastRowFirstColumn="0" w:lastRowLastColumn="0"/>
            <w:tcW w:w="3402" w:type="dxa"/>
            <w:noWrap/>
            <w:hideMark/>
          </w:tcPr>
          <w:p w14:paraId="2BEE9631" w14:textId="77777777" w:rsidR="00D51121" w:rsidRPr="004A34E0" w:rsidRDefault="00D51121" w:rsidP="00666947">
            <w:pPr>
              <w:pStyle w:val="TableTextLeft"/>
            </w:pPr>
            <w:r w:rsidRPr="004A34E0">
              <w:t>Urban</w:t>
            </w:r>
          </w:p>
        </w:tc>
        <w:tc>
          <w:tcPr>
            <w:tcW w:w="3402" w:type="dxa"/>
            <w:noWrap/>
            <w:hideMark/>
          </w:tcPr>
          <w:p w14:paraId="7B048F44" w14:textId="77777777" w:rsidR="00D51121" w:rsidRPr="004A34E0" w:rsidRDefault="00D51121"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35</w:t>
            </w:r>
          </w:p>
        </w:tc>
        <w:tc>
          <w:tcPr>
            <w:tcW w:w="3402" w:type="dxa"/>
            <w:noWrap/>
            <w:hideMark/>
          </w:tcPr>
          <w:p w14:paraId="78F9301E" w14:textId="77777777" w:rsidR="00D51121" w:rsidRPr="004A34E0" w:rsidRDefault="00D51121"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3,068</w:t>
            </w:r>
          </w:p>
        </w:tc>
      </w:tr>
      <w:tr w:rsidR="00D51121" w:rsidRPr="004A34E0" w14:paraId="3E797CBD" w14:textId="77777777" w:rsidTr="000C1F21">
        <w:trPr>
          <w:trHeight w:val="289"/>
        </w:trPr>
        <w:tc>
          <w:tcPr>
            <w:cnfStyle w:val="001000000000" w:firstRow="0" w:lastRow="0" w:firstColumn="1" w:lastColumn="0" w:oddVBand="0" w:evenVBand="0" w:oddHBand="0" w:evenHBand="0" w:firstRowFirstColumn="0" w:firstRowLastColumn="0" w:lastRowFirstColumn="0" w:lastRowLastColumn="0"/>
            <w:tcW w:w="3402" w:type="dxa"/>
            <w:noWrap/>
            <w:hideMark/>
          </w:tcPr>
          <w:p w14:paraId="49E17248" w14:textId="77777777" w:rsidR="00D51121" w:rsidRPr="004A34E0" w:rsidRDefault="00D51121" w:rsidP="00666947">
            <w:pPr>
              <w:pStyle w:val="TableTextLeft"/>
            </w:pPr>
            <w:r w:rsidRPr="004A34E0">
              <w:t>Coastal margins</w:t>
            </w:r>
          </w:p>
        </w:tc>
        <w:tc>
          <w:tcPr>
            <w:tcW w:w="3402" w:type="dxa"/>
            <w:noWrap/>
            <w:hideMark/>
          </w:tcPr>
          <w:p w14:paraId="68EA200D" w14:textId="77777777" w:rsidR="00D51121" w:rsidRPr="004A34E0" w:rsidRDefault="00D51121" w:rsidP="00666947">
            <w:pPr>
              <w:pStyle w:val="TableTextLeft"/>
              <w:cnfStyle w:val="000000000000" w:firstRow="0" w:lastRow="0" w:firstColumn="0" w:lastColumn="0" w:oddVBand="0" w:evenVBand="0" w:oddHBand="0" w:evenHBand="0" w:firstRowFirstColumn="0" w:firstRowLastColumn="0" w:lastRowFirstColumn="0" w:lastRowLastColumn="0"/>
            </w:pPr>
            <w:r w:rsidRPr="004A34E0">
              <w:t>59</w:t>
            </w:r>
          </w:p>
        </w:tc>
        <w:tc>
          <w:tcPr>
            <w:tcW w:w="3402" w:type="dxa"/>
            <w:noWrap/>
            <w:hideMark/>
          </w:tcPr>
          <w:p w14:paraId="78DC8223" w14:textId="77777777" w:rsidR="00D51121" w:rsidRPr="004A34E0" w:rsidRDefault="00D51121"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1,539</w:t>
            </w:r>
          </w:p>
        </w:tc>
      </w:tr>
    </w:tbl>
    <w:p w14:paraId="378CF9E8" w14:textId="77777777" w:rsidR="00D51121" w:rsidRPr="00D51121" w:rsidRDefault="00D51121" w:rsidP="00D51121">
      <w:pPr>
        <w:pStyle w:val="BodyText"/>
      </w:pPr>
    </w:p>
    <w:p w14:paraId="324A6E40" w14:textId="77777777" w:rsidR="007904E8" w:rsidRPr="004A34E0" w:rsidRDefault="007904E8" w:rsidP="00B22F84">
      <w:pPr>
        <w:pStyle w:val="Caption"/>
      </w:pPr>
      <w:r w:rsidRPr="004A34E0">
        <w:lastRenderedPageBreak/>
        <w:t xml:space="preserve">Figure 16. Threatened fauna observations (DELWP, 2021) </w:t>
      </w:r>
    </w:p>
    <w:p w14:paraId="6C74667D" w14:textId="116AA531" w:rsidR="007904E8" w:rsidRPr="004A34E0" w:rsidRDefault="00507419" w:rsidP="007904E8">
      <w:pPr>
        <w:pStyle w:val="BodyText"/>
      </w:pPr>
      <w:r w:rsidRPr="004A34E0">
        <w:rPr>
          <w:noProof/>
        </w:rPr>
        <mc:AlternateContent>
          <mc:Choice Requires="wps">
            <w:drawing>
              <wp:anchor distT="45720" distB="45720" distL="114300" distR="114300" simplePos="0" relativeHeight="251658335" behindDoc="0" locked="0" layoutInCell="1" allowOverlap="1" wp14:anchorId="4350099D" wp14:editId="41DFBFEE">
                <wp:simplePos x="0" y="0"/>
                <wp:positionH relativeFrom="column">
                  <wp:posOffset>588724</wp:posOffset>
                </wp:positionH>
                <wp:positionV relativeFrom="paragraph">
                  <wp:posOffset>3314378</wp:posOffset>
                </wp:positionV>
                <wp:extent cx="1581150" cy="1404620"/>
                <wp:effectExtent l="0" t="0" r="6350" b="0"/>
                <wp:wrapNone/>
                <wp:docPr id="667685331" name="Text Box 667685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1404620"/>
                        </a:xfrm>
                        <a:prstGeom prst="rect">
                          <a:avLst/>
                        </a:prstGeom>
                        <a:solidFill>
                          <a:schemeClr val="bg1"/>
                        </a:solidFill>
                        <a:ln w="9525">
                          <a:noFill/>
                          <a:miter lim="800000"/>
                          <a:headEnd/>
                          <a:tailEnd/>
                        </a:ln>
                      </wps:spPr>
                      <wps:txbx>
                        <w:txbxContent>
                          <w:p w14:paraId="408D8D18" w14:textId="77777777" w:rsidR="00507419" w:rsidRPr="00165BAD" w:rsidRDefault="00507419" w:rsidP="00507419">
                            <w:pPr>
                              <w:rPr>
                                <w:b/>
                                <w:bCs/>
                                <w:sz w:val="24"/>
                                <w:szCs w:val="24"/>
                              </w:rPr>
                            </w:pPr>
                            <w:r w:rsidRPr="00165BAD">
                              <w:rPr>
                                <w:b/>
                                <w:bCs/>
                                <w:sz w:val="24"/>
                                <w:szCs w:val="24"/>
                              </w:rPr>
                              <w:t>GORCAP EEA area</w:t>
                            </w:r>
                          </w:p>
                        </w:txbxContent>
                      </wps:txbx>
                      <wps:bodyPr rot="0" vert="horz" wrap="square" lIns="0" tIns="45720" rIns="9144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4350099D" id="Text Box 667685331" o:spid="_x0000_s1059" type="#_x0000_t202" style="position:absolute;margin-left:46.35pt;margin-top:260.95pt;width:124.5pt;height:110.6pt;z-index:25165833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" fillcolor="white [3212]" stroked="f">
                <v:textbox style="mso-fit-shape-to-text:t" inset="0,,,0">
                  <w:txbxContent>
                    <w:p w14:paraId="408D8D18" w14:textId="77777777" w:rsidR="00507419" w:rsidRPr="00165BAD" w:rsidRDefault="00507419" w:rsidP="00507419">
                      <w:pPr>
                        <w:rPr>
                          <w:b/>
                          <w:bCs/>
                          <w:sz w:val="24"/>
                          <w:szCs w:val="24"/>
                        </w:rPr>
                      </w:pPr>
                      <w:r w:rsidRPr="00165BAD">
                        <w:rPr>
                          <w:b/>
                          <w:bCs/>
                          <w:sz w:val="24"/>
                          <w:szCs w:val="24"/>
                        </w:rPr>
                        <w:t>GORCAP EEA area</w:t>
                      </w:r>
                    </w:p>
                  </w:txbxContent>
                </v:textbox>
              </v:shape>
            </w:pict>
          </mc:Fallback>
        </mc:AlternateContent>
      </w:r>
      <w:r w:rsidR="007904E8" w:rsidRPr="004A34E0">
        <w:rPr>
          <w:noProof/>
        </w:rPr>
        <w:drawing>
          <wp:inline distT="0" distB="0" distL="0" distR="0" wp14:anchorId="21005C32" wp14:editId="112406B2">
            <wp:extent cx="11982203" cy="4858700"/>
            <wp:effectExtent l="0" t="0" r="635" b="0"/>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Picture 780"/>
                    <pic:cNvPicPr>
                      <a:picLocks noChangeAspect="1" noChangeArrowheads="1"/>
                    </pic:cNvPicPr>
                  </pic:nvPicPr>
                  <pic:blipFill rotWithShape="1">
                    <a:blip r:embed="rId132" cstate="email">
                      <a:extLst>
                        <a:ext uri="{28A0092B-C50C-407E-A947-70E740481C1C}">
                          <a14:useLocalDpi xmlns:a14="http://schemas.microsoft.com/office/drawing/2010/main"/>
                        </a:ext>
                      </a:extLst>
                    </a:blip>
                    <a:srcRect/>
                    <a:stretch/>
                  </pic:blipFill>
                  <pic:spPr bwMode="auto">
                    <a:xfrm>
                      <a:off x="0" y="0"/>
                      <a:ext cx="11996747" cy="4864597"/>
                    </a:xfrm>
                    <a:prstGeom prst="rect">
                      <a:avLst/>
                    </a:prstGeom>
                    <a:noFill/>
                    <a:ln>
                      <a:noFill/>
                    </a:ln>
                    <a:extLst>
                      <a:ext uri="{53640926-AAD7-44D8-BBD7-CCE9431645EC}">
                        <a14:shadowObscured xmlns:a14="http://schemas.microsoft.com/office/drawing/2010/main"/>
                      </a:ext>
                    </a:extLst>
                  </pic:spPr>
                </pic:pic>
              </a:graphicData>
            </a:graphic>
          </wp:inline>
        </w:drawing>
      </w:r>
    </w:p>
    <w:p w14:paraId="656FB687" w14:textId="1DBEEB8F" w:rsidR="00DE259D" w:rsidRDefault="00D51121" w:rsidP="00DE259D">
      <w:pPr>
        <w:pStyle w:val="Caption"/>
      </w:pPr>
      <w:r>
        <w:t>T</w:t>
      </w:r>
      <w:r w:rsidR="007904E8" w:rsidRPr="004A34E0">
        <w:t xml:space="preserve">able 25. Threatened fauna species count </w:t>
      </w:r>
      <w:r w:rsidR="007904E8" w:rsidRPr="004A34E0">
        <w:fldChar w:fldCharType="begin"/>
      </w:r>
      <w:r w:rsidR="007904E8" w:rsidRPr="004A34E0">
        <w:instrText xml:space="preserve"> LINK </w:instrText>
      </w:r>
      <w:r w:rsidR="0085648D">
        <w:instrText xml:space="preserve">Excel.Sheet.12 https://delwpvicgovau.sharepoint.com/sites/ecm_535/Strategic_Project/condition_output_data.xlsx "VBA fauna!R4C4:R8C8" </w:instrText>
      </w:r>
      <w:r w:rsidR="007904E8" w:rsidRPr="004A34E0">
        <w:instrText xml:space="preserve">\a \f 5 \h  \* MERGEFORMAT </w:instrText>
      </w:r>
      <w:r w:rsidR="007904E8" w:rsidRPr="004A34E0">
        <w:fldChar w:fldCharType="separate"/>
      </w:r>
    </w:p>
    <w:tbl>
      <w:tblPr>
        <w:tblStyle w:val="TableGrid"/>
        <w:tblW w:w="8788" w:type="dxa"/>
        <w:tblLook w:val="04A0" w:firstRow="1" w:lastRow="0" w:firstColumn="1" w:lastColumn="0" w:noHBand="0" w:noVBand="1"/>
      </w:tblPr>
      <w:tblGrid>
        <w:gridCol w:w="1984"/>
        <w:gridCol w:w="1701"/>
        <w:gridCol w:w="1701"/>
        <w:gridCol w:w="1701"/>
        <w:gridCol w:w="1701"/>
      </w:tblGrid>
      <w:tr w:rsidR="00DE259D" w:rsidRPr="00DE259D" w14:paraId="2D1525D5" w14:textId="77777777" w:rsidTr="00DE259D">
        <w:trPr>
          <w:cnfStyle w:val="100000000000" w:firstRow="1" w:lastRow="0" w:firstColumn="0" w:lastColumn="0" w:oddVBand="0" w:evenVBand="0" w:oddHBand="0" w:evenHBand="0" w:firstRowFirstColumn="0" w:firstRowLastColumn="0" w:lastRowFirstColumn="0" w:lastRowLastColumn="0"/>
          <w:divId w:val="1338774241"/>
          <w:trHeight w:val="360"/>
        </w:trPr>
        <w:tc>
          <w:tcPr>
            <w:cnfStyle w:val="001000000000" w:firstRow="0" w:lastRow="0" w:firstColumn="1" w:lastColumn="0" w:oddVBand="0" w:evenVBand="0" w:oddHBand="0" w:evenHBand="0" w:firstRowFirstColumn="0" w:firstRowLastColumn="0" w:lastRowFirstColumn="0" w:lastRowLastColumn="0"/>
            <w:tcW w:w="1984" w:type="dxa"/>
            <w:tcBorders>
              <w:bottom w:val="single" w:sz="4" w:space="0" w:color="FFFFFF" w:themeColor="background1"/>
            </w:tcBorders>
            <w:shd w:val="clear" w:color="auto" w:fill="auto"/>
            <w:noWrap/>
            <w:hideMark/>
          </w:tcPr>
          <w:p w14:paraId="4DF9D4C8" w14:textId="4A4C1FE0" w:rsidR="00DE259D" w:rsidRPr="00DE259D" w:rsidRDefault="00DE259D" w:rsidP="00DE259D">
            <w:pPr>
              <w:pStyle w:val="TableHeadingLeft"/>
              <w:rPr>
                <w:color w:val="FFFFFF" w:themeColor="background1"/>
              </w:rPr>
            </w:pPr>
          </w:p>
        </w:tc>
        <w:tc>
          <w:tcPr>
            <w:tcW w:w="6804" w:type="dxa"/>
            <w:gridSpan w:val="4"/>
            <w:tcBorders>
              <w:bottom w:val="single" w:sz="4" w:space="0" w:color="FFFFFF" w:themeColor="background1"/>
            </w:tcBorders>
            <w:noWrap/>
            <w:hideMark/>
          </w:tcPr>
          <w:p w14:paraId="0464E0EA" w14:textId="77777777" w:rsidR="00DE259D" w:rsidRPr="00DE259D" w:rsidRDefault="00DE259D" w:rsidP="00DE259D">
            <w:pPr>
              <w:pStyle w:val="TableHeadingLeft"/>
              <w:cnfStyle w:val="100000000000" w:firstRow="1" w:lastRow="0" w:firstColumn="0" w:lastColumn="0" w:oddVBand="0" w:evenVBand="0" w:oddHBand="0" w:evenHBand="0" w:firstRowFirstColumn="0" w:firstRowLastColumn="0" w:lastRowFirstColumn="0" w:lastRowLastColumn="0"/>
              <w:rPr>
                <w:color w:val="FFFFFF" w:themeColor="background1"/>
              </w:rPr>
            </w:pPr>
            <w:r w:rsidRPr="00DE259D">
              <w:rPr>
                <w:color w:val="FFFFFF" w:themeColor="background1"/>
              </w:rPr>
              <w:t>threatened fauna species count</w:t>
            </w:r>
          </w:p>
        </w:tc>
      </w:tr>
      <w:tr w:rsidR="00DE259D" w:rsidRPr="00DE259D" w14:paraId="2C69DB23" w14:textId="77777777" w:rsidTr="00DE259D">
        <w:trPr>
          <w:divId w:val="1338774241"/>
          <w:trHeight w:val="360"/>
        </w:trPr>
        <w:tc>
          <w:tcPr>
            <w:cnfStyle w:val="001000000000" w:firstRow="0" w:lastRow="0" w:firstColumn="1" w:lastColumn="0" w:oddVBand="0" w:evenVBand="0" w:oddHBand="0" w:evenHBand="0" w:firstRowFirstColumn="0" w:firstRowLastColumn="0" w:lastRowFirstColumn="0" w:lastRowLastColumn="0"/>
            <w:tcW w:w="1984" w:type="dxa"/>
            <w:tcBorders>
              <w:top w:val="single" w:sz="4" w:space="0" w:color="FFFFFF" w:themeColor="background1"/>
            </w:tcBorders>
            <w:shd w:val="clear" w:color="auto" w:fill="auto"/>
            <w:noWrap/>
            <w:hideMark/>
          </w:tcPr>
          <w:p w14:paraId="1F593865" w14:textId="77777777" w:rsidR="00DE259D" w:rsidRPr="00DE259D" w:rsidRDefault="00DE259D" w:rsidP="00DE259D">
            <w:pPr>
              <w:pStyle w:val="TableHeadingLeft"/>
              <w:rPr>
                <w:color w:val="FFFFFF" w:themeColor="background1"/>
              </w:rPr>
            </w:pPr>
            <w:r w:rsidRPr="00DE259D">
              <w:rPr>
                <w:color w:val="FFFFFF" w:themeColor="background1"/>
              </w:rPr>
              <w:t> </w:t>
            </w:r>
          </w:p>
        </w:tc>
        <w:tc>
          <w:tcPr>
            <w:tcW w:w="1701" w:type="dxa"/>
            <w:tcBorders>
              <w:top w:val="single" w:sz="4" w:space="0" w:color="FFFFFF" w:themeColor="background1"/>
            </w:tcBorders>
            <w:shd w:val="clear" w:color="auto" w:fill="004C97" w:themeFill="accent1"/>
            <w:noWrap/>
            <w:hideMark/>
          </w:tcPr>
          <w:p w14:paraId="3CD53044" w14:textId="77777777" w:rsidR="00DE259D" w:rsidRPr="00DE259D" w:rsidRDefault="00DE259D" w:rsidP="00DE259D">
            <w:pPr>
              <w:pStyle w:val="TableHeadingLeft"/>
              <w:cnfStyle w:val="000000000000" w:firstRow="0" w:lastRow="0" w:firstColumn="0" w:lastColumn="0" w:oddVBand="0" w:evenVBand="0" w:oddHBand="0" w:evenHBand="0" w:firstRowFirstColumn="0" w:firstRowLastColumn="0" w:lastRowFirstColumn="0" w:lastRowLastColumn="0"/>
              <w:rPr>
                <w:color w:val="FFFFFF" w:themeColor="background1"/>
              </w:rPr>
            </w:pPr>
            <w:r w:rsidRPr="00DE259D">
              <w:rPr>
                <w:color w:val="FFFFFF" w:themeColor="background1"/>
              </w:rPr>
              <w:t>total</w:t>
            </w:r>
          </w:p>
        </w:tc>
        <w:tc>
          <w:tcPr>
            <w:tcW w:w="1701" w:type="dxa"/>
            <w:tcBorders>
              <w:top w:val="single" w:sz="4" w:space="0" w:color="FFFFFF" w:themeColor="background1"/>
            </w:tcBorders>
            <w:shd w:val="clear" w:color="auto" w:fill="004C97" w:themeFill="accent1"/>
            <w:noWrap/>
            <w:hideMark/>
          </w:tcPr>
          <w:p w14:paraId="59A975AC" w14:textId="77777777" w:rsidR="00DE259D" w:rsidRPr="00DE259D" w:rsidRDefault="00DE259D" w:rsidP="00DE259D">
            <w:pPr>
              <w:pStyle w:val="TableHeadingLeft"/>
              <w:cnfStyle w:val="000000000000" w:firstRow="0" w:lastRow="0" w:firstColumn="0" w:lastColumn="0" w:oddVBand="0" w:evenVBand="0" w:oddHBand="0" w:evenHBand="0" w:firstRowFirstColumn="0" w:firstRowLastColumn="0" w:lastRowFirstColumn="0" w:lastRowLastColumn="0"/>
              <w:rPr>
                <w:color w:val="FFFFFF" w:themeColor="background1"/>
              </w:rPr>
            </w:pPr>
            <w:r w:rsidRPr="00DE259D">
              <w:rPr>
                <w:color w:val="FFFFFF" w:themeColor="background1"/>
              </w:rPr>
              <w:t>critically endangered</w:t>
            </w:r>
          </w:p>
        </w:tc>
        <w:tc>
          <w:tcPr>
            <w:tcW w:w="1701" w:type="dxa"/>
            <w:tcBorders>
              <w:top w:val="single" w:sz="4" w:space="0" w:color="FFFFFF" w:themeColor="background1"/>
            </w:tcBorders>
            <w:shd w:val="clear" w:color="auto" w:fill="004C97" w:themeFill="accent1"/>
            <w:noWrap/>
            <w:hideMark/>
          </w:tcPr>
          <w:p w14:paraId="55142093" w14:textId="77777777" w:rsidR="00DE259D" w:rsidRPr="00DE259D" w:rsidRDefault="00DE259D" w:rsidP="00DE259D">
            <w:pPr>
              <w:pStyle w:val="TableHeadingLeft"/>
              <w:cnfStyle w:val="000000000000" w:firstRow="0" w:lastRow="0" w:firstColumn="0" w:lastColumn="0" w:oddVBand="0" w:evenVBand="0" w:oddHBand="0" w:evenHBand="0" w:firstRowFirstColumn="0" w:firstRowLastColumn="0" w:lastRowFirstColumn="0" w:lastRowLastColumn="0"/>
              <w:rPr>
                <w:color w:val="FFFFFF" w:themeColor="background1"/>
              </w:rPr>
            </w:pPr>
            <w:r w:rsidRPr="00DE259D">
              <w:rPr>
                <w:color w:val="FFFFFF" w:themeColor="background1"/>
              </w:rPr>
              <w:t>endangered</w:t>
            </w:r>
          </w:p>
        </w:tc>
        <w:tc>
          <w:tcPr>
            <w:tcW w:w="1701" w:type="dxa"/>
            <w:tcBorders>
              <w:top w:val="single" w:sz="4" w:space="0" w:color="FFFFFF" w:themeColor="background1"/>
            </w:tcBorders>
            <w:shd w:val="clear" w:color="auto" w:fill="004C97" w:themeFill="accent1"/>
            <w:noWrap/>
            <w:hideMark/>
          </w:tcPr>
          <w:p w14:paraId="0032801F" w14:textId="77777777" w:rsidR="00DE259D" w:rsidRPr="00DE259D" w:rsidRDefault="00DE259D" w:rsidP="00DE259D">
            <w:pPr>
              <w:pStyle w:val="TableHeadingLeft"/>
              <w:cnfStyle w:val="000000000000" w:firstRow="0" w:lastRow="0" w:firstColumn="0" w:lastColumn="0" w:oddVBand="0" w:evenVBand="0" w:oddHBand="0" w:evenHBand="0" w:firstRowFirstColumn="0" w:firstRowLastColumn="0" w:lastRowFirstColumn="0" w:lastRowLastColumn="0"/>
              <w:rPr>
                <w:color w:val="FFFFFF" w:themeColor="background1"/>
              </w:rPr>
            </w:pPr>
            <w:r w:rsidRPr="00DE259D">
              <w:rPr>
                <w:color w:val="FFFFFF" w:themeColor="background1"/>
              </w:rPr>
              <w:t>vulnerable</w:t>
            </w:r>
          </w:p>
        </w:tc>
      </w:tr>
      <w:tr w:rsidR="00DE259D" w:rsidRPr="00DE259D" w14:paraId="16F99EB3" w14:textId="77777777" w:rsidTr="00DE259D">
        <w:trPr>
          <w:divId w:val="1338774241"/>
          <w:trHeight w:val="288"/>
        </w:trPr>
        <w:tc>
          <w:tcPr>
            <w:cnfStyle w:val="001000000000" w:firstRow="0" w:lastRow="0" w:firstColumn="1" w:lastColumn="0" w:oddVBand="0" w:evenVBand="0" w:oddHBand="0" w:evenHBand="0" w:firstRowFirstColumn="0" w:firstRowLastColumn="0" w:lastRowFirstColumn="0" w:lastRowLastColumn="0"/>
            <w:tcW w:w="1984" w:type="dxa"/>
            <w:noWrap/>
            <w:hideMark/>
          </w:tcPr>
          <w:p w14:paraId="74089831" w14:textId="77777777" w:rsidR="00DE259D" w:rsidRPr="00DE259D" w:rsidRDefault="00DE259D" w:rsidP="00DE259D">
            <w:pPr>
              <w:pStyle w:val="TableTextLeft"/>
            </w:pPr>
            <w:r w:rsidRPr="00DE259D">
              <w:t>GORCAPA</w:t>
            </w:r>
          </w:p>
        </w:tc>
        <w:tc>
          <w:tcPr>
            <w:tcW w:w="1701" w:type="dxa"/>
            <w:noWrap/>
            <w:hideMark/>
          </w:tcPr>
          <w:p w14:paraId="08C38D29"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pPr>
            <w:r w:rsidRPr="00DE259D">
              <w:t>64</w:t>
            </w:r>
          </w:p>
        </w:tc>
        <w:tc>
          <w:tcPr>
            <w:tcW w:w="1701" w:type="dxa"/>
            <w:noWrap/>
            <w:hideMark/>
          </w:tcPr>
          <w:p w14:paraId="510B0D06"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pPr>
            <w:r w:rsidRPr="00DE259D">
              <w:t>5</w:t>
            </w:r>
          </w:p>
        </w:tc>
        <w:tc>
          <w:tcPr>
            <w:tcW w:w="1701" w:type="dxa"/>
            <w:noWrap/>
            <w:hideMark/>
          </w:tcPr>
          <w:p w14:paraId="2FFF82B0"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pPr>
            <w:r w:rsidRPr="00DE259D">
              <w:t>19</w:t>
            </w:r>
          </w:p>
        </w:tc>
        <w:tc>
          <w:tcPr>
            <w:tcW w:w="1701" w:type="dxa"/>
            <w:noWrap/>
            <w:hideMark/>
          </w:tcPr>
          <w:p w14:paraId="784555CD"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pPr>
            <w:r w:rsidRPr="00DE259D">
              <w:t>40</w:t>
            </w:r>
          </w:p>
        </w:tc>
      </w:tr>
      <w:tr w:rsidR="00DE259D" w:rsidRPr="00DE259D" w14:paraId="50627895" w14:textId="77777777" w:rsidTr="00DE259D">
        <w:trPr>
          <w:divId w:val="1338774241"/>
          <w:trHeight w:val="288"/>
        </w:trPr>
        <w:tc>
          <w:tcPr>
            <w:cnfStyle w:val="001000000000" w:firstRow="0" w:lastRow="0" w:firstColumn="1" w:lastColumn="0" w:oddVBand="0" w:evenVBand="0" w:oddHBand="0" w:evenHBand="0" w:firstRowFirstColumn="0" w:firstRowLastColumn="0" w:lastRowFirstColumn="0" w:lastRowLastColumn="0"/>
            <w:tcW w:w="1984" w:type="dxa"/>
            <w:noWrap/>
            <w:hideMark/>
          </w:tcPr>
          <w:p w14:paraId="0149EB02" w14:textId="77777777" w:rsidR="00DE259D" w:rsidRPr="00DE259D" w:rsidRDefault="00DE259D" w:rsidP="00DE259D">
            <w:pPr>
              <w:pStyle w:val="TableTextLeft"/>
            </w:pPr>
            <w:r w:rsidRPr="00DE259D">
              <w:t xml:space="preserve">non </w:t>
            </w:r>
            <w:proofErr w:type="spellStart"/>
            <w:r w:rsidRPr="00DE259D">
              <w:t>gorcapa</w:t>
            </w:r>
            <w:proofErr w:type="spellEnd"/>
          </w:p>
        </w:tc>
        <w:tc>
          <w:tcPr>
            <w:tcW w:w="1701" w:type="dxa"/>
            <w:noWrap/>
            <w:hideMark/>
          </w:tcPr>
          <w:p w14:paraId="0BC96520"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pPr>
            <w:r w:rsidRPr="00DE259D">
              <w:t>53</w:t>
            </w:r>
          </w:p>
        </w:tc>
        <w:tc>
          <w:tcPr>
            <w:tcW w:w="1701" w:type="dxa"/>
            <w:noWrap/>
            <w:hideMark/>
          </w:tcPr>
          <w:p w14:paraId="48393559"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pPr>
            <w:r w:rsidRPr="00DE259D">
              <w:t>6</w:t>
            </w:r>
          </w:p>
        </w:tc>
        <w:tc>
          <w:tcPr>
            <w:tcW w:w="1701" w:type="dxa"/>
            <w:noWrap/>
            <w:hideMark/>
          </w:tcPr>
          <w:p w14:paraId="55C06991"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pPr>
            <w:r w:rsidRPr="00DE259D">
              <w:t>16</w:t>
            </w:r>
          </w:p>
        </w:tc>
        <w:tc>
          <w:tcPr>
            <w:tcW w:w="1701" w:type="dxa"/>
            <w:noWrap/>
            <w:hideMark/>
          </w:tcPr>
          <w:p w14:paraId="519EB3BF"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pPr>
            <w:r w:rsidRPr="00DE259D">
              <w:t>31</w:t>
            </w:r>
          </w:p>
        </w:tc>
      </w:tr>
      <w:tr w:rsidR="00DE259D" w:rsidRPr="00DE259D" w14:paraId="5CD02E19" w14:textId="77777777" w:rsidTr="00DE259D">
        <w:trPr>
          <w:divId w:val="1338774241"/>
          <w:trHeight w:val="300"/>
        </w:trPr>
        <w:tc>
          <w:tcPr>
            <w:cnfStyle w:val="001000000000" w:firstRow="0" w:lastRow="0" w:firstColumn="1" w:lastColumn="0" w:oddVBand="0" w:evenVBand="0" w:oddHBand="0" w:evenHBand="0" w:firstRowFirstColumn="0" w:firstRowLastColumn="0" w:lastRowFirstColumn="0" w:lastRowLastColumn="0"/>
            <w:tcW w:w="1984" w:type="dxa"/>
            <w:noWrap/>
            <w:hideMark/>
          </w:tcPr>
          <w:p w14:paraId="6CB8CFEE" w14:textId="77777777" w:rsidR="00DE259D" w:rsidRPr="00DE259D" w:rsidRDefault="00DE259D" w:rsidP="00DE259D">
            <w:pPr>
              <w:pStyle w:val="TableTextLeft"/>
            </w:pPr>
            <w:r w:rsidRPr="00DE259D">
              <w:t>total study area</w:t>
            </w:r>
          </w:p>
        </w:tc>
        <w:tc>
          <w:tcPr>
            <w:tcW w:w="1701" w:type="dxa"/>
            <w:noWrap/>
            <w:hideMark/>
          </w:tcPr>
          <w:p w14:paraId="090DDB92"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pPr>
            <w:r w:rsidRPr="00DE259D">
              <w:t>70</w:t>
            </w:r>
          </w:p>
        </w:tc>
        <w:tc>
          <w:tcPr>
            <w:tcW w:w="1701" w:type="dxa"/>
            <w:noWrap/>
            <w:hideMark/>
          </w:tcPr>
          <w:p w14:paraId="73AD181F"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pPr>
            <w:r w:rsidRPr="00DE259D">
              <w:t>7</w:t>
            </w:r>
          </w:p>
        </w:tc>
        <w:tc>
          <w:tcPr>
            <w:tcW w:w="1701" w:type="dxa"/>
            <w:noWrap/>
            <w:hideMark/>
          </w:tcPr>
          <w:p w14:paraId="52836448"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pPr>
            <w:r w:rsidRPr="00DE259D">
              <w:t>22</w:t>
            </w:r>
          </w:p>
        </w:tc>
        <w:tc>
          <w:tcPr>
            <w:tcW w:w="1701" w:type="dxa"/>
            <w:noWrap/>
            <w:hideMark/>
          </w:tcPr>
          <w:p w14:paraId="15AB0449"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pPr>
            <w:r w:rsidRPr="00DE259D">
              <w:t>41</w:t>
            </w:r>
          </w:p>
        </w:tc>
      </w:tr>
    </w:tbl>
    <w:p w14:paraId="39D858C9" w14:textId="77777777" w:rsidR="007904E8" w:rsidRPr="004A34E0" w:rsidRDefault="007904E8" w:rsidP="007904E8">
      <w:pPr>
        <w:pStyle w:val="BodyText"/>
        <w:rPr>
          <w:b/>
        </w:rPr>
      </w:pPr>
      <w:r w:rsidRPr="004A34E0">
        <w:fldChar w:fldCharType="end"/>
      </w:r>
    </w:p>
    <w:p w14:paraId="3BD2D775" w14:textId="77777777" w:rsidR="007904E8" w:rsidRPr="004A34E0" w:rsidRDefault="007904E8" w:rsidP="00B22F84">
      <w:pPr>
        <w:pStyle w:val="Caption"/>
      </w:pPr>
      <w:r w:rsidRPr="004A34E0">
        <w:lastRenderedPageBreak/>
        <w:t xml:space="preserve">Figure 17. Threatened flora observations (DELWP, 2021) </w:t>
      </w:r>
    </w:p>
    <w:p w14:paraId="22A08570" w14:textId="5E5C0B34" w:rsidR="007904E8" w:rsidRPr="004A34E0" w:rsidRDefault="00507419" w:rsidP="007904E8">
      <w:pPr>
        <w:pStyle w:val="BodyText"/>
      </w:pPr>
      <w:r w:rsidRPr="004A34E0">
        <w:rPr>
          <w:noProof/>
        </w:rPr>
        <mc:AlternateContent>
          <mc:Choice Requires="wps">
            <w:drawing>
              <wp:anchor distT="45720" distB="45720" distL="114300" distR="114300" simplePos="0" relativeHeight="251658334" behindDoc="0" locked="0" layoutInCell="1" allowOverlap="1" wp14:anchorId="0C26A83B" wp14:editId="1152F4FE">
                <wp:simplePos x="0" y="0"/>
                <wp:positionH relativeFrom="column">
                  <wp:posOffset>626284</wp:posOffset>
                </wp:positionH>
                <wp:positionV relativeFrom="paragraph">
                  <wp:posOffset>3476625</wp:posOffset>
                </wp:positionV>
                <wp:extent cx="1581150" cy="1404620"/>
                <wp:effectExtent l="0" t="0" r="6350" b="0"/>
                <wp:wrapNone/>
                <wp:docPr id="656193714" name="Text Box 656193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1404620"/>
                        </a:xfrm>
                        <a:prstGeom prst="rect">
                          <a:avLst/>
                        </a:prstGeom>
                        <a:solidFill>
                          <a:schemeClr val="bg1"/>
                        </a:solidFill>
                        <a:ln w="9525">
                          <a:noFill/>
                          <a:miter lim="800000"/>
                          <a:headEnd/>
                          <a:tailEnd/>
                        </a:ln>
                      </wps:spPr>
                      <wps:txbx>
                        <w:txbxContent>
                          <w:p w14:paraId="08D494C5" w14:textId="77777777" w:rsidR="00507419" w:rsidRPr="00165BAD" w:rsidRDefault="00507419" w:rsidP="00507419">
                            <w:pPr>
                              <w:rPr>
                                <w:b/>
                                <w:bCs/>
                                <w:sz w:val="24"/>
                                <w:szCs w:val="24"/>
                              </w:rPr>
                            </w:pPr>
                            <w:r w:rsidRPr="00165BAD">
                              <w:rPr>
                                <w:b/>
                                <w:bCs/>
                                <w:sz w:val="24"/>
                                <w:szCs w:val="24"/>
                              </w:rPr>
                              <w:t>GORCAP EEA area</w:t>
                            </w:r>
                          </w:p>
                        </w:txbxContent>
                      </wps:txbx>
                      <wps:bodyPr rot="0" vert="horz" wrap="square" lIns="0" tIns="45720" rIns="9144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0C26A83B" id="Text Box 656193714" o:spid="_x0000_s1060" type="#_x0000_t202" style="position:absolute;margin-left:49.3pt;margin-top:273.75pt;width:124.5pt;height:110.6pt;z-index:25165833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" fillcolor="white [3212]" stroked="f">
                <v:textbox style="mso-fit-shape-to-text:t" inset="0,,,0">
                  <w:txbxContent>
                    <w:p w14:paraId="08D494C5" w14:textId="77777777" w:rsidR="00507419" w:rsidRPr="00165BAD" w:rsidRDefault="00507419" w:rsidP="00507419">
                      <w:pPr>
                        <w:rPr>
                          <w:b/>
                          <w:bCs/>
                          <w:sz w:val="24"/>
                          <w:szCs w:val="24"/>
                        </w:rPr>
                      </w:pPr>
                      <w:r w:rsidRPr="00165BAD">
                        <w:rPr>
                          <w:b/>
                          <w:bCs/>
                          <w:sz w:val="24"/>
                          <w:szCs w:val="24"/>
                        </w:rPr>
                        <w:t>GORCAP EEA area</w:t>
                      </w:r>
                    </w:p>
                  </w:txbxContent>
                </v:textbox>
              </v:shape>
            </w:pict>
          </mc:Fallback>
        </mc:AlternateContent>
      </w:r>
      <w:r w:rsidR="007904E8" w:rsidRPr="004A34E0">
        <w:rPr>
          <w:noProof/>
        </w:rPr>
        <w:drawing>
          <wp:inline distT="0" distB="0" distL="0" distR="0" wp14:anchorId="04424276" wp14:editId="65D4007F">
            <wp:extent cx="12578289" cy="5094514"/>
            <wp:effectExtent l="0" t="0" r="0" b="0"/>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Picture 781"/>
                    <pic:cNvPicPr>
                      <a:picLocks noChangeAspect="1" noChangeArrowheads="1"/>
                    </pic:cNvPicPr>
                  </pic:nvPicPr>
                  <pic:blipFill rotWithShape="1">
                    <a:blip r:embed="rId133" cstate="email">
                      <a:extLst>
                        <a:ext uri="{28A0092B-C50C-407E-A947-70E740481C1C}">
                          <a14:useLocalDpi xmlns:a14="http://schemas.microsoft.com/office/drawing/2010/main"/>
                        </a:ext>
                      </a:extLst>
                    </a:blip>
                    <a:srcRect/>
                    <a:stretch/>
                  </pic:blipFill>
                  <pic:spPr bwMode="auto">
                    <a:xfrm>
                      <a:off x="0" y="0"/>
                      <a:ext cx="12602428" cy="5104291"/>
                    </a:xfrm>
                    <a:prstGeom prst="rect">
                      <a:avLst/>
                    </a:prstGeom>
                    <a:noFill/>
                    <a:ln>
                      <a:noFill/>
                    </a:ln>
                    <a:extLst>
                      <a:ext uri="{53640926-AAD7-44D8-BBD7-CCE9431645EC}">
                        <a14:shadowObscured xmlns:a14="http://schemas.microsoft.com/office/drawing/2010/main"/>
                      </a:ext>
                    </a:extLst>
                  </pic:spPr>
                </pic:pic>
              </a:graphicData>
            </a:graphic>
          </wp:inline>
        </w:drawing>
      </w:r>
    </w:p>
    <w:p w14:paraId="032BDCAD" w14:textId="38506493" w:rsidR="007904E8" w:rsidRPr="004A34E0" w:rsidRDefault="00D51121" w:rsidP="00537CBB">
      <w:pPr>
        <w:pStyle w:val="Caption"/>
      </w:pPr>
      <w:r>
        <w:t xml:space="preserve">Table </w:t>
      </w:r>
      <w:r w:rsidR="007904E8" w:rsidRPr="004A34E0">
        <w:t>26. Threatened flora species count</w:t>
      </w:r>
    </w:p>
    <w:tbl>
      <w:tblPr>
        <w:tblStyle w:val="TableGrid"/>
        <w:tblW w:w="9214" w:type="dxa"/>
        <w:tblLayout w:type="fixed"/>
        <w:tblLook w:val="04A0" w:firstRow="1" w:lastRow="0" w:firstColumn="1" w:lastColumn="0" w:noHBand="0" w:noVBand="1"/>
      </w:tblPr>
      <w:tblGrid>
        <w:gridCol w:w="2410"/>
        <w:gridCol w:w="1701"/>
        <w:gridCol w:w="1701"/>
        <w:gridCol w:w="1701"/>
        <w:gridCol w:w="1701"/>
      </w:tblGrid>
      <w:tr w:rsidR="007904E8" w:rsidRPr="004A34E0" w14:paraId="606351AA" w14:textId="77777777" w:rsidTr="000C1F21">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2410" w:type="dxa"/>
            <w:shd w:val="clear" w:color="auto" w:fill="auto"/>
            <w:noWrap/>
            <w:hideMark/>
          </w:tcPr>
          <w:p w14:paraId="38F64439" w14:textId="77777777" w:rsidR="007904E8" w:rsidRPr="004A34E0" w:rsidRDefault="007904E8" w:rsidP="007904E8">
            <w:pPr>
              <w:pStyle w:val="TableTextLeft"/>
              <w:keepNext w:val="0"/>
            </w:pPr>
          </w:p>
        </w:tc>
        <w:tc>
          <w:tcPr>
            <w:tcW w:w="6804" w:type="dxa"/>
            <w:gridSpan w:val="4"/>
            <w:tcBorders>
              <w:bottom w:val="single" w:sz="4" w:space="0" w:color="FFFFFF" w:themeColor="background1"/>
            </w:tcBorders>
            <w:noWrap/>
            <w:hideMark/>
          </w:tcPr>
          <w:p w14:paraId="5AA3FE65" w14:textId="77777777" w:rsidR="007904E8" w:rsidRPr="004A34E0" w:rsidRDefault="007904E8" w:rsidP="000C1F21">
            <w:pPr>
              <w:pStyle w:val="TableHeadingLeft"/>
              <w:cnfStyle w:val="100000000000" w:firstRow="1" w:lastRow="0" w:firstColumn="0" w:lastColumn="0" w:oddVBand="0" w:evenVBand="0" w:oddHBand="0" w:evenHBand="0" w:firstRowFirstColumn="0" w:firstRowLastColumn="0" w:lastRowFirstColumn="0" w:lastRowLastColumn="0"/>
            </w:pPr>
            <w:r w:rsidRPr="004A34E0">
              <w:t>Threatened flora species count</w:t>
            </w:r>
          </w:p>
        </w:tc>
      </w:tr>
      <w:tr w:rsidR="007904E8" w:rsidRPr="004A34E0" w14:paraId="4A9AA6BA" w14:textId="77777777" w:rsidTr="000C1F21">
        <w:trPr>
          <w:trHeight w:val="445"/>
        </w:trPr>
        <w:tc>
          <w:tcPr>
            <w:cnfStyle w:val="001000000000" w:firstRow="0" w:lastRow="0" w:firstColumn="1" w:lastColumn="0" w:oddVBand="0" w:evenVBand="0" w:oddHBand="0" w:evenHBand="0" w:firstRowFirstColumn="0" w:firstRowLastColumn="0" w:lastRowFirstColumn="0" w:lastRowLastColumn="0"/>
            <w:tcW w:w="2410" w:type="dxa"/>
            <w:tcBorders>
              <w:top w:val="nil"/>
            </w:tcBorders>
            <w:shd w:val="clear" w:color="auto" w:fill="auto"/>
            <w:noWrap/>
            <w:hideMark/>
          </w:tcPr>
          <w:p w14:paraId="5D40D2F4" w14:textId="77777777" w:rsidR="007904E8" w:rsidRPr="00537CBB" w:rsidRDefault="007904E8" w:rsidP="003B7265">
            <w:pPr>
              <w:pStyle w:val="TableHeadingLeft"/>
            </w:pPr>
            <w:r w:rsidRPr="00537CBB">
              <w:t> </w:t>
            </w:r>
          </w:p>
        </w:tc>
        <w:tc>
          <w:tcPr>
            <w:tcW w:w="1701" w:type="dxa"/>
            <w:tcBorders>
              <w:top w:val="single" w:sz="4" w:space="0" w:color="FFFFFF" w:themeColor="background1"/>
            </w:tcBorders>
            <w:shd w:val="clear" w:color="auto" w:fill="004C97" w:themeFill="accent1"/>
            <w:noWrap/>
            <w:hideMark/>
          </w:tcPr>
          <w:p w14:paraId="1AE9BF92" w14:textId="77777777" w:rsidR="007904E8" w:rsidRPr="00537CBB" w:rsidRDefault="007904E8" w:rsidP="000C1F21">
            <w:pPr>
              <w:pStyle w:val="TableHeadingLeft"/>
              <w:cnfStyle w:val="000000000000" w:firstRow="0" w:lastRow="0" w:firstColumn="0" w:lastColumn="0" w:oddVBand="0" w:evenVBand="0" w:oddHBand="0" w:evenHBand="0" w:firstRowFirstColumn="0" w:firstRowLastColumn="0" w:lastRowFirstColumn="0" w:lastRowLastColumn="0"/>
            </w:pPr>
            <w:r w:rsidRPr="00537CBB">
              <w:t>Total</w:t>
            </w:r>
          </w:p>
        </w:tc>
        <w:tc>
          <w:tcPr>
            <w:tcW w:w="1701" w:type="dxa"/>
            <w:tcBorders>
              <w:top w:val="single" w:sz="4" w:space="0" w:color="FFFFFF" w:themeColor="background1"/>
            </w:tcBorders>
            <w:shd w:val="clear" w:color="auto" w:fill="004C97" w:themeFill="accent1"/>
            <w:noWrap/>
            <w:hideMark/>
          </w:tcPr>
          <w:p w14:paraId="14671138" w14:textId="77777777" w:rsidR="007904E8" w:rsidRPr="00537CBB" w:rsidRDefault="007904E8" w:rsidP="000C1F21">
            <w:pPr>
              <w:pStyle w:val="TableHeadingLeft"/>
              <w:cnfStyle w:val="000000000000" w:firstRow="0" w:lastRow="0" w:firstColumn="0" w:lastColumn="0" w:oddVBand="0" w:evenVBand="0" w:oddHBand="0" w:evenHBand="0" w:firstRowFirstColumn="0" w:firstRowLastColumn="0" w:lastRowFirstColumn="0" w:lastRowLastColumn="0"/>
            </w:pPr>
            <w:r w:rsidRPr="00537CBB">
              <w:t>Endangered</w:t>
            </w:r>
          </w:p>
        </w:tc>
        <w:tc>
          <w:tcPr>
            <w:tcW w:w="1701" w:type="dxa"/>
            <w:tcBorders>
              <w:top w:val="single" w:sz="4" w:space="0" w:color="FFFFFF" w:themeColor="background1"/>
            </w:tcBorders>
            <w:shd w:val="clear" w:color="auto" w:fill="004C97" w:themeFill="accent1"/>
            <w:noWrap/>
            <w:hideMark/>
          </w:tcPr>
          <w:p w14:paraId="510C4844" w14:textId="77777777" w:rsidR="007904E8" w:rsidRPr="00537CBB" w:rsidRDefault="007904E8" w:rsidP="000C1F21">
            <w:pPr>
              <w:pStyle w:val="TableHeadingLeft"/>
              <w:cnfStyle w:val="000000000000" w:firstRow="0" w:lastRow="0" w:firstColumn="0" w:lastColumn="0" w:oddVBand="0" w:evenVBand="0" w:oddHBand="0" w:evenHBand="0" w:firstRowFirstColumn="0" w:firstRowLastColumn="0" w:lastRowFirstColumn="0" w:lastRowLastColumn="0"/>
            </w:pPr>
            <w:r w:rsidRPr="00537CBB">
              <w:t>Vulnerable</w:t>
            </w:r>
          </w:p>
        </w:tc>
        <w:tc>
          <w:tcPr>
            <w:tcW w:w="1701" w:type="dxa"/>
            <w:tcBorders>
              <w:top w:val="single" w:sz="4" w:space="0" w:color="FFFFFF" w:themeColor="background1"/>
            </w:tcBorders>
            <w:shd w:val="clear" w:color="auto" w:fill="004C97" w:themeFill="accent1"/>
            <w:noWrap/>
            <w:hideMark/>
          </w:tcPr>
          <w:p w14:paraId="5F3D3803" w14:textId="77777777" w:rsidR="007904E8" w:rsidRPr="00537CBB" w:rsidRDefault="007904E8" w:rsidP="000C1F21">
            <w:pPr>
              <w:pStyle w:val="TableHeadingLeft"/>
              <w:cnfStyle w:val="000000000000" w:firstRow="0" w:lastRow="0" w:firstColumn="0" w:lastColumn="0" w:oddVBand="0" w:evenVBand="0" w:oddHBand="0" w:evenHBand="0" w:firstRowFirstColumn="0" w:firstRowLastColumn="0" w:lastRowFirstColumn="0" w:lastRowLastColumn="0"/>
            </w:pPr>
            <w:r w:rsidRPr="00537CBB">
              <w:t>Rare</w:t>
            </w:r>
          </w:p>
        </w:tc>
      </w:tr>
      <w:tr w:rsidR="007904E8" w:rsidRPr="004A34E0" w14:paraId="7C868731" w14:textId="77777777" w:rsidTr="000C1F21">
        <w:trPr>
          <w:trHeight w:val="288"/>
        </w:trPr>
        <w:tc>
          <w:tcPr>
            <w:cnfStyle w:val="001000000000" w:firstRow="0" w:lastRow="0" w:firstColumn="1" w:lastColumn="0" w:oddVBand="0" w:evenVBand="0" w:oddHBand="0" w:evenHBand="0" w:firstRowFirstColumn="0" w:firstRowLastColumn="0" w:lastRowFirstColumn="0" w:lastRowLastColumn="0"/>
            <w:tcW w:w="2410" w:type="dxa"/>
            <w:noWrap/>
            <w:hideMark/>
          </w:tcPr>
          <w:p w14:paraId="29FB0D08" w14:textId="77777777" w:rsidR="007904E8" w:rsidRPr="004A34E0" w:rsidRDefault="007904E8" w:rsidP="00666947">
            <w:pPr>
              <w:pStyle w:val="TableTextLeft"/>
            </w:pPr>
            <w:r w:rsidRPr="004A34E0">
              <w:t>GORCAPA</w:t>
            </w:r>
          </w:p>
        </w:tc>
        <w:tc>
          <w:tcPr>
            <w:tcW w:w="1701" w:type="dxa"/>
            <w:noWrap/>
            <w:hideMark/>
          </w:tcPr>
          <w:p w14:paraId="1F2FAF1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72</w:t>
            </w:r>
          </w:p>
        </w:tc>
        <w:tc>
          <w:tcPr>
            <w:tcW w:w="1701" w:type="dxa"/>
            <w:noWrap/>
            <w:hideMark/>
          </w:tcPr>
          <w:p w14:paraId="035DE91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11</w:t>
            </w:r>
          </w:p>
        </w:tc>
        <w:tc>
          <w:tcPr>
            <w:tcW w:w="1701" w:type="dxa"/>
            <w:noWrap/>
            <w:hideMark/>
          </w:tcPr>
          <w:p w14:paraId="44C4E7D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15</w:t>
            </w:r>
          </w:p>
        </w:tc>
        <w:tc>
          <w:tcPr>
            <w:tcW w:w="1701" w:type="dxa"/>
            <w:noWrap/>
            <w:hideMark/>
          </w:tcPr>
          <w:p w14:paraId="50FFB31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46</w:t>
            </w:r>
          </w:p>
        </w:tc>
      </w:tr>
      <w:tr w:rsidR="007904E8" w:rsidRPr="004A34E0" w14:paraId="33C4B353" w14:textId="77777777" w:rsidTr="000C1F21">
        <w:trPr>
          <w:trHeight w:val="288"/>
        </w:trPr>
        <w:tc>
          <w:tcPr>
            <w:cnfStyle w:val="001000000000" w:firstRow="0" w:lastRow="0" w:firstColumn="1" w:lastColumn="0" w:oddVBand="0" w:evenVBand="0" w:oddHBand="0" w:evenHBand="0" w:firstRowFirstColumn="0" w:firstRowLastColumn="0" w:lastRowFirstColumn="0" w:lastRowLastColumn="0"/>
            <w:tcW w:w="2410" w:type="dxa"/>
            <w:noWrap/>
            <w:hideMark/>
          </w:tcPr>
          <w:p w14:paraId="4FFD5D15" w14:textId="77777777" w:rsidR="007904E8" w:rsidRPr="004A34E0" w:rsidRDefault="007904E8" w:rsidP="00666947">
            <w:pPr>
              <w:pStyle w:val="TableTextLeft"/>
            </w:pPr>
            <w:r w:rsidRPr="004A34E0">
              <w:t>Non-GORCAPA</w:t>
            </w:r>
          </w:p>
        </w:tc>
        <w:tc>
          <w:tcPr>
            <w:tcW w:w="1701" w:type="dxa"/>
            <w:noWrap/>
            <w:hideMark/>
          </w:tcPr>
          <w:p w14:paraId="45E8D94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63</w:t>
            </w:r>
          </w:p>
        </w:tc>
        <w:tc>
          <w:tcPr>
            <w:tcW w:w="1701" w:type="dxa"/>
            <w:noWrap/>
            <w:hideMark/>
          </w:tcPr>
          <w:p w14:paraId="10E3584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5</w:t>
            </w:r>
          </w:p>
        </w:tc>
        <w:tc>
          <w:tcPr>
            <w:tcW w:w="1701" w:type="dxa"/>
            <w:noWrap/>
            <w:hideMark/>
          </w:tcPr>
          <w:p w14:paraId="7CBF329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11</w:t>
            </w:r>
          </w:p>
        </w:tc>
        <w:tc>
          <w:tcPr>
            <w:tcW w:w="1701" w:type="dxa"/>
            <w:noWrap/>
            <w:hideMark/>
          </w:tcPr>
          <w:p w14:paraId="4E05135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41</w:t>
            </w:r>
          </w:p>
        </w:tc>
      </w:tr>
      <w:tr w:rsidR="007904E8" w:rsidRPr="004A34E0" w14:paraId="1B954D6F" w14:textId="77777777" w:rsidTr="000C1F21">
        <w:trPr>
          <w:trHeight w:val="300"/>
        </w:trPr>
        <w:tc>
          <w:tcPr>
            <w:cnfStyle w:val="001000000000" w:firstRow="0" w:lastRow="0" w:firstColumn="1" w:lastColumn="0" w:oddVBand="0" w:evenVBand="0" w:oddHBand="0" w:evenHBand="0" w:firstRowFirstColumn="0" w:firstRowLastColumn="0" w:lastRowFirstColumn="0" w:lastRowLastColumn="0"/>
            <w:tcW w:w="2410" w:type="dxa"/>
            <w:noWrap/>
            <w:hideMark/>
          </w:tcPr>
          <w:p w14:paraId="1C203725" w14:textId="77777777" w:rsidR="007904E8" w:rsidRPr="004A34E0" w:rsidRDefault="007904E8" w:rsidP="00666947">
            <w:pPr>
              <w:pStyle w:val="TableTextLeft"/>
            </w:pPr>
            <w:r w:rsidRPr="004A34E0">
              <w:t>Total study area</w:t>
            </w:r>
          </w:p>
        </w:tc>
        <w:tc>
          <w:tcPr>
            <w:tcW w:w="1701" w:type="dxa"/>
            <w:noWrap/>
            <w:hideMark/>
          </w:tcPr>
          <w:p w14:paraId="1AF03E9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89</w:t>
            </w:r>
          </w:p>
        </w:tc>
        <w:tc>
          <w:tcPr>
            <w:tcW w:w="1701" w:type="dxa"/>
            <w:noWrap/>
            <w:hideMark/>
          </w:tcPr>
          <w:p w14:paraId="0D9CF60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12</w:t>
            </w:r>
          </w:p>
        </w:tc>
        <w:tc>
          <w:tcPr>
            <w:tcW w:w="1701" w:type="dxa"/>
            <w:noWrap/>
            <w:hideMark/>
          </w:tcPr>
          <w:p w14:paraId="59972A9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21</w:t>
            </w:r>
          </w:p>
        </w:tc>
        <w:tc>
          <w:tcPr>
            <w:tcW w:w="1701" w:type="dxa"/>
            <w:noWrap/>
            <w:hideMark/>
          </w:tcPr>
          <w:p w14:paraId="174A61C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56</w:t>
            </w:r>
          </w:p>
        </w:tc>
      </w:tr>
    </w:tbl>
    <w:p w14:paraId="267529C6" w14:textId="77777777" w:rsidR="007904E8" w:rsidRPr="004A34E0" w:rsidRDefault="007904E8" w:rsidP="007904E8">
      <w:pPr>
        <w:pStyle w:val="BodyText"/>
        <w:rPr>
          <w:b/>
        </w:rPr>
      </w:pPr>
    </w:p>
    <w:p w14:paraId="77D053EA" w14:textId="77777777" w:rsidR="007904E8" w:rsidRPr="004A34E0" w:rsidRDefault="007904E8" w:rsidP="00B22F84">
      <w:pPr>
        <w:pStyle w:val="Caption"/>
      </w:pPr>
      <w:r w:rsidRPr="004A34E0">
        <w:lastRenderedPageBreak/>
        <w:t>Figure 18. Above ground biomass (DELWP, 2018b)</w:t>
      </w:r>
    </w:p>
    <w:p w14:paraId="0E3020B0" w14:textId="400D3C83" w:rsidR="007904E8" w:rsidRPr="004A34E0" w:rsidRDefault="00507419" w:rsidP="007904E8">
      <w:pPr>
        <w:pStyle w:val="BodyText"/>
      </w:pPr>
      <w:r w:rsidRPr="004A34E0">
        <w:rPr>
          <w:noProof/>
        </w:rPr>
        <mc:AlternateContent>
          <mc:Choice Requires="wps">
            <w:drawing>
              <wp:anchor distT="45720" distB="45720" distL="114300" distR="114300" simplePos="0" relativeHeight="251658333" behindDoc="0" locked="0" layoutInCell="1" allowOverlap="1" wp14:anchorId="56D74A20" wp14:editId="5F9EFC0A">
                <wp:simplePos x="0" y="0"/>
                <wp:positionH relativeFrom="column">
                  <wp:posOffset>651354</wp:posOffset>
                </wp:positionH>
                <wp:positionV relativeFrom="paragraph">
                  <wp:posOffset>3239222</wp:posOffset>
                </wp:positionV>
                <wp:extent cx="1581150" cy="1404620"/>
                <wp:effectExtent l="0" t="0" r="6350" b="0"/>
                <wp:wrapNone/>
                <wp:docPr id="1509313077" name="Text Box 15093130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1404620"/>
                        </a:xfrm>
                        <a:prstGeom prst="rect">
                          <a:avLst/>
                        </a:prstGeom>
                        <a:solidFill>
                          <a:schemeClr val="bg1"/>
                        </a:solidFill>
                        <a:ln w="9525">
                          <a:noFill/>
                          <a:miter lim="800000"/>
                          <a:headEnd/>
                          <a:tailEnd/>
                        </a:ln>
                      </wps:spPr>
                      <wps:txbx>
                        <w:txbxContent>
                          <w:p w14:paraId="267A61F8" w14:textId="77777777" w:rsidR="00507419" w:rsidRPr="00165BAD" w:rsidRDefault="00507419" w:rsidP="00507419">
                            <w:pPr>
                              <w:rPr>
                                <w:b/>
                                <w:bCs/>
                                <w:sz w:val="24"/>
                                <w:szCs w:val="24"/>
                              </w:rPr>
                            </w:pPr>
                            <w:r w:rsidRPr="00165BAD">
                              <w:rPr>
                                <w:b/>
                                <w:bCs/>
                                <w:sz w:val="24"/>
                                <w:szCs w:val="24"/>
                              </w:rPr>
                              <w:t>GORCAP EEA area</w:t>
                            </w:r>
                          </w:p>
                        </w:txbxContent>
                      </wps:txbx>
                      <wps:bodyPr rot="0" vert="horz" wrap="square" lIns="0" tIns="45720" rIns="9144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56D74A20" id="Text Box 1509313077" o:spid="_x0000_s1061" type="#_x0000_t202" style="position:absolute;margin-left:51.3pt;margin-top:255.05pt;width:124.5pt;height:110.6pt;z-index:25165833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" fillcolor="white [3212]" stroked="f">
                <v:textbox style="mso-fit-shape-to-text:t" inset="0,,,0">
                  <w:txbxContent>
                    <w:p w14:paraId="267A61F8" w14:textId="77777777" w:rsidR="00507419" w:rsidRPr="00165BAD" w:rsidRDefault="00507419" w:rsidP="00507419">
                      <w:pPr>
                        <w:rPr>
                          <w:b/>
                          <w:bCs/>
                          <w:sz w:val="24"/>
                          <w:szCs w:val="24"/>
                        </w:rPr>
                      </w:pPr>
                      <w:r w:rsidRPr="00165BAD">
                        <w:rPr>
                          <w:b/>
                          <w:bCs/>
                          <w:sz w:val="24"/>
                          <w:szCs w:val="24"/>
                        </w:rPr>
                        <w:t>GORCAP EEA area</w:t>
                      </w:r>
                    </w:p>
                  </w:txbxContent>
                </v:textbox>
              </v:shape>
            </w:pict>
          </mc:Fallback>
        </mc:AlternateContent>
      </w:r>
      <w:r w:rsidR="007904E8" w:rsidRPr="004A34E0">
        <w:rPr>
          <w:noProof/>
        </w:rPr>
        <w:drawing>
          <wp:inline distT="0" distB="0" distL="0" distR="0" wp14:anchorId="686B9C99" wp14:editId="35C1C5F4">
            <wp:extent cx="11685319" cy="5139603"/>
            <wp:effectExtent l="0" t="0" r="0" b="4445"/>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4" cstate="email">
                      <a:extLst>
                        <a:ext uri="{28A0092B-C50C-407E-A947-70E740481C1C}">
                          <a14:useLocalDpi xmlns:a14="http://schemas.microsoft.com/office/drawing/2010/main"/>
                        </a:ext>
                      </a:extLst>
                    </a:blip>
                    <a:srcRect/>
                    <a:stretch/>
                  </pic:blipFill>
                  <pic:spPr bwMode="auto">
                    <a:xfrm>
                      <a:off x="0" y="0"/>
                      <a:ext cx="11709490" cy="5150234"/>
                    </a:xfrm>
                    <a:prstGeom prst="rect">
                      <a:avLst/>
                    </a:prstGeom>
                    <a:noFill/>
                    <a:ln>
                      <a:noFill/>
                    </a:ln>
                    <a:extLst>
                      <a:ext uri="{53640926-AAD7-44D8-BBD7-CCE9431645EC}">
                        <a14:shadowObscured xmlns:a14="http://schemas.microsoft.com/office/drawing/2010/main"/>
                      </a:ext>
                    </a:extLst>
                  </pic:spPr>
                </pic:pic>
              </a:graphicData>
            </a:graphic>
          </wp:inline>
        </w:drawing>
      </w:r>
    </w:p>
    <w:p w14:paraId="6D62988E" w14:textId="5A18B7A0" w:rsidR="00DE259D" w:rsidRDefault="007904E8" w:rsidP="00DE259D">
      <w:pPr>
        <w:pStyle w:val="Caption"/>
      </w:pPr>
      <w:r w:rsidRPr="004A34E0">
        <w:t>Table 27. Live above ground biomass by broad ecosystem on public land</w:t>
      </w:r>
      <w:r w:rsidRPr="004A34E0">
        <w:fldChar w:fldCharType="begin"/>
      </w:r>
      <w:r w:rsidRPr="004A34E0">
        <w:instrText xml:space="preserve"> LINK </w:instrText>
      </w:r>
      <w:r w:rsidR="0085648D">
        <w:instrText xml:space="preserve">Excel.Sheet.12 https://delwpvicgovau.sharepoint.com/sites/ecm_535/Strategic_Project/condition_output_data.xlsx "VFMP biomass!R58C1:R66C3" </w:instrText>
      </w:r>
      <w:r w:rsidRPr="004A34E0">
        <w:instrText xml:space="preserve">\a \f 5 \h  \* MERGEFORMAT </w:instrText>
      </w:r>
      <w:r w:rsidRPr="004A34E0">
        <w:fldChar w:fldCharType="separate"/>
      </w:r>
    </w:p>
    <w:tbl>
      <w:tblPr>
        <w:tblStyle w:val="TableGrid"/>
        <w:tblW w:w="8505" w:type="dxa"/>
        <w:tblLook w:val="04A0" w:firstRow="1" w:lastRow="0" w:firstColumn="1" w:lastColumn="0" w:noHBand="0" w:noVBand="1"/>
      </w:tblPr>
      <w:tblGrid>
        <w:gridCol w:w="2835"/>
        <w:gridCol w:w="2835"/>
        <w:gridCol w:w="2835"/>
      </w:tblGrid>
      <w:tr w:rsidR="00DE259D" w:rsidRPr="00DE259D" w14:paraId="2DFDB952" w14:textId="77777777" w:rsidTr="00DE259D">
        <w:trPr>
          <w:cnfStyle w:val="100000000000" w:firstRow="1" w:lastRow="0" w:firstColumn="0" w:lastColumn="0" w:oddVBand="0" w:evenVBand="0" w:oddHBand="0" w:evenHBand="0" w:firstRowFirstColumn="0" w:firstRowLastColumn="0" w:lastRowFirstColumn="0" w:lastRowLastColumn="0"/>
          <w:divId w:val="414592864"/>
          <w:trHeight w:val="229"/>
        </w:trPr>
        <w:tc>
          <w:tcPr>
            <w:cnfStyle w:val="001000000000" w:firstRow="0" w:lastRow="0" w:firstColumn="1" w:lastColumn="0" w:oddVBand="0" w:evenVBand="0" w:oddHBand="0" w:evenHBand="0" w:firstRowFirstColumn="0" w:firstRowLastColumn="0" w:lastRowFirstColumn="0" w:lastRowLastColumn="0"/>
            <w:tcW w:w="2835" w:type="dxa"/>
            <w:noWrap/>
            <w:hideMark/>
          </w:tcPr>
          <w:p w14:paraId="0B6E8AA6" w14:textId="36FB9A7E" w:rsidR="00DE259D" w:rsidRPr="00DE259D" w:rsidRDefault="00DE259D" w:rsidP="00DE259D">
            <w:pPr>
              <w:pStyle w:val="TableHeadingLeft"/>
            </w:pPr>
            <w:r w:rsidRPr="00DE259D">
              <w:t>Habitat</w:t>
            </w:r>
          </w:p>
        </w:tc>
        <w:tc>
          <w:tcPr>
            <w:tcW w:w="2835" w:type="dxa"/>
            <w:hideMark/>
          </w:tcPr>
          <w:p w14:paraId="2AC9C751" w14:textId="77777777" w:rsidR="00DE259D" w:rsidRPr="00DE259D" w:rsidRDefault="00DE259D" w:rsidP="00DE259D">
            <w:pPr>
              <w:pStyle w:val="TableHeadingLeft"/>
              <w:cnfStyle w:val="100000000000" w:firstRow="1" w:lastRow="0" w:firstColumn="0" w:lastColumn="0" w:oddVBand="0" w:evenVBand="0" w:oddHBand="0" w:evenHBand="0" w:firstRowFirstColumn="0" w:firstRowLastColumn="0" w:lastRowFirstColumn="0" w:lastRowLastColumn="0"/>
            </w:pPr>
            <w:r w:rsidRPr="00DE259D">
              <w:t>Mean live above</w:t>
            </w:r>
            <w:r w:rsidRPr="00DE259D">
              <w:br/>
              <w:t>ground biomass</w:t>
            </w:r>
            <w:r w:rsidRPr="00DE259D">
              <w:br/>
              <w:t>(t/Ha)</w:t>
            </w:r>
          </w:p>
        </w:tc>
        <w:tc>
          <w:tcPr>
            <w:tcW w:w="2835" w:type="dxa"/>
            <w:hideMark/>
          </w:tcPr>
          <w:p w14:paraId="19F02D12" w14:textId="77777777" w:rsidR="00DE259D" w:rsidRPr="00DE259D" w:rsidRDefault="00DE259D" w:rsidP="00DE259D">
            <w:pPr>
              <w:pStyle w:val="TableHeadingLeft"/>
              <w:cnfStyle w:val="100000000000" w:firstRow="1" w:lastRow="0" w:firstColumn="0" w:lastColumn="0" w:oddVBand="0" w:evenVBand="0" w:oddHBand="0" w:evenHBand="0" w:firstRowFirstColumn="0" w:firstRowLastColumn="0" w:lastRowFirstColumn="0" w:lastRowLastColumn="0"/>
            </w:pPr>
            <w:r w:rsidRPr="00DE259D">
              <w:t>Area covered</w:t>
            </w:r>
            <w:r w:rsidRPr="00DE259D">
              <w:br/>
              <w:t>by dataset</w:t>
            </w:r>
            <w:r w:rsidRPr="00DE259D">
              <w:br/>
              <w:t>(Ha)</w:t>
            </w:r>
          </w:p>
        </w:tc>
      </w:tr>
      <w:tr w:rsidR="00DE259D" w:rsidRPr="00DE259D" w14:paraId="0F1ACCCB" w14:textId="77777777" w:rsidTr="00DE259D">
        <w:trPr>
          <w:divId w:val="414592864"/>
          <w:trHeight w:val="288"/>
        </w:trPr>
        <w:tc>
          <w:tcPr>
            <w:cnfStyle w:val="001000000000" w:firstRow="0" w:lastRow="0" w:firstColumn="1" w:lastColumn="0" w:oddVBand="0" w:evenVBand="0" w:oddHBand="0" w:evenHBand="0" w:firstRowFirstColumn="0" w:firstRowLastColumn="0" w:lastRowFirstColumn="0" w:lastRowLastColumn="0"/>
            <w:tcW w:w="2835" w:type="dxa"/>
            <w:noWrap/>
            <w:hideMark/>
          </w:tcPr>
          <w:p w14:paraId="79BB57F3" w14:textId="77777777" w:rsidR="00DE259D" w:rsidRPr="00DE259D" w:rsidRDefault="00DE259D" w:rsidP="00DE259D">
            <w:pPr>
              <w:pStyle w:val="TableTextLeft"/>
            </w:pPr>
            <w:r w:rsidRPr="00DE259D">
              <w:t>Grassland</w:t>
            </w:r>
          </w:p>
        </w:tc>
        <w:tc>
          <w:tcPr>
            <w:tcW w:w="2835" w:type="dxa"/>
            <w:noWrap/>
            <w:hideMark/>
          </w:tcPr>
          <w:p w14:paraId="232A0B53"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pPr>
            <w:r w:rsidRPr="00DE259D">
              <w:t>203</w:t>
            </w:r>
          </w:p>
        </w:tc>
        <w:tc>
          <w:tcPr>
            <w:tcW w:w="2835" w:type="dxa"/>
            <w:noWrap/>
            <w:hideMark/>
          </w:tcPr>
          <w:p w14:paraId="1F014758"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t xml:space="preserve">                        361 </w:t>
            </w:r>
          </w:p>
        </w:tc>
      </w:tr>
      <w:tr w:rsidR="00DE259D" w:rsidRPr="00DE259D" w14:paraId="65015036" w14:textId="77777777" w:rsidTr="00DE259D">
        <w:trPr>
          <w:divId w:val="414592864"/>
          <w:trHeight w:val="288"/>
        </w:trPr>
        <w:tc>
          <w:tcPr>
            <w:cnfStyle w:val="001000000000" w:firstRow="0" w:lastRow="0" w:firstColumn="1" w:lastColumn="0" w:oddVBand="0" w:evenVBand="0" w:oddHBand="0" w:evenHBand="0" w:firstRowFirstColumn="0" w:firstRowLastColumn="0" w:lastRowFirstColumn="0" w:lastRowLastColumn="0"/>
            <w:tcW w:w="2835" w:type="dxa"/>
            <w:noWrap/>
            <w:hideMark/>
          </w:tcPr>
          <w:p w14:paraId="122F48B6" w14:textId="77777777" w:rsidR="00DE259D" w:rsidRPr="00DE259D" w:rsidRDefault="00DE259D" w:rsidP="00DE259D">
            <w:pPr>
              <w:pStyle w:val="TableTextLeft"/>
            </w:pPr>
            <w:r w:rsidRPr="00DE259D">
              <w:t>Heathland / shrubland</w:t>
            </w:r>
          </w:p>
        </w:tc>
        <w:tc>
          <w:tcPr>
            <w:tcW w:w="2835" w:type="dxa"/>
            <w:noWrap/>
            <w:hideMark/>
          </w:tcPr>
          <w:p w14:paraId="3B05341A"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pPr>
            <w:r w:rsidRPr="00DE259D">
              <w:t>210</w:t>
            </w:r>
          </w:p>
        </w:tc>
        <w:tc>
          <w:tcPr>
            <w:tcW w:w="2835" w:type="dxa"/>
            <w:noWrap/>
            <w:hideMark/>
          </w:tcPr>
          <w:p w14:paraId="51AC95F2"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t xml:space="preserve">                        706 </w:t>
            </w:r>
          </w:p>
        </w:tc>
      </w:tr>
      <w:tr w:rsidR="00DE259D" w:rsidRPr="00DE259D" w14:paraId="6FA1F5FB" w14:textId="77777777" w:rsidTr="00DE259D">
        <w:trPr>
          <w:divId w:val="414592864"/>
          <w:trHeight w:val="288"/>
        </w:trPr>
        <w:tc>
          <w:tcPr>
            <w:cnfStyle w:val="001000000000" w:firstRow="0" w:lastRow="0" w:firstColumn="1" w:lastColumn="0" w:oddVBand="0" w:evenVBand="0" w:oddHBand="0" w:evenHBand="0" w:firstRowFirstColumn="0" w:firstRowLastColumn="0" w:lastRowFirstColumn="0" w:lastRowLastColumn="0"/>
            <w:tcW w:w="2835" w:type="dxa"/>
            <w:noWrap/>
            <w:hideMark/>
          </w:tcPr>
          <w:p w14:paraId="7E6F05A6" w14:textId="77777777" w:rsidR="00DE259D" w:rsidRPr="00DE259D" w:rsidRDefault="00DE259D" w:rsidP="00DE259D">
            <w:pPr>
              <w:pStyle w:val="TableTextLeft"/>
            </w:pPr>
            <w:r w:rsidRPr="00DE259D">
              <w:t>Forest / woodland</w:t>
            </w:r>
          </w:p>
        </w:tc>
        <w:tc>
          <w:tcPr>
            <w:tcW w:w="2835" w:type="dxa"/>
            <w:noWrap/>
            <w:hideMark/>
          </w:tcPr>
          <w:p w14:paraId="0438AFF0"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pPr>
            <w:r w:rsidRPr="00DE259D">
              <w:t>470</w:t>
            </w:r>
          </w:p>
        </w:tc>
        <w:tc>
          <w:tcPr>
            <w:tcW w:w="2835" w:type="dxa"/>
            <w:noWrap/>
            <w:hideMark/>
          </w:tcPr>
          <w:p w14:paraId="0DC23CC4"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t xml:space="preserve">                  21,979 </w:t>
            </w:r>
          </w:p>
        </w:tc>
      </w:tr>
      <w:tr w:rsidR="00DE259D" w:rsidRPr="00DE259D" w14:paraId="5C7F2A66" w14:textId="77777777" w:rsidTr="00DE259D">
        <w:trPr>
          <w:divId w:val="414592864"/>
          <w:trHeight w:val="288"/>
        </w:trPr>
        <w:tc>
          <w:tcPr>
            <w:cnfStyle w:val="001000000000" w:firstRow="0" w:lastRow="0" w:firstColumn="1" w:lastColumn="0" w:oddVBand="0" w:evenVBand="0" w:oddHBand="0" w:evenHBand="0" w:firstRowFirstColumn="0" w:firstRowLastColumn="0" w:lastRowFirstColumn="0" w:lastRowLastColumn="0"/>
            <w:tcW w:w="2835" w:type="dxa"/>
            <w:noWrap/>
            <w:hideMark/>
          </w:tcPr>
          <w:p w14:paraId="336682AA" w14:textId="77777777" w:rsidR="00DE259D" w:rsidRPr="00DE259D" w:rsidRDefault="00DE259D" w:rsidP="00DE259D">
            <w:pPr>
              <w:pStyle w:val="TableTextLeft"/>
            </w:pPr>
            <w:r w:rsidRPr="00DE259D">
              <w:t>Farmland</w:t>
            </w:r>
          </w:p>
        </w:tc>
        <w:tc>
          <w:tcPr>
            <w:tcW w:w="2835" w:type="dxa"/>
            <w:noWrap/>
            <w:hideMark/>
          </w:tcPr>
          <w:p w14:paraId="7EAF7D8F"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pPr>
            <w:r w:rsidRPr="00DE259D">
              <w:t>227</w:t>
            </w:r>
          </w:p>
        </w:tc>
        <w:tc>
          <w:tcPr>
            <w:tcW w:w="2835" w:type="dxa"/>
            <w:noWrap/>
            <w:hideMark/>
          </w:tcPr>
          <w:p w14:paraId="2D70D3EE"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t xml:space="preserve">                        475 </w:t>
            </w:r>
          </w:p>
        </w:tc>
      </w:tr>
      <w:tr w:rsidR="00DE259D" w:rsidRPr="00DE259D" w14:paraId="47288B22" w14:textId="77777777" w:rsidTr="00DE259D">
        <w:trPr>
          <w:divId w:val="414592864"/>
          <w:trHeight w:val="288"/>
        </w:trPr>
        <w:tc>
          <w:tcPr>
            <w:cnfStyle w:val="001000000000" w:firstRow="0" w:lastRow="0" w:firstColumn="1" w:lastColumn="0" w:oddVBand="0" w:evenVBand="0" w:oddHBand="0" w:evenHBand="0" w:firstRowFirstColumn="0" w:firstRowLastColumn="0" w:lastRowFirstColumn="0" w:lastRowLastColumn="0"/>
            <w:tcW w:w="2835" w:type="dxa"/>
            <w:noWrap/>
            <w:hideMark/>
          </w:tcPr>
          <w:p w14:paraId="158A7C33" w14:textId="77777777" w:rsidR="00DE259D" w:rsidRPr="00DE259D" w:rsidRDefault="00DE259D" w:rsidP="00DE259D">
            <w:pPr>
              <w:pStyle w:val="TableTextLeft"/>
            </w:pPr>
            <w:r w:rsidRPr="00DE259D">
              <w:t>Freshwater and wetland</w:t>
            </w:r>
          </w:p>
        </w:tc>
        <w:tc>
          <w:tcPr>
            <w:tcW w:w="2835" w:type="dxa"/>
            <w:noWrap/>
            <w:hideMark/>
          </w:tcPr>
          <w:p w14:paraId="7CCB6EA4"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pPr>
            <w:r w:rsidRPr="00DE259D">
              <w:t>252</w:t>
            </w:r>
          </w:p>
        </w:tc>
        <w:tc>
          <w:tcPr>
            <w:tcW w:w="2835" w:type="dxa"/>
            <w:noWrap/>
            <w:hideMark/>
          </w:tcPr>
          <w:p w14:paraId="236079AC"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t xml:space="preserve">                        536 </w:t>
            </w:r>
          </w:p>
        </w:tc>
      </w:tr>
      <w:tr w:rsidR="00DE259D" w:rsidRPr="00DE259D" w14:paraId="22FB1226" w14:textId="77777777" w:rsidTr="00DE259D">
        <w:trPr>
          <w:divId w:val="414592864"/>
          <w:trHeight w:val="288"/>
        </w:trPr>
        <w:tc>
          <w:tcPr>
            <w:cnfStyle w:val="001000000000" w:firstRow="0" w:lastRow="0" w:firstColumn="1" w:lastColumn="0" w:oddVBand="0" w:evenVBand="0" w:oddHBand="0" w:evenHBand="0" w:firstRowFirstColumn="0" w:firstRowLastColumn="0" w:lastRowFirstColumn="0" w:lastRowLastColumn="0"/>
            <w:tcW w:w="2835" w:type="dxa"/>
            <w:noWrap/>
            <w:hideMark/>
          </w:tcPr>
          <w:p w14:paraId="796E7469" w14:textId="77777777" w:rsidR="00DE259D" w:rsidRPr="00DE259D" w:rsidRDefault="00DE259D" w:rsidP="00DE259D">
            <w:pPr>
              <w:pStyle w:val="TableTextLeft"/>
            </w:pPr>
            <w:r w:rsidRPr="00DE259D">
              <w:t>Urban</w:t>
            </w:r>
          </w:p>
        </w:tc>
        <w:tc>
          <w:tcPr>
            <w:tcW w:w="2835" w:type="dxa"/>
            <w:noWrap/>
            <w:hideMark/>
          </w:tcPr>
          <w:p w14:paraId="1D74D0EA"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pPr>
            <w:r w:rsidRPr="00DE259D">
              <w:t>121</w:t>
            </w:r>
          </w:p>
        </w:tc>
        <w:tc>
          <w:tcPr>
            <w:tcW w:w="2835" w:type="dxa"/>
            <w:noWrap/>
            <w:hideMark/>
          </w:tcPr>
          <w:p w14:paraId="257F62B9"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t xml:space="preserve">                        273 </w:t>
            </w:r>
          </w:p>
        </w:tc>
      </w:tr>
      <w:tr w:rsidR="00DE259D" w:rsidRPr="00DE259D" w14:paraId="3A75E41A" w14:textId="77777777" w:rsidTr="00DE259D">
        <w:trPr>
          <w:divId w:val="414592864"/>
          <w:trHeight w:val="288"/>
        </w:trPr>
        <w:tc>
          <w:tcPr>
            <w:cnfStyle w:val="001000000000" w:firstRow="0" w:lastRow="0" w:firstColumn="1" w:lastColumn="0" w:oddVBand="0" w:evenVBand="0" w:oddHBand="0" w:evenHBand="0" w:firstRowFirstColumn="0" w:firstRowLastColumn="0" w:lastRowFirstColumn="0" w:lastRowLastColumn="0"/>
            <w:tcW w:w="2835" w:type="dxa"/>
            <w:noWrap/>
            <w:hideMark/>
          </w:tcPr>
          <w:p w14:paraId="14F40576" w14:textId="77777777" w:rsidR="00DE259D" w:rsidRPr="00DE259D" w:rsidRDefault="00DE259D" w:rsidP="00DE259D">
            <w:pPr>
              <w:pStyle w:val="TableTextLeft"/>
            </w:pPr>
            <w:r w:rsidRPr="00DE259D">
              <w:t>Coastal margins</w:t>
            </w:r>
          </w:p>
        </w:tc>
        <w:tc>
          <w:tcPr>
            <w:tcW w:w="2835" w:type="dxa"/>
            <w:noWrap/>
            <w:hideMark/>
          </w:tcPr>
          <w:p w14:paraId="7082488C"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pPr>
            <w:r w:rsidRPr="00DE259D">
              <w:t>157</w:t>
            </w:r>
          </w:p>
        </w:tc>
        <w:tc>
          <w:tcPr>
            <w:tcW w:w="2835" w:type="dxa"/>
            <w:noWrap/>
            <w:hideMark/>
          </w:tcPr>
          <w:p w14:paraId="5126040A"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t xml:space="preserve">                        702 </w:t>
            </w:r>
          </w:p>
        </w:tc>
      </w:tr>
      <w:tr w:rsidR="00DE259D" w:rsidRPr="00DE259D" w14:paraId="558ACF12" w14:textId="77777777" w:rsidTr="00DE259D">
        <w:trPr>
          <w:divId w:val="414592864"/>
          <w:trHeight w:val="290"/>
        </w:trPr>
        <w:tc>
          <w:tcPr>
            <w:cnfStyle w:val="001000000000" w:firstRow="0" w:lastRow="0" w:firstColumn="1" w:lastColumn="0" w:oddVBand="0" w:evenVBand="0" w:oddHBand="0" w:evenHBand="0" w:firstRowFirstColumn="0" w:firstRowLastColumn="0" w:lastRowFirstColumn="0" w:lastRowLastColumn="0"/>
            <w:tcW w:w="2835" w:type="dxa"/>
            <w:noWrap/>
            <w:hideMark/>
          </w:tcPr>
          <w:p w14:paraId="57BC8592" w14:textId="77777777" w:rsidR="00DE259D" w:rsidRPr="00DE259D" w:rsidRDefault="00DE259D" w:rsidP="00DE259D">
            <w:pPr>
              <w:pStyle w:val="TableTextLeft"/>
            </w:pPr>
            <w:r w:rsidRPr="00DE259D">
              <w:t>Marine</w:t>
            </w:r>
          </w:p>
        </w:tc>
        <w:tc>
          <w:tcPr>
            <w:tcW w:w="2835" w:type="dxa"/>
            <w:noWrap/>
            <w:hideMark/>
          </w:tcPr>
          <w:p w14:paraId="765D20DB"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pPr>
            <w:r w:rsidRPr="00DE259D">
              <w:t>253</w:t>
            </w:r>
          </w:p>
        </w:tc>
        <w:tc>
          <w:tcPr>
            <w:tcW w:w="2835" w:type="dxa"/>
            <w:noWrap/>
            <w:hideMark/>
          </w:tcPr>
          <w:p w14:paraId="6DC26432"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t xml:space="preserve">                        153 </w:t>
            </w:r>
          </w:p>
        </w:tc>
      </w:tr>
    </w:tbl>
    <w:p w14:paraId="4291F931" w14:textId="77777777" w:rsidR="00D51121" w:rsidRDefault="007904E8" w:rsidP="007904E8">
      <w:pPr>
        <w:pStyle w:val="BodyText"/>
      </w:pPr>
      <w:r w:rsidRPr="004A34E0">
        <w:fldChar w:fldCharType="end"/>
      </w:r>
      <w:r w:rsidR="00D51121">
        <w:br w:type="page"/>
      </w:r>
    </w:p>
    <w:p w14:paraId="45D69B2D" w14:textId="1C494969" w:rsidR="007904E8" w:rsidRPr="004A34E0" w:rsidRDefault="007904E8" w:rsidP="00BA21B4">
      <w:pPr>
        <w:pStyle w:val="Caption"/>
      </w:pPr>
      <w:r w:rsidRPr="004A34E0">
        <w:lastRenderedPageBreak/>
        <w:t>Figure 28. Change in live above ground biomass on public land 2012 - 2017</w:t>
      </w:r>
    </w:p>
    <w:p w14:paraId="550BF640" w14:textId="77777777" w:rsidR="007904E8" w:rsidRPr="004A34E0" w:rsidRDefault="007904E8" w:rsidP="007904E8">
      <w:pPr>
        <w:pStyle w:val="BodyText"/>
        <w:rPr>
          <w:b/>
        </w:rPr>
      </w:pPr>
      <w:r w:rsidRPr="004A34E0">
        <w:rPr>
          <w:noProof/>
        </w:rPr>
        <w:drawing>
          <wp:inline distT="0" distB="0" distL="0" distR="0" wp14:anchorId="1DD633CA" wp14:editId="68F5BF9F">
            <wp:extent cx="10208525" cy="2934269"/>
            <wp:effectExtent l="0" t="0" r="2540" b="0"/>
            <wp:docPr id="797" name="Chart 797">
              <a:extLst xmlns:a="http://schemas.openxmlformats.org/drawingml/2006/main">
                <a:ext uri="{FF2B5EF4-FFF2-40B4-BE49-F238E27FC236}">
                  <a16:creationId xmlns:a16="http://schemas.microsoft.com/office/drawing/2014/main" id="{3E459B16-9229-4E96-AD40-0D971C2436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46F2CB1E" w14:textId="77777777" w:rsidR="007904E8" w:rsidRPr="004A34E0" w:rsidRDefault="007904E8" w:rsidP="007904E8">
      <w:pPr>
        <w:pStyle w:val="BodyText"/>
        <w:rPr>
          <w:b/>
        </w:rPr>
      </w:pPr>
      <w:r w:rsidRPr="004A34E0">
        <w:rPr>
          <w:b/>
        </w:rPr>
        <w:br w:type="page"/>
      </w:r>
    </w:p>
    <w:p w14:paraId="6B671DE1" w14:textId="77777777" w:rsidR="007904E8" w:rsidRPr="004A34E0" w:rsidRDefault="007904E8" w:rsidP="00B22F84">
      <w:pPr>
        <w:pStyle w:val="Caption"/>
      </w:pPr>
      <w:r w:rsidRPr="004A34E0">
        <w:lastRenderedPageBreak/>
        <w:t xml:space="preserve">Figure 19. Landslide and coastal acid sulphate soil susceptibility (DJPR and </w:t>
      </w:r>
      <w:proofErr w:type="spellStart"/>
      <w:r w:rsidRPr="004A34E0">
        <w:t>A.Miner</w:t>
      </w:r>
      <w:proofErr w:type="spellEnd"/>
      <w:r w:rsidRPr="004A34E0">
        <w:t>, 2017; DJPR, 2003)</w:t>
      </w:r>
    </w:p>
    <w:p w14:paraId="6DF234BA" w14:textId="77777777" w:rsidR="007904E8" w:rsidRPr="004A34E0" w:rsidRDefault="007904E8" w:rsidP="007904E8">
      <w:pPr>
        <w:pStyle w:val="BodyText"/>
      </w:pPr>
      <w:r w:rsidRPr="004A34E0">
        <w:rPr>
          <w:noProof/>
        </w:rPr>
        <mc:AlternateContent>
          <mc:Choice Requires="wps">
            <w:drawing>
              <wp:anchor distT="45720" distB="45720" distL="114300" distR="114300" simplePos="0" relativeHeight="251658310" behindDoc="0" locked="0" layoutInCell="1" allowOverlap="1" wp14:anchorId="7C711E6C" wp14:editId="5A04435B">
                <wp:simplePos x="0" y="0"/>
                <wp:positionH relativeFrom="column">
                  <wp:posOffset>719629</wp:posOffset>
                </wp:positionH>
                <wp:positionV relativeFrom="paragraph">
                  <wp:posOffset>2908935</wp:posOffset>
                </wp:positionV>
                <wp:extent cx="1581150" cy="1404620"/>
                <wp:effectExtent l="0" t="0" r="6350" b="0"/>
                <wp:wrapNone/>
                <wp:docPr id="802" name="Text Box 8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1404620"/>
                        </a:xfrm>
                        <a:prstGeom prst="rect">
                          <a:avLst/>
                        </a:prstGeom>
                        <a:solidFill>
                          <a:schemeClr val="bg1"/>
                        </a:solidFill>
                        <a:ln w="9525">
                          <a:noFill/>
                          <a:miter lim="800000"/>
                          <a:headEnd/>
                          <a:tailEnd/>
                        </a:ln>
                      </wps:spPr>
                      <wps:txbx>
                        <w:txbxContent>
                          <w:p w14:paraId="286E548C" w14:textId="77777777" w:rsidR="007904E8" w:rsidRPr="00165BAD" w:rsidRDefault="007904E8" w:rsidP="007904E8">
                            <w:pPr>
                              <w:rPr>
                                <w:b/>
                                <w:bCs/>
                                <w:sz w:val="24"/>
                                <w:szCs w:val="24"/>
                              </w:rPr>
                            </w:pPr>
                            <w:r w:rsidRPr="00165BAD">
                              <w:rPr>
                                <w:b/>
                                <w:bCs/>
                                <w:sz w:val="24"/>
                                <w:szCs w:val="24"/>
                              </w:rPr>
                              <w:t>GORCAP EEA area</w:t>
                            </w:r>
                          </w:p>
                        </w:txbxContent>
                      </wps:txbx>
                      <wps:bodyPr rot="0" vert="horz" wrap="square" lIns="0" tIns="45720" rIns="9144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7C711E6C" id="Text Box 802" o:spid="_x0000_s1062" type="#_x0000_t202" style="position:absolute;margin-left:56.65pt;margin-top:229.05pt;width:124.5pt;height:110.6pt;z-index:25165831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" fillcolor="white [3212]" stroked="f">
                <v:textbox style="mso-fit-shape-to-text:t" inset="0,,,0">
                  <w:txbxContent>
                    <w:p w14:paraId="286E548C" w14:textId="77777777" w:rsidR="007904E8" w:rsidRPr="00165BAD" w:rsidRDefault="007904E8" w:rsidP="007904E8">
                      <w:pPr>
                        <w:rPr>
                          <w:b/>
                          <w:bCs/>
                          <w:sz w:val="24"/>
                          <w:szCs w:val="24"/>
                        </w:rPr>
                      </w:pPr>
                      <w:r w:rsidRPr="00165BAD">
                        <w:rPr>
                          <w:b/>
                          <w:bCs/>
                          <w:sz w:val="24"/>
                          <w:szCs w:val="24"/>
                        </w:rPr>
                        <w:t>GORCAP EEA area</w:t>
                      </w:r>
                    </w:p>
                  </w:txbxContent>
                </v:textbox>
              </v:shape>
            </w:pict>
          </mc:Fallback>
        </mc:AlternateContent>
      </w:r>
      <w:r w:rsidRPr="004A34E0">
        <w:rPr>
          <w:noProof/>
        </w:rPr>
        <w:drawing>
          <wp:inline distT="0" distB="0" distL="0" distR="0" wp14:anchorId="6194736F" wp14:editId="584DA50D">
            <wp:extent cx="13199355" cy="5705061"/>
            <wp:effectExtent l="0" t="0" r="2540" b="0"/>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6" cstate="email">
                      <a:extLst>
                        <a:ext uri="{28A0092B-C50C-407E-A947-70E740481C1C}">
                          <a14:useLocalDpi xmlns:a14="http://schemas.microsoft.com/office/drawing/2010/main"/>
                        </a:ext>
                      </a:extLst>
                    </a:blip>
                    <a:srcRect/>
                    <a:stretch/>
                  </pic:blipFill>
                  <pic:spPr bwMode="auto">
                    <a:xfrm>
                      <a:off x="0" y="0"/>
                      <a:ext cx="13211879" cy="5710474"/>
                    </a:xfrm>
                    <a:prstGeom prst="rect">
                      <a:avLst/>
                    </a:prstGeom>
                    <a:noFill/>
                    <a:ln>
                      <a:noFill/>
                    </a:ln>
                    <a:extLst>
                      <a:ext uri="{53640926-AAD7-44D8-BBD7-CCE9431645EC}">
                        <a14:shadowObscured xmlns:a14="http://schemas.microsoft.com/office/drawing/2010/main"/>
                      </a:ext>
                    </a:extLst>
                  </pic:spPr>
                </pic:pic>
              </a:graphicData>
            </a:graphic>
          </wp:inline>
        </w:drawing>
      </w:r>
    </w:p>
    <w:p w14:paraId="7FDDA44D" w14:textId="77777777" w:rsidR="007904E8" w:rsidRPr="004A34E0" w:rsidRDefault="007904E8" w:rsidP="007904E8">
      <w:pPr>
        <w:pStyle w:val="BodyText"/>
      </w:pPr>
      <w:r w:rsidRPr="004A34E0">
        <w:br w:type="page"/>
      </w:r>
    </w:p>
    <w:p w14:paraId="74F50AFE" w14:textId="77777777" w:rsidR="007904E8" w:rsidRPr="004A34E0" w:rsidRDefault="007904E8" w:rsidP="00B22F84">
      <w:pPr>
        <w:pStyle w:val="Caption"/>
      </w:pPr>
      <w:r w:rsidRPr="004A34E0">
        <w:lastRenderedPageBreak/>
        <w:t>Figure 20. Stream condition (DELWP, 2010)</w:t>
      </w:r>
    </w:p>
    <w:p w14:paraId="77B39733" w14:textId="77777777" w:rsidR="007904E8" w:rsidRPr="004A34E0" w:rsidRDefault="007904E8" w:rsidP="007904E8">
      <w:pPr>
        <w:pStyle w:val="BodyText"/>
      </w:pPr>
      <w:r w:rsidRPr="004A34E0">
        <w:rPr>
          <w:noProof/>
        </w:rPr>
        <mc:AlternateContent>
          <mc:Choice Requires="wps">
            <w:drawing>
              <wp:anchor distT="45720" distB="45720" distL="114300" distR="114300" simplePos="0" relativeHeight="251658311" behindDoc="0" locked="0" layoutInCell="1" allowOverlap="1" wp14:anchorId="59F1050E" wp14:editId="193EC388">
                <wp:simplePos x="0" y="0"/>
                <wp:positionH relativeFrom="column">
                  <wp:posOffset>600336</wp:posOffset>
                </wp:positionH>
                <wp:positionV relativeFrom="paragraph">
                  <wp:posOffset>2905994</wp:posOffset>
                </wp:positionV>
                <wp:extent cx="1581150" cy="1404620"/>
                <wp:effectExtent l="0" t="0" r="6350" b="0"/>
                <wp:wrapNone/>
                <wp:docPr id="803" name="Text Box 8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1404620"/>
                        </a:xfrm>
                        <a:prstGeom prst="rect">
                          <a:avLst/>
                        </a:prstGeom>
                        <a:solidFill>
                          <a:schemeClr val="bg1"/>
                        </a:solidFill>
                        <a:ln w="9525">
                          <a:noFill/>
                          <a:miter lim="800000"/>
                          <a:headEnd/>
                          <a:tailEnd/>
                        </a:ln>
                      </wps:spPr>
                      <wps:txbx>
                        <w:txbxContent>
                          <w:p w14:paraId="59DE4496" w14:textId="77777777" w:rsidR="007904E8" w:rsidRPr="00165BAD" w:rsidRDefault="007904E8" w:rsidP="007904E8">
                            <w:pPr>
                              <w:rPr>
                                <w:b/>
                                <w:bCs/>
                                <w:sz w:val="24"/>
                                <w:szCs w:val="24"/>
                              </w:rPr>
                            </w:pPr>
                            <w:r w:rsidRPr="00165BAD">
                              <w:rPr>
                                <w:b/>
                                <w:bCs/>
                                <w:sz w:val="24"/>
                                <w:szCs w:val="24"/>
                              </w:rPr>
                              <w:t>GORCAP EEA area</w:t>
                            </w:r>
                          </w:p>
                        </w:txbxContent>
                      </wps:txbx>
                      <wps:bodyPr rot="0" vert="horz" wrap="square" lIns="0" tIns="45720" rIns="9144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59F1050E" id="Text Box 803" o:spid="_x0000_s1063" type="#_x0000_t202" style="position:absolute;margin-left:47.25pt;margin-top:228.8pt;width:124.5pt;height:110.6pt;z-index:25165831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" fillcolor="white [3212]" stroked="f">
                <v:textbox style="mso-fit-shape-to-text:t" inset="0,,,0">
                  <w:txbxContent>
                    <w:p w14:paraId="59DE4496" w14:textId="77777777" w:rsidR="007904E8" w:rsidRPr="00165BAD" w:rsidRDefault="007904E8" w:rsidP="007904E8">
                      <w:pPr>
                        <w:rPr>
                          <w:b/>
                          <w:bCs/>
                          <w:sz w:val="24"/>
                          <w:szCs w:val="24"/>
                        </w:rPr>
                      </w:pPr>
                      <w:r w:rsidRPr="00165BAD">
                        <w:rPr>
                          <w:b/>
                          <w:bCs/>
                          <w:sz w:val="24"/>
                          <w:szCs w:val="24"/>
                        </w:rPr>
                        <w:t>GORCAP EEA area</w:t>
                      </w:r>
                    </w:p>
                  </w:txbxContent>
                </v:textbox>
              </v:shape>
            </w:pict>
          </mc:Fallback>
        </mc:AlternateContent>
      </w:r>
      <w:r w:rsidRPr="004A34E0">
        <w:rPr>
          <w:noProof/>
        </w:rPr>
        <w:drawing>
          <wp:inline distT="0" distB="0" distL="0" distR="0" wp14:anchorId="751E62BC" wp14:editId="061B16FD">
            <wp:extent cx="11946577" cy="5173747"/>
            <wp:effectExtent l="0" t="0" r="0" b="8255"/>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7" cstate="email">
                      <a:extLst>
                        <a:ext uri="{28A0092B-C50C-407E-A947-70E740481C1C}">
                          <a14:useLocalDpi xmlns:a14="http://schemas.microsoft.com/office/drawing/2010/main"/>
                        </a:ext>
                      </a:extLst>
                    </a:blip>
                    <a:srcRect/>
                    <a:stretch/>
                  </pic:blipFill>
                  <pic:spPr bwMode="auto">
                    <a:xfrm>
                      <a:off x="0" y="0"/>
                      <a:ext cx="11960881" cy="5179941"/>
                    </a:xfrm>
                    <a:prstGeom prst="rect">
                      <a:avLst/>
                    </a:prstGeom>
                    <a:noFill/>
                    <a:ln>
                      <a:noFill/>
                    </a:ln>
                    <a:extLst>
                      <a:ext uri="{53640926-AAD7-44D8-BBD7-CCE9431645EC}">
                        <a14:shadowObscured xmlns:a14="http://schemas.microsoft.com/office/drawing/2010/main"/>
                      </a:ext>
                    </a:extLst>
                  </pic:spPr>
                </pic:pic>
              </a:graphicData>
            </a:graphic>
          </wp:inline>
        </w:drawing>
      </w:r>
    </w:p>
    <w:p w14:paraId="21D51364" w14:textId="10CDECE6" w:rsidR="002D4441" w:rsidRDefault="007904E8" w:rsidP="002D4441">
      <w:pPr>
        <w:pStyle w:val="Caption"/>
      </w:pPr>
      <w:r w:rsidRPr="004A34E0">
        <w:t>Table 28. Index of stream condition within GORCAP EEA study area</w:t>
      </w:r>
      <w:r w:rsidRPr="004A34E0">
        <w:rPr>
          <w:rFonts w:eastAsia="Calibri"/>
        </w:rPr>
        <w:fldChar w:fldCharType="begin"/>
      </w:r>
      <w:r w:rsidRPr="004A34E0">
        <w:rPr>
          <w:rFonts w:eastAsia="Calibri"/>
        </w:rPr>
        <w:instrText xml:space="preserve"> LINK </w:instrText>
      </w:r>
      <w:r w:rsidR="0085648D">
        <w:rPr>
          <w:rFonts w:eastAsia="Calibri"/>
        </w:rPr>
        <w:instrText xml:space="preserve">Excel.Sheet.12 https://delwpvicgovau.sharepoint.com/sites/ecm_535/Strategic_Project/condition_output_data.xlsx ISC!R5C1:R12C7 </w:instrText>
      </w:r>
      <w:r w:rsidRPr="004A34E0">
        <w:rPr>
          <w:rFonts w:eastAsia="Calibri"/>
        </w:rPr>
        <w:instrText xml:space="preserve">\a \f 5 \h  \* MERGEFORMAT </w:instrText>
      </w:r>
      <w:r w:rsidRPr="004A34E0">
        <w:rPr>
          <w:rFonts w:eastAsia="Calibri"/>
        </w:rPr>
        <w:fldChar w:fldCharType="separate"/>
      </w:r>
    </w:p>
    <w:tbl>
      <w:tblPr>
        <w:tblStyle w:val="TableGrid"/>
        <w:tblW w:w="9912" w:type="dxa"/>
        <w:tblLook w:val="04A0" w:firstRow="1" w:lastRow="0" w:firstColumn="1" w:lastColumn="0" w:noHBand="0" w:noVBand="1"/>
      </w:tblPr>
      <w:tblGrid>
        <w:gridCol w:w="2259"/>
        <w:gridCol w:w="1417"/>
        <w:gridCol w:w="1134"/>
        <w:gridCol w:w="1415"/>
        <w:gridCol w:w="1136"/>
        <w:gridCol w:w="1415"/>
        <w:gridCol w:w="1136"/>
      </w:tblGrid>
      <w:tr w:rsidR="002D4441" w:rsidRPr="002D4441" w14:paraId="75221A8B" w14:textId="77777777" w:rsidTr="002D4441">
        <w:trPr>
          <w:cnfStyle w:val="100000000000" w:firstRow="1" w:lastRow="0" w:firstColumn="0" w:lastColumn="0" w:oddVBand="0" w:evenVBand="0" w:oddHBand="0" w:evenHBand="0" w:firstRowFirstColumn="0" w:firstRowLastColumn="0" w:lastRowFirstColumn="0" w:lastRowLastColumn="0"/>
          <w:divId w:val="1907185874"/>
          <w:trHeight w:val="111"/>
        </w:trPr>
        <w:tc>
          <w:tcPr>
            <w:cnfStyle w:val="001000000000" w:firstRow="0" w:lastRow="0" w:firstColumn="1" w:lastColumn="0" w:oddVBand="0" w:evenVBand="0" w:oddHBand="0" w:evenHBand="0" w:firstRowFirstColumn="0" w:firstRowLastColumn="0" w:lastRowFirstColumn="0" w:lastRowLastColumn="0"/>
            <w:tcW w:w="2259" w:type="dxa"/>
            <w:shd w:val="clear" w:color="auto" w:fill="auto"/>
            <w:noWrap/>
            <w:hideMark/>
          </w:tcPr>
          <w:p w14:paraId="156EAD8A" w14:textId="7BE88221" w:rsidR="002D4441" w:rsidRPr="002D4441" w:rsidRDefault="002D4441" w:rsidP="002D4441">
            <w:pPr>
              <w:pStyle w:val="TableHeadingLeft"/>
            </w:pPr>
          </w:p>
        </w:tc>
        <w:tc>
          <w:tcPr>
            <w:tcW w:w="2551" w:type="dxa"/>
            <w:gridSpan w:val="2"/>
            <w:tcBorders>
              <w:bottom w:val="single" w:sz="4" w:space="0" w:color="FFFFFF" w:themeColor="background1"/>
            </w:tcBorders>
            <w:noWrap/>
            <w:hideMark/>
          </w:tcPr>
          <w:p w14:paraId="52043271" w14:textId="77777777" w:rsidR="002D4441" w:rsidRPr="002D4441" w:rsidRDefault="002D4441" w:rsidP="002D4441">
            <w:pPr>
              <w:pStyle w:val="TableHeadingLeft"/>
              <w:cnfStyle w:val="100000000000" w:firstRow="1" w:lastRow="0" w:firstColumn="0" w:lastColumn="0" w:oddVBand="0" w:evenVBand="0" w:oddHBand="0" w:evenHBand="0" w:firstRowFirstColumn="0" w:firstRowLastColumn="0" w:lastRowFirstColumn="0" w:lastRowLastColumn="0"/>
              <w:rPr>
                <w:b w:val="0"/>
              </w:rPr>
            </w:pPr>
            <w:r w:rsidRPr="002D4441">
              <w:t>1999</w:t>
            </w:r>
          </w:p>
        </w:tc>
        <w:tc>
          <w:tcPr>
            <w:tcW w:w="2551" w:type="dxa"/>
            <w:gridSpan w:val="2"/>
            <w:tcBorders>
              <w:bottom w:val="single" w:sz="4" w:space="0" w:color="FFFFFF" w:themeColor="background1"/>
            </w:tcBorders>
            <w:noWrap/>
            <w:hideMark/>
          </w:tcPr>
          <w:p w14:paraId="060FF272" w14:textId="77777777" w:rsidR="002D4441" w:rsidRPr="002D4441" w:rsidRDefault="002D4441" w:rsidP="002D4441">
            <w:pPr>
              <w:pStyle w:val="TableHeadingLeft"/>
              <w:cnfStyle w:val="100000000000" w:firstRow="1" w:lastRow="0" w:firstColumn="0" w:lastColumn="0" w:oddVBand="0" w:evenVBand="0" w:oddHBand="0" w:evenHBand="0" w:firstRowFirstColumn="0" w:firstRowLastColumn="0" w:lastRowFirstColumn="0" w:lastRowLastColumn="0"/>
              <w:rPr>
                <w:b w:val="0"/>
              </w:rPr>
            </w:pPr>
            <w:r w:rsidRPr="002D4441">
              <w:t>2004</w:t>
            </w:r>
          </w:p>
        </w:tc>
        <w:tc>
          <w:tcPr>
            <w:tcW w:w="2551" w:type="dxa"/>
            <w:gridSpan w:val="2"/>
            <w:tcBorders>
              <w:bottom w:val="single" w:sz="4" w:space="0" w:color="FFFFFF" w:themeColor="background1"/>
            </w:tcBorders>
            <w:noWrap/>
            <w:hideMark/>
          </w:tcPr>
          <w:p w14:paraId="2CD4A747" w14:textId="77777777" w:rsidR="002D4441" w:rsidRPr="002D4441" w:rsidRDefault="002D4441" w:rsidP="002D4441">
            <w:pPr>
              <w:pStyle w:val="TableHeadingLeft"/>
              <w:cnfStyle w:val="100000000000" w:firstRow="1" w:lastRow="0" w:firstColumn="0" w:lastColumn="0" w:oddVBand="0" w:evenVBand="0" w:oddHBand="0" w:evenHBand="0" w:firstRowFirstColumn="0" w:firstRowLastColumn="0" w:lastRowFirstColumn="0" w:lastRowLastColumn="0"/>
              <w:rPr>
                <w:b w:val="0"/>
              </w:rPr>
            </w:pPr>
            <w:r w:rsidRPr="002D4441">
              <w:t>2010</w:t>
            </w:r>
          </w:p>
        </w:tc>
      </w:tr>
      <w:tr w:rsidR="002D4441" w:rsidRPr="002D4441" w14:paraId="3E5E10D4" w14:textId="77777777" w:rsidTr="002D4441">
        <w:trPr>
          <w:divId w:val="1907185874"/>
          <w:trHeight w:val="445"/>
        </w:trPr>
        <w:tc>
          <w:tcPr>
            <w:cnfStyle w:val="001000000000" w:firstRow="0" w:lastRow="0" w:firstColumn="1" w:lastColumn="0" w:oddVBand="0" w:evenVBand="0" w:oddHBand="0" w:evenHBand="0" w:firstRowFirstColumn="0" w:firstRowLastColumn="0" w:lastRowFirstColumn="0" w:lastRowLastColumn="0"/>
            <w:tcW w:w="2259" w:type="dxa"/>
            <w:tcBorders>
              <w:top w:val="nil"/>
            </w:tcBorders>
            <w:shd w:val="clear" w:color="auto" w:fill="auto"/>
            <w:noWrap/>
            <w:hideMark/>
          </w:tcPr>
          <w:p w14:paraId="386138D6" w14:textId="77777777" w:rsidR="002D4441" w:rsidRPr="002D4441" w:rsidRDefault="002D4441" w:rsidP="002D4441">
            <w:pPr>
              <w:pStyle w:val="TableHeadingLeft"/>
              <w:rPr>
                <w:b w:val="0"/>
              </w:rPr>
            </w:pPr>
          </w:p>
        </w:tc>
        <w:tc>
          <w:tcPr>
            <w:tcW w:w="1417" w:type="dxa"/>
            <w:tcBorders>
              <w:top w:val="single" w:sz="4" w:space="0" w:color="FFFFFF" w:themeColor="background1"/>
            </w:tcBorders>
            <w:shd w:val="clear" w:color="auto" w:fill="004C97" w:themeFill="accent1"/>
            <w:noWrap/>
            <w:hideMark/>
          </w:tcPr>
          <w:p w14:paraId="04CE4AC7" w14:textId="77777777" w:rsidR="002D4441" w:rsidRPr="002D4441" w:rsidRDefault="002D4441" w:rsidP="002D4441">
            <w:pPr>
              <w:pStyle w:val="TableHeadingLeft"/>
              <w:cnfStyle w:val="000000000000" w:firstRow="0" w:lastRow="0" w:firstColumn="0" w:lastColumn="0" w:oddVBand="0" w:evenVBand="0" w:oddHBand="0" w:evenHBand="0" w:firstRowFirstColumn="0" w:firstRowLastColumn="0" w:lastRowFirstColumn="0" w:lastRowLastColumn="0"/>
            </w:pPr>
            <w:r w:rsidRPr="002D4441">
              <w:t>length (km)</w:t>
            </w:r>
          </w:p>
        </w:tc>
        <w:tc>
          <w:tcPr>
            <w:tcW w:w="1134" w:type="dxa"/>
            <w:tcBorders>
              <w:top w:val="single" w:sz="4" w:space="0" w:color="FFFFFF" w:themeColor="background1"/>
            </w:tcBorders>
            <w:shd w:val="clear" w:color="auto" w:fill="004C97" w:themeFill="accent1"/>
            <w:noWrap/>
            <w:hideMark/>
          </w:tcPr>
          <w:p w14:paraId="79177062" w14:textId="77777777" w:rsidR="002D4441" w:rsidRPr="002D4441" w:rsidRDefault="002D4441" w:rsidP="002D4441">
            <w:pPr>
              <w:pStyle w:val="TableHeadingLeft"/>
              <w:cnfStyle w:val="000000000000" w:firstRow="0" w:lastRow="0" w:firstColumn="0" w:lastColumn="0" w:oddVBand="0" w:evenVBand="0" w:oddHBand="0" w:evenHBand="0" w:firstRowFirstColumn="0" w:firstRowLastColumn="0" w:lastRowFirstColumn="0" w:lastRowLastColumn="0"/>
            </w:pPr>
            <w:r w:rsidRPr="002D4441">
              <w:t>%</w:t>
            </w:r>
          </w:p>
        </w:tc>
        <w:tc>
          <w:tcPr>
            <w:tcW w:w="1415" w:type="dxa"/>
            <w:tcBorders>
              <w:top w:val="single" w:sz="4" w:space="0" w:color="FFFFFF" w:themeColor="background1"/>
            </w:tcBorders>
            <w:shd w:val="clear" w:color="auto" w:fill="004C97" w:themeFill="accent1"/>
            <w:noWrap/>
            <w:hideMark/>
          </w:tcPr>
          <w:p w14:paraId="133F535E" w14:textId="77777777" w:rsidR="002D4441" w:rsidRPr="002D4441" w:rsidRDefault="002D4441" w:rsidP="002D4441">
            <w:pPr>
              <w:pStyle w:val="TableHeadingLeft"/>
              <w:cnfStyle w:val="000000000000" w:firstRow="0" w:lastRow="0" w:firstColumn="0" w:lastColumn="0" w:oddVBand="0" w:evenVBand="0" w:oddHBand="0" w:evenHBand="0" w:firstRowFirstColumn="0" w:firstRowLastColumn="0" w:lastRowFirstColumn="0" w:lastRowLastColumn="0"/>
            </w:pPr>
            <w:r w:rsidRPr="002D4441">
              <w:t>length (km)</w:t>
            </w:r>
          </w:p>
        </w:tc>
        <w:tc>
          <w:tcPr>
            <w:tcW w:w="1136" w:type="dxa"/>
            <w:tcBorders>
              <w:top w:val="single" w:sz="4" w:space="0" w:color="FFFFFF" w:themeColor="background1"/>
            </w:tcBorders>
            <w:shd w:val="clear" w:color="auto" w:fill="004C97" w:themeFill="accent1"/>
            <w:noWrap/>
            <w:hideMark/>
          </w:tcPr>
          <w:p w14:paraId="7F6E090C" w14:textId="77777777" w:rsidR="002D4441" w:rsidRPr="002D4441" w:rsidRDefault="002D4441" w:rsidP="002D4441">
            <w:pPr>
              <w:pStyle w:val="TableHeadingLeft"/>
              <w:cnfStyle w:val="000000000000" w:firstRow="0" w:lastRow="0" w:firstColumn="0" w:lastColumn="0" w:oddVBand="0" w:evenVBand="0" w:oddHBand="0" w:evenHBand="0" w:firstRowFirstColumn="0" w:firstRowLastColumn="0" w:lastRowFirstColumn="0" w:lastRowLastColumn="0"/>
            </w:pPr>
            <w:r w:rsidRPr="002D4441">
              <w:t>%</w:t>
            </w:r>
          </w:p>
        </w:tc>
        <w:tc>
          <w:tcPr>
            <w:tcW w:w="1415" w:type="dxa"/>
            <w:tcBorders>
              <w:top w:val="single" w:sz="4" w:space="0" w:color="FFFFFF" w:themeColor="background1"/>
            </w:tcBorders>
            <w:shd w:val="clear" w:color="auto" w:fill="004C97" w:themeFill="accent1"/>
            <w:noWrap/>
            <w:hideMark/>
          </w:tcPr>
          <w:p w14:paraId="3B5E11A3" w14:textId="77777777" w:rsidR="002D4441" w:rsidRPr="002D4441" w:rsidRDefault="002D4441" w:rsidP="002D4441">
            <w:pPr>
              <w:pStyle w:val="TableHeadingLeft"/>
              <w:cnfStyle w:val="000000000000" w:firstRow="0" w:lastRow="0" w:firstColumn="0" w:lastColumn="0" w:oddVBand="0" w:evenVBand="0" w:oddHBand="0" w:evenHBand="0" w:firstRowFirstColumn="0" w:firstRowLastColumn="0" w:lastRowFirstColumn="0" w:lastRowLastColumn="0"/>
            </w:pPr>
            <w:r w:rsidRPr="002D4441">
              <w:t>length (km)</w:t>
            </w:r>
          </w:p>
        </w:tc>
        <w:tc>
          <w:tcPr>
            <w:tcW w:w="1134" w:type="dxa"/>
            <w:tcBorders>
              <w:top w:val="single" w:sz="4" w:space="0" w:color="FFFFFF" w:themeColor="background1"/>
            </w:tcBorders>
            <w:shd w:val="clear" w:color="auto" w:fill="004C97" w:themeFill="accent1"/>
            <w:noWrap/>
            <w:hideMark/>
          </w:tcPr>
          <w:p w14:paraId="22D772DB" w14:textId="77777777" w:rsidR="002D4441" w:rsidRPr="002D4441" w:rsidRDefault="002D4441" w:rsidP="002D4441">
            <w:pPr>
              <w:pStyle w:val="TableHeadingLeft"/>
              <w:cnfStyle w:val="000000000000" w:firstRow="0" w:lastRow="0" w:firstColumn="0" w:lastColumn="0" w:oddVBand="0" w:evenVBand="0" w:oddHBand="0" w:evenHBand="0" w:firstRowFirstColumn="0" w:firstRowLastColumn="0" w:lastRowFirstColumn="0" w:lastRowLastColumn="0"/>
            </w:pPr>
            <w:r w:rsidRPr="002D4441">
              <w:t>%</w:t>
            </w:r>
          </w:p>
        </w:tc>
      </w:tr>
      <w:tr w:rsidR="0068724D" w:rsidRPr="002D4441" w14:paraId="0C385F47" w14:textId="77777777" w:rsidTr="002D4441">
        <w:trPr>
          <w:divId w:val="1907185874"/>
          <w:trHeight w:val="290"/>
        </w:trPr>
        <w:tc>
          <w:tcPr>
            <w:cnfStyle w:val="001000000000" w:firstRow="0" w:lastRow="0" w:firstColumn="1" w:lastColumn="0" w:oddVBand="0" w:evenVBand="0" w:oddHBand="0" w:evenHBand="0" w:firstRowFirstColumn="0" w:firstRowLastColumn="0" w:lastRowFirstColumn="0" w:lastRowLastColumn="0"/>
            <w:tcW w:w="2259" w:type="dxa"/>
            <w:noWrap/>
            <w:hideMark/>
          </w:tcPr>
          <w:p w14:paraId="39B8639E" w14:textId="77777777" w:rsidR="002D4441" w:rsidRPr="002D4441" w:rsidRDefault="002D4441" w:rsidP="002D4441">
            <w:pPr>
              <w:pStyle w:val="TableTextLeft"/>
            </w:pPr>
            <w:r w:rsidRPr="002D4441">
              <w:t>Excellent</w:t>
            </w:r>
          </w:p>
        </w:tc>
        <w:tc>
          <w:tcPr>
            <w:tcW w:w="1417" w:type="dxa"/>
            <w:noWrap/>
            <w:hideMark/>
          </w:tcPr>
          <w:p w14:paraId="71D26CA0" w14:textId="77777777" w:rsidR="002D4441" w:rsidRPr="002D4441" w:rsidRDefault="002D4441" w:rsidP="002D4441">
            <w:pPr>
              <w:pStyle w:val="TableTextLeft"/>
              <w:cnfStyle w:val="000000000000" w:firstRow="0" w:lastRow="0" w:firstColumn="0" w:lastColumn="0" w:oddVBand="0" w:evenVBand="0" w:oddHBand="0" w:evenHBand="0" w:firstRowFirstColumn="0" w:firstRowLastColumn="0" w:lastRowFirstColumn="0" w:lastRowLastColumn="0"/>
            </w:pPr>
            <w:r w:rsidRPr="002D4441">
              <w:t>-</w:t>
            </w:r>
          </w:p>
        </w:tc>
        <w:tc>
          <w:tcPr>
            <w:tcW w:w="1134" w:type="dxa"/>
            <w:noWrap/>
            <w:hideMark/>
          </w:tcPr>
          <w:p w14:paraId="309E3A3A" w14:textId="77777777" w:rsidR="002D4441" w:rsidRPr="002D4441" w:rsidRDefault="002D4441" w:rsidP="002D4441">
            <w:pPr>
              <w:pStyle w:val="TableTextLeft"/>
              <w:cnfStyle w:val="000000000000" w:firstRow="0" w:lastRow="0" w:firstColumn="0" w:lastColumn="0" w:oddVBand="0" w:evenVBand="0" w:oddHBand="0" w:evenHBand="0" w:firstRowFirstColumn="0" w:firstRowLastColumn="0" w:lastRowFirstColumn="0" w:lastRowLastColumn="0"/>
            </w:pPr>
            <w:r w:rsidRPr="002D4441">
              <w:t>-</w:t>
            </w:r>
          </w:p>
        </w:tc>
        <w:tc>
          <w:tcPr>
            <w:tcW w:w="1415" w:type="dxa"/>
            <w:noWrap/>
            <w:hideMark/>
          </w:tcPr>
          <w:p w14:paraId="412C7F8A" w14:textId="77777777" w:rsidR="002D4441" w:rsidRPr="002D4441" w:rsidRDefault="002D4441" w:rsidP="002D4441">
            <w:pPr>
              <w:pStyle w:val="TableTextLeft"/>
              <w:cnfStyle w:val="000000000000" w:firstRow="0" w:lastRow="0" w:firstColumn="0" w:lastColumn="0" w:oddVBand="0" w:evenVBand="0" w:oddHBand="0" w:evenHBand="0" w:firstRowFirstColumn="0" w:firstRowLastColumn="0" w:lastRowFirstColumn="0" w:lastRowLastColumn="0"/>
            </w:pPr>
            <w:r w:rsidRPr="002D4441">
              <w:t>42.5</w:t>
            </w:r>
          </w:p>
        </w:tc>
        <w:tc>
          <w:tcPr>
            <w:tcW w:w="1136" w:type="dxa"/>
            <w:noWrap/>
            <w:hideMark/>
          </w:tcPr>
          <w:p w14:paraId="63259B03" w14:textId="77777777" w:rsidR="002D4441" w:rsidRPr="002D4441" w:rsidRDefault="002D4441" w:rsidP="002D4441">
            <w:pPr>
              <w:pStyle w:val="TableTextLeft"/>
              <w:cnfStyle w:val="000000000000" w:firstRow="0" w:lastRow="0" w:firstColumn="0" w:lastColumn="0" w:oddVBand="0" w:evenVBand="0" w:oddHBand="0" w:evenHBand="0" w:firstRowFirstColumn="0" w:firstRowLastColumn="0" w:lastRowFirstColumn="0" w:lastRowLastColumn="0"/>
            </w:pPr>
            <w:r w:rsidRPr="002D4441">
              <w:t>34%</w:t>
            </w:r>
          </w:p>
        </w:tc>
        <w:tc>
          <w:tcPr>
            <w:tcW w:w="1415" w:type="dxa"/>
            <w:noWrap/>
            <w:hideMark/>
          </w:tcPr>
          <w:p w14:paraId="34B89FAD" w14:textId="77777777" w:rsidR="002D4441" w:rsidRPr="002D4441" w:rsidRDefault="002D4441" w:rsidP="002D4441">
            <w:pPr>
              <w:pStyle w:val="TableTextLeft"/>
              <w:cnfStyle w:val="000000000000" w:firstRow="0" w:lastRow="0" w:firstColumn="0" w:lastColumn="0" w:oddVBand="0" w:evenVBand="0" w:oddHBand="0" w:evenHBand="0" w:firstRowFirstColumn="0" w:firstRowLastColumn="0" w:lastRowFirstColumn="0" w:lastRowLastColumn="0"/>
            </w:pPr>
            <w:r w:rsidRPr="002D4441">
              <w:t>55.2</w:t>
            </w:r>
          </w:p>
        </w:tc>
        <w:tc>
          <w:tcPr>
            <w:tcW w:w="1134" w:type="dxa"/>
            <w:noWrap/>
            <w:hideMark/>
          </w:tcPr>
          <w:p w14:paraId="29D284AB" w14:textId="77777777" w:rsidR="002D4441" w:rsidRPr="002D4441" w:rsidRDefault="002D4441" w:rsidP="002D4441">
            <w:pPr>
              <w:pStyle w:val="TableTextLeft"/>
              <w:cnfStyle w:val="000000000000" w:firstRow="0" w:lastRow="0" w:firstColumn="0" w:lastColumn="0" w:oddVBand="0" w:evenVBand="0" w:oddHBand="0" w:evenHBand="0" w:firstRowFirstColumn="0" w:firstRowLastColumn="0" w:lastRowFirstColumn="0" w:lastRowLastColumn="0"/>
            </w:pPr>
            <w:r w:rsidRPr="002D4441">
              <w:t>39%</w:t>
            </w:r>
          </w:p>
        </w:tc>
      </w:tr>
      <w:tr w:rsidR="0068724D" w:rsidRPr="002D4441" w14:paraId="0C39BA03" w14:textId="77777777" w:rsidTr="002D4441">
        <w:trPr>
          <w:divId w:val="1907185874"/>
          <w:trHeight w:val="290"/>
        </w:trPr>
        <w:tc>
          <w:tcPr>
            <w:cnfStyle w:val="001000000000" w:firstRow="0" w:lastRow="0" w:firstColumn="1" w:lastColumn="0" w:oddVBand="0" w:evenVBand="0" w:oddHBand="0" w:evenHBand="0" w:firstRowFirstColumn="0" w:firstRowLastColumn="0" w:lastRowFirstColumn="0" w:lastRowLastColumn="0"/>
            <w:tcW w:w="2259" w:type="dxa"/>
            <w:noWrap/>
            <w:hideMark/>
          </w:tcPr>
          <w:p w14:paraId="69ABE162" w14:textId="77777777" w:rsidR="002D4441" w:rsidRPr="002D4441" w:rsidRDefault="002D4441" w:rsidP="002D4441">
            <w:pPr>
              <w:pStyle w:val="TableTextLeft"/>
            </w:pPr>
            <w:r w:rsidRPr="002D4441">
              <w:t>Good</w:t>
            </w:r>
          </w:p>
        </w:tc>
        <w:tc>
          <w:tcPr>
            <w:tcW w:w="1417" w:type="dxa"/>
            <w:noWrap/>
            <w:hideMark/>
          </w:tcPr>
          <w:p w14:paraId="01F26E75" w14:textId="77777777" w:rsidR="002D4441" w:rsidRPr="002D4441" w:rsidRDefault="002D4441" w:rsidP="002D4441">
            <w:pPr>
              <w:pStyle w:val="TableTextLeft"/>
              <w:cnfStyle w:val="000000000000" w:firstRow="0" w:lastRow="0" w:firstColumn="0" w:lastColumn="0" w:oddVBand="0" w:evenVBand="0" w:oddHBand="0" w:evenHBand="0" w:firstRowFirstColumn="0" w:firstRowLastColumn="0" w:lastRowFirstColumn="0" w:lastRowLastColumn="0"/>
            </w:pPr>
            <w:r w:rsidRPr="002D4441">
              <w:t>6.4</w:t>
            </w:r>
          </w:p>
        </w:tc>
        <w:tc>
          <w:tcPr>
            <w:tcW w:w="1134" w:type="dxa"/>
            <w:noWrap/>
            <w:hideMark/>
          </w:tcPr>
          <w:p w14:paraId="4C8429AA" w14:textId="77777777" w:rsidR="002D4441" w:rsidRPr="002D4441" w:rsidRDefault="002D4441" w:rsidP="002D4441">
            <w:pPr>
              <w:pStyle w:val="TableTextLeft"/>
              <w:cnfStyle w:val="000000000000" w:firstRow="0" w:lastRow="0" w:firstColumn="0" w:lastColumn="0" w:oddVBand="0" w:evenVBand="0" w:oddHBand="0" w:evenHBand="0" w:firstRowFirstColumn="0" w:firstRowLastColumn="0" w:lastRowFirstColumn="0" w:lastRowLastColumn="0"/>
            </w:pPr>
            <w:r w:rsidRPr="002D4441">
              <w:t>8%</w:t>
            </w:r>
          </w:p>
        </w:tc>
        <w:tc>
          <w:tcPr>
            <w:tcW w:w="1415" w:type="dxa"/>
            <w:noWrap/>
            <w:hideMark/>
          </w:tcPr>
          <w:p w14:paraId="053F2A38" w14:textId="77777777" w:rsidR="002D4441" w:rsidRPr="002D4441" w:rsidRDefault="002D4441" w:rsidP="002D4441">
            <w:pPr>
              <w:pStyle w:val="TableTextLeft"/>
              <w:cnfStyle w:val="000000000000" w:firstRow="0" w:lastRow="0" w:firstColumn="0" w:lastColumn="0" w:oddVBand="0" w:evenVBand="0" w:oddHBand="0" w:evenHBand="0" w:firstRowFirstColumn="0" w:firstRowLastColumn="0" w:lastRowFirstColumn="0" w:lastRowLastColumn="0"/>
            </w:pPr>
            <w:r w:rsidRPr="002D4441">
              <w:t>12.1</w:t>
            </w:r>
          </w:p>
        </w:tc>
        <w:tc>
          <w:tcPr>
            <w:tcW w:w="1136" w:type="dxa"/>
            <w:noWrap/>
            <w:hideMark/>
          </w:tcPr>
          <w:p w14:paraId="63434716" w14:textId="77777777" w:rsidR="002D4441" w:rsidRPr="002D4441" w:rsidRDefault="002D4441" w:rsidP="002D4441">
            <w:pPr>
              <w:pStyle w:val="TableTextLeft"/>
              <w:cnfStyle w:val="000000000000" w:firstRow="0" w:lastRow="0" w:firstColumn="0" w:lastColumn="0" w:oddVBand="0" w:evenVBand="0" w:oddHBand="0" w:evenHBand="0" w:firstRowFirstColumn="0" w:firstRowLastColumn="0" w:lastRowFirstColumn="0" w:lastRowLastColumn="0"/>
            </w:pPr>
            <w:r w:rsidRPr="002D4441">
              <w:t>10%</w:t>
            </w:r>
          </w:p>
        </w:tc>
        <w:tc>
          <w:tcPr>
            <w:tcW w:w="1415" w:type="dxa"/>
            <w:noWrap/>
            <w:hideMark/>
          </w:tcPr>
          <w:p w14:paraId="270AFF4B" w14:textId="77777777" w:rsidR="002D4441" w:rsidRPr="002D4441" w:rsidRDefault="002D4441" w:rsidP="002D4441">
            <w:pPr>
              <w:pStyle w:val="TableTextLeft"/>
              <w:cnfStyle w:val="000000000000" w:firstRow="0" w:lastRow="0" w:firstColumn="0" w:lastColumn="0" w:oddVBand="0" w:evenVBand="0" w:oddHBand="0" w:evenHBand="0" w:firstRowFirstColumn="0" w:firstRowLastColumn="0" w:lastRowFirstColumn="0" w:lastRowLastColumn="0"/>
            </w:pPr>
            <w:r w:rsidRPr="002D4441">
              <w:t>9.1</w:t>
            </w:r>
          </w:p>
        </w:tc>
        <w:tc>
          <w:tcPr>
            <w:tcW w:w="1134" w:type="dxa"/>
            <w:noWrap/>
            <w:hideMark/>
          </w:tcPr>
          <w:p w14:paraId="6BF0B417" w14:textId="77777777" w:rsidR="002D4441" w:rsidRPr="002D4441" w:rsidRDefault="002D4441" w:rsidP="002D4441">
            <w:pPr>
              <w:pStyle w:val="TableTextLeft"/>
              <w:cnfStyle w:val="000000000000" w:firstRow="0" w:lastRow="0" w:firstColumn="0" w:lastColumn="0" w:oddVBand="0" w:evenVBand="0" w:oddHBand="0" w:evenHBand="0" w:firstRowFirstColumn="0" w:firstRowLastColumn="0" w:lastRowFirstColumn="0" w:lastRowLastColumn="0"/>
            </w:pPr>
            <w:r w:rsidRPr="002D4441">
              <w:t>6%</w:t>
            </w:r>
          </w:p>
        </w:tc>
      </w:tr>
      <w:tr w:rsidR="0068724D" w:rsidRPr="002D4441" w14:paraId="2807B53C" w14:textId="77777777" w:rsidTr="002D4441">
        <w:trPr>
          <w:divId w:val="1907185874"/>
          <w:trHeight w:val="290"/>
        </w:trPr>
        <w:tc>
          <w:tcPr>
            <w:cnfStyle w:val="001000000000" w:firstRow="0" w:lastRow="0" w:firstColumn="1" w:lastColumn="0" w:oddVBand="0" w:evenVBand="0" w:oddHBand="0" w:evenHBand="0" w:firstRowFirstColumn="0" w:firstRowLastColumn="0" w:lastRowFirstColumn="0" w:lastRowLastColumn="0"/>
            <w:tcW w:w="2259" w:type="dxa"/>
            <w:noWrap/>
            <w:hideMark/>
          </w:tcPr>
          <w:p w14:paraId="1DA1CF0C" w14:textId="77777777" w:rsidR="002D4441" w:rsidRPr="002D4441" w:rsidRDefault="002D4441" w:rsidP="002D4441">
            <w:pPr>
              <w:pStyle w:val="TableTextLeft"/>
            </w:pPr>
            <w:r w:rsidRPr="002D4441">
              <w:t>Moderate</w:t>
            </w:r>
          </w:p>
        </w:tc>
        <w:tc>
          <w:tcPr>
            <w:tcW w:w="1417" w:type="dxa"/>
            <w:noWrap/>
            <w:hideMark/>
          </w:tcPr>
          <w:p w14:paraId="6390BD8C" w14:textId="77777777" w:rsidR="002D4441" w:rsidRPr="002D4441" w:rsidRDefault="002D4441" w:rsidP="002D4441">
            <w:pPr>
              <w:pStyle w:val="TableTextLeft"/>
              <w:cnfStyle w:val="000000000000" w:firstRow="0" w:lastRow="0" w:firstColumn="0" w:lastColumn="0" w:oddVBand="0" w:evenVBand="0" w:oddHBand="0" w:evenHBand="0" w:firstRowFirstColumn="0" w:firstRowLastColumn="0" w:lastRowFirstColumn="0" w:lastRowLastColumn="0"/>
            </w:pPr>
            <w:r w:rsidRPr="002D4441">
              <w:t>56.6</w:t>
            </w:r>
          </w:p>
        </w:tc>
        <w:tc>
          <w:tcPr>
            <w:tcW w:w="1134" w:type="dxa"/>
            <w:noWrap/>
            <w:hideMark/>
          </w:tcPr>
          <w:p w14:paraId="42C49AEC" w14:textId="77777777" w:rsidR="002D4441" w:rsidRPr="002D4441" w:rsidRDefault="002D4441" w:rsidP="002D4441">
            <w:pPr>
              <w:pStyle w:val="TableTextLeft"/>
              <w:cnfStyle w:val="000000000000" w:firstRow="0" w:lastRow="0" w:firstColumn="0" w:lastColumn="0" w:oddVBand="0" w:evenVBand="0" w:oddHBand="0" w:evenHBand="0" w:firstRowFirstColumn="0" w:firstRowLastColumn="0" w:lastRowFirstColumn="0" w:lastRowLastColumn="0"/>
            </w:pPr>
            <w:r w:rsidRPr="002D4441">
              <w:t>73%</w:t>
            </w:r>
          </w:p>
        </w:tc>
        <w:tc>
          <w:tcPr>
            <w:tcW w:w="1415" w:type="dxa"/>
            <w:noWrap/>
            <w:hideMark/>
          </w:tcPr>
          <w:p w14:paraId="0B781B44" w14:textId="77777777" w:rsidR="002D4441" w:rsidRPr="002D4441" w:rsidRDefault="002D4441" w:rsidP="002D4441">
            <w:pPr>
              <w:pStyle w:val="TableTextLeft"/>
              <w:cnfStyle w:val="000000000000" w:firstRow="0" w:lastRow="0" w:firstColumn="0" w:lastColumn="0" w:oddVBand="0" w:evenVBand="0" w:oddHBand="0" w:evenHBand="0" w:firstRowFirstColumn="0" w:firstRowLastColumn="0" w:lastRowFirstColumn="0" w:lastRowLastColumn="0"/>
            </w:pPr>
            <w:r w:rsidRPr="002D4441">
              <w:t>50.7</w:t>
            </w:r>
          </w:p>
        </w:tc>
        <w:tc>
          <w:tcPr>
            <w:tcW w:w="1136" w:type="dxa"/>
            <w:noWrap/>
            <w:hideMark/>
          </w:tcPr>
          <w:p w14:paraId="19BAB6C7" w14:textId="77777777" w:rsidR="002D4441" w:rsidRPr="002D4441" w:rsidRDefault="002D4441" w:rsidP="002D4441">
            <w:pPr>
              <w:pStyle w:val="TableTextLeft"/>
              <w:cnfStyle w:val="000000000000" w:firstRow="0" w:lastRow="0" w:firstColumn="0" w:lastColumn="0" w:oddVBand="0" w:evenVBand="0" w:oddHBand="0" w:evenHBand="0" w:firstRowFirstColumn="0" w:firstRowLastColumn="0" w:lastRowFirstColumn="0" w:lastRowLastColumn="0"/>
            </w:pPr>
            <w:r w:rsidRPr="002D4441">
              <w:t>41%</w:t>
            </w:r>
          </w:p>
        </w:tc>
        <w:tc>
          <w:tcPr>
            <w:tcW w:w="1415" w:type="dxa"/>
            <w:noWrap/>
            <w:hideMark/>
          </w:tcPr>
          <w:p w14:paraId="2B02B72D" w14:textId="77777777" w:rsidR="002D4441" w:rsidRPr="002D4441" w:rsidRDefault="002D4441" w:rsidP="002D4441">
            <w:pPr>
              <w:pStyle w:val="TableTextLeft"/>
              <w:cnfStyle w:val="000000000000" w:firstRow="0" w:lastRow="0" w:firstColumn="0" w:lastColumn="0" w:oddVBand="0" w:evenVBand="0" w:oddHBand="0" w:evenHBand="0" w:firstRowFirstColumn="0" w:firstRowLastColumn="0" w:lastRowFirstColumn="0" w:lastRowLastColumn="0"/>
            </w:pPr>
            <w:r w:rsidRPr="002D4441">
              <w:t>35.8</w:t>
            </w:r>
          </w:p>
        </w:tc>
        <w:tc>
          <w:tcPr>
            <w:tcW w:w="1134" w:type="dxa"/>
            <w:noWrap/>
            <w:hideMark/>
          </w:tcPr>
          <w:p w14:paraId="223A0CBF" w14:textId="77777777" w:rsidR="002D4441" w:rsidRPr="002D4441" w:rsidRDefault="002D4441" w:rsidP="002D4441">
            <w:pPr>
              <w:pStyle w:val="TableTextLeft"/>
              <w:cnfStyle w:val="000000000000" w:firstRow="0" w:lastRow="0" w:firstColumn="0" w:lastColumn="0" w:oddVBand="0" w:evenVBand="0" w:oddHBand="0" w:evenHBand="0" w:firstRowFirstColumn="0" w:firstRowLastColumn="0" w:lastRowFirstColumn="0" w:lastRowLastColumn="0"/>
            </w:pPr>
            <w:r w:rsidRPr="002D4441">
              <w:t>25%</w:t>
            </w:r>
          </w:p>
        </w:tc>
      </w:tr>
      <w:tr w:rsidR="0068724D" w:rsidRPr="002D4441" w14:paraId="3B17823B" w14:textId="77777777" w:rsidTr="002D4441">
        <w:trPr>
          <w:divId w:val="1907185874"/>
          <w:trHeight w:val="290"/>
        </w:trPr>
        <w:tc>
          <w:tcPr>
            <w:cnfStyle w:val="001000000000" w:firstRow="0" w:lastRow="0" w:firstColumn="1" w:lastColumn="0" w:oddVBand="0" w:evenVBand="0" w:oddHBand="0" w:evenHBand="0" w:firstRowFirstColumn="0" w:firstRowLastColumn="0" w:lastRowFirstColumn="0" w:lastRowLastColumn="0"/>
            <w:tcW w:w="2259" w:type="dxa"/>
            <w:noWrap/>
            <w:hideMark/>
          </w:tcPr>
          <w:p w14:paraId="4AC07AF7" w14:textId="77777777" w:rsidR="002D4441" w:rsidRPr="002D4441" w:rsidRDefault="002D4441" w:rsidP="002D4441">
            <w:pPr>
              <w:pStyle w:val="TableTextLeft"/>
            </w:pPr>
            <w:r w:rsidRPr="002D4441">
              <w:t>Poor</w:t>
            </w:r>
          </w:p>
        </w:tc>
        <w:tc>
          <w:tcPr>
            <w:tcW w:w="1417" w:type="dxa"/>
            <w:noWrap/>
            <w:hideMark/>
          </w:tcPr>
          <w:p w14:paraId="553A2A19" w14:textId="77777777" w:rsidR="002D4441" w:rsidRPr="002D4441" w:rsidRDefault="002D4441" w:rsidP="002D4441">
            <w:pPr>
              <w:pStyle w:val="TableTextLeft"/>
              <w:cnfStyle w:val="000000000000" w:firstRow="0" w:lastRow="0" w:firstColumn="0" w:lastColumn="0" w:oddVBand="0" w:evenVBand="0" w:oddHBand="0" w:evenHBand="0" w:firstRowFirstColumn="0" w:firstRowLastColumn="0" w:lastRowFirstColumn="0" w:lastRowLastColumn="0"/>
            </w:pPr>
            <w:r w:rsidRPr="002D4441">
              <w:t>14.1</w:t>
            </w:r>
          </w:p>
        </w:tc>
        <w:tc>
          <w:tcPr>
            <w:tcW w:w="1134" w:type="dxa"/>
            <w:noWrap/>
            <w:hideMark/>
          </w:tcPr>
          <w:p w14:paraId="336DEF27" w14:textId="77777777" w:rsidR="002D4441" w:rsidRPr="002D4441" w:rsidRDefault="002D4441" w:rsidP="002D4441">
            <w:pPr>
              <w:pStyle w:val="TableTextLeft"/>
              <w:cnfStyle w:val="000000000000" w:firstRow="0" w:lastRow="0" w:firstColumn="0" w:lastColumn="0" w:oddVBand="0" w:evenVBand="0" w:oddHBand="0" w:evenHBand="0" w:firstRowFirstColumn="0" w:firstRowLastColumn="0" w:lastRowFirstColumn="0" w:lastRowLastColumn="0"/>
            </w:pPr>
            <w:r w:rsidRPr="002D4441">
              <w:t>18%</w:t>
            </w:r>
          </w:p>
        </w:tc>
        <w:tc>
          <w:tcPr>
            <w:tcW w:w="1415" w:type="dxa"/>
            <w:noWrap/>
            <w:hideMark/>
          </w:tcPr>
          <w:p w14:paraId="1B7C7E7E" w14:textId="77777777" w:rsidR="002D4441" w:rsidRPr="002D4441" w:rsidRDefault="002D4441" w:rsidP="002D4441">
            <w:pPr>
              <w:pStyle w:val="TableTextLeft"/>
              <w:cnfStyle w:val="000000000000" w:firstRow="0" w:lastRow="0" w:firstColumn="0" w:lastColumn="0" w:oddVBand="0" w:evenVBand="0" w:oddHBand="0" w:evenHBand="0" w:firstRowFirstColumn="0" w:firstRowLastColumn="0" w:lastRowFirstColumn="0" w:lastRowLastColumn="0"/>
            </w:pPr>
            <w:r w:rsidRPr="002D4441">
              <w:t>9.1</w:t>
            </w:r>
          </w:p>
        </w:tc>
        <w:tc>
          <w:tcPr>
            <w:tcW w:w="1136" w:type="dxa"/>
            <w:noWrap/>
            <w:hideMark/>
          </w:tcPr>
          <w:p w14:paraId="120D5AA7" w14:textId="77777777" w:rsidR="002D4441" w:rsidRPr="002D4441" w:rsidRDefault="002D4441" w:rsidP="002D4441">
            <w:pPr>
              <w:pStyle w:val="TableTextLeft"/>
              <w:cnfStyle w:val="000000000000" w:firstRow="0" w:lastRow="0" w:firstColumn="0" w:lastColumn="0" w:oddVBand="0" w:evenVBand="0" w:oddHBand="0" w:evenHBand="0" w:firstRowFirstColumn="0" w:firstRowLastColumn="0" w:lastRowFirstColumn="0" w:lastRowLastColumn="0"/>
            </w:pPr>
            <w:r w:rsidRPr="002D4441">
              <w:t>7%</w:t>
            </w:r>
          </w:p>
        </w:tc>
        <w:tc>
          <w:tcPr>
            <w:tcW w:w="1415" w:type="dxa"/>
            <w:noWrap/>
            <w:hideMark/>
          </w:tcPr>
          <w:p w14:paraId="255B78F5" w14:textId="77777777" w:rsidR="002D4441" w:rsidRPr="002D4441" w:rsidRDefault="002D4441" w:rsidP="002D4441">
            <w:pPr>
              <w:pStyle w:val="TableTextLeft"/>
              <w:cnfStyle w:val="000000000000" w:firstRow="0" w:lastRow="0" w:firstColumn="0" w:lastColumn="0" w:oddVBand="0" w:evenVBand="0" w:oddHBand="0" w:evenHBand="0" w:firstRowFirstColumn="0" w:firstRowLastColumn="0" w:lastRowFirstColumn="0" w:lastRowLastColumn="0"/>
            </w:pPr>
            <w:r w:rsidRPr="002D4441">
              <w:t>29.5</w:t>
            </w:r>
          </w:p>
        </w:tc>
        <w:tc>
          <w:tcPr>
            <w:tcW w:w="1134" w:type="dxa"/>
            <w:noWrap/>
            <w:hideMark/>
          </w:tcPr>
          <w:p w14:paraId="413C2300" w14:textId="77777777" w:rsidR="002D4441" w:rsidRPr="002D4441" w:rsidRDefault="002D4441" w:rsidP="002D4441">
            <w:pPr>
              <w:pStyle w:val="TableTextLeft"/>
              <w:cnfStyle w:val="000000000000" w:firstRow="0" w:lastRow="0" w:firstColumn="0" w:lastColumn="0" w:oddVBand="0" w:evenVBand="0" w:oddHBand="0" w:evenHBand="0" w:firstRowFirstColumn="0" w:firstRowLastColumn="0" w:lastRowFirstColumn="0" w:lastRowLastColumn="0"/>
            </w:pPr>
            <w:r w:rsidRPr="002D4441">
              <w:t>21%</w:t>
            </w:r>
          </w:p>
        </w:tc>
      </w:tr>
      <w:tr w:rsidR="0068724D" w:rsidRPr="002D4441" w14:paraId="3D54A2F4" w14:textId="77777777" w:rsidTr="002D4441">
        <w:trPr>
          <w:divId w:val="1907185874"/>
          <w:trHeight w:val="290"/>
        </w:trPr>
        <w:tc>
          <w:tcPr>
            <w:cnfStyle w:val="001000000000" w:firstRow="0" w:lastRow="0" w:firstColumn="1" w:lastColumn="0" w:oddVBand="0" w:evenVBand="0" w:oddHBand="0" w:evenHBand="0" w:firstRowFirstColumn="0" w:firstRowLastColumn="0" w:lastRowFirstColumn="0" w:lastRowLastColumn="0"/>
            <w:tcW w:w="2259" w:type="dxa"/>
            <w:noWrap/>
            <w:hideMark/>
          </w:tcPr>
          <w:p w14:paraId="0FEBD300" w14:textId="77777777" w:rsidR="002D4441" w:rsidRPr="002D4441" w:rsidRDefault="002D4441" w:rsidP="002D4441">
            <w:pPr>
              <w:pStyle w:val="TableTextLeft"/>
            </w:pPr>
            <w:r w:rsidRPr="002D4441">
              <w:t>Very Poor</w:t>
            </w:r>
          </w:p>
        </w:tc>
        <w:tc>
          <w:tcPr>
            <w:tcW w:w="1417" w:type="dxa"/>
            <w:noWrap/>
            <w:hideMark/>
          </w:tcPr>
          <w:p w14:paraId="650A5800" w14:textId="77777777" w:rsidR="002D4441" w:rsidRPr="002D4441" w:rsidRDefault="002D4441" w:rsidP="002D4441">
            <w:pPr>
              <w:pStyle w:val="TableTextLeft"/>
              <w:cnfStyle w:val="000000000000" w:firstRow="0" w:lastRow="0" w:firstColumn="0" w:lastColumn="0" w:oddVBand="0" w:evenVBand="0" w:oddHBand="0" w:evenHBand="0" w:firstRowFirstColumn="0" w:firstRowLastColumn="0" w:lastRowFirstColumn="0" w:lastRowLastColumn="0"/>
            </w:pPr>
            <w:r w:rsidRPr="002D4441">
              <w:t>-</w:t>
            </w:r>
          </w:p>
        </w:tc>
        <w:tc>
          <w:tcPr>
            <w:tcW w:w="1134" w:type="dxa"/>
            <w:noWrap/>
            <w:hideMark/>
          </w:tcPr>
          <w:p w14:paraId="58DEF042" w14:textId="77777777" w:rsidR="002D4441" w:rsidRPr="002D4441" w:rsidRDefault="002D4441" w:rsidP="002D4441">
            <w:pPr>
              <w:pStyle w:val="TableTextLeft"/>
              <w:cnfStyle w:val="000000000000" w:firstRow="0" w:lastRow="0" w:firstColumn="0" w:lastColumn="0" w:oddVBand="0" w:evenVBand="0" w:oddHBand="0" w:evenHBand="0" w:firstRowFirstColumn="0" w:firstRowLastColumn="0" w:lastRowFirstColumn="0" w:lastRowLastColumn="0"/>
            </w:pPr>
            <w:r w:rsidRPr="002D4441">
              <w:t>-</w:t>
            </w:r>
          </w:p>
        </w:tc>
        <w:tc>
          <w:tcPr>
            <w:tcW w:w="1415" w:type="dxa"/>
            <w:noWrap/>
            <w:hideMark/>
          </w:tcPr>
          <w:p w14:paraId="7BB40245" w14:textId="77777777" w:rsidR="002D4441" w:rsidRPr="002D4441" w:rsidRDefault="002D4441" w:rsidP="002D4441">
            <w:pPr>
              <w:pStyle w:val="TableTextLeft"/>
              <w:cnfStyle w:val="000000000000" w:firstRow="0" w:lastRow="0" w:firstColumn="0" w:lastColumn="0" w:oddVBand="0" w:evenVBand="0" w:oddHBand="0" w:evenHBand="0" w:firstRowFirstColumn="0" w:firstRowLastColumn="0" w:lastRowFirstColumn="0" w:lastRowLastColumn="0"/>
            </w:pPr>
            <w:r w:rsidRPr="002D4441">
              <w:t>9.4</w:t>
            </w:r>
          </w:p>
        </w:tc>
        <w:tc>
          <w:tcPr>
            <w:tcW w:w="1136" w:type="dxa"/>
            <w:noWrap/>
            <w:hideMark/>
          </w:tcPr>
          <w:p w14:paraId="43C7F94B" w14:textId="77777777" w:rsidR="002D4441" w:rsidRPr="002D4441" w:rsidRDefault="002D4441" w:rsidP="002D4441">
            <w:pPr>
              <w:pStyle w:val="TableTextLeft"/>
              <w:cnfStyle w:val="000000000000" w:firstRow="0" w:lastRow="0" w:firstColumn="0" w:lastColumn="0" w:oddVBand="0" w:evenVBand="0" w:oddHBand="0" w:evenHBand="0" w:firstRowFirstColumn="0" w:firstRowLastColumn="0" w:lastRowFirstColumn="0" w:lastRowLastColumn="0"/>
            </w:pPr>
            <w:r w:rsidRPr="002D4441">
              <w:t>8%</w:t>
            </w:r>
          </w:p>
        </w:tc>
        <w:tc>
          <w:tcPr>
            <w:tcW w:w="1415" w:type="dxa"/>
            <w:noWrap/>
            <w:hideMark/>
          </w:tcPr>
          <w:p w14:paraId="69B37F32" w14:textId="77777777" w:rsidR="002D4441" w:rsidRPr="002D4441" w:rsidRDefault="002D4441" w:rsidP="002D4441">
            <w:pPr>
              <w:pStyle w:val="TableTextLeft"/>
              <w:cnfStyle w:val="000000000000" w:firstRow="0" w:lastRow="0" w:firstColumn="0" w:lastColumn="0" w:oddVBand="0" w:evenVBand="0" w:oddHBand="0" w:evenHBand="0" w:firstRowFirstColumn="0" w:firstRowLastColumn="0" w:lastRowFirstColumn="0" w:lastRowLastColumn="0"/>
            </w:pPr>
            <w:r w:rsidRPr="002D4441">
              <w:t>11.4</w:t>
            </w:r>
          </w:p>
        </w:tc>
        <w:tc>
          <w:tcPr>
            <w:tcW w:w="1134" w:type="dxa"/>
            <w:noWrap/>
            <w:hideMark/>
          </w:tcPr>
          <w:p w14:paraId="26238FE9" w14:textId="77777777" w:rsidR="002D4441" w:rsidRPr="002D4441" w:rsidRDefault="002D4441" w:rsidP="002D4441">
            <w:pPr>
              <w:pStyle w:val="TableTextLeft"/>
              <w:cnfStyle w:val="000000000000" w:firstRow="0" w:lastRow="0" w:firstColumn="0" w:lastColumn="0" w:oddVBand="0" w:evenVBand="0" w:oddHBand="0" w:evenHBand="0" w:firstRowFirstColumn="0" w:firstRowLastColumn="0" w:lastRowFirstColumn="0" w:lastRowLastColumn="0"/>
            </w:pPr>
            <w:r w:rsidRPr="002D4441">
              <w:t>8%</w:t>
            </w:r>
          </w:p>
        </w:tc>
      </w:tr>
      <w:tr w:rsidR="002D4441" w:rsidRPr="002D4441" w14:paraId="6C806178" w14:textId="77777777" w:rsidTr="002D4441">
        <w:trPr>
          <w:divId w:val="1907185874"/>
          <w:trHeight w:val="290"/>
        </w:trPr>
        <w:tc>
          <w:tcPr>
            <w:cnfStyle w:val="001000000000" w:firstRow="0" w:lastRow="0" w:firstColumn="1" w:lastColumn="0" w:oddVBand="0" w:evenVBand="0" w:oddHBand="0" w:evenHBand="0" w:firstRowFirstColumn="0" w:firstRowLastColumn="0" w:lastRowFirstColumn="0" w:lastRowLastColumn="0"/>
            <w:tcW w:w="2259" w:type="dxa"/>
            <w:noWrap/>
            <w:hideMark/>
          </w:tcPr>
          <w:p w14:paraId="72FC4527" w14:textId="77777777" w:rsidR="002D4441" w:rsidRPr="002D4441" w:rsidRDefault="002D4441" w:rsidP="002D4441">
            <w:pPr>
              <w:pStyle w:val="TableTextLeft"/>
            </w:pPr>
            <w:r w:rsidRPr="002D4441">
              <w:t>total length assessed</w:t>
            </w:r>
          </w:p>
        </w:tc>
        <w:tc>
          <w:tcPr>
            <w:tcW w:w="1417" w:type="dxa"/>
            <w:noWrap/>
            <w:hideMark/>
          </w:tcPr>
          <w:p w14:paraId="52F5D331" w14:textId="77777777" w:rsidR="002D4441" w:rsidRPr="002D4441" w:rsidRDefault="002D4441" w:rsidP="002D4441">
            <w:pPr>
              <w:pStyle w:val="TableTextLeft"/>
              <w:cnfStyle w:val="000000000000" w:firstRow="0" w:lastRow="0" w:firstColumn="0" w:lastColumn="0" w:oddVBand="0" w:evenVBand="0" w:oddHBand="0" w:evenHBand="0" w:firstRowFirstColumn="0" w:firstRowLastColumn="0" w:lastRowFirstColumn="0" w:lastRowLastColumn="0"/>
            </w:pPr>
            <w:r w:rsidRPr="002D4441">
              <w:t>77.0</w:t>
            </w:r>
          </w:p>
        </w:tc>
        <w:tc>
          <w:tcPr>
            <w:tcW w:w="1134" w:type="dxa"/>
            <w:noWrap/>
            <w:hideMark/>
          </w:tcPr>
          <w:p w14:paraId="3BB3D98A" w14:textId="77777777" w:rsidR="002D4441" w:rsidRPr="002D4441" w:rsidRDefault="002D4441" w:rsidP="002D4441">
            <w:pPr>
              <w:pStyle w:val="TableTextLeft"/>
              <w:cnfStyle w:val="000000000000" w:firstRow="0" w:lastRow="0" w:firstColumn="0" w:lastColumn="0" w:oddVBand="0" w:evenVBand="0" w:oddHBand="0" w:evenHBand="0" w:firstRowFirstColumn="0" w:firstRowLastColumn="0" w:lastRowFirstColumn="0" w:lastRowLastColumn="0"/>
            </w:pPr>
            <w:r w:rsidRPr="002D4441">
              <w:t> </w:t>
            </w:r>
          </w:p>
        </w:tc>
        <w:tc>
          <w:tcPr>
            <w:tcW w:w="1415" w:type="dxa"/>
            <w:noWrap/>
            <w:hideMark/>
          </w:tcPr>
          <w:p w14:paraId="7DAD5BB2" w14:textId="77777777" w:rsidR="002D4441" w:rsidRPr="002D4441" w:rsidRDefault="002D4441" w:rsidP="002D4441">
            <w:pPr>
              <w:pStyle w:val="TableTextLeft"/>
              <w:cnfStyle w:val="000000000000" w:firstRow="0" w:lastRow="0" w:firstColumn="0" w:lastColumn="0" w:oddVBand="0" w:evenVBand="0" w:oddHBand="0" w:evenHBand="0" w:firstRowFirstColumn="0" w:firstRowLastColumn="0" w:lastRowFirstColumn="0" w:lastRowLastColumn="0"/>
            </w:pPr>
            <w:r w:rsidRPr="002D4441">
              <w:t>123.9</w:t>
            </w:r>
          </w:p>
        </w:tc>
        <w:tc>
          <w:tcPr>
            <w:tcW w:w="1136" w:type="dxa"/>
            <w:noWrap/>
            <w:hideMark/>
          </w:tcPr>
          <w:p w14:paraId="7EA3B053" w14:textId="77777777" w:rsidR="002D4441" w:rsidRPr="002D4441" w:rsidRDefault="002D4441" w:rsidP="002D4441">
            <w:pPr>
              <w:pStyle w:val="TableTextLeft"/>
              <w:cnfStyle w:val="000000000000" w:firstRow="0" w:lastRow="0" w:firstColumn="0" w:lastColumn="0" w:oddVBand="0" w:evenVBand="0" w:oddHBand="0" w:evenHBand="0" w:firstRowFirstColumn="0" w:firstRowLastColumn="0" w:lastRowFirstColumn="0" w:lastRowLastColumn="0"/>
            </w:pPr>
            <w:r w:rsidRPr="002D4441">
              <w:t> </w:t>
            </w:r>
          </w:p>
        </w:tc>
        <w:tc>
          <w:tcPr>
            <w:tcW w:w="1415" w:type="dxa"/>
            <w:noWrap/>
            <w:hideMark/>
          </w:tcPr>
          <w:p w14:paraId="68B0594F" w14:textId="77777777" w:rsidR="002D4441" w:rsidRPr="002D4441" w:rsidRDefault="002D4441" w:rsidP="002D4441">
            <w:pPr>
              <w:pStyle w:val="TableTextLeft"/>
              <w:cnfStyle w:val="000000000000" w:firstRow="0" w:lastRow="0" w:firstColumn="0" w:lastColumn="0" w:oddVBand="0" w:evenVBand="0" w:oddHBand="0" w:evenHBand="0" w:firstRowFirstColumn="0" w:firstRowLastColumn="0" w:lastRowFirstColumn="0" w:lastRowLastColumn="0"/>
            </w:pPr>
            <w:r w:rsidRPr="002D4441">
              <w:t>141.0</w:t>
            </w:r>
          </w:p>
        </w:tc>
        <w:tc>
          <w:tcPr>
            <w:tcW w:w="1134" w:type="dxa"/>
            <w:noWrap/>
            <w:hideMark/>
          </w:tcPr>
          <w:p w14:paraId="505F20F6" w14:textId="77777777" w:rsidR="002D4441" w:rsidRPr="002D4441" w:rsidRDefault="002D4441" w:rsidP="002D4441">
            <w:pPr>
              <w:pStyle w:val="TableTextLeft"/>
              <w:cnfStyle w:val="000000000000" w:firstRow="0" w:lastRow="0" w:firstColumn="0" w:lastColumn="0" w:oddVBand="0" w:evenVBand="0" w:oddHBand="0" w:evenHBand="0" w:firstRowFirstColumn="0" w:firstRowLastColumn="0" w:lastRowFirstColumn="0" w:lastRowLastColumn="0"/>
            </w:pPr>
            <w:r w:rsidRPr="002D4441">
              <w:t> </w:t>
            </w:r>
          </w:p>
        </w:tc>
      </w:tr>
    </w:tbl>
    <w:p w14:paraId="00D994D0" w14:textId="77777777" w:rsidR="007904E8" w:rsidRPr="004A34E0" w:rsidRDefault="007904E8" w:rsidP="007904E8">
      <w:pPr>
        <w:pStyle w:val="BodyText"/>
        <w:rPr>
          <w:rFonts w:eastAsia="Calibri"/>
        </w:rPr>
        <w:sectPr w:rsidR="007904E8" w:rsidRPr="004A34E0" w:rsidSect="00E52A9A">
          <w:headerReference w:type="even" r:id="rId138"/>
          <w:headerReference w:type="default" r:id="rId139"/>
          <w:footerReference w:type="even" r:id="rId140"/>
          <w:footerReference w:type="default" r:id="rId141"/>
          <w:pgSz w:w="23811" w:h="16838" w:orient="landscape" w:code="8"/>
          <w:pgMar w:top="1134" w:right="1134" w:bottom="1134" w:left="1134" w:header="283" w:footer="283" w:gutter="0"/>
          <w:cols w:space="284"/>
          <w:docGrid w:linePitch="360"/>
        </w:sectPr>
      </w:pPr>
      <w:r w:rsidRPr="004A34E0">
        <w:rPr>
          <w:rFonts w:eastAsia="Calibri"/>
        </w:rPr>
        <w:fldChar w:fldCharType="end"/>
      </w:r>
    </w:p>
    <w:p w14:paraId="362EAEF4" w14:textId="77777777" w:rsidR="007904E8" w:rsidRPr="004A34E0" w:rsidRDefault="007904E8" w:rsidP="00B22F84">
      <w:pPr>
        <w:pStyle w:val="Caption"/>
      </w:pPr>
      <w:r w:rsidRPr="004A34E0">
        <w:lastRenderedPageBreak/>
        <w:t>Figure 21. Estuary catchment area (DELWP, 2021b)</w:t>
      </w:r>
    </w:p>
    <w:p w14:paraId="37FA93BE" w14:textId="77777777" w:rsidR="007904E8" w:rsidRPr="004A34E0" w:rsidRDefault="007904E8" w:rsidP="007904E8">
      <w:pPr>
        <w:pStyle w:val="BodyText"/>
      </w:pPr>
      <w:r w:rsidRPr="004A34E0">
        <w:rPr>
          <w:noProof/>
        </w:rPr>
        <mc:AlternateContent>
          <mc:Choice Requires="wps">
            <w:drawing>
              <wp:anchor distT="45720" distB="45720" distL="114300" distR="114300" simplePos="0" relativeHeight="251658312" behindDoc="0" locked="0" layoutInCell="1" allowOverlap="1" wp14:anchorId="17420948" wp14:editId="398CB2E1">
                <wp:simplePos x="0" y="0"/>
                <wp:positionH relativeFrom="column">
                  <wp:posOffset>506521</wp:posOffset>
                </wp:positionH>
                <wp:positionV relativeFrom="paragraph">
                  <wp:posOffset>5847028</wp:posOffset>
                </wp:positionV>
                <wp:extent cx="1581150" cy="1404620"/>
                <wp:effectExtent l="0" t="0" r="6350" b="0"/>
                <wp:wrapNone/>
                <wp:docPr id="805" name="Text Box 8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1404620"/>
                        </a:xfrm>
                        <a:prstGeom prst="rect">
                          <a:avLst/>
                        </a:prstGeom>
                        <a:solidFill>
                          <a:schemeClr val="bg1"/>
                        </a:solidFill>
                        <a:ln w="9525">
                          <a:noFill/>
                          <a:miter lim="800000"/>
                          <a:headEnd/>
                          <a:tailEnd/>
                        </a:ln>
                      </wps:spPr>
                      <wps:txbx>
                        <w:txbxContent>
                          <w:p w14:paraId="1C3AB2BB" w14:textId="77777777" w:rsidR="007904E8" w:rsidRPr="00ED2ED1" w:rsidRDefault="007904E8" w:rsidP="007904E8">
                            <w:pPr>
                              <w:rPr>
                                <w:b/>
                                <w:bCs/>
                              </w:rPr>
                            </w:pPr>
                            <w:r w:rsidRPr="00ED2ED1">
                              <w:rPr>
                                <w:b/>
                                <w:bCs/>
                              </w:rPr>
                              <w:t>GORCAP EEA area</w:t>
                            </w:r>
                          </w:p>
                        </w:txbxContent>
                      </wps:txbx>
                      <wps:bodyPr rot="0" vert="horz" wrap="square" lIns="0" tIns="45720" rIns="9144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17420948" id="Text Box 805" o:spid="_x0000_s1064" type="#_x0000_t202" style="position:absolute;margin-left:39.9pt;margin-top:460.4pt;width:124.5pt;height:110.6pt;z-index:251658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" fillcolor="white [3212]" stroked="f">
                <v:textbox style="mso-fit-shape-to-text:t" inset="0,,,0">
                  <w:txbxContent>
                    <w:p w14:paraId="1C3AB2BB" w14:textId="77777777" w:rsidR="007904E8" w:rsidRPr="00ED2ED1" w:rsidRDefault="007904E8" w:rsidP="007904E8">
                      <w:pPr>
                        <w:rPr>
                          <w:b/>
                          <w:bCs/>
                        </w:rPr>
                      </w:pPr>
                      <w:r w:rsidRPr="00ED2ED1">
                        <w:rPr>
                          <w:b/>
                          <w:bCs/>
                        </w:rPr>
                        <w:t>GORCAP EEA area</w:t>
                      </w:r>
                    </w:p>
                  </w:txbxContent>
                </v:textbox>
              </v:shape>
            </w:pict>
          </mc:Fallback>
        </mc:AlternateContent>
      </w:r>
      <w:r w:rsidRPr="004A34E0">
        <w:rPr>
          <w:noProof/>
        </w:rPr>
        <w:drawing>
          <wp:anchor distT="0" distB="0" distL="114300" distR="114300" simplePos="0" relativeHeight="251658305" behindDoc="1" locked="0" layoutInCell="1" allowOverlap="1" wp14:anchorId="2AA827CA" wp14:editId="138CAE16">
            <wp:simplePos x="0" y="0"/>
            <wp:positionH relativeFrom="column">
              <wp:posOffset>5452791</wp:posOffset>
            </wp:positionH>
            <wp:positionV relativeFrom="paragraph">
              <wp:posOffset>3955</wp:posOffset>
            </wp:positionV>
            <wp:extent cx="3128645" cy="3051810"/>
            <wp:effectExtent l="0" t="0" r="0" b="0"/>
            <wp:wrapNone/>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2">
                      <a:extLst>
                        <a:ext uri="{28A0092B-C50C-407E-A947-70E740481C1C}">
                          <a14:useLocalDpi xmlns:a14="http://schemas.microsoft.com/office/drawing/2010/main"/>
                        </a:ext>
                      </a:extLst>
                    </a:blip>
                    <a:srcRect/>
                    <a:stretch>
                      <a:fillRect/>
                    </a:stretch>
                  </pic:blipFill>
                  <pic:spPr bwMode="auto">
                    <a:xfrm>
                      <a:off x="0" y="0"/>
                      <a:ext cx="3128645" cy="3051810"/>
                    </a:xfrm>
                    <a:prstGeom prst="rect">
                      <a:avLst/>
                    </a:prstGeom>
                    <a:noFill/>
                    <a:ln>
                      <a:noFill/>
                    </a:ln>
                  </pic:spPr>
                </pic:pic>
              </a:graphicData>
            </a:graphic>
          </wp:anchor>
        </w:drawing>
      </w:r>
      <w:r w:rsidRPr="004A34E0">
        <w:rPr>
          <w:noProof/>
        </w:rPr>
        <w:drawing>
          <wp:inline distT="0" distB="0" distL="0" distR="0" wp14:anchorId="1C959999" wp14:editId="2CEC7396">
            <wp:extent cx="9639300" cy="6723412"/>
            <wp:effectExtent l="0" t="0" r="0" b="1270"/>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43" cstate="email">
                      <a:extLst>
                        <a:ext uri="{28A0092B-C50C-407E-A947-70E740481C1C}">
                          <a14:useLocalDpi xmlns:a14="http://schemas.microsoft.com/office/drawing/2010/main"/>
                        </a:ext>
                      </a:extLst>
                    </a:blip>
                    <a:srcRect/>
                    <a:stretch/>
                  </pic:blipFill>
                  <pic:spPr bwMode="auto">
                    <a:xfrm>
                      <a:off x="0" y="0"/>
                      <a:ext cx="9645410" cy="6727674"/>
                    </a:xfrm>
                    <a:prstGeom prst="rect">
                      <a:avLst/>
                    </a:prstGeom>
                    <a:noFill/>
                    <a:ln>
                      <a:noFill/>
                    </a:ln>
                    <a:extLst>
                      <a:ext uri="{53640926-AAD7-44D8-BBD7-CCE9431645EC}">
                        <a14:shadowObscured xmlns:a14="http://schemas.microsoft.com/office/drawing/2010/main"/>
                      </a:ext>
                    </a:extLst>
                  </pic:spPr>
                </pic:pic>
              </a:graphicData>
            </a:graphic>
          </wp:inline>
        </w:drawing>
      </w:r>
    </w:p>
    <w:p w14:paraId="2302C1CF" w14:textId="77777777" w:rsidR="007904E8" w:rsidRPr="004A34E0" w:rsidRDefault="007904E8" w:rsidP="007904E8">
      <w:pPr>
        <w:pStyle w:val="BodyText"/>
      </w:pPr>
      <w:r w:rsidRPr="004A34E0">
        <w:br w:type="page"/>
      </w:r>
    </w:p>
    <w:p w14:paraId="78C23F13" w14:textId="079EB50C" w:rsidR="00DE259D" w:rsidRDefault="007904E8" w:rsidP="00DE259D">
      <w:pPr>
        <w:pStyle w:val="Caption"/>
      </w:pPr>
      <w:r w:rsidRPr="000C1F21">
        <w:lastRenderedPageBreak/>
        <w:t>Table 29. Index of estuary condition analysis, DELWP (2021b)</w:t>
      </w:r>
      <w:r w:rsidRPr="000C1F21">
        <w:rPr>
          <w:rFonts w:eastAsia="Calibri"/>
        </w:rPr>
        <w:t xml:space="preserve"> </w:t>
      </w:r>
      <w:r w:rsidRPr="000C1F21">
        <w:rPr>
          <w:rFonts w:eastAsia="Calibri"/>
          <w:sz w:val="18"/>
        </w:rPr>
        <w:fldChar w:fldCharType="begin"/>
      </w:r>
      <w:r w:rsidRPr="000C1F21">
        <w:rPr>
          <w:rFonts w:eastAsia="Calibri"/>
        </w:rPr>
        <w:instrText xml:space="preserve"> LINK </w:instrText>
      </w:r>
      <w:r w:rsidR="0085648D">
        <w:rPr>
          <w:rFonts w:eastAsia="Calibri"/>
        </w:rPr>
        <w:instrText xml:space="preserve">Excel.Sheet.12 https://delwpvicgovau.sharepoint.com/sites/ecm_535/Strategic_Project/condition_output_data.xlsx IEC!R4C9:R20C20 </w:instrText>
      </w:r>
      <w:r w:rsidRPr="000C1F21">
        <w:rPr>
          <w:rFonts w:eastAsia="Calibri"/>
        </w:rPr>
        <w:instrText xml:space="preserve">\a \f 5 \h  \* MERGEFORMAT </w:instrText>
      </w:r>
      <w:r w:rsidRPr="000C1F21">
        <w:rPr>
          <w:rFonts w:eastAsia="Calibri"/>
          <w:sz w:val="18"/>
        </w:rPr>
        <w:fldChar w:fldCharType="separate"/>
      </w:r>
    </w:p>
    <w:tbl>
      <w:tblPr>
        <w:tblStyle w:val="TableGrid"/>
        <w:tblW w:w="16866" w:type="dxa"/>
        <w:tblLook w:val="04A0" w:firstRow="1" w:lastRow="0" w:firstColumn="1" w:lastColumn="0" w:noHBand="0" w:noVBand="1"/>
      </w:tblPr>
      <w:tblGrid>
        <w:gridCol w:w="1984"/>
        <w:gridCol w:w="1260"/>
        <w:gridCol w:w="1191"/>
        <w:gridCol w:w="1191"/>
        <w:gridCol w:w="1462"/>
        <w:gridCol w:w="1234"/>
        <w:gridCol w:w="1464"/>
        <w:gridCol w:w="1545"/>
        <w:gridCol w:w="1231"/>
        <w:gridCol w:w="1472"/>
        <w:gridCol w:w="1275"/>
        <w:gridCol w:w="1557"/>
      </w:tblGrid>
      <w:tr w:rsidR="00DE259D" w:rsidRPr="00DE259D" w14:paraId="5EF69EE8" w14:textId="77777777" w:rsidTr="00DE259D">
        <w:trPr>
          <w:cnfStyle w:val="100000000000" w:firstRow="1" w:lastRow="0" w:firstColumn="0" w:lastColumn="0" w:oddVBand="0" w:evenVBand="0" w:oddHBand="0" w:evenHBand="0" w:firstRowFirstColumn="0" w:firstRowLastColumn="0" w:lastRowFirstColumn="0" w:lastRowLastColumn="0"/>
          <w:divId w:val="2098625977"/>
          <w:trHeight w:val="925"/>
        </w:trPr>
        <w:tc>
          <w:tcPr>
            <w:cnfStyle w:val="001000000000" w:firstRow="0" w:lastRow="0" w:firstColumn="1" w:lastColumn="0" w:oddVBand="0" w:evenVBand="0" w:oddHBand="0" w:evenHBand="0" w:firstRowFirstColumn="0" w:firstRowLastColumn="0" w:lastRowFirstColumn="0" w:lastRowLastColumn="0"/>
            <w:tcW w:w="1984" w:type="dxa"/>
            <w:hideMark/>
          </w:tcPr>
          <w:p w14:paraId="3EA702E0" w14:textId="264323D4" w:rsidR="00DE259D" w:rsidRPr="00DE259D" w:rsidRDefault="00DE259D" w:rsidP="00DE259D">
            <w:pPr>
              <w:pStyle w:val="TableHeadingLeft"/>
              <w:rPr>
                <w:b w:val="0"/>
              </w:rPr>
            </w:pPr>
            <w:r w:rsidRPr="00DE259D">
              <w:t>Estuary Name</w:t>
            </w:r>
          </w:p>
        </w:tc>
        <w:tc>
          <w:tcPr>
            <w:tcW w:w="1260" w:type="dxa"/>
            <w:hideMark/>
          </w:tcPr>
          <w:p w14:paraId="282629DD" w14:textId="77777777" w:rsidR="00DE259D" w:rsidRPr="00DE259D" w:rsidRDefault="00DE259D" w:rsidP="00DE259D">
            <w:pPr>
              <w:pStyle w:val="TableHeadingLeft"/>
              <w:cnfStyle w:val="100000000000" w:firstRow="1" w:lastRow="0" w:firstColumn="0" w:lastColumn="0" w:oddVBand="0" w:evenVBand="0" w:oddHBand="0" w:evenHBand="0" w:firstRowFirstColumn="0" w:firstRowLastColumn="0" w:lastRowFirstColumn="0" w:lastRowLastColumn="0"/>
              <w:rPr>
                <w:b w:val="0"/>
              </w:rPr>
            </w:pPr>
            <w:r w:rsidRPr="00DE259D">
              <w:t>Catchment Area</w:t>
            </w:r>
            <w:r w:rsidRPr="00DE259D">
              <w:br/>
              <w:t xml:space="preserve">(Ha) </w:t>
            </w:r>
          </w:p>
        </w:tc>
        <w:tc>
          <w:tcPr>
            <w:tcW w:w="1191" w:type="dxa"/>
            <w:hideMark/>
          </w:tcPr>
          <w:p w14:paraId="5B20B8A2" w14:textId="77777777" w:rsidR="00DE259D" w:rsidRPr="00DE259D" w:rsidRDefault="00DE259D" w:rsidP="00DE259D">
            <w:pPr>
              <w:pStyle w:val="TableHeadingLeft"/>
              <w:cnfStyle w:val="100000000000" w:firstRow="1" w:lastRow="0" w:firstColumn="0" w:lastColumn="0" w:oddVBand="0" w:evenVBand="0" w:oddHBand="0" w:evenHBand="0" w:firstRowFirstColumn="0" w:firstRowLastColumn="0" w:lastRowFirstColumn="0" w:lastRowLastColumn="0"/>
              <w:rPr>
                <w:b w:val="0"/>
              </w:rPr>
            </w:pPr>
            <w:r w:rsidRPr="00DE259D">
              <w:t>Area in</w:t>
            </w:r>
            <w:r w:rsidRPr="00DE259D">
              <w:br/>
              <w:t>GOR EEA (Ha)</w:t>
            </w:r>
          </w:p>
        </w:tc>
        <w:tc>
          <w:tcPr>
            <w:tcW w:w="1191" w:type="dxa"/>
            <w:hideMark/>
          </w:tcPr>
          <w:p w14:paraId="11580548" w14:textId="77777777" w:rsidR="00DE259D" w:rsidRPr="00DE259D" w:rsidRDefault="00DE259D" w:rsidP="00DE259D">
            <w:pPr>
              <w:pStyle w:val="TableHeadingLeft"/>
              <w:cnfStyle w:val="100000000000" w:firstRow="1" w:lastRow="0" w:firstColumn="0" w:lastColumn="0" w:oddVBand="0" w:evenVBand="0" w:oddHBand="0" w:evenHBand="0" w:firstRowFirstColumn="0" w:firstRowLastColumn="0" w:lastRowFirstColumn="0" w:lastRowLastColumn="0"/>
              <w:rPr>
                <w:b w:val="0"/>
              </w:rPr>
            </w:pPr>
            <w:r w:rsidRPr="00DE259D">
              <w:t xml:space="preserve">% Area inside </w:t>
            </w:r>
            <w:r w:rsidRPr="00DE259D">
              <w:br/>
              <w:t>GOR EEA</w:t>
            </w:r>
          </w:p>
        </w:tc>
        <w:tc>
          <w:tcPr>
            <w:tcW w:w="1462" w:type="dxa"/>
            <w:hideMark/>
          </w:tcPr>
          <w:p w14:paraId="78CF5A3E" w14:textId="77777777" w:rsidR="00DE259D" w:rsidRPr="00DE259D" w:rsidRDefault="00DE259D" w:rsidP="00DE259D">
            <w:pPr>
              <w:pStyle w:val="TableHeadingLeft"/>
              <w:cnfStyle w:val="100000000000" w:firstRow="1" w:lastRow="0" w:firstColumn="0" w:lastColumn="0" w:oddVBand="0" w:evenVBand="0" w:oddHBand="0" w:evenHBand="0" w:firstRowFirstColumn="0" w:firstRowLastColumn="0" w:lastRowFirstColumn="0" w:lastRowLastColumn="0"/>
              <w:rPr>
                <w:b w:val="0"/>
              </w:rPr>
            </w:pPr>
            <w:r w:rsidRPr="00DE259D">
              <w:t>Area outside</w:t>
            </w:r>
            <w:r w:rsidRPr="00DE259D">
              <w:br/>
              <w:t>GOR EEA (Ha)</w:t>
            </w:r>
          </w:p>
        </w:tc>
        <w:tc>
          <w:tcPr>
            <w:tcW w:w="1234" w:type="dxa"/>
            <w:hideMark/>
          </w:tcPr>
          <w:p w14:paraId="45C5FA7A" w14:textId="77777777" w:rsidR="00DE259D" w:rsidRPr="00DE259D" w:rsidRDefault="00DE259D" w:rsidP="00DE259D">
            <w:pPr>
              <w:pStyle w:val="TableHeadingLeft"/>
              <w:cnfStyle w:val="100000000000" w:firstRow="1" w:lastRow="0" w:firstColumn="0" w:lastColumn="0" w:oddVBand="0" w:evenVBand="0" w:oddHBand="0" w:evenHBand="0" w:firstRowFirstColumn="0" w:firstRowLastColumn="0" w:lastRowFirstColumn="0" w:lastRowLastColumn="0"/>
              <w:rPr>
                <w:b w:val="0"/>
              </w:rPr>
            </w:pPr>
            <w:r w:rsidRPr="00DE259D">
              <w:t>% Area outside</w:t>
            </w:r>
            <w:r w:rsidRPr="00DE259D">
              <w:br/>
              <w:t>GOR EEA</w:t>
            </w:r>
          </w:p>
        </w:tc>
        <w:tc>
          <w:tcPr>
            <w:tcW w:w="1464" w:type="dxa"/>
            <w:hideMark/>
          </w:tcPr>
          <w:p w14:paraId="57270132" w14:textId="77777777" w:rsidR="00DE259D" w:rsidRPr="00DE259D" w:rsidRDefault="00DE259D" w:rsidP="00DE259D">
            <w:pPr>
              <w:pStyle w:val="TableHeadingLeft"/>
              <w:cnfStyle w:val="100000000000" w:firstRow="1" w:lastRow="0" w:firstColumn="0" w:lastColumn="0" w:oddVBand="0" w:evenVBand="0" w:oddHBand="0" w:evenHBand="0" w:firstRowFirstColumn="0" w:firstRowLastColumn="0" w:lastRowFirstColumn="0" w:lastRowLastColumn="0"/>
              <w:rPr>
                <w:b w:val="0"/>
              </w:rPr>
            </w:pPr>
            <w:r w:rsidRPr="00DE259D">
              <w:t>Area of estuary catchment =</w:t>
            </w:r>
            <w:r w:rsidRPr="00DE259D">
              <w:br/>
            </w:r>
            <w:proofErr w:type="gramStart"/>
            <w:r w:rsidRPr="00DE259D">
              <w:t>farmland(</w:t>
            </w:r>
            <w:proofErr w:type="gramEnd"/>
            <w:r w:rsidRPr="00DE259D">
              <w:t>Ha)</w:t>
            </w:r>
          </w:p>
        </w:tc>
        <w:tc>
          <w:tcPr>
            <w:tcW w:w="1545" w:type="dxa"/>
            <w:hideMark/>
          </w:tcPr>
          <w:p w14:paraId="0E65C411" w14:textId="77777777" w:rsidR="00DE259D" w:rsidRPr="00DE259D" w:rsidRDefault="00DE259D" w:rsidP="00DE259D">
            <w:pPr>
              <w:pStyle w:val="TableHeadingLeft"/>
              <w:cnfStyle w:val="100000000000" w:firstRow="1" w:lastRow="0" w:firstColumn="0" w:lastColumn="0" w:oddVBand="0" w:evenVBand="0" w:oddHBand="0" w:evenHBand="0" w:firstRowFirstColumn="0" w:firstRowLastColumn="0" w:lastRowFirstColumn="0" w:lastRowLastColumn="0"/>
              <w:rPr>
                <w:b w:val="0"/>
              </w:rPr>
            </w:pPr>
            <w:r w:rsidRPr="00DE259D">
              <w:t>% Area of estuary</w:t>
            </w:r>
            <w:r w:rsidRPr="00DE259D">
              <w:br/>
              <w:t>catchment = farmland</w:t>
            </w:r>
          </w:p>
        </w:tc>
        <w:tc>
          <w:tcPr>
            <w:tcW w:w="1231" w:type="dxa"/>
            <w:hideMark/>
          </w:tcPr>
          <w:p w14:paraId="711F7F0A" w14:textId="77777777" w:rsidR="00DE259D" w:rsidRPr="00DE259D" w:rsidRDefault="00DE259D" w:rsidP="00DE259D">
            <w:pPr>
              <w:pStyle w:val="TableHeadingLeft"/>
              <w:cnfStyle w:val="100000000000" w:firstRow="1" w:lastRow="0" w:firstColumn="0" w:lastColumn="0" w:oddVBand="0" w:evenVBand="0" w:oddHBand="0" w:evenHBand="0" w:firstRowFirstColumn="0" w:firstRowLastColumn="0" w:lastRowFirstColumn="0" w:lastRowLastColumn="0"/>
              <w:rPr>
                <w:b w:val="0"/>
              </w:rPr>
            </w:pPr>
            <w:r w:rsidRPr="00DE259D">
              <w:t>Area of estuary catchment =</w:t>
            </w:r>
            <w:r w:rsidRPr="00DE259D">
              <w:br/>
            </w:r>
            <w:proofErr w:type="gramStart"/>
            <w:r w:rsidRPr="00DE259D">
              <w:t>urban(</w:t>
            </w:r>
            <w:proofErr w:type="gramEnd"/>
            <w:r w:rsidRPr="00DE259D">
              <w:t>Ha)</w:t>
            </w:r>
          </w:p>
        </w:tc>
        <w:tc>
          <w:tcPr>
            <w:tcW w:w="1472" w:type="dxa"/>
            <w:hideMark/>
          </w:tcPr>
          <w:p w14:paraId="60598BAE" w14:textId="77777777" w:rsidR="00DE259D" w:rsidRPr="00DE259D" w:rsidRDefault="00DE259D" w:rsidP="00DE259D">
            <w:pPr>
              <w:pStyle w:val="TableHeadingLeft"/>
              <w:cnfStyle w:val="100000000000" w:firstRow="1" w:lastRow="0" w:firstColumn="0" w:lastColumn="0" w:oddVBand="0" w:evenVBand="0" w:oddHBand="0" w:evenHBand="0" w:firstRowFirstColumn="0" w:firstRowLastColumn="0" w:lastRowFirstColumn="0" w:lastRowLastColumn="0"/>
              <w:rPr>
                <w:b w:val="0"/>
              </w:rPr>
            </w:pPr>
            <w:r w:rsidRPr="00DE259D">
              <w:t>% Area of estuary</w:t>
            </w:r>
            <w:r w:rsidRPr="00DE259D">
              <w:br/>
              <w:t>catchment=</w:t>
            </w:r>
            <w:r w:rsidRPr="00DE259D">
              <w:br/>
              <w:t>urban</w:t>
            </w:r>
          </w:p>
        </w:tc>
        <w:tc>
          <w:tcPr>
            <w:tcW w:w="1275" w:type="dxa"/>
            <w:hideMark/>
          </w:tcPr>
          <w:p w14:paraId="66508586" w14:textId="77777777" w:rsidR="00DE259D" w:rsidRPr="00DE259D" w:rsidRDefault="00DE259D" w:rsidP="00DE259D">
            <w:pPr>
              <w:pStyle w:val="TableHeadingLeft"/>
              <w:cnfStyle w:val="100000000000" w:firstRow="1" w:lastRow="0" w:firstColumn="0" w:lastColumn="0" w:oddVBand="0" w:evenVBand="0" w:oddHBand="0" w:evenHBand="0" w:firstRowFirstColumn="0" w:firstRowLastColumn="0" w:lastRowFirstColumn="0" w:lastRowLastColumn="0"/>
              <w:rPr>
                <w:b w:val="0"/>
              </w:rPr>
            </w:pPr>
            <w:r w:rsidRPr="00DE259D">
              <w:t>Condition</w:t>
            </w:r>
            <w:r w:rsidRPr="00DE259D">
              <w:br/>
              <w:t>score</w:t>
            </w:r>
          </w:p>
        </w:tc>
        <w:tc>
          <w:tcPr>
            <w:tcW w:w="1557" w:type="dxa"/>
            <w:hideMark/>
          </w:tcPr>
          <w:p w14:paraId="3A1F546D" w14:textId="77777777" w:rsidR="00DE259D" w:rsidRPr="00DE259D" w:rsidRDefault="00DE259D" w:rsidP="00DE259D">
            <w:pPr>
              <w:pStyle w:val="TableHeadingLeft"/>
              <w:cnfStyle w:val="100000000000" w:firstRow="1" w:lastRow="0" w:firstColumn="0" w:lastColumn="0" w:oddVBand="0" w:evenVBand="0" w:oddHBand="0" w:evenHBand="0" w:firstRowFirstColumn="0" w:firstRowLastColumn="0" w:lastRowFirstColumn="0" w:lastRowLastColumn="0"/>
              <w:rPr>
                <w:b w:val="0"/>
              </w:rPr>
            </w:pPr>
            <w:r w:rsidRPr="00DE259D">
              <w:t xml:space="preserve"> Condition</w:t>
            </w:r>
          </w:p>
        </w:tc>
      </w:tr>
      <w:tr w:rsidR="00DE259D" w:rsidRPr="00DE259D" w14:paraId="40600490" w14:textId="77777777" w:rsidTr="00DE259D">
        <w:trPr>
          <w:divId w:val="2098625977"/>
          <w:trHeight w:val="288"/>
        </w:trPr>
        <w:tc>
          <w:tcPr>
            <w:cnfStyle w:val="001000000000" w:firstRow="0" w:lastRow="0" w:firstColumn="1" w:lastColumn="0" w:oddVBand="0" w:evenVBand="0" w:oddHBand="0" w:evenHBand="0" w:firstRowFirstColumn="0" w:firstRowLastColumn="0" w:lastRowFirstColumn="0" w:lastRowLastColumn="0"/>
            <w:tcW w:w="1984" w:type="dxa"/>
            <w:noWrap/>
            <w:hideMark/>
          </w:tcPr>
          <w:p w14:paraId="363B04CC" w14:textId="77777777" w:rsidR="00DE259D" w:rsidRPr="00DE259D" w:rsidRDefault="00DE259D" w:rsidP="00DE259D">
            <w:pPr>
              <w:pStyle w:val="TableTextLeft"/>
              <w:rPr>
                <w:b/>
              </w:rPr>
            </w:pPr>
            <w:r w:rsidRPr="00DE259D">
              <w:rPr>
                <w:b/>
              </w:rPr>
              <w:t>Aire River</w:t>
            </w:r>
          </w:p>
        </w:tc>
        <w:tc>
          <w:tcPr>
            <w:tcW w:w="1260" w:type="dxa"/>
            <w:noWrap/>
            <w:hideMark/>
          </w:tcPr>
          <w:p w14:paraId="1133C9C6"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27,018 </w:t>
            </w:r>
          </w:p>
        </w:tc>
        <w:tc>
          <w:tcPr>
            <w:tcW w:w="1191" w:type="dxa"/>
            <w:noWrap/>
            <w:hideMark/>
          </w:tcPr>
          <w:p w14:paraId="0AD0653C"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5,291 </w:t>
            </w:r>
          </w:p>
        </w:tc>
        <w:tc>
          <w:tcPr>
            <w:tcW w:w="1191" w:type="dxa"/>
            <w:noWrap/>
            <w:hideMark/>
          </w:tcPr>
          <w:p w14:paraId="77C85A07"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20%</w:t>
            </w:r>
          </w:p>
        </w:tc>
        <w:tc>
          <w:tcPr>
            <w:tcW w:w="1462" w:type="dxa"/>
            <w:noWrap/>
            <w:hideMark/>
          </w:tcPr>
          <w:p w14:paraId="5C32B753"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21,727 </w:t>
            </w:r>
          </w:p>
        </w:tc>
        <w:tc>
          <w:tcPr>
            <w:tcW w:w="1234" w:type="dxa"/>
            <w:noWrap/>
            <w:hideMark/>
          </w:tcPr>
          <w:p w14:paraId="20AFE3DD"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80%</w:t>
            </w:r>
          </w:p>
        </w:tc>
        <w:tc>
          <w:tcPr>
            <w:tcW w:w="1464" w:type="dxa"/>
            <w:noWrap/>
            <w:hideMark/>
          </w:tcPr>
          <w:p w14:paraId="16C560AA"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4,292 </w:t>
            </w:r>
          </w:p>
        </w:tc>
        <w:tc>
          <w:tcPr>
            <w:tcW w:w="1545" w:type="dxa"/>
            <w:noWrap/>
            <w:hideMark/>
          </w:tcPr>
          <w:p w14:paraId="2D1A2942"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16%</w:t>
            </w:r>
          </w:p>
        </w:tc>
        <w:tc>
          <w:tcPr>
            <w:tcW w:w="1231" w:type="dxa"/>
            <w:noWrap/>
            <w:hideMark/>
          </w:tcPr>
          <w:p w14:paraId="5FAD9819"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11 </w:t>
            </w:r>
          </w:p>
        </w:tc>
        <w:tc>
          <w:tcPr>
            <w:tcW w:w="1472" w:type="dxa"/>
            <w:noWrap/>
            <w:hideMark/>
          </w:tcPr>
          <w:p w14:paraId="21B0F018"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0.0%</w:t>
            </w:r>
          </w:p>
        </w:tc>
        <w:tc>
          <w:tcPr>
            <w:tcW w:w="1275" w:type="dxa"/>
            <w:noWrap/>
            <w:hideMark/>
          </w:tcPr>
          <w:p w14:paraId="1BF7899C"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32</w:t>
            </w:r>
          </w:p>
        </w:tc>
        <w:tc>
          <w:tcPr>
            <w:tcW w:w="1557" w:type="dxa"/>
            <w:noWrap/>
            <w:hideMark/>
          </w:tcPr>
          <w:p w14:paraId="0266E4B1"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moderate</w:t>
            </w:r>
          </w:p>
        </w:tc>
      </w:tr>
      <w:tr w:rsidR="00DE259D" w:rsidRPr="00DE259D" w14:paraId="40451CF0" w14:textId="77777777" w:rsidTr="00DE259D">
        <w:trPr>
          <w:divId w:val="2098625977"/>
          <w:trHeight w:val="288"/>
        </w:trPr>
        <w:tc>
          <w:tcPr>
            <w:cnfStyle w:val="001000000000" w:firstRow="0" w:lastRow="0" w:firstColumn="1" w:lastColumn="0" w:oddVBand="0" w:evenVBand="0" w:oddHBand="0" w:evenHBand="0" w:firstRowFirstColumn="0" w:firstRowLastColumn="0" w:lastRowFirstColumn="0" w:lastRowLastColumn="0"/>
            <w:tcW w:w="1984" w:type="dxa"/>
            <w:noWrap/>
            <w:hideMark/>
          </w:tcPr>
          <w:p w14:paraId="3E9BCCE0" w14:textId="77777777" w:rsidR="00DE259D" w:rsidRPr="00DE259D" w:rsidRDefault="00DE259D" w:rsidP="00DE259D">
            <w:pPr>
              <w:pStyle w:val="TableTextLeft"/>
              <w:rPr>
                <w:b/>
              </w:rPr>
            </w:pPr>
            <w:r w:rsidRPr="00DE259D">
              <w:rPr>
                <w:b/>
              </w:rPr>
              <w:t>Anglesea River</w:t>
            </w:r>
          </w:p>
        </w:tc>
        <w:tc>
          <w:tcPr>
            <w:tcW w:w="1260" w:type="dxa"/>
            <w:noWrap/>
            <w:hideMark/>
          </w:tcPr>
          <w:p w14:paraId="7A0F7F91"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12,048 </w:t>
            </w:r>
          </w:p>
        </w:tc>
        <w:tc>
          <w:tcPr>
            <w:tcW w:w="1191" w:type="dxa"/>
            <w:noWrap/>
            <w:hideMark/>
          </w:tcPr>
          <w:p w14:paraId="3F9DE7D8"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1,775 </w:t>
            </w:r>
          </w:p>
        </w:tc>
        <w:tc>
          <w:tcPr>
            <w:tcW w:w="1191" w:type="dxa"/>
            <w:noWrap/>
            <w:hideMark/>
          </w:tcPr>
          <w:p w14:paraId="27D42136"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15%</w:t>
            </w:r>
          </w:p>
        </w:tc>
        <w:tc>
          <w:tcPr>
            <w:tcW w:w="1462" w:type="dxa"/>
            <w:noWrap/>
            <w:hideMark/>
          </w:tcPr>
          <w:p w14:paraId="100AE2FF"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10,273 </w:t>
            </w:r>
          </w:p>
        </w:tc>
        <w:tc>
          <w:tcPr>
            <w:tcW w:w="1234" w:type="dxa"/>
            <w:noWrap/>
            <w:hideMark/>
          </w:tcPr>
          <w:p w14:paraId="0CB303F7"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85%</w:t>
            </w:r>
          </w:p>
        </w:tc>
        <w:tc>
          <w:tcPr>
            <w:tcW w:w="1464" w:type="dxa"/>
            <w:noWrap/>
            <w:hideMark/>
          </w:tcPr>
          <w:p w14:paraId="4AABDE77"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259 </w:t>
            </w:r>
          </w:p>
        </w:tc>
        <w:tc>
          <w:tcPr>
            <w:tcW w:w="1545" w:type="dxa"/>
            <w:noWrap/>
            <w:hideMark/>
          </w:tcPr>
          <w:p w14:paraId="3E825CDD"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2%</w:t>
            </w:r>
          </w:p>
        </w:tc>
        <w:tc>
          <w:tcPr>
            <w:tcW w:w="1231" w:type="dxa"/>
            <w:noWrap/>
            <w:hideMark/>
          </w:tcPr>
          <w:p w14:paraId="2A3157C3"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279 </w:t>
            </w:r>
          </w:p>
        </w:tc>
        <w:tc>
          <w:tcPr>
            <w:tcW w:w="1472" w:type="dxa"/>
            <w:noWrap/>
            <w:hideMark/>
          </w:tcPr>
          <w:p w14:paraId="4200A6A3"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2.3%</w:t>
            </w:r>
          </w:p>
        </w:tc>
        <w:tc>
          <w:tcPr>
            <w:tcW w:w="1275" w:type="dxa"/>
            <w:noWrap/>
            <w:hideMark/>
          </w:tcPr>
          <w:p w14:paraId="2E058A0A"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25</w:t>
            </w:r>
          </w:p>
        </w:tc>
        <w:tc>
          <w:tcPr>
            <w:tcW w:w="1557" w:type="dxa"/>
            <w:noWrap/>
            <w:hideMark/>
          </w:tcPr>
          <w:p w14:paraId="258D7EC5"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poor</w:t>
            </w:r>
          </w:p>
        </w:tc>
      </w:tr>
      <w:tr w:rsidR="00DE259D" w:rsidRPr="00DE259D" w14:paraId="15959A8E" w14:textId="77777777" w:rsidTr="00DE259D">
        <w:trPr>
          <w:divId w:val="2098625977"/>
          <w:trHeight w:val="288"/>
        </w:trPr>
        <w:tc>
          <w:tcPr>
            <w:cnfStyle w:val="001000000000" w:firstRow="0" w:lastRow="0" w:firstColumn="1" w:lastColumn="0" w:oddVBand="0" w:evenVBand="0" w:oddHBand="0" w:evenHBand="0" w:firstRowFirstColumn="0" w:firstRowLastColumn="0" w:lastRowFirstColumn="0" w:lastRowLastColumn="0"/>
            <w:tcW w:w="1984" w:type="dxa"/>
            <w:noWrap/>
            <w:hideMark/>
          </w:tcPr>
          <w:p w14:paraId="36740711" w14:textId="77777777" w:rsidR="00DE259D" w:rsidRPr="00DE259D" w:rsidRDefault="00DE259D" w:rsidP="00DE259D">
            <w:pPr>
              <w:pStyle w:val="TableTextLeft"/>
              <w:rPr>
                <w:b/>
              </w:rPr>
            </w:pPr>
            <w:r w:rsidRPr="00DE259D">
              <w:rPr>
                <w:b/>
              </w:rPr>
              <w:t>Barham River</w:t>
            </w:r>
          </w:p>
        </w:tc>
        <w:tc>
          <w:tcPr>
            <w:tcW w:w="1260" w:type="dxa"/>
            <w:noWrap/>
            <w:hideMark/>
          </w:tcPr>
          <w:p w14:paraId="1C3FF5E3"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7,981 </w:t>
            </w:r>
          </w:p>
        </w:tc>
        <w:tc>
          <w:tcPr>
            <w:tcW w:w="1191" w:type="dxa"/>
            <w:noWrap/>
            <w:hideMark/>
          </w:tcPr>
          <w:p w14:paraId="5CC8CFB8"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980 </w:t>
            </w:r>
          </w:p>
        </w:tc>
        <w:tc>
          <w:tcPr>
            <w:tcW w:w="1191" w:type="dxa"/>
            <w:noWrap/>
            <w:hideMark/>
          </w:tcPr>
          <w:p w14:paraId="1ED59FE9"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12%</w:t>
            </w:r>
          </w:p>
        </w:tc>
        <w:tc>
          <w:tcPr>
            <w:tcW w:w="1462" w:type="dxa"/>
            <w:noWrap/>
            <w:hideMark/>
          </w:tcPr>
          <w:p w14:paraId="04646DDD"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7,001 </w:t>
            </w:r>
          </w:p>
        </w:tc>
        <w:tc>
          <w:tcPr>
            <w:tcW w:w="1234" w:type="dxa"/>
            <w:noWrap/>
            <w:hideMark/>
          </w:tcPr>
          <w:p w14:paraId="1BD75DF3"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88%</w:t>
            </w:r>
          </w:p>
        </w:tc>
        <w:tc>
          <w:tcPr>
            <w:tcW w:w="1464" w:type="dxa"/>
            <w:noWrap/>
            <w:hideMark/>
          </w:tcPr>
          <w:p w14:paraId="303C02A1"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1,809 </w:t>
            </w:r>
          </w:p>
        </w:tc>
        <w:tc>
          <w:tcPr>
            <w:tcW w:w="1545" w:type="dxa"/>
            <w:noWrap/>
            <w:hideMark/>
          </w:tcPr>
          <w:p w14:paraId="093D9BAE"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23%</w:t>
            </w:r>
          </w:p>
        </w:tc>
        <w:tc>
          <w:tcPr>
            <w:tcW w:w="1231" w:type="dxa"/>
            <w:noWrap/>
            <w:hideMark/>
          </w:tcPr>
          <w:p w14:paraId="1B8A16BD"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59 </w:t>
            </w:r>
          </w:p>
        </w:tc>
        <w:tc>
          <w:tcPr>
            <w:tcW w:w="1472" w:type="dxa"/>
            <w:noWrap/>
            <w:hideMark/>
          </w:tcPr>
          <w:p w14:paraId="1B9710CD"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0.7%</w:t>
            </w:r>
          </w:p>
        </w:tc>
        <w:tc>
          <w:tcPr>
            <w:tcW w:w="1275" w:type="dxa"/>
            <w:noWrap/>
            <w:hideMark/>
          </w:tcPr>
          <w:p w14:paraId="0D6C4E89"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38</w:t>
            </w:r>
          </w:p>
        </w:tc>
        <w:tc>
          <w:tcPr>
            <w:tcW w:w="1557" w:type="dxa"/>
            <w:noWrap/>
            <w:hideMark/>
          </w:tcPr>
          <w:p w14:paraId="0F0D8AE1"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good</w:t>
            </w:r>
          </w:p>
        </w:tc>
      </w:tr>
      <w:tr w:rsidR="00DE259D" w:rsidRPr="00DE259D" w14:paraId="50692783" w14:textId="77777777" w:rsidTr="00DE259D">
        <w:trPr>
          <w:divId w:val="2098625977"/>
          <w:trHeight w:val="288"/>
        </w:trPr>
        <w:tc>
          <w:tcPr>
            <w:cnfStyle w:val="001000000000" w:firstRow="0" w:lastRow="0" w:firstColumn="1" w:lastColumn="0" w:oddVBand="0" w:evenVBand="0" w:oddHBand="0" w:evenHBand="0" w:firstRowFirstColumn="0" w:firstRowLastColumn="0" w:lastRowFirstColumn="0" w:lastRowLastColumn="0"/>
            <w:tcW w:w="1984" w:type="dxa"/>
            <w:noWrap/>
            <w:hideMark/>
          </w:tcPr>
          <w:p w14:paraId="2756F1A2" w14:textId="77777777" w:rsidR="00DE259D" w:rsidRPr="00DE259D" w:rsidRDefault="00DE259D" w:rsidP="00DE259D">
            <w:pPr>
              <w:pStyle w:val="TableTextLeft"/>
              <w:rPr>
                <w:b/>
              </w:rPr>
            </w:pPr>
            <w:r w:rsidRPr="00DE259D">
              <w:rPr>
                <w:b/>
              </w:rPr>
              <w:t>Campbell Creek</w:t>
            </w:r>
          </w:p>
        </w:tc>
        <w:tc>
          <w:tcPr>
            <w:tcW w:w="1260" w:type="dxa"/>
            <w:noWrap/>
            <w:hideMark/>
          </w:tcPr>
          <w:p w14:paraId="4D80A898"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7,670 </w:t>
            </w:r>
          </w:p>
        </w:tc>
        <w:tc>
          <w:tcPr>
            <w:tcW w:w="1191" w:type="dxa"/>
            <w:noWrap/>
            <w:hideMark/>
          </w:tcPr>
          <w:p w14:paraId="5BD0B9C4"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477 </w:t>
            </w:r>
          </w:p>
        </w:tc>
        <w:tc>
          <w:tcPr>
            <w:tcW w:w="1191" w:type="dxa"/>
            <w:noWrap/>
            <w:hideMark/>
          </w:tcPr>
          <w:p w14:paraId="71737947"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6%</w:t>
            </w:r>
          </w:p>
        </w:tc>
        <w:tc>
          <w:tcPr>
            <w:tcW w:w="1462" w:type="dxa"/>
            <w:noWrap/>
            <w:hideMark/>
          </w:tcPr>
          <w:p w14:paraId="76009A44"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7,193 </w:t>
            </w:r>
          </w:p>
        </w:tc>
        <w:tc>
          <w:tcPr>
            <w:tcW w:w="1234" w:type="dxa"/>
            <w:noWrap/>
            <w:hideMark/>
          </w:tcPr>
          <w:p w14:paraId="102B1E1D"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94%</w:t>
            </w:r>
          </w:p>
        </w:tc>
        <w:tc>
          <w:tcPr>
            <w:tcW w:w="1464" w:type="dxa"/>
            <w:noWrap/>
            <w:hideMark/>
          </w:tcPr>
          <w:p w14:paraId="612EF84E"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6,895 </w:t>
            </w:r>
          </w:p>
        </w:tc>
        <w:tc>
          <w:tcPr>
            <w:tcW w:w="1545" w:type="dxa"/>
            <w:noWrap/>
            <w:hideMark/>
          </w:tcPr>
          <w:p w14:paraId="61F8A3E6"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90%</w:t>
            </w:r>
          </w:p>
        </w:tc>
        <w:tc>
          <w:tcPr>
            <w:tcW w:w="1231" w:type="dxa"/>
            <w:noWrap/>
            <w:hideMark/>
          </w:tcPr>
          <w:p w14:paraId="1AB4870C"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77 </w:t>
            </w:r>
          </w:p>
        </w:tc>
        <w:tc>
          <w:tcPr>
            <w:tcW w:w="1472" w:type="dxa"/>
            <w:noWrap/>
            <w:hideMark/>
          </w:tcPr>
          <w:p w14:paraId="1AAD9EB2"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1.0%</w:t>
            </w:r>
          </w:p>
        </w:tc>
        <w:tc>
          <w:tcPr>
            <w:tcW w:w="1275" w:type="dxa"/>
            <w:noWrap/>
            <w:hideMark/>
          </w:tcPr>
          <w:p w14:paraId="11ADC325"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32</w:t>
            </w:r>
          </w:p>
        </w:tc>
        <w:tc>
          <w:tcPr>
            <w:tcW w:w="1557" w:type="dxa"/>
            <w:noWrap/>
            <w:hideMark/>
          </w:tcPr>
          <w:p w14:paraId="522429EC"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moderate</w:t>
            </w:r>
          </w:p>
        </w:tc>
      </w:tr>
      <w:tr w:rsidR="00DE259D" w:rsidRPr="00DE259D" w14:paraId="1F1ED1A2" w14:textId="77777777" w:rsidTr="00DE259D">
        <w:trPr>
          <w:divId w:val="2098625977"/>
          <w:trHeight w:val="288"/>
        </w:trPr>
        <w:tc>
          <w:tcPr>
            <w:cnfStyle w:val="001000000000" w:firstRow="0" w:lastRow="0" w:firstColumn="1" w:lastColumn="0" w:oddVBand="0" w:evenVBand="0" w:oddHBand="0" w:evenHBand="0" w:firstRowFirstColumn="0" w:firstRowLastColumn="0" w:lastRowFirstColumn="0" w:lastRowLastColumn="0"/>
            <w:tcW w:w="1984" w:type="dxa"/>
            <w:noWrap/>
            <w:hideMark/>
          </w:tcPr>
          <w:p w14:paraId="6D1DB231" w14:textId="77777777" w:rsidR="00DE259D" w:rsidRPr="00DE259D" w:rsidRDefault="00DE259D" w:rsidP="00DE259D">
            <w:pPr>
              <w:pStyle w:val="TableTextLeft"/>
              <w:rPr>
                <w:b/>
              </w:rPr>
            </w:pPr>
            <w:proofErr w:type="spellStart"/>
            <w:r w:rsidRPr="00DE259D">
              <w:rPr>
                <w:b/>
              </w:rPr>
              <w:t>Curdies</w:t>
            </w:r>
            <w:proofErr w:type="spellEnd"/>
            <w:r w:rsidRPr="00DE259D">
              <w:rPr>
                <w:b/>
              </w:rPr>
              <w:t xml:space="preserve"> Inlet</w:t>
            </w:r>
          </w:p>
        </w:tc>
        <w:tc>
          <w:tcPr>
            <w:tcW w:w="1260" w:type="dxa"/>
            <w:noWrap/>
            <w:hideMark/>
          </w:tcPr>
          <w:p w14:paraId="2749E755"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97,090 </w:t>
            </w:r>
          </w:p>
        </w:tc>
        <w:tc>
          <w:tcPr>
            <w:tcW w:w="1191" w:type="dxa"/>
            <w:noWrap/>
            <w:hideMark/>
          </w:tcPr>
          <w:p w14:paraId="593C6026"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1,755 </w:t>
            </w:r>
          </w:p>
        </w:tc>
        <w:tc>
          <w:tcPr>
            <w:tcW w:w="1191" w:type="dxa"/>
            <w:noWrap/>
            <w:hideMark/>
          </w:tcPr>
          <w:p w14:paraId="7C417B73"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2%</w:t>
            </w:r>
          </w:p>
        </w:tc>
        <w:tc>
          <w:tcPr>
            <w:tcW w:w="1462" w:type="dxa"/>
            <w:noWrap/>
            <w:hideMark/>
          </w:tcPr>
          <w:p w14:paraId="7729EF53"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95,335 </w:t>
            </w:r>
          </w:p>
        </w:tc>
        <w:tc>
          <w:tcPr>
            <w:tcW w:w="1234" w:type="dxa"/>
            <w:noWrap/>
            <w:hideMark/>
          </w:tcPr>
          <w:p w14:paraId="1ECF296F"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98%</w:t>
            </w:r>
          </w:p>
        </w:tc>
        <w:tc>
          <w:tcPr>
            <w:tcW w:w="1464" w:type="dxa"/>
            <w:noWrap/>
            <w:hideMark/>
          </w:tcPr>
          <w:p w14:paraId="0C75388E"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85,372 </w:t>
            </w:r>
          </w:p>
        </w:tc>
        <w:tc>
          <w:tcPr>
            <w:tcW w:w="1545" w:type="dxa"/>
            <w:noWrap/>
            <w:hideMark/>
          </w:tcPr>
          <w:p w14:paraId="08076007"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88%</w:t>
            </w:r>
          </w:p>
        </w:tc>
        <w:tc>
          <w:tcPr>
            <w:tcW w:w="1231" w:type="dxa"/>
            <w:noWrap/>
            <w:hideMark/>
          </w:tcPr>
          <w:p w14:paraId="1DFBA81D"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758 </w:t>
            </w:r>
          </w:p>
        </w:tc>
        <w:tc>
          <w:tcPr>
            <w:tcW w:w="1472" w:type="dxa"/>
            <w:noWrap/>
            <w:hideMark/>
          </w:tcPr>
          <w:p w14:paraId="5A6D2385"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0.8%</w:t>
            </w:r>
          </w:p>
        </w:tc>
        <w:tc>
          <w:tcPr>
            <w:tcW w:w="1275" w:type="dxa"/>
            <w:noWrap/>
            <w:hideMark/>
          </w:tcPr>
          <w:p w14:paraId="27F88DFE"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30</w:t>
            </w:r>
          </w:p>
        </w:tc>
        <w:tc>
          <w:tcPr>
            <w:tcW w:w="1557" w:type="dxa"/>
            <w:noWrap/>
            <w:hideMark/>
          </w:tcPr>
          <w:p w14:paraId="056C199A"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moderate</w:t>
            </w:r>
          </w:p>
        </w:tc>
      </w:tr>
      <w:tr w:rsidR="00DE259D" w:rsidRPr="00DE259D" w14:paraId="05CA3A45" w14:textId="77777777" w:rsidTr="00DE259D">
        <w:trPr>
          <w:divId w:val="2098625977"/>
          <w:trHeight w:val="288"/>
        </w:trPr>
        <w:tc>
          <w:tcPr>
            <w:cnfStyle w:val="001000000000" w:firstRow="0" w:lastRow="0" w:firstColumn="1" w:lastColumn="0" w:oddVBand="0" w:evenVBand="0" w:oddHBand="0" w:evenHBand="0" w:firstRowFirstColumn="0" w:firstRowLastColumn="0" w:lastRowFirstColumn="0" w:lastRowLastColumn="0"/>
            <w:tcW w:w="1984" w:type="dxa"/>
            <w:noWrap/>
            <w:hideMark/>
          </w:tcPr>
          <w:p w14:paraId="7C5CFF87" w14:textId="77777777" w:rsidR="00DE259D" w:rsidRPr="00DE259D" w:rsidRDefault="00DE259D" w:rsidP="00DE259D">
            <w:pPr>
              <w:pStyle w:val="TableTextLeft"/>
              <w:rPr>
                <w:b/>
              </w:rPr>
            </w:pPr>
            <w:r w:rsidRPr="00DE259D">
              <w:rPr>
                <w:b/>
              </w:rPr>
              <w:t>Erskine River</w:t>
            </w:r>
          </w:p>
        </w:tc>
        <w:tc>
          <w:tcPr>
            <w:tcW w:w="1260" w:type="dxa"/>
            <w:noWrap/>
            <w:hideMark/>
          </w:tcPr>
          <w:p w14:paraId="16C3C96B"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3,048 </w:t>
            </w:r>
          </w:p>
        </w:tc>
        <w:tc>
          <w:tcPr>
            <w:tcW w:w="1191" w:type="dxa"/>
            <w:noWrap/>
            <w:hideMark/>
          </w:tcPr>
          <w:p w14:paraId="7012CC95"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255 </w:t>
            </w:r>
          </w:p>
        </w:tc>
        <w:tc>
          <w:tcPr>
            <w:tcW w:w="1191" w:type="dxa"/>
            <w:noWrap/>
            <w:hideMark/>
          </w:tcPr>
          <w:p w14:paraId="1C3F719C"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8%</w:t>
            </w:r>
          </w:p>
        </w:tc>
        <w:tc>
          <w:tcPr>
            <w:tcW w:w="1462" w:type="dxa"/>
            <w:noWrap/>
            <w:hideMark/>
          </w:tcPr>
          <w:p w14:paraId="48F61C5A"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2,793 </w:t>
            </w:r>
          </w:p>
        </w:tc>
        <w:tc>
          <w:tcPr>
            <w:tcW w:w="1234" w:type="dxa"/>
            <w:noWrap/>
            <w:hideMark/>
          </w:tcPr>
          <w:p w14:paraId="24AA88C1"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92%</w:t>
            </w:r>
          </w:p>
        </w:tc>
        <w:tc>
          <w:tcPr>
            <w:tcW w:w="1464" w:type="dxa"/>
            <w:noWrap/>
            <w:hideMark/>
          </w:tcPr>
          <w:p w14:paraId="3D4D28B5"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rPr>
            </w:pPr>
            <w:r w:rsidRPr="00DE259D">
              <w:rPr>
                <w:b/>
              </w:rPr>
              <w:t xml:space="preserve">                     60 </w:t>
            </w:r>
          </w:p>
        </w:tc>
        <w:tc>
          <w:tcPr>
            <w:tcW w:w="1545" w:type="dxa"/>
            <w:noWrap/>
            <w:hideMark/>
          </w:tcPr>
          <w:p w14:paraId="541F845D"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2%</w:t>
            </w:r>
          </w:p>
        </w:tc>
        <w:tc>
          <w:tcPr>
            <w:tcW w:w="1231" w:type="dxa"/>
            <w:noWrap/>
            <w:hideMark/>
          </w:tcPr>
          <w:p w14:paraId="5825D11B"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51 </w:t>
            </w:r>
          </w:p>
        </w:tc>
        <w:tc>
          <w:tcPr>
            <w:tcW w:w="1472" w:type="dxa"/>
            <w:noWrap/>
            <w:hideMark/>
          </w:tcPr>
          <w:p w14:paraId="3DD3D32C"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1.7%</w:t>
            </w:r>
          </w:p>
        </w:tc>
        <w:tc>
          <w:tcPr>
            <w:tcW w:w="1275" w:type="dxa"/>
            <w:noWrap/>
            <w:hideMark/>
          </w:tcPr>
          <w:p w14:paraId="02591B13"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32</w:t>
            </w:r>
          </w:p>
        </w:tc>
        <w:tc>
          <w:tcPr>
            <w:tcW w:w="1557" w:type="dxa"/>
            <w:noWrap/>
            <w:hideMark/>
          </w:tcPr>
          <w:p w14:paraId="2F706472"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moderate</w:t>
            </w:r>
          </w:p>
        </w:tc>
      </w:tr>
      <w:tr w:rsidR="00DE259D" w:rsidRPr="00DE259D" w14:paraId="1E18255E" w14:textId="77777777" w:rsidTr="00DE259D">
        <w:trPr>
          <w:divId w:val="2098625977"/>
          <w:trHeight w:val="288"/>
        </w:trPr>
        <w:tc>
          <w:tcPr>
            <w:cnfStyle w:val="001000000000" w:firstRow="0" w:lastRow="0" w:firstColumn="1" w:lastColumn="0" w:oddVBand="0" w:evenVBand="0" w:oddHBand="0" w:evenHBand="0" w:firstRowFirstColumn="0" w:firstRowLastColumn="0" w:lastRowFirstColumn="0" w:lastRowLastColumn="0"/>
            <w:tcW w:w="1984" w:type="dxa"/>
            <w:noWrap/>
            <w:hideMark/>
          </w:tcPr>
          <w:p w14:paraId="3A2A0CCF" w14:textId="77777777" w:rsidR="00DE259D" w:rsidRPr="00DE259D" w:rsidRDefault="00DE259D" w:rsidP="00DE259D">
            <w:pPr>
              <w:pStyle w:val="TableTextLeft"/>
              <w:rPr>
                <w:b/>
              </w:rPr>
            </w:pPr>
            <w:r w:rsidRPr="00DE259D">
              <w:rPr>
                <w:b/>
              </w:rPr>
              <w:t>Gellibrand River</w:t>
            </w:r>
          </w:p>
        </w:tc>
        <w:tc>
          <w:tcPr>
            <w:tcW w:w="1260" w:type="dxa"/>
            <w:noWrap/>
            <w:hideMark/>
          </w:tcPr>
          <w:p w14:paraId="7A3A2D53"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115,046 </w:t>
            </w:r>
          </w:p>
        </w:tc>
        <w:tc>
          <w:tcPr>
            <w:tcW w:w="1191" w:type="dxa"/>
            <w:noWrap/>
            <w:hideMark/>
          </w:tcPr>
          <w:p w14:paraId="24E9B7F9"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6,229 </w:t>
            </w:r>
          </w:p>
        </w:tc>
        <w:tc>
          <w:tcPr>
            <w:tcW w:w="1191" w:type="dxa"/>
            <w:noWrap/>
            <w:hideMark/>
          </w:tcPr>
          <w:p w14:paraId="354397CF"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5%</w:t>
            </w:r>
          </w:p>
        </w:tc>
        <w:tc>
          <w:tcPr>
            <w:tcW w:w="1462" w:type="dxa"/>
            <w:noWrap/>
            <w:hideMark/>
          </w:tcPr>
          <w:p w14:paraId="7D23BD8E"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108,817 </w:t>
            </w:r>
          </w:p>
        </w:tc>
        <w:tc>
          <w:tcPr>
            <w:tcW w:w="1234" w:type="dxa"/>
            <w:noWrap/>
            <w:hideMark/>
          </w:tcPr>
          <w:p w14:paraId="5F2BFD3A"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95%</w:t>
            </w:r>
          </w:p>
        </w:tc>
        <w:tc>
          <w:tcPr>
            <w:tcW w:w="1464" w:type="dxa"/>
            <w:noWrap/>
            <w:hideMark/>
          </w:tcPr>
          <w:p w14:paraId="359E71AA"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33,910 </w:t>
            </w:r>
          </w:p>
        </w:tc>
        <w:tc>
          <w:tcPr>
            <w:tcW w:w="1545" w:type="dxa"/>
            <w:noWrap/>
            <w:hideMark/>
          </w:tcPr>
          <w:p w14:paraId="1A7B4733"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29%</w:t>
            </w:r>
          </w:p>
        </w:tc>
        <w:tc>
          <w:tcPr>
            <w:tcW w:w="1231" w:type="dxa"/>
            <w:noWrap/>
            <w:hideMark/>
          </w:tcPr>
          <w:p w14:paraId="06672B19"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225 </w:t>
            </w:r>
          </w:p>
        </w:tc>
        <w:tc>
          <w:tcPr>
            <w:tcW w:w="1472" w:type="dxa"/>
            <w:noWrap/>
            <w:hideMark/>
          </w:tcPr>
          <w:p w14:paraId="3EED2111"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0.2%</w:t>
            </w:r>
          </w:p>
        </w:tc>
        <w:tc>
          <w:tcPr>
            <w:tcW w:w="1275" w:type="dxa"/>
            <w:noWrap/>
            <w:hideMark/>
          </w:tcPr>
          <w:p w14:paraId="2A1A71DA"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31</w:t>
            </w:r>
          </w:p>
        </w:tc>
        <w:tc>
          <w:tcPr>
            <w:tcW w:w="1557" w:type="dxa"/>
            <w:noWrap/>
            <w:hideMark/>
          </w:tcPr>
          <w:p w14:paraId="538E8884"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moderate</w:t>
            </w:r>
          </w:p>
        </w:tc>
      </w:tr>
      <w:tr w:rsidR="00DE259D" w:rsidRPr="00DE259D" w14:paraId="7CE1A938" w14:textId="77777777" w:rsidTr="00DE259D">
        <w:trPr>
          <w:divId w:val="2098625977"/>
          <w:trHeight w:val="288"/>
        </w:trPr>
        <w:tc>
          <w:tcPr>
            <w:cnfStyle w:val="001000000000" w:firstRow="0" w:lastRow="0" w:firstColumn="1" w:lastColumn="0" w:oddVBand="0" w:evenVBand="0" w:oddHBand="0" w:evenHBand="0" w:firstRowFirstColumn="0" w:firstRowLastColumn="0" w:lastRowFirstColumn="0" w:lastRowLastColumn="0"/>
            <w:tcW w:w="1984" w:type="dxa"/>
            <w:noWrap/>
            <w:hideMark/>
          </w:tcPr>
          <w:p w14:paraId="1F5E52D4" w14:textId="77777777" w:rsidR="00DE259D" w:rsidRPr="00DE259D" w:rsidRDefault="00DE259D" w:rsidP="00DE259D">
            <w:pPr>
              <w:pStyle w:val="TableTextLeft"/>
              <w:rPr>
                <w:b/>
              </w:rPr>
            </w:pPr>
            <w:r w:rsidRPr="00DE259D">
              <w:rPr>
                <w:b/>
              </w:rPr>
              <w:t>Hopkins River</w:t>
            </w:r>
          </w:p>
        </w:tc>
        <w:tc>
          <w:tcPr>
            <w:tcW w:w="1260" w:type="dxa"/>
            <w:noWrap/>
            <w:hideMark/>
          </w:tcPr>
          <w:p w14:paraId="009C5407"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890,396 </w:t>
            </w:r>
          </w:p>
        </w:tc>
        <w:tc>
          <w:tcPr>
            <w:tcW w:w="1191" w:type="dxa"/>
            <w:noWrap/>
            <w:hideMark/>
          </w:tcPr>
          <w:p w14:paraId="08504F30"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rPr>
            </w:pPr>
            <w:r w:rsidRPr="00DE259D">
              <w:rPr>
                <w:b/>
              </w:rPr>
              <w:t xml:space="preserve"> 10,219 </w:t>
            </w:r>
          </w:p>
        </w:tc>
        <w:tc>
          <w:tcPr>
            <w:tcW w:w="1191" w:type="dxa"/>
            <w:noWrap/>
            <w:hideMark/>
          </w:tcPr>
          <w:p w14:paraId="0BFA9239"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1%</w:t>
            </w:r>
          </w:p>
        </w:tc>
        <w:tc>
          <w:tcPr>
            <w:tcW w:w="1462" w:type="dxa"/>
            <w:noWrap/>
            <w:hideMark/>
          </w:tcPr>
          <w:p w14:paraId="26C85303"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880,177 </w:t>
            </w:r>
          </w:p>
        </w:tc>
        <w:tc>
          <w:tcPr>
            <w:tcW w:w="1234" w:type="dxa"/>
            <w:noWrap/>
            <w:hideMark/>
          </w:tcPr>
          <w:p w14:paraId="6E25620E"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99%</w:t>
            </w:r>
          </w:p>
        </w:tc>
        <w:tc>
          <w:tcPr>
            <w:tcW w:w="1464" w:type="dxa"/>
            <w:noWrap/>
            <w:hideMark/>
          </w:tcPr>
          <w:p w14:paraId="2B2FB1FB"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737,900 </w:t>
            </w:r>
          </w:p>
        </w:tc>
        <w:tc>
          <w:tcPr>
            <w:tcW w:w="1545" w:type="dxa"/>
            <w:noWrap/>
            <w:hideMark/>
          </w:tcPr>
          <w:p w14:paraId="5FCBA1DB"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83%</w:t>
            </w:r>
          </w:p>
        </w:tc>
        <w:tc>
          <w:tcPr>
            <w:tcW w:w="1231" w:type="dxa"/>
            <w:noWrap/>
            <w:hideMark/>
          </w:tcPr>
          <w:p w14:paraId="220D26D4"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4,915 </w:t>
            </w:r>
          </w:p>
        </w:tc>
        <w:tc>
          <w:tcPr>
            <w:tcW w:w="1472" w:type="dxa"/>
            <w:noWrap/>
            <w:hideMark/>
          </w:tcPr>
          <w:p w14:paraId="6D974571"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0.6%</w:t>
            </w:r>
          </w:p>
        </w:tc>
        <w:tc>
          <w:tcPr>
            <w:tcW w:w="1275" w:type="dxa"/>
            <w:noWrap/>
            <w:hideMark/>
          </w:tcPr>
          <w:p w14:paraId="5F4FE341"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n/a</w:t>
            </w:r>
          </w:p>
        </w:tc>
        <w:tc>
          <w:tcPr>
            <w:tcW w:w="1557" w:type="dxa"/>
            <w:noWrap/>
            <w:hideMark/>
          </w:tcPr>
          <w:p w14:paraId="16CE2156"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n/a</w:t>
            </w:r>
          </w:p>
        </w:tc>
      </w:tr>
      <w:tr w:rsidR="00DE259D" w:rsidRPr="00DE259D" w14:paraId="20C3D4E8" w14:textId="77777777" w:rsidTr="00DE259D">
        <w:trPr>
          <w:divId w:val="2098625977"/>
          <w:trHeight w:val="288"/>
        </w:trPr>
        <w:tc>
          <w:tcPr>
            <w:cnfStyle w:val="001000000000" w:firstRow="0" w:lastRow="0" w:firstColumn="1" w:lastColumn="0" w:oddVBand="0" w:evenVBand="0" w:oddHBand="0" w:evenHBand="0" w:firstRowFirstColumn="0" w:firstRowLastColumn="0" w:lastRowFirstColumn="0" w:lastRowLastColumn="0"/>
            <w:tcW w:w="1984" w:type="dxa"/>
            <w:noWrap/>
            <w:hideMark/>
          </w:tcPr>
          <w:p w14:paraId="7825C665" w14:textId="77777777" w:rsidR="00DE259D" w:rsidRPr="00DE259D" w:rsidRDefault="00DE259D" w:rsidP="00DE259D">
            <w:pPr>
              <w:pStyle w:val="TableTextLeft"/>
              <w:rPr>
                <w:b/>
              </w:rPr>
            </w:pPr>
            <w:r w:rsidRPr="00DE259D">
              <w:rPr>
                <w:b/>
              </w:rPr>
              <w:t>Johanna River</w:t>
            </w:r>
          </w:p>
        </w:tc>
        <w:tc>
          <w:tcPr>
            <w:tcW w:w="1260" w:type="dxa"/>
            <w:noWrap/>
            <w:hideMark/>
          </w:tcPr>
          <w:p w14:paraId="5C391709"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3,933 </w:t>
            </w:r>
          </w:p>
        </w:tc>
        <w:tc>
          <w:tcPr>
            <w:tcW w:w="1191" w:type="dxa"/>
            <w:noWrap/>
            <w:hideMark/>
          </w:tcPr>
          <w:p w14:paraId="1535A856"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3,933 </w:t>
            </w:r>
          </w:p>
        </w:tc>
        <w:tc>
          <w:tcPr>
            <w:tcW w:w="1191" w:type="dxa"/>
            <w:noWrap/>
            <w:hideMark/>
          </w:tcPr>
          <w:p w14:paraId="4687AC94"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100%</w:t>
            </w:r>
          </w:p>
        </w:tc>
        <w:tc>
          <w:tcPr>
            <w:tcW w:w="1462" w:type="dxa"/>
            <w:noWrap/>
            <w:hideMark/>
          </w:tcPr>
          <w:p w14:paraId="5DF49297"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   </w:t>
            </w:r>
          </w:p>
        </w:tc>
        <w:tc>
          <w:tcPr>
            <w:tcW w:w="1234" w:type="dxa"/>
            <w:noWrap/>
            <w:hideMark/>
          </w:tcPr>
          <w:p w14:paraId="0AA8891E"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0%</w:t>
            </w:r>
          </w:p>
        </w:tc>
        <w:tc>
          <w:tcPr>
            <w:tcW w:w="1464" w:type="dxa"/>
            <w:noWrap/>
            <w:hideMark/>
          </w:tcPr>
          <w:p w14:paraId="7EA10AB4"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rPr>
            </w:pPr>
            <w:r w:rsidRPr="00DE259D">
              <w:rPr>
                <w:b/>
              </w:rPr>
              <w:t xml:space="preserve">               1,204 </w:t>
            </w:r>
          </w:p>
        </w:tc>
        <w:tc>
          <w:tcPr>
            <w:tcW w:w="1545" w:type="dxa"/>
            <w:noWrap/>
            <w:hideMark/>
          </w:tcPr>
          <w:p w14:paraId="03248E2F"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31%</w:t>
            </w:r>
          </w:p>
        </w:tc>
        <w:tc>
          <w:tcPr>
            <w:tcW w:w="1231" w:type="dxa"/>
            <w:noWrap/>
            <w:hideMark/>
          </w:tcPr>
          <w:p w14:paraId="2C6F5F0B"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5 </w:t>
            </w:r>
          </w:p>
        </w:tc>
        <w:tc>
          <w:tcPr>
            <w:tcW w:w="1472" w:type="dxa"/>
            <w:noWrap/>
            <w:hideMark/>
          </w:tcPr>
          <w:p w14:paraId="479DE4CB"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0.1%</w:t>
            </w:r>
          </w:p>
        </w:tc>
        <w:tc>
          <w:tcPr>
            <w:tcW w:w="1275" w:type="dxa"/>
            <w:noWrap/>
            <w:hideMark/>
          </w:tcPr>
          <w:p w14:paraId="0F5F0848"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35</w:t>
            </w:r>
          </w:p>
        </w:tc>
        <w:tc>
          <w:tcPr>
            <w:tcW w:w="1557" w:type="dxa"/>
            <w:noWrap/>
            <w:hideMark/>
          </w:tcPr>
          <w:p w14:paraId="4BCD5F0A"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good</w:t>
            </w:r>
          </w:p>
        </w:tc>
      </w:tr>
      <w:tr w:rsidR="00DE259D" w:rsidRPr="00DE259D" w14:paraId="69BB8D5F" w14:textId="77777777" w:rsidTr="00DE259D">
        <w:trPr>
          <w:divId w:val="2098625977"/>
          <w:trHeight w:val="288"/>
        </w:trPr>
        <w:tc>
          <w:tcPr>
            <w:cnfStyle w:val="001000000000" w:firstRow="0" w:lastRow="0" w:firstColumn="1" w:lastColumn="0" w:oddVBand="0" w:evenVBand="0" w:oddHBand="0" w:evenHBand="0" w:firstRowFirstColumn="0" w:firstRowLastColumn="0" w:lastRowFirstColumn="0" w:lastRowLastColumn="0"/>
            <w:tcW w:w="1984" w:type="dxa"/>
            <w:noWrap/>
            <w:hideMark/>
          </w:tcPr>
          <w:p w14:paraId="13CB8CB2" w14:textId="77777777" w:rsidR="00DE259D" w:rsidRPr="00DE259D" w:rsidRDefault="00DE259D" w:rsidP="00DE259D">
            <w:pPr>
              <w:pStyle w:val="TableTextLeft"/>
              <w:rPr>
                <w:b/>
              </w:rPr>
            </w:pPr>
            <w:r w:rsidRPr="00DE259D">
              <w:rPr>
                <w:b/>
              </w:rPr>
              <w:t>Kennett River</w:t>
            </w:r>
          </w:p>
        </w:tc>
        <w:tc>
          <w:tcPr>
            <w:tcW w:w="1260" w:type="dxa"/>
            <w:noWrap/>
            <w:hideMark/>
          </w:tcPr>
          <w:p w14:paraId="02E135ED"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2,095 </w:t>
            </w:r>
          </w:p>
        </w:tc>
        <w:tc>
          <w:tcPr>
            <w:tcW w:w="1191" w:type="dxa"/>
            <w:noWrap/>
            <w:hideMark/>
          </w:tcPr>
          <w:p w14:paraId="14DE6D7D"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186 </w:t>
            </w:r>
          </w:p>
        </w:tc>
        <w:tc>
          <w:tcPr>
            <w:tcW w:w="1191" w:type="dxa"/>
            <w:noWrap/>
            <w:hideMark/>
          </w:tcPr>
          <w:p w14:paraId="341B0438"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9%</w:t>
            </w:r>
          </w:p>
        </w:tc>
        <w:tc>
          <w:tcPr>
            <w:tcW w:w="1462" w:type="dxa"/>
            <w:noWrap/>
            <w:hideMark/>
          </w:tcPr>
          <w:p w14:paraId="0B7D9E7B"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1,908 </w:t>
            </w:r>
          </w:p>
        </w:tc>
        <w:tc>
          <w:tcPr>
            <w:tcW w:w="1234" w:type="dxa"/>
            <w:noWrap/>
            <w:hideMark/>
          </w:tcPr>
          <w:p w14:paraId="6D3588C2"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91%</w:t>
            </w:r>
          </w:p>
        </w:tc>
        <w:tc>
          <w:tcPr>
            <w:tcW w:w="1464" w:type="dxa"/>
            <w:noWrap/>
            <w:hideMark/>
          </w:tcPr>
          <w:p w14:paraId="39CC5D88"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9 </w:t>
            </w:r>
          </w:p>
        </w:tc>
        <w:tc>
          <w:tcPr>
            <w:tcW w:w="1545" w:type="dxa"/>
            <w:noWrap/>
            <w:hideMark/>
          </w:tcPr>
          <w:p w14:paraId="702D0956"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0%</w:t>
            </w:r>
          </w:p>
        </w:tc>
        <w:tc>
          <w:tcPr>
            <w:tcW w:w="1231" w:type="dxa"/>
            <w:noWrap/>
            <w:hideMark/>
          </w:tcPr>
          <w:p w14:paraId="0ACC2DC5"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8 </w:t>
            </w:r>
          </w:p>
        </w:tc>
        <w:tc>
          <w:tcPr>
            <w:tcW w:w="1472" w:type="dxa"/>
            <w:noWrap/>
            <w:hideMark/>
          </w:tcPr>
          <w:p w14:paraId="5604860D"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0.4%</w:t>
            </w:r>
          </w:p>
        </w:tc>
        <w:tc>
          <w:tcPr>
            <w:tcW w:w="1275" w:type="dxa"/>
            <w:noWrap/>
            <w:hideMark/>
          </w:tcPr>
          <w:p w14:paraId="0697965D"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33</w:t>
            </w:r>
          </w:p>
        </w:tc>
        <w:tc>
          <w:tcPr>
            <w:tcW w:w="1557" w:type="dxa"/>
            <w:noWrap/>
            <w:hideMark/>
          </w:tcPr>
          <w:p w14:paraId="00702802"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moderate</w:t>
            </w:r>
          </w:p>
        </w:tc>
      </w:tr>
      <w:tr w:rsidR="00DE259D" w:rsidRPr="00DE259D" w14:paraId="1E574B49" w14:textId="77777777" w:rsidTr="00DE259D">
        <w:trPr>
          <w:divId w:val="2098625977"/>
          <w:trHeight w:val="288"/>
        </w:trPr>
        <w:tc>
          <w:tcPr>
            <w:cnfStyle w:val="001000000000" w:firstRow="0" w:lastRow="0" w:firstColumn="1" w:lastColumn="0" w:oddVBand="0" w:evenVBand="0" w:oddHBand="0" w:evenHBand="0" w:firstRowFirstColumn="0" w:firstRowLastColumn="0" w:lastRowFirstColumn="0" w:lastRowLastColumn="0"/>
            <w:tcW w:w="1984" w:type="dxa"/>
            <w:noWrap/>
            <w:hideMark/>
          </w:tcPr>
          <w:p w14:paraId="5B2B5BA4" w14:textId="77777777" w:rsidR="00DE259D" w:rsidRPr="00DE259D" w:rsidRDefault="00DE259D" w:rsidP="00DE259D">
            <w:pPr>
              <w:pStyle w:val="TableTextLeft"/>
              <w:rPr>
                <w:b/>
              </w:rPr>
            </w:pPr>
            <w:r w:rsidRPr="00DE259D">
              <w:rPr>
                <w:b/>
              </w:rPr>
              <w:t>Merri River</w:t>
            </w:r>
          </w:p>
        </w:tc>
        <w:tc>
          <w:tcPr>
            <w:tcW w:w="1260" w:type="dxa"/>
            <w:noWrap/>
            <w:hideMark/>
          </w:tcPr>
          <w:p w14:paraId="296777A0"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104,153 </w:t>
            </w:r>
          </w:p>
        </w:tc>
        <w:tc>
          <w:tcPr>
            <w:tcW w:w="1191" w:type="dxa"/>
            <w:noWrap/>
            <w:hideMark/>
          </w:tcPr>
          <w:p w14:paraId="0164EED3"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1,547 </w:t>
            </w:r>
          </w:p>
        </w:tc>
        <w:tc>
          <w:tcPr>
            <w:tcW w:w="1191" w:type="dxa"/>
            <w:noWrap/>
            <w:hideMark/>
          </w:tcPr>
          <w:p w14:paraId="182AC2E3"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1%</w:t>
            </w:r>
          </w:p>
        </w:tc>
        <w:tc>
          <w:tcPr>
            <w:tcW w:w="1462" w:type="dxa"/>
            <w:noWrap/>
            <w:hideMark/>
          </w:tcPr>
          <w:p w14:paraId="3B8334B7"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102,607 </w:t>
            </w:r>
          </w:p>
        </w:tc>
        <w:tc>
          <w:tcPr>
            <w:tcW w:w="1234" w:type="dxa"/>
            <w:noWrap/>
            <w:hideMark/>
          </w:tcPr>
          <w:p w14:paraId="338A22F1"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99%</w:t>
            </w:r>
          </w:p>
        </w:tc>
        <w:tc>
          <w:tcPr>
            <w:tcW w:w="1464" w:type="dxa"/>
            <w:noWrap/>
            <w:hideMark/>
          </w:tcPr>
          <w:p w14:paraId="556B3A3C"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98,753 </w:t>
            </w:r>
          </w:p>
        </w:tc>
        <w:tc>
          <w:tcPr>
            <w:tcW w:w="1545" w:type="dxa"/>
            <w:noWrap/>
            <w:hideMark/>
          </w:tcPr>
          <w:p w14:paraId="0DA602F7"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95%</w:t>
            </w:r>
          </w:p>
        </w:tc>
        <w:tc>
          <w:tcPr>
            <w:tcW w:w="1231" w:type="dxa"/>
            <w:noWrap/>
            <w:hideMark/>
          </w:tcPr>
          <w:p w14:paraId="34CC782D"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1,771 </w:t>
            </w:r>
          </w:p>
        </w:tc>
        <w:tc>
          <w:tcPr>
            <w:tcW w:w="1472" w:type="dxa"/>
            <w:noWrap/>
            <w:hideMark/>
          </w:tcPr>
          <w:p w14:paraId="232B23E7"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1.7%</w:t>
            </w:r>
          </w:p>
        </w:tc>
        <w:tc>
          <w:tcPr>
            <w:tcW w:w="1275" w:type="dxa"/>
            <w:noWrap/>
            <w:hideMark/>
          </w:tcPr>
          <w:p w14:paraId="490D0852"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n/a</w:t>
            </w:r>
          </w:p>
        </w:tc>
        <w:tc>
          <w:tcPr>
            <w:tcW w:w="1557" w:type="dxa"/>
            <w:noWrap/>
            <w:hideMark/>
          </w:tcPr>
          <w:p w14:paraId="1404FC7F"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n/a</w:t>
            </w:r>
          </w:p>
        </w:tc>
      </w:tr>
      <w:tr w:rsidR="00DE259D" w:rsidRPr="00DE259D" w14:paraId="61CB82D6" w14:textId="77777777" w:rsidTr="00DE259D">
        <w:trPr>
          <w:divId w:val="2098625977"/>
          <w:trHeight w:val="288"/>
        </w:trPr>
        <w:tc>
          <w:tcPr>
            <w:cnfStyle w:val="001000000000" w:firstRow="0" w:lastRow="0" w:firstColumn="1" w:lastColumn="0" w:oddVBand="0" w:evenVBand="0" w:oddHBand="0" w:evenHBand="0" w:firstRowFirstColumn="0" w:firstRowLastColumn="0" w:lastRowFirstColumn="0" w:lastRowLastColumn="0"/>
            <w:tcW w:w="1984" w:type="dxa"/>
            <w:noWrap/>
            <w:hideMark/>
          </w:tcPr>
          <w:p w14:paraId="15EFFD5F" w14:textId="77777777" w:rsidR="00DE259D" w:rsidRPr="00DE259D" w:rsidRDefault="00DE259D" w:rsidP="00DE259D">
            <w:pPr>
              <w:pStyle w:val="TableTextLeft"/>
              <w:rPr>
                <w:b/>
              </w:rPr>
            </w:pPr>
            <w:proofErr w:type="spellStart"/>
            <w:r w:rsidRPr="00DE259D">
              <w:rPr>
                <w:b/>
              </w:rPr>
              <w:t>Painkalac</w:t>
            </w:r>
            <w:proofErr w:type="spellEnd"/>
            <w:r w:rsidRPr="00DE259D">
              <w:rPr>
                <w:b/>
              </w:rPr>
              <w:t xml:space="preserve"> Creek</w:t>
            </w:r>
          </w:p>
        </w:tc>
        <w:tc>
          <w:tcPr>
            <w:tcW w:w="1260" w:type="dxa"/>
            <w:noWrap/>
            <w:hideMark/>
          </w:tcPr>
          <w:p w14:paraId="32D7F4C9"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6,130 </w:t>
            </w:r>
          </w:p>
        </w:tc>
        <w:tc>
          <w:tcPr>
            <w:tcW w:w="1191" w:type="dxa"/>
            <w:noWrap/>
            <w:hideMark/>
          </w:tcPr>
          <w:p w14:paraId="21D6A39B"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779 </w:t>
            </w:r>
          </w:p>
        </w:tc>
        <w:tc>
          <w:tcPr>
            <w:tcW w:w="1191" w:type="dxa"/>
            <w:noWrap/>
            <w:hideMark/>
          </w:tcPr>
          <w:p w14:paraId="424F29F4"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13%</w:t>
            </w:r>
          </w:p>
        </w:tc>
        <w:tc>
          <w:tcPr>
            <w:tcW w:w="1462" w:type="dxa"/>
            <w:noWrap/>
            <w:hideMark/>
          </w:tcPr>
          <w:p w14:paraId="72095BC4"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5,351 </w:t>
            </w:r>
          </w:p>
        </w:tc>
        <w:tc>
          <w:tcPr>
            <w:tcW w:w="1234" w:type="dxa"/>
            <w:noWrap/>
            <w:hideMark/>
          </w:tcPr>
          <w:p w14:paraId="6C125E25"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87%</w:t>
            </w:r>
          </w:p>
        </w:tc>
        <w:tc>
          <w:tcPr>
            <w:tcW w:w="1464" w:type="dxa"/>
            <w:noWrap/>
            <w:hideMark/>
          </w:tcPr>
          <w:p w14:paraId="17B299AB"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172</w:t>
            </w:r>
            <w:r w:rsidRPr="00DE259D">
              <w:rPr>
                <w:b/>
                <w:szCs w:val="21"/>
                <w14:numSpacing w14:val="tabular"/>
              </w:rPr>
              <w:t xml:space="preserve"> </w:t>
            </w:r>
          </w:p>
        </w:tc>
        <w:tc>
          <w:tcPr>
            <w:tcW w:w="1545" w:type="dxa"/>
            <w:noWrap/>
            <w:hideMark/>
          </w:tcPr>
          <w:p w14:paraId="39BE0213"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3%</w:t>
            </w:r>
          </w:p>
        </w:tc>
        <w:tc>
          <w:tcPr>
            <w:tcW w:w="1231" w:type="dxa"/>
            <w:noWrap/>
            <w:hideMark/>
          </w:tcPr>
          <w:p w14:paraId="49625B48"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86 </w:t>
            </w:r>
          </w:p>
        </w:tc>
        <w:tc>
          <w:tcPr>
            <w:tcW w:w="1472" w:type="dxa"/>
            <w:noWrap/>
            <w:hideMark/>
          </w:tcPr>
          <w:p w14:paraId="5D54C4D4"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1.4%</w:t>
            </w:r>
          </w:p>
        </w:tc>
        <w:tc>
          <w:tcPr>
            <w:tcW w:w="1275" w:type="dxa"/>
            <w:noWrap/>
            <w:hideMark/>
          </w:tcPr>
          <w:p w14:paraId="180FD388"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33</w:t>
            </w:r>
          </w:p>
        </w:tc>
        <w:tc>
          <w:tcPr>
            <w:tcW w:w="1557" w:type="dxa"/>
            <w:noWrap/>
            <w:hideMark/>
          </w:tcPr>
          <w:p w14:paraId="3232CC11"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moderate</w:t>
            </w:r>
          </w:p>
        </w:tc>
      </w:tr>
      <w:tr w:rsidR="00DE259D" w:rsidRPr="00DE259D" w14:paraId="2E076C79" w14:textId="77777777" w:rsidTr="00DE259D">
        <w:trPr>
          <w:divId w:val="2098625977"/>
          <w:trHeight w:val="288"/>
        </w:trPr>
        <w:tc>
          <w:tcPr>
            <w:cnfStyle w:val="001000000000" w:firstRow="0" w:lastRow="0" w:firstColumn="1" w:lastColumn="0" w:oddVBand="0" w:evenVBand="0" w:oddHBand="0" w:evenHBand="0" w:firstRowFirstColumn="0" w:firstRowLastColumn="0" w:lastRowFirstColumn="0" w:lastRowLastColumn="0"/>
            <w:tcW w:w="1984" w:type="dxa"/>
            <w:noWrap/>
            <w:hideMark/>
          </w:tcPr>
          <w:p w14:paraId="576743B4" w14:textId="77777777" w:rsidR="00DE259D" w:rsidRPr="00DE259D" w:rsidRDefault="00DE259D" w:rsidP="00DE259D">
            <w:pPr>
              <w:pStyle w:val="TableTextLeft"/>
              <w:rPr>
                <w:b/>
              </w:rPr>
            </w:pPr>
            <w:r w:rsidRPr="00DE259D">
              <w:rPr>
                <w:b/>
              </w:rPr>
              <w:t>Sherbrook River</w:t>
            </w:r>
          </w:p>
        </w:tc>
        <w:tc>
          <w:tcPr>
            <w:tcW w:w="1260" w:type="dxa"/>
            <w:noWrap/>
            <w:hideMark/>
          </w:tcPr>
          <w:p w14:paraId="2F9D22D0"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3,422 </w:t>
            </w:r>
          </w:p>
        </w:tc>
        <w:tc>
          <w:tcPr>
            <w:tcW w:w="1191" w:type="dxa"/>
            <w:noWrap/>
            <w:hideMark/>
          </w:tcPr>
          <w:p w14:paraId="3A4D57E9"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1,700 </w:t>
            </w:r>
          </w:p>
        </w:tc>
        <w:tc>
          <w:tcPr>
            <w:tcW w:w="1191" w:type="dxa"/>
            <w:noWrap/>
            <w:hideMark/>
          </w:tcPr>
          <w:p w14:paraId="44325106"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50%</w:t>
            </w:r>
          </w:p>
        </w:tc>
        <w:tc>
          <w:tcPr>
            <w:tcW w:w="1462" w:type="dxa"/>
            <w:noWrap/>
            <w:hideMark/>
          </w:tcPr>
          <w:p w14:paraId="595B22AD"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1,723 </w:t>
            </w:r>
          </w:p>
        </w:tc>
        <w:tc>
          <w:tcPr>
            <w:tcW w:w="1234" w:type="dxa"/>
            <w:noWrap/>
            <w:hideMark/>
          </w:tcPr>
          <w:p w14:paraId="184E3C57"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50%</w:t>
            </w:r>
          </w:p>
        </w:tc>
        <w:tc>
          <w:tcPr>
            <w:tcW w:w="1464" w:type="dxa"/>
            <w:noWrap/>
            <w:hideMark/>
          </w:tcPr>
          <w:p w14:paraId="0C6D81E4"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2,221</w:t>
            </w:r>
            <w:r w:rsidRPr="00DE259D">
              <w:rPr>
                <w:b/>
                <w:szCs w:val="21"/>
                <w14:numSpacing w14:val="tabular"/>
              </w:rPr>
              <w:t xml:space="preserve"> </w:t>
            </w:r>
          </w:p>
        </w:tc>
        <w:tc>
          <w:tcPr>
            <w:tcW w:w="1545" w:type="dxa"/>
            <w:noWrap/>
            <w:hideMark/>
          </w:tcPr>
          <w:p w14:paraId="601CC8B7"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65%</w:t>
            </w:r>
          </w:p>
        </w:tc>
        <w:tc>
          <w:tcPr>
            <w:tcW w:w="1231" w:type="dxa"/>
            <w:noWrap/>
            <w:hideMark/>
          </w:tcPr>
          <w:p w14:paraId="4B4CF9DC"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21 </w:t>
            </w:r>
          </w:p>
        </w:tc>
        <w:tc>
          <w:tcPr>
            <w:tcW w:w="1472" w:type="dxa"/>
            <w:noWrap/>
            <w:hideMark/>
          </w:tcPr>
          <w:p w14:paraId="631A3D8B"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0.6%</w:t>
            </w:r>
          </w:p>
        </w:tc>
        <w:tc>
          <w:tcPr>
            <w:tcW w:w="1275" w:type="dxa"/>
            <w:noWrap/>
            <w:hideMark/>
          </w:tcPr>
          <w:p w14:paraId="00B7E86C"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33</w:t>
            </w:r>
          </w:p>
        </w:tc>
        <w:tc>
          <w:tcPr>
            <w:tcW w:w="1557" w:type="dxa"/>
            <w:noWrap/>
            <w:hideMark/>
          </w:tcPr>
          <w:p w14:paraId="2A5C326E"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moderate</w:t>
            </w:r>
          </w:p>
        </w:tc>
      </w:tr>
      <w:tr w:rsidR="00DE259D" w:rsidRPr="00DE259D" w14:paraId="77856C8E" w14:textId="77777777" w:rsidTr="00DE259D">
        <w:trPr>
          <w:divId w:val="2098625977"/>
          <w:trHeight w:val="288"/>
        </w:trPr>
        <w:tc>
          <w:tcPr>
            <w:cnfStyle w:val="001000000000" w:firstRow="0" w:lastRow="0" w:firstColumn="1" w:lastColumn="0" w:oddVBand="0" w:evenVBand="0" w:oddHBand="0" w:evenHBand="0" w:firstRowFirstColumn="0" w:firstRowLastColumn="0" w:lastRowFirstColumn="0" w:lastRowLastColumn="0"/>
            <w:tcW w:w="1984" w:type="dxa"/>
            <w:noWrap/>
            <w:hideMark/>
          </w:tcPr>
          <w:p w14:paraId="6DD91A02" w14:textId="77777777" w:rsidR="00DE259D" w:rsidRPr="00DE259D" w:rsidRDefault="00DE259D" w:rsidP="00DE259D">
            <w:pPr>
              <w:pStyle w:val="TableTextLeft"/>
              <w:rPr>
                <w:b/>
              </w:rPr>
            </w:pPr>
            <w:r w:rsidRPr="00DE259D">
              <w:rPr>
                <w:b/>
              </w:rPr>
              <w:t>Spring Creek</w:t>
            </w:r>
          </w:p>
        </w:tc>
        <w:tc>
          <w:tcPr>
            <w:tcW w:w="1260" w:type="dxa"/>
            <w:noWrap/>
            <w:hideMark/>
          </w:tcPr>
          <w:p w14:paraId="3CC7C230"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5,162 </w:t>
            </w:r>
          </w:p>
        </w:tc>
        <w:tc>
          <w:tcPr>
            <w:tcW w:w="1191" w:type="dxa"/>
            <w:noWrap/>
            <w:hideMark/>
          </w:tcPr>
          <w:p w14:paraId="56718C9E"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2,071 </w:t>
            </w:r>
          </w:p>
        </w:tc>
        <w:tc>
          <w:tcPr>
            <w:tcW w:w="1191" w:type="dxa"/>
            <w:noWrap/>
            <w:hideMark/>
          </w:tcPr>
          <w:p w14:paraId="5D2C79CA"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40%</w:t>
            </w:r>
          </w:p>
        </w:tc>
        <w:tc>
          <w:tcPr>
            <w:tcW w:w="1462" w:type="dxa"/>
            <w:noWrap/>
            <w:hideMark/>
          </w:tcPr>
          <w:p w14:paraId="0E4925E9"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3,091 </w:t>
            </w:r>
          </w:p>
        </w:tc>
        <w:tc>
          <w:tcPr>
            <w:tcW w:w="1234" w:type="dxa"/>
            <w:noWrap/>
            <w:hideMark/>
          </w:tcPr>
          <w:p w14:paraId="274001DC"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60%</w:t>
            </w:r>
          </w:p>
        </w:tc>
        <w:tc>
          <w:tcPr>
            <w:tcW w:w="1464" w:type="dxa"/>
            <w:noWrap/>
            <w:hideMark/>
          </w:tcPr>
          <w:p w14:paraId="5D9420D3"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2,632 </w:t>
            </w:r>
          </w:p>
        </w:tc>
        <w:tc>
          <w:tcPr>
            <w:tcW w:w="1545" w:type="dxa"/>
            <w:noWrap/>
            <w:hideMark/>
          </w:tcPr>
          <w:p w14:paraId="16BC1892"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51%</w:t>
            </w:r>
          </w:p>
        </w:tc>
        <w:tc>
          <w:tcPr>
            <w:tcW w:w="1231" w:type="dxa"/>
            <w:noWrap/>
            <w:hideMark/>
          </w:tcPr>
          <w:p w14:paraId="49074B51"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159 </w:t>
            </w:r>
          </w:p>
        </w:tc>
        <w:tc>
          <w:tcPr>
            <w:tcW w:w="1472" w:type="dxa"/>
            <w:noWrap/>
            <w:hideMark/>
          </w:tcPr>
          <w:p w14:paraId="37E137B2"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3.1%</w:t>
            </w:r>
          </w:p>
        </w:tc>
        <w:tc>
          <w:tcPr>
            <w:tcW w:w="1275" w:type="dxa"/>
            <w:noWrap/>
            <w:hideMark/>
          </w:tcPr>
          <w:p w14:paraId="56227643"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26</w:t>
            </w:r>
          </w:p>
        </w:tc>
        <w:tc>
          <w:tcPr>
            <w:tcW w:w="1557" w:type="dxa"/>
            <w:noWrap/>
            <w:hideMark/>
          </w:tcPr>
          <w:p w14:paraId="031FD6F0"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poor</w:t>
            </w:r>
          </w:p>
        </w:tc>
      </w:tr>
      <w:tr w:rsidR="00DE259D" w:rsidRPr="00DE259D" w14:paraId="05093CFC" w14:textId="77777777" w:rsidTr="00DE259D">
        <w:trPr>
          <w:divId w:val="2098625977"/>
          <w:trHeight w:val="288"/>
        </w:trPr>
        <w:tc>
          <w:tcPr>
            <w:cnfStyle w:val="001000000000" w:firstRow="0" w:lastRow="0" w:firstColumn="1" w:lastColumn="0" w:oddVBand="0" w:evenVBand="0" w:oddHBand="0" w:evenHBand="0" w:firstRowFirstColumn="0" w:firstRowLastColumn="0" w:lastRowFirstColumn="0" w:lastRowLastColumn="0"/>
            <w:tcW w:w="1984" w:type="dxa"/>
            <w:noWrap/>
            <w:hideMark/>
          </w:tcPr>
          <w:p w14:paraId="54A28CB5" w14:textId="77777777" w:rsidR="00DE259D" w:rsidRPr="00DE259D" w:rsidRDefault="00DE259D" w:rsidP="00DE259D">
            <w:pPr>
              <w:pStyle w:val="TableTextLeft"/>
              <w:rPr>
                <w:b/>
              </w:rPr>
            </w:pPr>
            <w:r w:rsidRPr="00DE259D">
              <w:rPr>
                <w:b/>
              </w:rPr>
              <w:t>St George River</w:t>
            </w:r>
          </w:p>
        </w:tc>
        <w:tc>
          <w:tcPr>
            <w:tcW w:w="1260" w:type="dxa"/>
            <w:noWrap/>
            <w:hideMark/>
          </w:tcPr>
          <w:p w14:paraId="7AFCD5BD"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3,366 </w:t>
            </w:r>
          </w:p>
        </w:tc>
        <w:tc>
          <w:tcPr>
            <w:tcW w:w="1191" w:type="dxa"/>
            <w:noWrap/>
            <w:hideMark/>
          </w:tcPr>
          <w:p w14:paraId="50A0B9A2"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430 </w:t>
            </w:r>
          </w:p>
        </w:tc>
        <w:tc>
          <w:tcPr>
            <w:tcW w:w="1191" w:type="dxa"/>
            <w:noWrap/>
            <w:hideMark/>
          </w:tcPr>
          <w:p w14:paraId="40FE4D00"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13%</w:t>
            </w:r>
          </w:p>
        </w:tc>
        <w:tc>
          <w:tcPr>
            <w:tcW w:w="1462" w:type="dxa"/>
            <w:noWrap/>
            <w:hideMark/>
          </w:tcPr>
          <w:p w14:paraId="76DCC7F9"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2,936 </w:t>
            </w:r>
          </w:p>
        </w:tc>
        <w:tc>
          <w:tcPr>
            <w:tcW w:w="1234" w:type="dxa"/>
            <w:noWrap/>
            <w:hideMark/>
          </w:tcPr>
          <w:p w14:paraId="0EF08688"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87%</w:t>
            </w:r>
          </w:p>
        </w:tc>
        <w:tc>
          <w:tcPr>
            <w:tcW w:w="1464" w:type="dxa"/>
            <w:noWrap/>
            <w:hideMark/>
          </w:tcPr>
          <w:p w14:paraId="3C65D89D"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59</w:t>
            </w:r>
            <w:r w:rsidRPr="00DE259D">
              <w:rPr>
                <w:b/>
                <w:szCs w:val="21"/>
                <w14:numSpacing w14:val="tabular"/>
              </w:rPr>
              <w:t xml:space="preserve"> </w:t>
            </w:r>
          </w:p>
        </w:tc>
        <w:tc>
          <w:tcPr>
            <w:tcW w:w="1545" w:type="dxa"/>
            <w:noWrap/>
            <w:hideMark/>
          </w:tcPr>
          <w:p w14:paraId="2A33C445"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2%</w:t>
            </w:r>
          </w:p>
        </w:tc>
        <w:tc>
          <w:tcPr>
            <w:tcW w:w="1231" w:type="dxa"/>
            <w:noWrap/>
            <w:hideMark/>
          </w:tcPr>
          <w:p w14:paraId="1EFD5E9D"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9 </w:t>
            </w:r>
          </w:p>
        </w:tc>
        <w:tc>
          <w:tcPr>
            <w:tcW w:w="1472" w:type="dxa"/>
            <w:noWrap/>
            <w:hideMark/>
          </w:tcPr>
          <w:p w14:paraId="792374D0"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0.3%</w:t>
            </w:r>
          </w:p>
        </w:tc>
        <w:tc>
          <w:tcPr>
            <w:tcW w:w="1275" w:type="dxa"/>
            <w:noWrap/>
            <w:hideMark/>
          </w:tcPr>
          <w:p w14:paraId="60455036"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35</w:t>
            </w:r>
          </w:p>
        </w:tc>
        <w:tc>
          <w:tcPr>
            <w:tcW w:w="1557" w:type="dxa"/>
            <w:noWrap/>
            <w:hideMark/>
          </w:tcPr>
          <w:p w14:paraId="5E23232C"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good</w:t>
            </w:r>
          </w:p>
        </w:tc>
      </w:tr>
      <w:tr w:rsidR="00DE259D" w:rsidRPr="00DE259D" w14:paraId="79C5D84E" w14:textId="77777777" w:rsidTr="00DE259D">
        <w:trPr>
          <w:divId w:val="2098625977"/>
          <w:trHeight w:val="288"/>
        </w:trPr>
        <w:tc>
          <w:tcPr>
            <w:cnfStyle w:val="001000000000" w:firstRow="0" w:lastRow="0" w:firstColumn="1" w:lastColumn="0" w:oddVBand="0" w:evenVBand="0" w:oddHBand="0" w:evenHBand="0" w:firstRowFirstColumn="0" w:firstRowLastColumn="0" w:lastRowFirstColumn="0" w:lastRowLastColumn="0"/>
            <w:tcW w:w="1984" w:type="dxa"/>
            <w:noWrap/>
            <w:hideMark/>
          </w:tcPr>
          <w:p w14:paraId="4E753589" w14:textId="77777777" w:rsidR="00DE259D" w:rsidRPr="00DE259D" w:rsidRDefault="00DE259D" w:rsidP="00DE259D">
            <w:pPr>
              <w:pStyle w:val="TableTextLeft"/>
              <w:rPr>
                <w:b/>
              </w:rPr>
            </w:pPr>
            <w:r w:rsidRPr="00DE259D">
              <w:rPr>
                <w:b/>
              </w:rPr>
              <w:t>Wye River</w:t>
            </w:r>
          </w:p>
        </w:tc>
        <w:tc>
          <w:tcPr>
            <w:tcW w:w="1260" w:type="dxa"/>
            <w:noWrap/>
            <w:hideMark/>
          </w:tcPr>
          <w:p w14:paraId="0193A622"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2,431 </w:t>
            </w:r>
          </w:p>
        </w:tc>
        <w:tc>
          <w:tcPr>
            <w:tcW w:w="1191" w:type="dxa"/>
            <w:noWrap/>
            <w:hideMark/>
          </w:tcPr>
          <w:p w14:paraId="18592645"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153 </w:t>
            </w:r>
          </w:p>
        </w:tc>
        <w:tc>
          <w:tcPr>
            <w:tcW w:w="1191" w:type="dxa"/>
            <w:noWrap/>
            <w:hideMark/>
          </w:tcPr>
          <w:p w14:paraId="2F1DD639"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6%</w:t>
            </w:r>
          </w:p>
        </w:tc>
        <w:tc>
          <w:tcPr>
            <w:tcW w:w="1462" w:type="dxa"/>
            <w:noWrap/>
            <w:hideMark/>
          </w:tcPr>
          <w:p w14:paraId="26B00DAE"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2,278 </w:t>
            </w:r>
          </w:p>
        </w:tc>
        <w:tc>
          <w:tcPr>
            <w:tcW w:w="1234" w:type="dxa"/>
            <w:noWrap/>
            <w:hideMark/>
          </w:tcPr>
          <w:p w14:paraId="4B099A8C"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94%</w:t>
            </w:r>
          </w:p>
        </w:tc>
        <w:tc>
          <w:tcPr>
            <w:tcW w:w="1464" w:type="dxa"/>
            <w:noWrap/>
            <w:hideMark/>
          </w:tcPr>
          <w:p w14:paraId="4A7AD63F"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10 </w:t>
            </w:r>
          </w:p>
        </w:tc>
        <w:tc>
          <w:tcPr>
            <w:tcW w:w="1545" w:type="dxa"/>
            <w:noWrap/>
            <w:hideMark/>
          </w:tcPr>
          <w:p w14:paraId="657A07E6"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0%</w:t>
            </w:r>
          </w:p>
        </w:tc>
        <w:tc>
          <w:tcPr>
            <w:tcW w:w="1231" w:type="dxa"/>
            <w:noWrap/>
            <w:hideMark/>
          </w:tcPr>
          <w:p w14:paraId="158DFAAB" w14:textId="77777777" w:rsidR="00DE259D" w:rsidRPr="00DE259D" w:rsidRDefault="00DE259D" w:rsidP="00DE259D">
            <w:pPr>
              <w:pStyle w:val="TableTextLeft"/>
              <w:jc w:val="right"/>
              <w:cnfStyle w:val="000000000000" w:firstRow="0" w:lastRow="0" w:firstColumn="0" w:lastColumn="0" w:oddVBand="0" w:evenVBand="0" w:oddHBand="0" w:evenHBand="0" w:firstRowFirstColumn="0" w:firstRowLastColumn="0" w:lastRowFirstColumn="0" w:lastRowLastColumn="0"/>
              <w:rPr>
                <w:b/>
                <w:szCs w:val="21"/>
                <w14:numSpacing w14:val="tabular"/>
              </w:rPr>
            </w:pPr>
            <w:r w:rsidRPr="00DE259D">
              <w:rPr>
                <w:b/>
              </w:rPr>
              <w:t xml:space="preserve">           9 </w:t>
            </w:r>
          </w:p>
        </w:tc>
        <w:tc>
          <w:tcPr>
            <w:tcW w:w="1472" w:type="dxa"/>
            <w:noWrap/>
            <w:hideMark/>
          </w:tcPr>
          <w:p w14:paraId="02D62C1F"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0.4%</w:t>
            </w:r>
          </w:p>
        </w:tc>
        <w:tc>
          <w:tcPr>
            <w:tcW w:w="1275" w:type="dxa"/>
            <w:noWrap/>
            <w:hideMark/>
          </w:tcPr>
          <w:p w14:paraId="6D674500"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34</w:t>
            </w:r>
          </w:p>
        </w:tc>
        <w:tc>
          <w:tcPr>
            <w:tcW w:w="1557" w:type="dxa"/>
            <w:noWrap/>
            <w:hideMark/>
          </w:tcPr>
          <w:p w14:paraId="2DCF037F" w14:textId="77777777" w:rsidR="00DE259D" w:rsidRPr="00DE259D" w:rsidRDefault="00DE259D" w:rsidP="00DE259D">
            <w:pPr>
              <w:pStyle w:val="TableTextLeft"/>
              <w:cnfStyle w:val="000000000000" w:firstRow="0" w:lastRow="0" w:firstColumn="0" w:lastColumn="0" w:oddVBand="0" w:evenVBand="0" w:oddHBand="0" w:evenHBand="0" w:firstRowFirstColumn="0" w:firstRowLastColumn="0" w:lastRowFirstColumn="0" w:lastRowLastColumn="0"/>
              <w:rPr>
                <w:b/>
              </w:rPr>
            </w:pPr>
            <w:r w:rsidRPr="00DE259D">
              <w:rPr>
                <w:b/>
              </w:rPr>
              <w:t>good</w:t>
            </w:r>
          </w:p>
        </w:tc>
      </w:tr>
    </w:tbl>
    <w:p w14:paraId="081E7311" w14:textId="3E1573AA" w:rsidR="007904E8" w:rsidRPr="004A34E0" w:rsidRDefault="007904E8" w:rsidP="007904E8">
      <w:pPr>
        <w:pStyle w:val="BodyText"/>
      </w:pPr>
      <w:r w:rsidRPr="000C1F21">
        <w:rPr>
          <w:rFonts w:eastAsia="Calibri"/>
          <w:b/>
        </w:rPr>
        <w:fldChar w:fldCharType="end"/>
      </w:r>
    </w:p>
    <w:p w14:paraId="1330FDF7" w14:textId="77777777" w:rsidR="007904E8" w:rsidRPr="004A34E0" w:rsidRDefault="007904E8" w:rsidP="00B22F84">
      <w:pPr>
        <w:pStyle w:val="Caption"/>
      </w:pPr>
      <w:bookmarkStart w:id="221" w:name="_1688295200"/>
      <w:bookmarkEnd w:id="221"/>
      <w:r w:rsidRPr="004A34E0">
        <w:lastRenderedPageBreak/>
        <w:t>Figure 22. Site carbon stock (DISER, 2021)</w:t>
      </w:r>
    </w:p>
    <w:p w14:paraId="598B9557" w14:textId="77777777" w:rsidR="007904E8" w:rsidRPr="004A34E0" w:rsidRDefault="007904E8" w:rsidP="007904E8">
      <w:pPr>
        <w:pStyle w:val="BodyText"/>
      </w:pPr>
      <w:r w:rsidRPr="004A34E0">
        <w:rPr>
          <w:noProof/>
        </w:rPr>
        <mc:AlternateContent>
          <mc:Choice Requires="wps">
            <w:drawing>
              <wp:anchor distT="45720" distB="45720" distL="114300" distR="114300" simplePos="0" relativeHeight="251658313" behindDoc="0" locked="0" layoutInCell="1" allowOverlap="1" wp14:anchorId="4B64CE37" wp14:editId="2975F791">
                <wp:simplePos x="0" y="0"/>
                <wp:positionH relativeFrom="column">
                  <wp:posOffset>683260</wp:posOffset>
                </wp:positionH>
                <wp:positionV relativeFrom="paragraph">
                  <wp:posOffset>3670474</wp:posOffset>
                </wp:positionV>
                <wp:extent cx="1581150" cy="1404620"/>
                <wp:effectExtent l="0" t="0" r="6350" b="0"/>
                <wp:wrapNone/>
                <wp:docPr id="806" name="Text Box 8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1404620"/>
                        </a:xfrm>
                        <a:prstGeom prst="rect">
                          <a:avLst/>
                        </a:prstGeom>
                        <a:solidFill>
                          <a:schemeClr val="bg1"/>
                        </a:solidFill>
                        <a:ln w="9525">
                          <a:noFill/>
                          <a:miter lim="800000"/>
                          <a:headEnd/>
                          <a:tailEnd/>
                        </a:ln>
                      </wps:spPr>
                      <wps:txbx>
                        <w:txbxContent>
                          <w:p w14:paraId="5333956D" w14:textId="77777777" w:rsidR="007904E8" w:rsidRPr="00165BAD" w:rsidRDefault="007904E8" w:rsidP="007904E8">
                            <w:pPr>
                              <w:rPr>
                                <w:b/>
                                <w:bCs/>
                                <w:sz w:val="24"/>
                                <w:szCs w:val="24"/>
                              </w:rPr>
                            </w:pPr>
                            <w:r w:rsidRPr="00165BAD">
                              <w:rPr>
                                <w:b/>
                                <w:bCs/>
                                <w:sz w:val="24"/>
                                <w:szCs w:val="24"/>
                              </w:rPr>
                              <w:t>GORCAP EEA area</w:t>
                            </w:r>
                          </w:p>
                        </w:txbxContent>
                      </wps:txbx>
                      <wps:bodyPr rot="0" vert="horz" wrap="square" lIns="0" tIns="45720" rIns="9144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4B64CE37" id="Text Box 806" o:spid="_x0000_s1065" type="#_x0000_t202" style="position:absolute;margin-left:53.8pt;margin-top:289pt;width:124.5pt;height:110.6pt;z-index:25165831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" fillcolor="white [3212]" stroked="f">
                <v:textbox style="mso-fit-shape-to-text:t" inset="0,,,0">
                  <w:txbxContent>
                    <w:p w14:paraId="5333956D" w14:textId="77777777" w:rsidR="007904E8" w:rsidRPr="00165BAD" w:rsidRDefault="007904E8" w:rsidP="007904E8">
                      <w:pPr>
                        <w:rPr>
                          <w:b/>
                          <w:bCs/>
                          <w:sz w:val="24"/>
                          <w:szCs w:val="24"/>
                        </w:rPr>
                      </w:pPr>
                      <w:r w:rsidRPr="00165BAD">
                        <w:rPr>
                          <w:b/>
                          <w:bCs/>
                          <w:sz w:val="24"/>
                          <w:szCs w:val="24"/>
                        </w:rPr>
                        <w:t>GORCAP EEA area</w:t>
                      </w:r>
                    </w:p>
                  </w:txbxContent>
                </v:textbox>
              </v:shape>
            </w:pict>
          </mc:Fallback>
        </mc:AlternateContent>
      </w:r>
      <w:r w:rsidRPr="004A34E0">
        <w:rPr>
          <w:noProof/>
        </w:rPr>
        <w:drawing>
          <wp:inline distT="0" distB="0" distL="0" distR="0" wp14:anchorId="64D73350" wp14:editId="31F20667">
            <wp:extent cx="13393143" cy="5794513"/>
            <wp:effectExtent l="0" t="0" r="0" b="0"/>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44" cstate="email">
                      <a:extLst>
                        <a:ext uri="{28A0092B-C50C-407E-A947-70E740481C1C}">
                          <a14:useLocalDpi xmlns:a14="http://schemas.microsoft.com/office/drawing/2010/main"/>
                        </a:ext>
                      </a:extLst>
                    </a:blip>
                    <a:srcRect/>
                    <a:stretch/>
                  </pic:blipFill>
                  <pic:spPr bwMode="auto">
                    <a:xfrm>
                      <a:off x="0" y="0"/>
                      <a:ext cx="13418103" cy="5805312"/>
                    </a:xfrm>
                    <a:prstGeom prst="rect">
                      <a:avLst/>
                    </a:prstGeom>
                    <a:noFill/>
                    <a:ln>
                      <a:noFill/>
                    </a:ln>
                    <a:extLst>
                      <a:ext uri="{53640926-AAD7-44D8-BBD7-CCE9431645EC}">
                        <a14:shadowObscured xmlns:a14="http://schemas.microsoft.com/office/drawing/2010/main"/>
                      </a:ext>
                    </a:extLst>
                  </pic:spPr>
                </pic:pic>
              </a:graphicData>
            </a:graphic>
          </wp:inline>
        </w:drawing>
      </w:r>
    </w:p>
    <w:p w14:paraId="5AED15AD" w14:textId="77777777" w:rsidR="007904E8" w:rsidRPr="004A34E0" w:rsidRDefault="007904E8" w:rsidP="007904E8">
      <w:pPr>
        <w:pStyle w:val="BodyText"/>
      </w:pPr>
      <w:r w:rsidRPr="004A34E0">
        <w:br w:type="page"/>
      </w:r>
    </w:p>
    <w:p w14:paraId="54657D57" w14:textId="77777777" w:rsidR="007904E8" w:rsidRPr="004A34E0" w:rsidRDefault="007904E8" w:rsidP="00B22F84">
      <w:pPr>
        <w:pStyle w:val="Caption"/>
      </w:pPr>
      <w:r w:rsidRPr="004A34E0">
        <w:lastRenderedPageBreak/>
        <w:t xml:space="preserve">Figure 23. Visibility from Great Ocean Road (DELWP, 2016) </w:t>
      </w:r>
    </w:p>
    <w:p w14:paraId="5486573C" w14:textId="77777777" w:rsidR="007904E8" w:rsidRPr="004A34E0" w:rsidRDefault="007904E8" w:rsidP="007904E8">
      <w:pPr>
        <w:pStyle w:val="BodyText"/>
      </w:pPr>
      <w:r w:rsidRPr="004A34E0">
        <w:rPr>
          <w:noProof/>
        </w:rPr>
        <w:drawing>
          <wp:inline distT="0" distB="0" distL="0" distR="0" wp14:anchorId="3D8BB91C" wp14:editId="59306DD2">
            <wp:extent cx="13327410" cy="5754757"/>
            <wp:effectExtent l="0" t="0" r="7620" b="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45" cstate="email">
                      <a:extLst>
                        <a:ext uri="{28A0092B-C50C-407E-A947-70E740481C1C}">
                          <a14:useLocalDpi xmlns:a14="http://schemas.microsoft.com/office/drawing/2010/main"/>
                        </a:ext>
                      </a:extLst>
                    </a:blip>
                    <a:srcRect/>
                    <a:stretch/>
                  </pic:blipFill>
                  <pic:spPr bwMode="auto">
                    <a:xfrm>
                      <a:off x="0" y="0"/>
                      <a:ext cx="13336869" cy="5758841"/>
                    </a:xfrm>
                    <a:prstGeom prst="rect">
                      <a:avLst/>
                    </a:prstGeom>
                    <a:noFill/>
                    <a:ln>
                      <a:noFill/>
                    </a:ln>
                    <a:extLst>
                      <a:ext uri="{53640926-AAD7-44D8-BBD7-CCE9431645EC}">
                        <a14:shadowObscured xmlns:a14="http://schemas.microsoft.com/office/drawing/2010/main"/>
                      </a:ext>
                    </a:extLst>
                  </pic:spPr>
                </pic:pic>
              </a:graphicData>
            </a:graphic>
          </wp:inline>
        </w:drawing>
      </w:r>
    </w:p>
    <w:p w14:paraId="40CD7077" w14:textId="77777777" w:rsidR="007904E8" w:rsidRPr="004A34E0" w:rsidRDefault="007904E8" w:rsidP="007904E8">
      <w:pPr>
        <w:pStyle w:val="BodyText"/>
      </w:pPr>
      <w:r w:rsidRPr="004A34E0">
        <w:br w:type="page"/>
      </w:r>
    </w:p>
    <w:p w14:paraId="24604CA4" w14:textId="77777777" w:rsidR="007904E8" w:rsidRPr="004A34E0" w:rsidRDefault="007904E8" w:rsidP="00B22F84">
      <w:pPr>
        <w:pStyle w:val="Caption"/>
      </w:pPr>
      <w:r w:rsidRPr="004A34E0">
        <w:lastRenderedPageBreak/>
        <w:t>Figure 24. Light pollution (Stare, 2021)</w:t>
      </w:r>
    </w:p>
    <w:p w14:paraId="1D68E707" w14:textId="77777777" w:rsidR="007904E8" w:rsidRPr="004A34E0" w:rsidRDefault="007904E8" w:rsidP="007904E8">
      <w:pPr>
        <w:pStyle w:val="BodyText"/>
      </w:pPr>
      <w:r w:rsidRPr="004A34E0">
        <w:rPr>
          <w:noProof/>
        </w:rPr>
        <w:drawing>
          <wp:inline distT="0" distB="0" distL="0" distR="0" wp14:anchorId="75F7484C" wp14:editId="74BB86D4">
            <wp:extent cx="13406313" cy="5794513"/>
            <wp:effectExtent l="0" t="0" r="5080" b="0"/>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46" cstate="email">
                      <a:extLst>
                        <a:ext uri="{28A0092B-C50C-407E-A947-70E740481C1C}">
                          <a14:useLocalDpi xmlns:a14="http://schemas.microsoft.com/office/drawing/2010/main"/>
                        </a:ext>
                      </a:extLst>
                    </a:blip>
                    <a:srcRect/>
                    <a:stretch/>
                  </pic:blipFill>
                  <pic:spPr bwMode="auto">
                    <a:xfrm>
                      <a:off x="0" y="0"/>
                      <a:ext cx="13419910" cy="5800390"/>
                    </a:xfrm>
                    <a:prstGeom prst="rect">
                      <a:avLst/>
                    </a:prstGeom>
                    <a:noFill/>
                    <a:ln>
                      <a:noFill/>
                    </a:ln>
                    <a:extLst>
                      <a:ext uri="{53640926-AAD7-44D8-BBD7-CCE9431645EC}">
                        <a14:shadowObscured xmlns:a14="http://schemas.microsoft.com/office/drawing/2010/main"/>
                      </a:ext>
                    </a:extLst>
                  </pic:spPr>
                </pic:pic>
              </a:graphicData>
            </a:graphic>
          </wp:inline>
        </w:drawing>
      </w:r>
    </w:p>
    <w:p w14:paraId="5C73BAE7" w14:textId="77777777" w:rsidR="007904E8" w:rsidRPr="004A34E0" w:rsidRDefault="007904E8" w:rsidP="007904E8">
      <w:pPr>
        <w:pStyle w:val="BodyText"/>
      </w:pPr>
      <w:r w:rsidRPr="004A34E0">
        <w:br w:type="page"/>
      </w:r>
    </w:p>
    <w:p w14:paraId="5ED61512" w14:textId="77777777" w:rsidR="007904E8" w:rsidRPr="004A34E0" w:rsidRDefault="007904E8" w:rsidP="00B22F84">
      <w:pPr>
        <w:pStyle w:val="Caption"/>
      </w:pPr>
      <w:r w:rsidRPr="004A34E0">
        <w:lastRenderedPageBreak/>
        <w:t>Figure 25. Non-Indigenous historic cultural heritage (DELWP, 2019c)</w:t>
      </w:r>
    </w:p>
    <w:p w14:paraId="55F3359F" w14:textId="77777777" w:rsidR="007904E8" w:rsidRPr="004A34E0" w:rsidRDefault="007904E8" w:rsidP="007904E8">
      <w:pPr>
        <w:pStyle w:val="BodyText"/>
      </w:pPr>
      <w:r w:rsidRPr="004A34E0">
        <w:rPr>
          <w:noProof/>
        </w:rPr>
        <mc:AlternateContent>
          <mc:Choice Requires="wps">
            <w:drawing>
              <wp:anchor distT="45720" distB="45720" distL="114300" distR="114300" simplePos="0" relativeHeight="251658314" behindDoc="0" locked="0" layoutInCell="1" allowOverlap="1" wp14:anchorId="79097C4E" wp14:editId="72C8FE50">
                <wp:simplePos x="0" y="0"/>
                <wp:positionH relativeFrom="column">
                  <wp:posOffset>706372</wp:posOffset>
                </wp:positionH>
                <wp:positionV relativeFrom="paragraph">
                  <wp:posOffset>4071333</wp:posOffset>
                </wp:positionV>
                <wp:extent cx="1581150" cy="1404620"/>
                <wp:effectExtent l="0" t="0" r="6350" b="0"/>
                <wp:wrapNone/>
                <wp:docPr id="807" name="Text Box 8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1404620"/>
                        </a:xfrm>
                        <a:prstGeom prst="rect">
                          <a:avLst/>
                        </a:prstGeom>
                        <a:solidFill>
                          <a:schemeClr val="bg1"/>
                        </a:solidFill>
                        <a:ln w="9525">
                          <a:noFill/>
                          <a:miter lim="800000"/>
                          <a:headEnd/>
                          <a:tailEnd/>
                        </a:ln>
                      </wps:spPr>
                      <wps:txbx>
                        <w:txbxContent>
                          <w:p w14:paraId="5E607CC7" w14:textId="77777777" w:rsidR="007904E8" w:rsidRPr="00165BAD" w:rsidRDefault="007904E8" w:rsidP="007904E8">
                            <w:pPr>
                              <w:rPr>
                                <w:b/>
                                <w:bCs/>
                                <w:sz w:val="24"/>
                                <w:szCs w:val="24"/>
                              </w:rPr>
                            </w:pPr>
                            <w:r w:rsidRPr="00165BAD">
                              <w:rPr>
                                <w:b/>
                                <w:bCs/>
                                <w:sz w:val="24"/>
                                <w:szCs w:val="24"/>
                              </w:rPr>
                              <w:t>GORCAP EEA area</w:t>
                            </w:r>
                          </w:p>
                        </w:txbxContent>
                      </wps:txbx>
                      <wps:bodyPr rot="0" vert="horz" wrap="square" lIns="0" tIns="45720" rIns="9144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79097C4E" id="Text Box 807" o:spid="_x0000_s1066" type="#_x0000_t202" style="position:absolute;margin-left:55.6pt;margin-top:320.6pt;width:124.5pt;height:110.6pt;z-index:25165831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" fillcolor="white [3212]" stroked="f">
                <v:textbox style="mso-fit-shape-to-text:t" inset="0,,,0">
                  <w:txbxContent>
                    <w:p w14:paraId="5E607CC7" w14:textId="77777777" w:rsidR="007904E8" w:rsidRPr="00165BAD" w:rsidRDefault="007904E8" w:rsidP="007904E8">
                      <w:pPr>
                        <w:rPr>
                          <w:b/>
                          <w:bCs/>
                          <w:sz w:val="24"/>
                          <w:szCs w:val="24"/>
                        </w:rPr>
                      </w:pPr>
                      <w:r w:rsidRPr="00165BAD">
                        <w:rPr>
                          <w:b/>
                          <w:bCs/>
                          <w:sz w:val="24"/>
                          <w:szCs w:val="24"/>
                        </w:rPr>
                        <w:t>GORCAP EEA area</w:t>
                      </w:r>
                    </w:p>
                  </w:txbxContent>
                </v:textbox>
              </v:shape>
            </w:pict>
          </mc:Fallback>
        </mc:AlternateContent>
      </w:r>
      <w:r w:rsidRPr="004A34E0">
        <w:rPr>
          <w:noProof/>
        </w:rPr>
        <w:drawing>
          <wp:inline distT="0" distB="0" distL="0" distR="0" wp14:anchorId="2B31E0B4" wp14:editId="76A6B6B0">
            <wp:extent cx="13354050" cy="5486400"/>
            <wp:effectExtent l="0" t="0" r="0" b="0"/>
            <wp:docPr id="788" name="Pictur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Picture 788"/>
                    <pic:cNvPicPr>
                      <a:picLocks noChangeAspect="1" noChangeArrowheads="1"/>
                    </pic:cNvPicPr>
                  </pic:nvPicPr>
                  <pic:blipFill rotWithShape="1">
                    <a:blip r:embed="rId147" cstate="email">
                      <a:extLst>
                        <a:ext uri="{28A0092B-C50C-407E-A947-70E740481C1C}">
                          <a14:useLocalDpi xmlns:a14="http://schemas.microsoft.com/office/drawing/2010/main"/>
                        </a:ext>
                      </a:extLst>
                    </a:blip>
                    <a:srcRect l="-350" t="-1237" b="-651"/>
                    <a:stretch/>
                  </pic:blipFill>
                  <pic:spPr bwMode="auto">
                    <a:xfrm>
                      <a:off x="0" y="0"/>
                      <a:ext cx="13358160" cy="5488088"/>
                    </a:xfrm>
                    <a:prstGeom prst="rect">
                      <a:avLst/>
                    </a:prstGeom>
                    <a:noFill/>
                    <a:ln>
                      <a:noFill/>
                    </a:ln>
                    <a:extLst>
                      <a:ext uri="{53640926-AAD7-44D8-BBD7-CCE9431645EC}">
                        <a14:shadowObscured xmlns:a14="http://schemas.microsoft.com/office/drawing/2010/main"/>
                      </a:ext>
                    </a:extLst>
                  </pic:spPr>
                </pic:pic>
              </a:graphicData>
            </a:graphic>
          </wp:inline>
        </w:drawing>
      </w:r>
    </w:p>
    <w:p w14:paraId="6E5CE5AF" w14:textId="77777777" w:rsidR="007904E8" w:rsidRPr="004A34E0" w:rsidRDefault="007904E8" w:rsidP="007904E8">
      <w:pPr>
        <w:pStyle w:val="BodyText"/>
      </w:pPr>
      <w:r w:rsidRPr="004A34E0">
        <w:br w:type="page"/>
      </w:r>
    </w:p>
    <w:p w14:paraId="7CE44B01" w14:textId="77777777" w:rsidR="007904E8" w:rsidRPr="004A34E0" w:rsidRDefault="007904E8" w:rsidP="00B22F84">
      <w:pPr>
        <w:pStyle w:val="Caption"/>
      </w:pPr>
      <w:r w:rsidRPr="004A34E0">
        <w:lastRenderedPageBreak/>
        <w:t>Figure 26. Conservation protection (DELWP, 2021c)</w:t>
      </w:r>
    </w:p>
    <w:p w14:paraId="5D1E5CDF" w14:textId="77777777" w:rsidR="007904E8" w:rsidRPr="004A34E0" w:rsidRDefault="007904E8" w:rsidP="007904E8">
      <w:pPr>
        <w:pStyle w:val="BodyText"/>
      </w:pPr>
      <w:r w:rsidRPr="004A34E0">
        <w:rPr>
          <w:noProof/>
        </w:rPr>
        <mc:AlternateContent>
          <mc:Choice Requires="wps">
            <w:drawing>
              <wp:anchor distT="45720" distB="45720" distL="114300" distR="114300" simplePos="0" relativeHeight="251658315" behindDoc="0" locked="0" layoutInCell="1" allowOverlap="1" wp14:anchorId="3E73AF97" wp14:editId="63662F3A">
                <wp:simplePos x="0" y="0"/>
                <wp:positionH relativeFrom="column">
                  <wp:posOffset>680720</wp:posOffset>
                </wp:positionH>
                <wp:positionV relativeFrom="paragraph">
                  <wp:posOffset>4335954</wp:posOffset>
                </wp:positionV>
                <wp:extent cx="1581150" cy="1404620"/>
                <wp:effectExtent l="0" t="0" r="6350" b="0"/>
                <wp:wrapNone/>
                <wp:docPr id="808" name="Text Box 8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1404620"/>
                        </a:xfrm>
                        <a:prstGeom prst="rect">
                          <a:avLst/>
                        </a:prstGeom>
                        <a:solidFill>
                          <a:schemeClr val="bg1"/>
                        </a:solidFill>
                        <a:ln w="9525">
                          <a:noFill/>
                          <a:miter lim="800000"/>
                          <a:headEnd/>
                          <a:tailEnd/>
                        </a:ln>
                      </wps:spPr>
                      <wps:txbx>
                        <w:txbxContent>
                          <w:p w14:paraId="2C7E12F3" w14:textId="77777777" w:rsidR="007904E8" w:rsidRPr="00165BAD" w:rsidRDefault="007904E8" w:rsidP="007904E8">
                            <w:pPr>
                              <w:rPr>
                                <w:b/>
                                <w:bCs/>
                                <w:sz w:val="24"/>
                                <w:szCs w:val="24"/>
                              </w:rPr>
                            </w:pPr>
                            <w:r w:rsidRPr="00165BAD">
                              <w:rPr>
                                <w:b/>
                                <w:bCs/>
                                <w:sz w:val="24"/>
                                <w:szCs w:val="24"/>
                              </w:rPr>
                              <w:t>GORCAP EEA area</w:t>
                            </w:r>
                          </w:p>
                        </w:txbxContent>
                      </wps:txbx>
                      <wps:bodyPr rot="0" vert="horz" wrap="square" lIns="0" tIns="45720" rIns="9144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3E73AF97" id="Text Box 808" o:spid="_x0000_s1067" type="#_x0000_t202" style="position:absolute;margin-left:53.6pt;margin-top:341.4pt;width:124.5pt;height:110.6pt;z-index:25165831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" fillcolor="white [3212]" stroked="f">
                <v:textbox style="mso-fit-shape-to-text:t" inset="0,,,0">
                  <w:txbxContent>
                    <w:p w14:paraId="2C7E12F3" w14:textId="77777777" w:rsidR="007904E8" w:rsidRPr="00165BAD" w:rsidRDefault="007904E8" w:rsidP="007904E8">
                      <w:pPr>
                        <w:rPr>
                          <w:b/>
                          <w:bCs/>
                          <w:sz w:val="24"/>
                          <w:szCs w:val="24"/>
                        </w:rPr>
                      </w:pPr>
                      <w:r w:rsidRPr="00165BAD">
                        <w:rPr>
                          <w:b/>
                          <w:bCs/>
                          <w:sz w:val="24"/>
                          <w:szCs w:val="24"/>
                        </w:rPr>
                        <w:t>GORCAP EEA area</w:t>
                      </w:r>
                    </w:p>
                  </w:txbxContent>
                </v:textbox>
              </v:shape>
            </w:pict>
          </mc:Fallback>
        </mc:AlternateContent>
      </w:r>
      <w:r w:rsidRPr="004A34E0">
        <w:rPr>
          <w:noProof/>
        </w:rPr>
        <w:drawing>
          <wp:inline distT="0" distB="0" distL="0" distR="0" wp14:anchorId="3AA49490" wp14:editId="2F5F50AD">
            <wp:extent cx="13301251" cy="5754756"/>
            <wp:effectExtent l="0" t="0" r="0" b="0"/>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48" cstate="email">
                      <a:extLst>
                        <a:ext uri="{28A0092B-C50C-407E-A947-70E740481C1C}">
                          <a14:useLocalDpi xmlns:a14="http://schemas.microsoft.com/office/drawing/2010/main"/>
                        </a:ext>
                      </a:extLst>
                    </a:blip>
                    <a:srcRect/>
                    <a:stretch/>
                  </pic:blipFill>
                  <pic:spPr bwMode="auto">
                    <a:xfrm>
                      <a:off x="0" y="0"/>
                      <a:ext cx="13312822" cy="5759762"/>
                    </a:xfrm>
                    <a:prstGeom prst="rect">
                      <a:avLst/>
                    </a:prstGeom>
                    <a:noFill/>
                    <a:ln>
                      <a:noFill/>
                    </a:ln>
                    <a:extLst>
                      <a:ext uri="{53640926-AAD7-44D8-BBD7-CCE9431645EC}">
                        <a14:shadowObscured xmlns:a14="http://schemas.microsoft.com/office/drawing/2010/main"/>
                      </a:ext>
                    </a:extLst>
                  </pic:spPr>
                </pic:pic>
              </a:graphicData>
            </a:graphic>
          </wp:inline>
        </w:drawing>
      </w:r>
    </w:p>
    <w:p w14:paraId="70DDCC6C" w14:textId="77777777" w:rsidR="007904E8" w:rsidRPr="004A34E0" w:rsidRDefault="007904E8" w:rsidP="007904E8">
      <w:pPr>
        <w:pStyle w:val="BodyText"/>
      </w:pPr>
      <w:r w:rsidRPr="004A34E0">
        <w:br w:type="page"/>
      </w:r>
    </w:p>
    <w:p w14:paraId="07F83D47" w14:textId="77777777" w:rsidR="007904E8" w:rsidRPr="004A34E0" w:rsidRDefault="007904E8" w:rsidP="00B22F84">
      <w:pPr>
        <w:pStyle w:val="Caption"/>
      </w:pPr>
      <w:r w:rsidRPr="004A34E0">
        <w:lastRenderedPageBreak/>
        <w:t xml:space="preserve">Figure 27. Built assets (DELWP, 2020; DELWP, 2020d; </w:t>
      </w:r>
      <w:proofErr w:type="spellStart"/>
      <w:r w:rsidRPr="004A34E0">
        <w:t>Trailforks</w:t>
      </w:r>
      <w:proofErr w:type="spellEnd"/>
      <w:r w:rsidRPr="004A34E0">
        <w:t>, 2021)</w:t>
      </w:r>
    </w:p>
    <w:p w14:paraId="595391F3" w14:textId="77777777" w:rsidR="007904E8" w:rsidRPr="004A34E0" w:rsidRDefault="007904E8" w:rsidP="007904E8">
      <w:pPr>
        <w:pStyle w:val="BodyText"/>
        <w:sectPr w:rsidR="007904E8" w:rsidRPr="004A34E0" w:rsidSect="00E52A9A">
          <w:headerReference w:type="even" r:id="rId149"/>
          <w:headerReference w:type="default" r:id="rId150"/>
          <w:footerReference w:type="even" r:id="rId151"/>
          <w:footerReference w:type="default" r:id="rId152"/>
          <w:pgSz w:w="23811" w:h="16838" w:orient="landscape" w:code="8"/>
          <w:pgMar w:top="1134" w:right="1134" w:bottom="1134" w:left="1134" w:header="283" w:footer="283" w:gutter="0"/>
          <w:cols w:space="284"/>
          <w:docGrid w:linePitch="360"/>
        </w:sectPr>
      </w:pPr>
      <w:r w:rsidRPr="004A34E0">
        <w:rPr>
          <w:noProof/>
        </w:rPr>
        <mc:AlternateContent>
          <mc:Choice Requires="wps">
            <w:drawing>
              <wp:anchor distT="45720" distB="45720" distL="114300" distR="114300" simplePos="0" relativeHeight="251658316" behindDoc="0" locked="0" layoutInCell="1" allowOverlap="1" wp14:anchorId="0CEBC241" wp14:editId="11C0DC4B">
                <wp:simplePos x="0" y="0"/>
                <wp:positionH relativeFrom="column">
                  <wp:posOffset>694864</wp:posOffset>
                </wp:positionH>
                <wp:positionV relativeFrom="paragraph">
                  <wp:posOffset>3698240</wp:posOffset>
                </wp:positionV>
                <wp:extent cx="1581150" cy="1404620"/>
                <wp:effectExtent l="0" t="0" r="6350" b="0"/>
                <wp:wrapNone/>
                <wp:docPr id="809" name="Text Box 8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1404620"/>
                        </a:xfrm>
                        <a:prstGeom prst="rect">
                          <a:avLst/>
                        </a:prstGeom>
                        <a:solidFill>
                          <a:schemeClr val="bg1"/>
                        </a:solidFill>
                        <a:ln w="9525">
                          <a:noFill/>
                          <a:miter lim="800000"/>
                          <a:headEnd/>
                          <a:tailEnd/>
                        </a:ln>
                      </wps:spPr>
                      <wps:txbx>
                        <w:txbxContent>
                          <w:p w14:paraId="3BAE6E12" w14:textId="77777777" w:rsidR="007904E8" w:rsidRPr="00165BAD" w:rsidRDefault="007904E8" w:rsidP="007904E8">
                            <w:pPr>
                              <w:rPr>
                                <w:b/>
                                <w:bCs/>
                                <w:sz w:val="24"/>
                                <w:szCs w:val="24"/>
                              </w:rPr>
                            </w:pPr>
                            <w:r w:rsidRPr="00165BAD">
                              <w:rPr>
                                <w:b/>
                                <w:bCs/>
                                <w:sz w:val="24"/>
                                <w:szCs w:val="24"/>
                              </w:rPr>
                              <w:t>GORCAP EEA area</w:t>
                            </w:r>
                          </w:p>
                        </w:txbxContent>
                      </wps:txbx>
                      <wps:bodyPr rot="0" vert="horz" wrap="square" lIns="0" tIns="45720" rIns="91440" bIns="0" anchor="t" anchorCtr="0">
                        <a:spAutoFit/>
                      </wps:bodyPr>
                    </wps:wsp>
                  </a:graphicData>
                </a:graphic>
                <wp14:sizeRelH relativeFrom="margin">
                  <wp14:pctWidth>0</wp14:pctWidth>
                </wp14:sizeRelH>
                <wp14:sizeRelV relativeFrom="margin">
                  <wp14:pctHeight>0</wp14:pctHeight>
                </wp14:sizeRelV>
              </wp:anchor>
            </w:drawing>
          </mc:Choice>
          <mc:Fallback>
            <w:pict>
              <v:shape w14:anchorId="0CEBC241" id="Text Box 809" o:spid="_x0000_s1068" type="#_x0000_t202" style="position:absolute;margin-left:54.7pt;margin-top:291.2pt;width:124.5pt;height:110.6pt;z-index:2516583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" fillcolor="white [3212]" stroked="f">
                <v:textbox style="mso-fit-shape-to-text:t" inset="0,,,0">
                  <w:txbxContent>
                    <w:p w14:paraId="3BAE6E12" w14:textId="77777777" w:rsidR="007904E8" w:rsidRPr="00165BAD" w:rsidRDefault="007904E8" w:rsidP="007904E8">
                      <w:pPr>
                        <w:rPr>
                          <w:b/>
                          <w:bCs/>
                          <w:sz w:val="24"/>
                          <w:szCs w:val="24"/>
                        </w:rPr>
                      </w:pPr>
                      <w:r w:rsidRPr="00165BAD">
                        <w:rPr>
                          <w:b/>
                          <w:bCs/>
                          <w:sz w:val="24"/>
                          <w:szCs w:val="24"/>
                        </w:rPr>
                        <w:t>GORCAP EEA area</w:t>
                      </w:r>
                    </w:p>
                  </w:txbxContent>
                </v:textbox>
              </v:shape>
            </w:pict>
          </mc:Fallback>
        </mc:AlternateContent>
      </w:r>
      <w:r w:rsidRPr="004A34E0">
        <w:rPr>
          <w:noProof/>
        </w:rPr>
        <w:drawing>
          <wp:inline distT="0" distB="0" distL="0" distR="0" wp14:anchorId="3A8049F0" wp14:editId="497F2FF3">
            <wp:extent cx="13266416" cy="5808345"/>
            <wp:effectExtent l="0" t="0" r="0" b="1905"/>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53" cstate="email">
                      <a:extLst>
                        <a:ext uri="{28A0092B-C50C-407E-A947-70E740481C1C}">
                          <a14:useLocalDpi xmlns:a14="http://schemas.microsoft.com/office/drawing/2010/main"/>
                        </a:ext>
                      </a:extLst>
                    </a:blip>
                    <a:srcRect/>
                    <a:stretch/>
                  </pic:blipFill>
                  <pic:spPr bwMode="auto">
                    <a:xfrm>
                      <a:off x="0" y="0"/>
                      <a:ext cx="13289874" cy="5818615"/>
                    </a:xfrm>
                    <a:prstGeom prst="rect">
                      <a:avLst/>
                    </a:prstGeom>
                    <a:noFill/>
                    <a:ln>
                      <a:noFill/>
                    </a:ln>
                    <a:extLst>
                      <a:ext uri="{53640926-AAD7-44D8-BBD7-CCE9431645EC}">
                        <a14:shadowObscured xmlns:a14="http://schemas.microsoft.com/office/drawing/2010/main"/>
                      </a:ext>
                    </a:extLst>
                  </pic:spPr>
                </pic:pic>
              </a:graphicData>
            </a:graphic>
          </wp:inline>
        </w:drawing>
      </w:r>
    </w:p>
    <w:p w14:paraId="76130A37" w14:textId="77777777" w:rsidR="007904E8" w:rsidRPr="004A34E0" w:rsidRDefault="007904E8" w:rsidP="007904E8">
      <w:pPr>
        <w:pStyle w:val="Heading2"/>
        <w:rPr>
          <w:b w:val="0"/>
        </w:rPr>
      </w:pPr>
      <w:bookmarkStart w:id="222" w:name="_Toc98854676"/>
      <w:bookmarkStart w:id="223" w:name="_Toc163547052"/>
      <w:r w:rsidRPr="004A34E0">
        <w:rPr>
          <w:b w:val="0"/>
        </w:rPr>
        <w:lastRenderedPageBreak/>
        <w:t>Flow assessment</w:t>
      </w:r>
      <w:bookmarkEnd w:id="222"/>
      <w:bookmarkEnd w:id="223"/>
      <w:r w:rsidRPr="004A34E0">
        <w:rPr>
          <w:b w:val="0"/>
        </w:rPr>
        <w:t xml:space="preserve"> </w:t>
      </w:r>
    </w:p>
    <w:p w14:paraId="537BD23F" w14:textId="77777777" w:rsidR="007904E8" w:rsidRPr="004A34E0" w:rsidRDefault="007904E8" w:rsidP="007904E8">
      <w:pPr>
        <w:pStyle w:val="Heading3"/>
      </w:pPr>
      <w:bookmarkStart w:id="224" w:name="_Toc98854677"/>
      <w:bookmarkStart w:id="225" w:name="_Toc163547053"/>
      <w:r w:rsidRPr="004A34E0">
        <w:t>Coastal protection</w:t>
      </w:r>
      <w:bookmarkEnd w:id="224"/>
      <w:bookmarkEnd w:id="225"/>
      <w:r w:rsidRPr="004A34E0">
        <w:t xml:space="preserve"> </w:t>
      </w:r>
    </w:p>
    <w:p w14:paraId="503D94E0" w14:textId="22F9E193" w:rsidR="007904E8" w:rsidRPr="007B2FCE" w:rsidRDefault="007904E8" w:rsidP="000035CB">
      <w:pPr>
        <w:pStyle w:val="AlphaHeading4"/>
        <w:numPr>
          <w:ilvl w:val="0"/>
          <w:numId w:val="65"/>
        </w:numPr>
      </w:pPr>
      <w:r w:rsidRPr="007B2FCE">
        <w:t xml:space="preserve">Physical provision of coastal protection </w:t>
      </w:r>
    </w:p>
    <w:p w14:paraId="658534FB" w14:textId="77777777" w:rsidR="007904E8" w:rsidRPr="004A34E0" w:rsidRDefault="007904E8" w:rsidP="007904E8">
      <w:pPr>
        <w:pStyle w:val="BodyText12ptBefore"/>
      </w:pPr>
      <w:r w:rsidRPr="004A34E0">
        <w:t>The extent mapping (see Section 4.1.1.) estimated the total area of coastal wetlands within the GORCAP EEA region is around 1,209 ha consisting of 1,130 ha seagrass, 75 ha saltmarsh and 4 ha mangrove in 2019 (see Tables 18 and 19). Carnell et al (2019) estimated coastal protection service for these three wetland types separately (albeit using a different global dataset for ecosystem extent (pers. comm. Paul Carnell), as well as for geomorphology</w:t>
      </w:r>
      <w:r w:rsidRPr="004A34E0">
        <w:rPr>
          <w:vertAlign w:val="superscript"/>
        </w:rPr>
        <w:footnoteReference w:id="63"/>
      </w:r>
      <w:r w:rsidRPr="004A34E0">
        <w:t>, see Table 30 which shows:</w:t>
      </w:r>
    </w:p>
    <w:p w14:paraId="424E78B2" w14:textId="77777777" w:rsidR="007904E8" w:rsidRPr="004A34E0" w:rsidRDefault="007904E8" w:rsidP="007904E8">
      <w:pPr>
        <w:pStyle w:val="ListBullet"/>
      </w:pPr>
      <w:r w:rsidRPr="004A34E0">
        <w:t>The sum of total area where coastal protection service is provided by each wetland is 87,000 ha. This doesn’t account for overlaps in the area over which the service is provided (i.e., a given area might benefit from coastal protection by multiple wetland areas and this area would be counted twice).</w:t>
      </w:r>
    </w:p>
    <w:p w14:paraId="577913A3" w14:textId="77777777" w:rsidR="007904E8" w:rsidRPr="004A34E0" w:rsidRDefault="007904E8" w:rsidP="007904E8">
      <w:pPr>
        <w:pStyle w:val="ListBullet"/>
      </w:pPr>
      <w:r w:rsidRPr="004A34E0">
        <w:t>Seagrass is estimated to provide coastal protection across 52,000 ha at 1 per cent exposure reduction.</w:t>
      </w:r>
    </w:p>
    <w:p w14:paraId="5AF33F49" w14:textId="77777777" w:rsidR="007904E8" w:rsidRPr="004A34E0" w:rsidRDefault="007904E8" w:rsidP="007904E8">
      <w:pPr>
        <w:pStyle w:val="ListBullet"/>
      </w:pPr>
      <w:r w:rsidRPr="004A34E0">
        <w:t xml:space="preserve">Saltmarsh is estimated to provide coastal protection across 31,000 ha mostly at 1 per cent reduction (19,000 ha) but also 2 per cent (6,400 ha), 3 per cent (3,800 ha) and 4 per cent reductions (1,300 ha).   </w:t>
      </w:r>
    </w:p>
    <w:p w14:paraId="40CFC303" w14:textId="77777777" w:rsidR="007904E8" w:rsidRPr="004A34E0" w:rsidRDefault="007904E8" w:rsidP="007904E8">
      <w:pPr>
        <w:pStyle w:val="ListBullet"/>
      </w:pPr>
      <w:r w:rsidRPr="004A34E0">
        <w:t>Mangrove is estimated to provide coastal protection across 4,300 ha, mostly consisting of 1 per cent reductions in exposure (3,800 ha) with some 2 per cent reductions (500 ha).</w:t>
      </w:r>
    </w:p>
    <w:p w14:paraId="7D792EB7" w14:textId="77777777" w:rsidR="007904E8" w:rsidRPr="004A34E0" w:rsidRDefault="007904E8" w:rsidP="007904E8">
      <w:pPr>
        <w:pStyle w:val="ListBullet"/>
      </w:pPr>
      <w:r w:rsidRPr="004A34E0">
        <w:t>Geomorphology is estimated to provide coastal protection across 30,400 ha at 4 per cent exposure reduction.</w:t>
      </w:r>
    </w:p>
    <w:p w14:paraId="2D022083" w14:textId="77777777" w:rsidR="007904E8" w:rsidRPr="004A34E0" w:rsidRDefault="007904E8" w:rsidP="00270081">
      <w:pPr>
        <w:pStyle w:val="Caption"/>
      </w:pPr>
      <w:r w:rsidRPr="004A34E0">
        <w:t>Table 30. Estimated (overlapping) area (ha) of coastal protection provided by ecosystem and magnitude in the GORCAP EEA region in 2019</w:t>
      </w:r>
    </w:p>
    <w:tbl>
      <w:tblPr>
        <w:tblStyle w:val="TableGrid"/>
        <w:tblW w:w="5000" w:type="pct"/>
        <w:tblLook w:val="04A0" w:firstRow="1" w:lastRow="0" w:firstColumn="1" w:lastColumn="0" w:noHBand="0" w:noVBand="1"/>
      </w:tblPr>
      <w:tblGrid>
        <w:gridCol w:w="1817"/>
        <w:gridCol w:w="1220"/>
        <w:gridCol w:w="156"/>
        <w:gridCol w:w="1064"/>
        <w:gridCol w:w="104"/>
        <w:gridCol w:w="1116"/>
        <w:gridCol w:w="52"/>
        <w:gridCol w:w="1170"/>
        <w:gridCol w:w="981"/>
        <w:gridCol w:w="981"/>
        <w:gridCol w:w="977"/>
      </w:tblGrid>
      <w:tr w:rsidR="007904E8" w:rsidRPr="004A34E0" w14:paraId="07B3F074" w14:textId="77777777" w:rsidTr="003B7265">
        <w:trPr>
          <w:cnfStyle w:val="100000000000" w:firstRow="1" w:lastRow="0" w:firstColumn="0" w:lastColumn="0" w:oddVBand="0" w:evenVBand="0" w:oddHBand="0"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942" w:type="pct"/>
            <w:shd w:val="clear" w:color="auto" w:fill="auto"/>
          </w:tcPr>
          <w:p w14:paraId="0DB9BC31" w14:textId="77777777" w:rsidR="007904E8" w:rsidRPr="004A34E0" w:rsidRDefault="007904E8" w:rsidP="00666947">
            <w:pPr>
              <w:pStyle w:val="TableTextLeft"/>
            </w:pPr>
          </w:p>
        </w:tc>
        <w:tc>
          <w:tcPr>
            <w:tcW w:w="2533" w:type="pct"/>
            <w:gridSpan w:val="7"/>
          </w:tcPr>
          <w:p w14:paraId="29755EEC"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Area of ecosystem (ha) by percentage reduction in hazard exposure</w:t>
            </w:r>
          </w:p>
        </w:tc>
        <w:tc>
          <w:tcPr>
            <w:tcW w:w="509" w:type="pct"/>
            <w:vMerge w:val="restart"/>
          </w:tcPr>
          <w:p w14:paraId="16C74347"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Total (ha)</w:t>
            </w:r>
          </w:p>
        </w:tc>
        <w:tc>
          <w:tcPr>
            <w:tcW w:w="509" w:type="pct"/>
          </w:tcPr>
          <w:p w14:paraId="756CAF77"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Year</w:t>
            </w:r>
          </w:p>
        </w:tc>
        <w:tc>
          <w:tcPr>
            <w:tcW w:w="508" w:type="pct"/>
          </w:tcPr>
          <w:p w14:paraId="65945CAB"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rPr>
                <w:b/>
              </w:rPr>
            </w:pPr>
            <w:r w:rsidRPr="004A34E0">
              <w:rPr>
                <w:b/>
              </w:rPr>
              <w:t>Source</w:t>
            </w:r>
          </w:p>
        </w:tc>
      </w:tr>
      <w:tr w:rsidR="003B7265" w:rsidRPr="004A34E0" w14:paraId="6C0BEA3D" w14:textId="77777777" w:rsidTr="003B7265">
        <w:trPr>
          <w:trHeight w:val="229"/>
        </w:trPr>
        <w:tc>
          <w:tcPr>
            <w:cnfStyle w:val="001000000000" w:firstRow="0" w:lastRow="0" w:firstColumn="1" w:lastColumn="0" w:oddVBand="0" w:evenVBand="0" w:oddHBand="0" w:evenHBand="0" w:firstRowFirstColumn="0" w:firstRowLastColumn="0" w:lastRowFirstColumn="0" w:lastRowLastColumn="0"/>
            <w:tcW w:w="942" w:type="pct"/>
            <w:tcBorders>
              <w:top w:val="nil"/>
            </w:tcBorders>
            <w:shd w:val="clear" w:color="auto" w:fill="auto"/>
          </w:tcPr>
          <w:p w14:paraId="1D1C4DF0" w14:textId="77777777" w:rsidR="003B7265" w:rsidRPr="004A34E0" w:rsidRDefault="003B7265" w:rsidP="003B7265">
            <w:pPr>
              <w:pStyle w:val="TableTextLeft"/>
              <w:rPr>
                <w:b/>
              </w:rPr>
            </w:pPr>
          </w:p>
        </w:tc>
        <w:tc>
          <w:tcPr>
            <w:tcW w:w="714" w:type="pct"/>
            <w:gridSpan w:val="2"/>
            <w:tcBorders>
              <w:top w:val="nil"/>
            </w:tcBorders>
            <w:shd w:val="clear" w:color="auto" w:fill="004C97" w:themeFill="accent1"/>
          </w:tcPr>
          <w:p w14:paraId="61E6A1B7" w14:textId="77777777" w:rsidR="003B7265" w:rsidRPr="003B7265" w:rsidRDefault="003B7265" w:rsidP="003B7265">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3B7265">
              <w:rPr>
                <w:color w:val="FFFFFF" w:themeColor="background1"/>
              </w:rPr>
              <w:t>1%</w:t>
            </w:r>
          </w:p>
        </w:tc>
        <w:tc>
          <w:tcPr>
            <w:tcW w:w="606" w:type="pct"/>
            <w:gridSpan w:val="2"/>
            <w:tcBorders>
              <w:top w:val="nil"/>
            </w:tcBorders>
            <w:shd w:val="clear" w:color="auto" w:fill="004C97" w:themeFill="accent1"/>
          </w:tcPr>
          <w:p w14:paraId="67D6C5CA" w14:textId="77777777" w:rsidR="003B7265" w:rsidRPr="003B7265" w:rsidRDefault="003B7265" w:rsidP="003B7265">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3B7265">
              <w:rPr>
                <w:color w:val="FFFFFF" w:themeColor="background1"/>
              </w:rPr>
              <w:t>2%</w:t>
            </w:r>
          </w:p>
        </w:tc>
        <w:tc>
          <w:tcPr>
            <w:tcW w:w="606" w:type="pct"/>
            <w:gridSpan w:val="2"/>
            <w:tcBorders>
              <w:top w:val="nil"/>
            </w:tcBorders>
            <w:shd w:val="clear" w:color="auto" w:fill="004C97" w:themeFill="accent1"/>
          </w:tcPr>
          <w:p w14:paraId="356ECE32" w14:textId="77777777" w:rsidR="003B7265" w:rsidRPr="003B7265" w:rsidRDefault="003B7265" w:rsidP="003B7265">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3B7265">
              <w:rPr>
                <w:color w:val="FFFFFF" w:themeColor="background1"/>
              </w:rPr>
              <w:t>3%</w:t>
            </w:r>
          </w:p>
        </w:tc>
        <w:tc>
          <w:tcPr>
            <w:tcW w:w="607" w:type="pct"/>
            <w:tcBorders>
              <w:top w:val="nil"/>
            </w:tcBorders>
            <w:shd w:val="clear" w:color="auto" w:fill="004C97" w:themeFill="accent1"/>
          </w:tcPr>
          <w:p w14:paraId="76E918A5" w14:textId="77777777" w:rsidR="003B7265" w:rsidRPr="003B7265" w:rsidRDefault="003B7265" w:rsidP="003B7265">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3B7265">
              <w:rPr>
                <w:color w:val="FFFFFF" w:themeColor="background1"/>
              </w:rPr>
              <w:t>4%</w:t>
            </w:r>
          </w:p>
        </w:tc>
        <w:tc>
          <w:tcPr>
            <w:tcW w:w="509" w:type="pct"/>
            <w:vMerge/>
            <w:tcBorders>
              <w:top w:val="nil"/>
            </w:tcBorders>
            <w:shd w:val="clear" w:color="auto" w:fill="004C97" w:themeFill="accent1"/>
          </w:tcPr>
          <w:p w14:paraId="676372E4" w14:textId="77777777" w:rsidR="003B7265" w:rsidRPr="003B7265" w:rsidRDefault="003B7265" w:rsidP="003B7265">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p>
        </w:tc>
        <w:tc>
          <w:tcPr>
            <w:tcW w:w="509" w:type="pct"/>
            <w:tcBorders>
              <w:top w:val="nil"/>
            </w:tcBorders>
            <w:shd w:val="clear" w:color="auto" w:fill="004C97" w:themeFill="accent1"/>
          </w:tcPr>
          <w:p w14:paraId="6D3B85E4" w14:textId="77777777" w:rsidR="003B7265" w:rsidRPr="003B7265" w:rsidRDefault="003B7265" w:rsidP="003B7265">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p>
        </w:tc>
        <w:tc>
          <w:tcPr>
            <w:tcW w:w="508" w:type="pct"/>
            <w:tcBorders>
              <w:top w:val="nil"/>
            </w:tcBorders>
            <w:shd w:val="clear" w:color="auto" w:fill="004C97" w:themeFill="accent1"/>
          </w:tcPr>
          <w:p w14:paraId="1F8C7FB4" w14:textId="77777777" w:rsidR="003B7265" w:rsidRPr="003B7265" w:rsidRDefault="003B7265" w:rsidP="003B7265">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p>
        </w:tc>
      </w:tr>
      <w:tr w:rsidR="003B7265" w:rsidRPr="004A34E0" w14:paraId="321E8273" w14:textId="77777777" w:rsidTr="003B7265">
        <w:trPr>
          <w:trHeight w:val="305"/>
        </w:trPr>
        <w:tc>
          <w:tcPr>
            <w:cnfStyle w:val="001000000000" w:firstRow="0" w:lastRow="0" w:firstColumn="1" w:lastColumn="0" w:oddVBand="0" w:evenVBand="0" w:oddHBand="0" w:evenHBand="0" w:firstRowFirstColumn="0" w:firstRowLastColumn="0" w:lastRowFirstColumn="0" w:lastRowLastColumn="0"/>
            <w:tcW w:w="942" w:type="pct"/>
          </w:tcPr>
          <w:p w14:paraId="20261BCD" w14:textId="77777777" w:rsidR="003B7265" w:rsidRPr="004A34E0" w:rsidRDefault="003B7265" w:rsidP="003B7265">
            <w:pPr>
              <w:pStyle w:val="TableTextLeft"/>
            </w:pPr>
            <w:r w:rsidRPr="004A34E0">
              <w:t>Mangroves</w:t>
            </w:r>
          </w:p>
        </w:tc>
        <w:tc>
          <w:tcPr>
            <w:tcW w:w="633" w:type="pct"/>
          </w:tcPr>
          <w:p w14:paraId="710541D7" w14:textId="77777777" w:rsidR="003B7265" w:rsidRPr="004A34E0" w:rsidRDefault="003B7265" w:rsidP="003B7265">
            <w:pPr>
              <w:pStyle w:val="TableTextLeft"/>
              <w:cnfStyle w:val="000000000000" w:firstRow="0" w:lastRow="0" w:firstColumn="0" w:lastColumn="0" w:oddVBand="0" w:evenVBand="0" w:oddHBand="0" w:evenHBand="0" w:firstRowFirstColumn="0" w:firstRowLastColumn="0" w:lastRowFirstColumn="0" w:lastRowLastColumn="0"/>
            </w:pPr>
            <w:r w:rsidRPr="004A34E0">
              <w:t>3,800</w:t>
            </w:r>
          </w:p>
        </w:tc>
        <w:tc>
          <w:tcPr>
            <w:tcW w:w="633" w:type="pct"/>
            <w:gridSpan w:val="2"/>
          </w:tcPr>
          <w:p w14:paraId="71BBC20C" w14:textId="77777777" w:rsidR="003B7265" w:rsidRPr="004A34E0" w:rsidRDefault="003B7265" w:rsidP="003B7265">
            <w:pPr>
              <w:pStyle w:val="TableTextLeft"/>
              <w:cnfStyle w:val="000000000000" w:firstRow="0" w:lastRow="0" w:firstColumn="0" w:lastColumn="0" w:oddVBand="0" w:evenVBand="0" w:oddHBand="0" w:evenHBand="0" w:firstRowFirstColumn="0" w:firstRowLastColumn="0" w:lastRowFirstColumn="0" w:lastRowLastColumn="0"/>
            </w:pPr>
            <w:r w:rsidRPr="004A34E0">
              <w:t>500</w:t>
            </w:r>
          </w:p>
        </w:tc>
        <w:tc>
          <w:tcPr>
            <w:tcW w:w="633" w:type="pct"/>
            <w:gridSpan w:val="2"/>
          </w:tcPr>
          <w:p w14:paraId="4B104AC2" w14:textId="77777777" w:rsidR="003B7265" w:rsidRPr="004A34E0" w:rsidRDefault="003B7265" w:rsidP="003B7265">
            <w:pPr>
              <w:pStyle w:val="TableTextLeft"/>
              <w:cnfStyle w:val="000000000000" w:firstRow="0" w:lastRow="0" w:firstColumn="0" w:lastColumn="0" w:oddVBand="0" w:evenVBand="0" w:oddHBand="0" w:evenHBand="0" w:firstRowFirstColumn="0" w:firstRowLastColumn="0" w:lastRowFirstColumn="0" w:lastRowLastColumn="0"/>
            </w:pPr>
          </w:p>
        </w:tc>
        <w:tc>
          <w:tcPr>
            <w:tcW w:w="634" w:type="pct"/>
            <w:gridSpan w:val="2"/>
          </w:tcPr>
          <w:p w14:paraId="4B10CCD1" w14:textId="77777777" w:rsidR="003B7265" w:rsidRPr="004A34E0" w:rsidRDefault="003B7265" w:rsidP="003B7265">
            <w:pPr>
              <w:pStyle w:val="TableTextLeft"/>
              <w:cnfStyle w:val="000000000000" w:firstRow="0" w:lastRow="0" w:firstColumn="0" w:lastColumn="0" w:oddVBand="0" w:evenVBand="0" w:oddHBand="0" w:evenHBand="0" w:firstRowFirstColumn="0" w:firstRowLastColumn="0" w:lastRowFirstColumn="0" w:lastRowLastColumn="0"/>
            </w:pPr>
          </w:p>
        </w:tc>
        <w:tc>
          <w:tcPr>
            <w:tcW w:w="509" w:type="pct"/>
          </w:tcPr>
          <w:p w14:paraId="5E8E4DAF" w14:textId="77777777" w:rsidR="003B7265" w:rsidRPr="004A34E0" w:rsidRDefault="003B7265" w:rsidP="003B7265">
            <w:pPr>
              <w:pStyle w:val="TableTextLeft"/>
              <w:cnfStyle w:val="000000000000" w:firstRow="0" w:lastRow="0" w:firstColumn="0" w:lastColumn="0" w:oddVBand="0" w:evenVBand="0" w:oddHBand="0" w:evenHBand="0" w:firstRowFirstColumn="0" w:firstRowLastColumn="0" w:lastRowFirstColumn="0" w:lastRowLastColumn="0"/>
              <w:rPr>
                <w:b/>
              </w:rPr>
            </w:pPr>
            <w:r w:rsidRPr="004A34E0">
              <w:rPr>
                <w:b/>
              </w:rPr>
              <w:t>4,300</w:t>
            </w:r>
          </w:p>
        </w:tc>
        <w:tc>
          <w:tcPr>
            <w:tcW w:w="509" w:type="pct"/>
            <w:vMerge w:val="restart"/>
          </w:tcPr>
          <w:p w14:paraId="144711A9" w14:textId="77777777" w:rsidR="003B7265" w:rsidRPr="004A34E0" w:rsidRDefault="003B7265" w:rsidP="003B7265">
            <w:pPr>
              <w:pStyle w:val="TableTextLeft"/>
              <w:cnfStyle w:val="000000000000" w:firstRow="0" w:lastRow="0" w:firstColumn="0" w:lastColumn="0" w:oddVBand="0" w:evenVBand="0" w:oddHBand="0" w:evenHBand="0" w:firstRowFirstColumn="0" w:firstRowLastColumn="0" w:lastRowFirstColumn="0" w:lastRowLastColumn="0"/>
            </w:pPr>
            <w:r w:rsidRPr="004A34E0">
              <w:t>2019</w:t>
            </w:r>
            <w:r w:rsidRPr="004A34E0">
              <w:rPr>
                <w:vertAlign w:val="superscript"/>
              </w:rPr>
              <w:t>a</w:t>
            </w:r>
          </w:p>
        </w:tc>
        <w:tc>
          <w:tcPr>
            <w:tcW w:w="508" w:type="pct"/>
            <w:vMerge w:val="restart"/>
          </w:tcPr>
          <w:p w14:paraId="057D4721" w14:textId="6E60CEF5" w:rsidR="003B7265" w:rsidRPr="004A34E0" w:rsidRDefault="003B7265" w:rsidP="003B7265">
            <w:pPr>
              <w:pStyle w:val="TableTextLeft"/>
              <w:cnfStyle w:val="000000000000" w:firstRow="0" w:lastRow="0" w:firstColumn="0" w:lastColumn="0" w:oddVBand="0" w:evenVBand="0" w:oddHBand="0" w:evenHBand="0" w:firstRowFirstColumn="0" w:firstRowLastColumn="0" w:lastRowFirstColumn="0" w:lastRowLastColumn="0"/>
            </w:pPr>
            <w:r w:rsidRPr="00FA05B9">
              <w:rPr>
                <w:rFonts w:ascii="Arial" w:hAnsi="Arial"/>
                <w:color w:val="1A1A1A"/>
              </w:rPr>
              <w:t>Carnell et al</w:t>
            </w:r>
            <w:r>
              <w:rPr>
                <w:rFonts w:ascii="Arial" w:hAnsi="Arial"/>
                <w:color w:val="1A1A1A"/>
              </w:rPr>
              <w:t xml:space="preserve"> (</w:t>
            </w:r>
            <w:r w:rsidRPr="00FA05B9">
              <w:rPr>
                <w:rFonts w:ascii="Arial" w:hAnsi="Arial"/>
                <w:color w:val="1A1A1A"/>
              </w:rPr>
              <w:t>2019</w:t>
            </w:r>
            <w:r>
              <w:rPr>
                <w:rFonts w:ascii="Arial" w:hAnsi="Arial"/>
                <w:color w:val="1A1A1A"/>
              </w:rPr>
              <w:t>)</w:t>
            </w:r>
          </w:p>
        </w:tc>
      </w:tr>
      <w:tr w:rsidR="003B7265" w:rsidRPr="004A34E0" w14:paraId="0F218045" w14:textId="77777777" w:rsidTr="003B7265">
        <w:trPr>
          <w:trHeight w:val="305"/>
        </w:trPr>
        <w:tc>
          <w:tcPr>
            <w:cnfStyle w:val="001000000000" w:firstRow="0" w:lastRow="0" w:firstColumn="1" w:lastColumn="0" w:oddVBand="0" w:evenVBand="0" w:oddHBand="0" w:evenHBand="0" w:firstRowFirstColumn="0" w:firstRowLastColumn="0" w:lastRowFirstColumn="0" w:lastRowLastColumn="0"/>
            <w:tcW w:w="942" w:type="pct"/>
          </w:tcPr>
          <w:p w14:paraId="577F37DD" w14:textId="77777777" w:rsidR="003B7265" w:rsidRPr="004A34E0" w:rsidRDefault="003B7265" w:rsidP="003B7265">
            <w:pPr>
              <w:pStyle w:val="TableTextLeft"/>
            </w:pPr>
            <w:r w:rsidRPr="004A34E0">
              <w:t>Saltmarsh</w:t>
            </w:r>
          </w:p>
        </w:tc>
        <w:tc>
          <w:tcPr>
            <w:tcW w:w="633" w:type="pct"/>
          </w:tcPr>
          <w:p w14:paraId="468EFB11" w14:textId="77777777" w:rsidR="003B7265" w:rsidRPr="004A34E0" w:rsidRDefault="003B7265" w:rsidP="003B7265">
            <w:pPr>
              <w:pStyle w:val="TableTextLeft"/>
              <w:cnfStyle w:val="000000000000" w:firstRow="0" w:lastRow="0" w:firstColumn="0" w:lastColumn="0" w:oddVBand="0" w:evenVBand="0" w:oddHBand="0" w:evenHBand="0" w:firstRowFirstColumn="0" w:firstRowLastColumn="0" w:lastRowFirstColumn="0" w:lastRowLastColumn="0"/>
            </w:pPr>
            <w:r w:rsidRPr="004A34E0">
              <w:t>19,000</w:t>
            </w:r>
          </w:p>
        </w:tc>
        <w:tc>
          <w:tcPr>
            <w:tcW w:w="633" w:type="pct"/>
            <w:gridSpan w:val="2"/>
          </w:tcPr>
          <w:p w14:paraId="76429696" w14:textId="77777777" w:rsidR="003B7265" w:rsidRPr="004A34E0" w:rsidRDefault="003B7265" w:rsidP="003B7265">
            <w:pPr>
              <w:pStyle w:val="TableTextLeft"/>
              <w:cnfStyle w:val="000000000000" w:firstRow="0" w:lastRow="0" w:firstColumn="0" w:lastColumn="0" w:oddVBand="0" w:evenVBand="0" w:oddHBand="0" w:evenHBand="0" w:firstRowFirstColumn="0" w:firstRowLastColumn="0" w:lastRowFirstColumn="0" w:lastRowLastColumn="0"/>
            </w:pPr>
            <w:r w:rsidRPr="004A34E0">
              <w:t>6,400</w:t>
            </w:r>
          </w:p>
        </w:tc>
        <w:tc>
          <w:tcPr>
            <w:tcW w:w="633" w:type="pct"/>
            <w:gridSpan w:val="2"/>
          </w:tcPr>
          <w:p w14:paraId="7397E968" w14:textId="77777777" w:rsidR="003B7265" w:rsidRPr="004A34E0" w:rsidRDefault="003B7265" w:rsidP="003B7265">
            <w:pPr>
              <w:pStyle w:val="TableTextLeft"/>
              <w:cnfStyle w:val="000000000000" w:firstRow="0" w:lastRow="0" w:firstColumn="0" w:lastColumn="0" w:oddVBand="0" w:evenVBand="0" w:oddHBand="0" w:evenHBand="0" w:firstRowFirstColumn="0" w:firstRowLastColumn="0" w:lastRowFirstColumn="0" w:lastRowLastColumn="0"/>
            </w:pPr>
            <w:r w:rsidRPr="004A34E0">
              <w:t>3,800</w:t>
            </w:r>
          </w:p>
        </w:tc>
        <w:tc>
          <w:tcPr>
            <w:tcW w:w="634" w:type="pct"/>
            <w:gridSpan w:val="2"/>
          </w:tcPr>
          <w:p w14:paraId="25E230CC" w14:textId="77777777" w:rsidR="003B7265" w:rsidRPr="004A34E0" w:rsidRDefault="003B7265" w:rsidP="003B7265">
            <w:pPr>
              <w:pStyle w:val="TableTextLeft"/>
              <w:cnfStyle w:val="000000000000" w:firstRow="0" w:lastRow="0" w:firstColumn="0" w:lastColumn="0" w:oddVBand="0" w:evenVBand="0" w:oddHBand="0" w:evenHBand="0" w:firstRowFirstColumn="0" w:firstRowLastColumn="0" w:lastRowFirstColumn="0" w:lastRowLastColumn="0"/>
            </w:pPr>
            <w:r w:rsidRPr="004A34E0">
              <w:t>1,300</w:t>
            </w:r>
          </w:p>
        </w:tc>
        <w:tc>
          <w:tcPr>
            <w:tcW w:w="509" w:type="pct"/>
          </w:tcPr>
          <w:p w14:paraId="7176B8E1" w14:textId="77777777" w:rsidR="003B7265" w:rsidRPr="004A34E0" w:rsidRDefault="003B7265" w:rsidP="003B7265">
            <w:pPr>
              <w:pStyle w:val="TableTextLeft"/>
              <w:cnfStyle w:val="000000000000" w:firstRow="0" w:lastRow="0" w:firstColumn="0" w:lastColumn="0" w:oddVBand="0" w:evenVBand="0" w:oddHBand="0" w:evenHBand="0" w:firstRowFirstColumn="0" w:firstRowLastColumn="0" w:lastRowFirstColumn="0" w:lastRowLastColumn="0"/>
            </w:pPr>
            <w:r w:rsidRPr="004A34E0">
              <w:rPr>
                <w:b/>
              </w:rPr>
              <w:t>30,500</w:t>
            </w:r>
          </w:p>
        </w:tc>
        <w:tc>
          <w:tcPr>
            <w:tcW w:w="509" w:type="pct"/>
            <w:vMerge/>
          </w:tcPr>
          <w:p w14:paraId="729F8779" w14:textId="77777777" w:rsidR="003B7265" w:rsidRPr="004A34E0" w:rsidRDefault="003B7265" w:rsidP="003B7265">
            <w:pPr>
              <w:pStyle w:val="TableTextLeft"/>
              <w:cnfStyle w:val="000000000000" w:firstRow="0" w:lastRow="0" w:firstColumn="0" w:lastColumn="0" w:oddVBand="0" w:evenVBand="0" w:oddHBand="0" w:evenHBand="0" w:firstRowFirstColumn="0" w:firstRowLastColumn="0" w:lastRowFirstColumn="0" w:lastRowLastColumn="0"/>
            </w:pPr>
          </w:p>
        </w:tc>
        <w:tc>
          <w:tcPr>
            <w:tcW w:w="508" w:type="pct"/>
            <w:vMerge/>
          </w:tcPr>
          <w:p w14:paraId="6D1D10FC" w14:textId="77777777" w:rsidR="003B7265" w:rsidRPr="004A34E0" w:rsidRDefault="003B7265" w:rsidP="003B7265">
            <w:pPr>
              <w:pStyle w:val="TableTextLeft"/>
              <w:cnfStyle w:val="000000000000" w:firstRow="0" w:lastRow="0" w:firstColumn="0" w:lastColumn="0" w:oddVBand="0" w:evenVBand="0" w:oddHBand="0" w:evenHBand="0" w:firstRowFirstColumn="0" w:firstRowLastColumn="0" w:lastRowFirstColumn="0" w:lastRowLastColumn="0"/>
              <w:rPr>
                <w:b/>
              </w:rPr>
            </w:pPr>
          </w:p>
        </w:tc>
      </w:tr>
      <w:tr w:rsidR="003B7265" w:rsidRPr="004A34E0" w14:paraId="6004F686" w14:textId="77777777" w:rsidTr="003B7265">
        <w:trPr>
          <w:trHeight w:val="290"/>
        </w:trPr>
        <w:tc>
          <w:tcPr>
            <w:cnfStyle w:val="001000000000" w:firstRow="0" w:lastRow="0" w:firstColumn="1" w:lastColumn="0" w:oddVBand="0" w:evenVBand="0" w:oddHBand="0" w:evenHBand="0" w:firstRowFirstColumn="0" w:firstRowLastColumn="0" w:lastRowFirstColumn="0" w:lastRowLastColumn="0"/>
            <w:tcW w:w="942" w:type="pct"/>
          </w:tcPr>
          <w:p w14:paraId="1342A020" w14:textId="77777777" w:rsidR="003B7265" w:rsidRPr="004A34E0" w:rsidRDefault="003B7265" w:rsidP="003B7265">
            <w:pPr>
              <w:pStyle w:val="TableTextLeft"/>
            </w:pPr>
            <w:r w:rsidRPr="004A34E0">
              <w:t>Seagrass</w:t>
            </w:r>
          </w:p>
        </w:tc>
        <w:tc>
          <w:tcPr>
            <w:tcW w:w="633" w:type="pct"/>
          </w:tcPr>
          <w:p w14:paraId="7E05A2EB" w14:textId="77777777" w:rsidR="003B7265" w:rsidRPr="004A34E0" w:rsidRDefault="003B7265" w:rsidP="003B7265">
            <w:pPr>
              <w:pStyle w:val="TableTextLeft"/>
              <w:cnfStyle w:val="000000000000" w:firstRow="0" w:lastRow="0" w:firstColumn="0" w:lastColumn="0" w:oddVBand="0" w:evenVBand="0" w:oddHBand="0" w:evenHBand="0" w:firstRowFirstColumn="0" w:firstRowLastColumn="0" w:lastRowFirstColumn="0" w:lastRowLastColumn="0"/>
            </w:pPr>
            <w:r w:rsidRPr="004A34E0">
              <w:t>52,000</w:t>
            </w:r>
          </w:p>
        </w:tc>
        <w:tc>
          <w:tcPr>
            <w:tcW w:w="633" w:type="pct"/>
            <w:gridSpan w:val="2"/>
          </w:tcPr>
          <w:p w14:paraId="39481386" w14:textId="77777777" w:rsidR="003B7265" w:rsidRPr="004A34E0" w:rsidRDefault="003B7265" w:rsidP="003B7265">
            <w:pPr>
              <w:pStyle w:val="TableTextLeft"/>
              <w:cnfStyle w:val="000000000000" w:firstRow="0" w:lastRow="0" w:firstColumn="0" w:lastColumn="0" w:oddVBand="0" w:evenVBand="0" w:oddHBand="0" w:evenHBand="0" w:firstRowFirstColumn="0" w:firstRowLastColumn="0" w:lastRowFirstColumn="0" w:lastRowLastColumn="0"/>
            </w:pPr>
          </w:p>
        </w:tc>
        <w:tc>
          <w:tcPr>
            <w:tcW w:w="633" w:type="pct"/>
            <w:gridSpan w:val="2"/>
          </w:tcPr>
          <w:p w14:paraId="1D21C2CA" w14:textId="77777777" w:rsidR="003B7265" w:rsidRPr="004A34E0" w:rsidRDefault="003B7265" w:rsidP="003B7265">
            <w:pPr>
              <w:pStyle w:val="TableTextLeft"/>
              <w:cnfStyle w:val="000000000000" w:firstRow="0" w:lastRow="0" w:firstColumn="0" w:lastColumn="0" w:oddVBand="0" w:evenVBand="0" w:oddHBand="0" w:evenHBand="0" w:firstRowFirstColumn="0" w:firstRowLastColumn="0" w:lastRowFirstColumn="0" w:lastRowLastColumn="0"/>
            </w:pPr>
          </w:p>
        </w:tc>
        <w:tc>
          <w:tcPr>
            <w:tcW w:w="634" w:type="pct"/>
            <w:gridSpan w:val="2"/>
          </w:tcPr>
          <w:p w14:paraId="333A8152" w14:textId="77777777" w:rsidR="003B7265" w:rsidRPr="004A34E0" w:rsidRDefault="003B7265" w:rsidP="003B7265">
            <w:pPr>
              <w:pStyle w:val="TableTextLeft"/>
              <w:cnfStyle w:val="000000000000" w:firstRow="0" w:lastRow="0" w:firstColumn="0" w:lastColumn="0" w:oddVBand="0" w:evenVBand="0" w:oddHBand="0" w:evenHBand="0" w:firstRowFirstColumn="0" w:firstRowLastColumn="0" w:lastRowFirstColumn="0" w:lastRowLastColumn="0"/>
            </w:pPr>
          </w:p>
        </w:tc>
        <w:tc>
          <w:tcPr>
            <w:tcW w:w="509" w:type="pct"/>
          </w:tcPr>
          <w:p w14:paraId="667FFAA2" w14:textId="77777777" w:rsidR="003B7265" w:rsidRPr="004A34E0" w:rsidRDefault="003B7265" w:rsidP="003B7265">
            <w:pPr>
              <w:pStyle w:val="TableTextLeft"/>
              <w:cnfStyle w:val="000000000000" w:firstRow="0" w:lastRow="0" w:firstColumn="0" w:lastColumn="0" w:oddVBand="0" w:evenVBand="0" w:oddHBand="0" w:evenHBand="0" w:firstRowFirstColumn="0" w:firstRowLastColumn="0" w:lastRowFirstColumn="0" w:lastRowLastColumn="0"/>
            </w:pPr>
            <w:r w:rsidRPr="004A34E0">
              <w:rPr>
                <w:b/>
              </w:rPr>
              <w:t>52,000</w:t>
            </w:r>
          </w:p>
        </w:tc>
        <w:tc>
          <w:tcPr>
            <w:tcW w:w="509" w:type="pct"/>
            <w:vMerge/>
          </w:tcPr>
          <w:p w14:paraId="56BEFC81" w14:textId="77777777" w:rsidR="003B7265" w:rsidRPr="004A34E0" w:rsidRDefault="003B7265" w:rsidP="003B7265">
            <w:pPr>
              <w:pStyle w:val="TableTextLeft"/>
              <w:cnfStyle w:val="000000000000" w:firstRow="0" w:lastRow="0" w:firstColumn="0" w:lastColumn="0" w:oddVBand="0" w:evenVBand="0" w:oddHBand="0" w:evenHBand="0" w:firstRowFirstColumn="0" w:firstRowLastColumn="0" w:lastRowFirstColumn="0" w:lastRowLastColumn="0"/>
            </w:pPr>
          </w:p>
        </w:tc>
        <w:tc>
          <w:tcPr>
            <w:tcW w:w="508" w:type="pct"/>
            <w:vMerge/>
          </w:tcPr>
          <w:p w14:paraId="77E9D107" w14:textId="77777777" w:rsidR="003B7265" w:rsidRPr="004A34E0" w:rsidRDefault="003B7265" w:rsidP="003B7265">
            <w:pPr>
              <w:pStyle w:val="TableTextLeft"/>
              <w:cnfStyle w:val="000000000000" w:firstRow="0" w:lastRow="0" w:firstColumn="0" w:lastColumn="0" w:oddVBand="0" w:evenVBand="0" w:oddHBand="0" w:evenHBand="0" w:firstRowFirstColumn="0" w:firstRowLastColumn="0" w:lastRowFirstColumn="0" w:lastRowLastColumn="0"/>
              <w:rPr>
                <w:b/>
              </w:rPr>
            </w:pPr>
          </w:p>
        </w:tc>
      </w:tr>
      <w:tr w:rsidR="003B7265" w:rsidRPr="004A34E0" w14:paraId="470C034B" w14:textId="77777777" w:rsidTr="003B7265">
        <w:trPr>
          <w:trHeight w:val="216"/>
        </w:trPr>
        <w:tc>
          <w:tcPr>
            <w:cnfStyle w:val="001000000000" w:firstRow="0" w:lastRow="0" w:firstColumn="1" w:lastColumn="0" w:oddVBand="0" w:evenVBand="0" w:oddHBand="0" w:evenHBand="0" w:firstRowFirstColumn="0" w:firstRowLastColumn="0" w:lastRowFirstColumn="0" w:lastRowLastColumn="0"/>
            <w:tcW w:w="942" w:type="pct"/>
          </w:tcPr>
          <w:p w14:paraId="39724B9F" w14:textId="77777777" w:rsidR="003B7265" w:rsidRPr="004A34E0" w:rsidRDefault="003B7265" w:rsidP="003B7265">
            <w:pPr>
              <w:pStyle w:val="TableTextLeft"/>
            </w:pPr>
            <w:r w:rsidRPr="004A34E0">
              <w:rPr>
                <w:b/>
              </w:rPr>
              <w:t>Total coastal wetlands</w:t>
            </w:r>
          </w:p>
        </w:tc>
        <w:tc>
          <w:tcPr>
            <w:tcW w:w="633" w:type="pct"/>
          </w:tcPr>
          <w:p w14:paraId="70CBDD8A" w14:textId="77777777" w:rsidR="003B7265" w:rsidRPr="004A34E0" w:rsidRDefault="003B7265" w:rsidP="003B7265">
            <w:pPr>
              <w:pStyle w:val="TableTextLeft"/>
              <w:cnfStyle w:val="000000000000" w:firstRow="0" w:lastRow="0" w:firstColumn="0" w:lastColumn="0" w:oddVBand="0" w:evenVBand="0" w:oddHBand="0" w:evenHBand="0" w:firstRowFirstColumn="0" w:firstRowLastColumn="0" w:lastRowFirstColumn="0" w:lastRowLastColumn="0"/>
            </w:pPr>
            <w:r w:rsidRPr="004A34E0">
              <w:rPr>
                <w:b/>
              </w:rPr>
              <w:t>74,800</w:t>
            </w:r>
          </w:p>
        </w:tc>
        <w:tc>
          <w:tcPr>
            <w:tcW w:w="633" w:type="pct"/>
            <w:gridSpan w:val="2"/>
          </w:tcPr>
          <w:p w14:paraId="57FEDB9C" w14:textId="77777777" w:rsidR="003B7265" w:rsidRPr="004A34E0" w:rsidRDefault="003B7265" w:rsidP="003B7265">
            <w:pPr>
              <w:pStyle w:val="TableTextLeft"/>
              <w:cnfStyle w:val="000000000000" w:firstRow="0" w:lastRow="0" w:firstColumn="0" w:lastColumn="0" w:oddVBand="0" w:evenVBand="0" w:oddHBand="0" w:evenHBand="0" w:firstRowFirstColumn="0" w:firstRowLastColumn="0" w:lastRowFirstColumn="0" w:lastRowLastColumn="0"/>
            </w:pPr>
            <w:r w:rsidRPr="004A34E0">
              <w:rPr>
                <w:b/>
              </w:rPr>
              <w:t>6,900</w:t>
            </w:r>
          </w:p>
        </w:tc>
        <w:tc>
          <w:tcPr>
            <w:tcW w:w="633" w:type="pct"/>
            <w:gridSpan w:val="2"/>
          </w:tcPr>
          <w:p w14:paraId="673BDFD6" w14:textId="77777777" w:rsidR="003B7265" w:rsidRPr="004A34E0" w:rsidRDefault="003B7265" w:rsidP="003B7265">
            <w:pPr>
              <w:pStyle w:val="TableTextLeft"/>
              <w:cnfStyle w:val="000000000000" w:firstRow="0" w:lastRow="0" w:firstColumn="0" w:lastColumn="0" w:oddVBand="0" w:evenVBand="0" w:oddHBand="0" w:evenHBand="0" w:firstRowFirstColumn="0" w:firstRowLastColumn="0" w:lastRowFirstColumn="0" w:lastRowLastColumn="0"/>
            </w:pPr>
            <w:r w:rsidRPr="004A34E0">
              <w:rPr>
                <w:b/>
              </w:rPr>
              <w:t>3,800</w:t>
            </w:r>
          </w:p>
        </w:tc>
        <w:tc>
          <w:tcPr>
            <w:tcW w:w="634" w:type="pct"/>
            <w:gridSpan w:val="2"/>
          </w:tcPr>
          <w:p w14:paraId="7F0711B8" w14:textId="77777777" w:rsidR="003B7265" w:rsidRPr="004A34E0" w:rsidRDefault="003B7265" w:rsidP="003B7265">
            <w:pPr>
              <w:pStyle w:val="TableTextLeft"/>
              <w:cnfStyle w:val="000000000000" w:firstRow="0" w:lastRow="0" w:firstColumn="0" w:lastColumn="0" w:oddVBand="0" w:evenVBand="0" w:oddHBand="0" w:evenHBand="0" w:firstRowFirstColumn="0" w:firstRowLastColumn="0" w:lastRowFirstColumn="0" w:lastRowLastColumn="0"/>
            </w:pPr>
            <w:r w:rsidRPr="004A34E0">
              <w:rPr>
                <w:b/>
              </w:rPr>
              <w:t>1,300</w:t>
            </w:r>
          </w:p>
        </w:tc>
        <w:tc>
          <w:tcPr>
            <w:tcW w:w="509" w:type="pct"/>
          </w:tcPr>
          <w:p w14:paraId="4D3FBF25" w14:textId="77777777" w:rsidR="003B7265" w:rsidRPr="004A34E0" w:rsidRDefault="003B7265" w:rsidP="003B7265">
            <w:pPr>
              <w:pStyle w:val="TableTextLeft"/>
              <w:cnfStyle w:val="000000000000" w:firstRow="0" w:lastRow="0" w:firstColumn="0" w:lastColumn="0" w:oddVBand="0" w:evenVBand="0" w:oddHBand="0" w:evenHBand="0" w:firstRowFirstColumn="0" w:firstRowLastColumn="0" w:lastRowFirstColumn="0" w:lastRowLastColumn="0"/>
            </w:pPr>
            <w:r w:rsidRPr="004A34E0">
              <w:rPr>
                <w:b/>
              </w:rPr>
              <w:t>86,800</w:t>
            </w:r>
          </w:p>
        </w:tc>
        <w:tc>
          <w:tcPr>
            <w:tcW w:w="509" w:type="pct"/>
            <w:vMerge/>
            <w:tcBorders>
              <w:bottom w:val="nil"/>
            </w:tcBorders>
          </w:tcPr>
          <w:p w14:paraId="2194DFA9" w14:textId="77777777" w:rsidR="003B7265" w:rsidRPr="004A34E0" w:rsidRDefault="003B7265" w:rsidP="003B7265">
            <w:pPr>
              <w:pStyle w:val="TableTextLeft"/>
              <w:cnfStyle w:val="000000000000" w:firstRow="0" w:lastRow="0" w:firstColumn="0" w:lastColumn="0" w:oddVBand="0" w:evenVBand="0" w:oddHBand="0" w:evenHBand="0" w:firstRowFirstColumn="0" w:firstRowLastColumn="0" w:lastRowFirstColumn="0" w:lastRowLastColumn="0"/>
            </w:pPr>
          </w:p>
        </w:tc>
        <w:tc>
          <w:tcPr>
            <w:tcW w:w="508" w:type="pct"/>
            <w:vMerge/>
            <w:tcBorders>
              <w:bottom w:val="nil"/>
            </w:tcBorders>
          </w:tcPr>
          <w:p w14:paraId="67551B7A" w14:textId="77777777" w:rsidR="003B7265" w:rsidRPr="004A34E0" w:rsidRDefault="003B7265" w:rsidP="003B7265">
            <w:pPr>
              <w:pStyle w:val="TableTextLeft"/>
              <w:cnfStyle w:val="000000000000" w:firstRow="0" w:lastRow="0" w:firstColumn="0" w:lastColumn="0" w:oddVBand="0" w:evenVBand="0" w:oddHBand="0" w:evenHBand="0" w:firstRowFirstColumn="0" w:firstRowLastColumn="0" w:lastRowFirstColumn="0" w:lastRowLastColumn="0"/>
              <w:rPr>
                <w:b/>
              </w:rPr>
            </w:pPr>
          </w:p>
        </w:tc>
      </w:tr>
      <w:tr w:rsidR="003B7265" w:rsidRPr="004A34E0" w14:paraId="386DB8D2" w14:textId="77777777" w:rsidTr="003B7265">
        <w:trPr>
          <w:trHeight w:val="216"/>
        </w:trPr>
        <w:tc>
          <w:tcPr>
            <w:cnfStyle w:val="001000000000" w:firstRow="0" w:lastRow="0" w:firstColumn="1" w:lastColumn="0" w:oddVBand="0" w:evenVBand="0" w:oddHBand="0" w:evenHBand="0" w:firstRowFirstColumn="0" w:firstRowLastColumn="0" w:lastRowFirstColumn="0" w:lastRowLastColumn="0"/>
            <w:tcW w:w="942" w:type="pct"/>
          </w:tcPr>
          <w:p w14:paraId="32E72445" w14:textId="77777777" w:rsidR="003B7265" w:rsidRPr="004A34E0" w:rsidRDefault="003B7265" w:rsidP="003B7265">
            <w:pPr>
              <w:pStyle w:val="TableTextLeft"/>
              <w:rPr>
                <w:i/>
              </w:rPr>
            </w:pPr>
            <w:r w:rsidRPr="004A34E0">
              <w:rPr>
                <w:i/>
              </w:rPr>
              <w:t>Geomorphology</w:t>
            </w:r>
          </w:p>
        </w:tc>
        <w:tc>
          <w:tcPr>
            <w:tcW w:w="633" w:type="pct"/>
          </w:tcPr>
          <w:p w14:paraId="6867449B" w14:textId="77777777" w:rsidR="003B7265" w:rsidRPr="004A34E0" w:rsidRDefault="003B7265" w:rsidP="003B7265">
            <w:pPr>
              <w:pStyle w:val="TableTextLeft"/>
              <w:cnfStyle w:val="000000000000" w:firstRow="0" w:lastRow="0" w:firstColumn="0" w:lastColumn="0" w:oddVBand="0" w:evenVBand="0" w:oddHBand="0" w:evenHBand="0" w:firstRowFirstColumn="0" w:firstRowLastColumn="0" w:lastRowFirstColumn="0" w:lastRowLastColumn="0"/>
            </w:pPr>
          </w:p>
        </w:tc>
        <w:tc>
          <w:tcPr>
            <w:tcW w:w="633" w:type="pct"/>
            <w:gridSpan w:val="2"/>
          </w:tcPr>
          <w:p w14:paraId="5CBFCA78" w14:textId="77777777" w:rsidR="003B7265" w:rsidRPr="004A34E0" w:rsidRDefault="003B7265" w:rsidP="003B7265">
            <w:pPr>
              <w:pStyle w:val="TableTextLeft"/>
              <w:cnfStyle w:val="000000000000" w:firstRow="0" w:lastRow="0" w:firstColumn="0" w:lastColumn="0" w:oddVBand="0" w:evenVBand="0" w:oddHBand="0" w:evenHBand="0" w:firstRowFirstColumn="0" w:firstRowLastColumn="0" w:lastRowFirstColumn="0" w:lastRowLastColumn="0"/>
            </w:pPr>
          </w:p>
        </w:tc>
        <w:tc>
          <w:tcPr>
            <w:tcW w:w="633" w:type="pct"/>
            <w:gridSpan w:val="2"/>
          </w:tcPr>
          <w:p w14:paraId="44C74778" w14:textId="77777777" w:rsidR="003B7265" w:rsidRPr="004A34E0" w:rsidRDefault="003B7265" w:rsidP="003B7265">
            <w:pPr>
              <w:pStyle w:val="TableTextLeft"/>
              <w:cnfStyle w:val="000000000000" w:firstRow="0" w:lastRow="0" w:firstColumn="0" w:lastColumn="0" w:oddVBand="0" w:evenVBand="0" w:oddHBand="0" w:evenHBand="0" w:firstRowFirstColumn="0" w:firstRowLastColumn="0" w:lastRowFirstColumn="0" w:lastRowLastColumn="0"/>
            </w:pPr>
          </w:p>
        </w:tc>
        <w:tc>
          <w:tcPr>
            <w:tcW w:w="634" w:type="pct"/>
            <w:gridSpan w:val="2"/>
          </w:tcPr>
          <w:p w14:paraId="2C0D9352" w14:textId="77777777" w:rsidR="003B7265" w:rsidRPr="004A34E0" w:rsidRDefault="003B7265" w:rsidP="003B7265">
            <w:pPr>
              <w:pStyle w:val="TableTextLeft"/>
              <w:cnfStyle w:val="000000000000" w:firstRow="0" w:lastRow="0" w:firstColumn="0" w:lastColumn="0" w:oddVBand="0" w:evenVBand="0" w:oddHBand="0" w:evenHBand="0" w:firstRowFirstColumn="0" w:firstRowLastColumn="0" w:lastRowFirstColumn="0" w:lastRowLastColumn="0"/>
            </w:pPr>
            <w:r w:rsidRPr="004A34E0">
              <w:rPr>
                <w:i/>
              </w:rPr>
              <w:t>30,400</w:t>
            </w:r>
          </w:p>
        </w:tc>
        <w:tc>
          <w:tcPr>
            <w:tcW w:w="509" w:type="pct"/>
          </w:tcPr>
          <w:p w14:paraId="1FD98AA1" w14:textId="77777777" w:rsidR="003B7265" w:rsidRPr="004A34E0" w:rsidRDefault="003B7265" w:rsidP="003B7265">
            <w:pPr>
              <w:pStyle w:val="TableTextLeft"/>
              <w:cnfStyle w:val="000000000000" w:firstRow="0" w:lastRow="0" w:firstColumn="0" w:lastColumn="0" w:oddVBand="0" w:evenVBand="0" w:oddHBand="0" w:evenHBand="0" w:firstRowFirstColumn="0" w:firstRowLastColumn="0" w:lastRowFirstColumn="0" w:lastRowLastColumn="0"/>
              <w:rPr>
                <w:i/>
              </w:rPr>
            </w:pPr>
            <w:r w:rsidRPr="004A34E0">
              <w:rPr>
                <w:i/>
              </w:rPr>
              <w:t>30,400</w:t>
            </w:r>
          </w:p>
        </w:tc>
        <w:tc>
          <w:tcPr>
            <w:tcW w:w="509" w:type="pct"/>
            <w:tcBorders>
              <w:top w:val="nil"/>
            </w:tcBorders>
          </w:tcPr>
          <w:p w14:paraId="77A81428" w14:textId="77777777" w:rsidR="003B7265" w:rsidRPr="004A34E0" w:rsidRDefault="003B7265" w:rsidP="003B7265">
            <w:pPr>
              <w:pStyle w:val="TableTextLeft"/>
              <w:cnfStyle w:val="000000000000" w:firstRow="0" w:lastRow="0" w:firstColumn="0" w:lastColumn="0" w:oddVBand="0" w:evenVBand="0" w:oddHBand="0" w:evenHBand="0" w:firstRowFirstColumn="0" w:firstRowLastColumn="0" w:lastRowFirstColumn="0" w:lastRowLastColumn="0"/>
            </w:pPr>
          </w:p>
        </w:tc>
        <w:tc>
          <w:tcPr>
            <w:tcW w:w="508" w:type="pct"/>
            <w:tcBorders>
              <w:top w:val="nil"/>
            </w:tcBorders>
          </w:tcPr>
          <w:p w14:paraId="061A424A" w14:textId="77777777" w:rsidR="003B7265" w:rsidRPr="004A34E0" w:rsidRDefault="003B7265" w:rsidP="003B7265">
            <w:pPr>
              <w:pStyle w:val="TableTextLeft"/>
              <w:cnfStyle w:val="000000000000" w:firstRow="0" w:lastRow="0" w:firstColumn="0" w:lastColumn="0" w:oddVBand="0" w:evenVBand="0" w:oddHBand="0" w:evenHBand="0" w:firstRowFirstColumn="0" w:firstRowLastColumn="0" w:lastRowFirstColumn="0" w:lastRowLastColumn="0"/>
              <w:rPr>
                <w:b/>
              </w:rPr>
            </w:pPr>
          </w:p>
        </w:tc>
      </w:tr>
    </w:tbl>
    <w:p w14:paraId="2443F1F3" w14:textId="77777777" w:rsidR="007904E8" w:rsidRPr="004A34E0" w:rsidRDefault="007904E8" w:rsidP="007904E8">
      <w:pPr>
        <w:pStyle w:val="BodyText"/>
      </w:pPr>
      <w:proofErr w:type="spellStart"/>
      <w:r w:rsidRPr="004A34E0">
        <w:rPr>
          <w:vertAlign w:val="superscript"/>
        </w:rPr>
        <w:t>a</w:t>
      </w:r>
      <w:proofErr w:type="spellEnd"/>
      <w:r w:rsidRPr="004A34E0">
        <w:rPr>
          <w:vertAlign w:val="superscript"/>
        </w:rPr>
        <w:t xml:space="preserve"> </w:t>
      </w:r>
      <w:r w:rsidRPr="004A34E0">
        <w:t>The Carnell et al (2019) study does not state the year for which the analysis is applicable but given that the study was undertaken in 2019 it is assumed for the purpose of this GORCAP EEA that it is representative of the ecosystem service provided in the year 2019.</w:t>
      </w:r>
    </w:p>
    <w:p w14:paraId="5DA5B22B" w14:textId="77777777" w:rsidR="007904E8" w:rsidRPr="004A34E0" w:rsidRDefault="007904E8" w:rsidP="007904E8">
      <w:pPr>
        <w:pStyle w:val="BodyText"/>
      </w:pPr>
      <w:r w:rsidRPr="004A34E0">
        <w:t>The substantially larger area over which coastal hazard exposure is reduced by wetlands compared to the area of wetlands, as shown in Tables 18 and 19, is because:</w:t>
      </w:r>
    </w:p>
    <w:p w14:paraId="38B112FC" w14:textId="77777777" w:rsidR="007904E8" w:rsidRPr="004A34E0" w:rsidRDefault="007904E8" w:rsidP="007904E8">
      <w:pPr>
        <w:pStyle w:val="ListBullet"/>
      </w:pPr>
      <w:r w:rsidRPr="004A34E0">
        <w:t>The mitigation of storm surges and sea level rise due to wetlands can be felt far beyond where the wetlands are located, therefore resulting in the service being provided across a greater area than the wetland.</w:t>
      </w:r>
    </w:p>
    <w:p w14:paraId="7C320E95" w14:textId="77777777" w:rsidR="007904E8" w:rsidRPr="004A34E0" w:rsidRDefault="007904E8" w:rsidP="007904E8">
      <w:pPr>
        <w:pStyle w:val="ListBullet"/>
      </w:pPr>
      <w:r w:rsidRPr="004A34E0">
        <w:t>The Carnell et al (2019) analysis was estimated at 1km</w:t>
      </w:r>
      <w:r w:rsidRPr="004A34E0">
        <w:rPr>
          <w:vertAlign w:val="superscript"/>
        </w:rPr>
        <w:t>2</w:t>
      </w:r>
      <w:r w:rsidRPr="004A34E0">
        <w:t xml:space="preserve"> resolution, meaning that each 1km</w:t>
      </w:r>
      <w:r w:rsidRPr="004A34E0">
        <w:rPr>
          <w:vertAlign w:val="superscript"/>
        </w:rPr>
        <w:t>2</w:t>
      </w:r>
      <w:r w:rsidRPr="004A34E0">
        <w:t xml:space="preserve"> land area (grid square) would be counted as benefitting from a reduction in coastal exposure, despite the service (potentially) only be provided across a proportion of each grid square. </w:t>
      </w:r>
    </w:p>
    <w:p w14:paraId="27665D72" w14:textId="77777777" w:rsidR="007904E8" w:rsidRPr="004A34E0" w:rsidRDefault="007904E8" w:rsidP="007904E8">
      <w:pPr>
        <w:pStyle w:val="BodyText12ptBefore"/>
      </w:pPr>
      <w:r w:rsidRPr="004A34E0">
        <w:lastRenderedPageBreak/>
        <w:t>The extent of overlap across wetland types has been assessed by the study team and the total coastal wetland area that is estimated to provide a coastal protection service based on by Carnell et al (2019) is 63,600 ha (sum of estimated area in grey cells in Table 31). This means that there is 23,200 ha of area which is double or triple counted. Table 31 shows that there is 1,600 ha of mangrove and saltmarsh, 600 ha of mangrove and seagrass and 8,800 ha of saltmarsh and seagrass which is double counted (equalling 22,400 ha) and 500 ha with all three wetland types (i.e., is triple counted, equalling 1,500), equalling a total of 23,900 ha.</w:t>
      </w:r>
      <w:r w:rsidRPr="004A34E0">
        <w:rPr>
          <w:vertAlign w:val="superscript"/>
        </w:rPr>
        <w:footnoteReference w:id="64"/>
      </w:r>
      <w:r w:rsidRPr="004A34E0">
        <w:t xml:space="preserve"> </w:t>
      </w:r>
      <w:r w:rsidRPr="004A34E0">
        <w:rPr>
          <w:b/>
        </w:rPr>
        <w:t>This means that there is a total of 11,700 ha in the GORCAP EEA region that has multiple habitat types and a total area benefitting from exposure reduction of 75,300 ha.</w:t>
      </w:r>
      <w:r w:rsidRPr="004A34E0">
        <w:rPr>
          <w:vertAlign w:val="superscript"/>
        </w:rPr>
        <w:footnoteReference w:id="65"/>
      </w:r>
      <w:r w:rsidRPr="004A34E0">
        <w:t xml:space="preserve"> </w:t>
      </w:r>
    </w:p>
    <w:p w14:paraId="1D1BA6DF" w14:textId="77777777" w:rsidR="007904E8" w:rsidRPr="004A34E0" w:rsidRDefault="007904E8" w:rsidP="00270081">
      <w:pPr>
        <w:pStyle w:val="Caption"/>
      </w:pPr>
      <w:r w:rsidRPr="004A34E0">
        <w:t>Table 31. Estimated area (ha) of coastal protection provided by single and multiple ecosystem types in the GORCAP EEA region in 2019</w:t>
      </w:r>
    </w:p>
    <w:tbl>
      <w:tblPr>
        <w:tblStyle w:val="TableGrid"/>
        <w:tblW w:w="5000" w:type="pct"/>
        <w:tblLook w:val="04A0" w:firstRow="1" w:lastRow="0" w:firstColumn="1" w:lastColumn="0" w:noHBand="0" w:noVBand="1"/>
      </w:tblPr>
      <w:tblGrid>
        <w:gridCol w:w="1508"/>
        <w:gridCol w:w="1336"/>
        <w:gridCol w:w="1336"/>
        <w:gridCol w:w="1334"/>
        <w:gridCol w:w="1446"/>
        <w:gridCol w:w="939"/>
        <w:gridCol w:w="804"/>
        <w:gridCol w:w="935"/>
      </w:tblGrid>
      <w:tr w:rsidR="002573E4" w:rsidRPr="004A34E0" w14:paraId="043692A2" w14:textId="77777777" w:rsidTr="003B7265">
        <w:trPr>
          <w:cnfStyle w:val="100000000000" w:firstRow="1" w:lastRow="0" w:firstColumn="0" w:lastColumn="0" w:oddVBand="0" w:evenVBand="0" w:oddHBand="0"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783" w:type="pct"/>
            <w:vMerge w:val="restart"/>
            <w:shd w:val="clear" w:color="auto" w:fill="auto"/>
          </w:tcPr>
          <w:p w14:paraId="754F3E46" w14:textId="77777777" w:rsidR="007904E8" w:rsidRPr="004A34E0" w:rsidRDefault="007904E8" w:rsidP="00666947">
            <w:pPr>
              <w:pStyle w:val="TableTextLeft"/>
            </w:pPr>
          </w:p>
        </w:tc>
        <w:tc>
          <w:tcPr>
            <w:tcW w:w="3315" w:type="pct"/>
            <w:gridSpan w:val="5"/>
          </w:tcPr>
          <w:p w14:paraId="7C14EDD3"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Area (ha)</w:t>
            </w:r>
          </w:p>
        </w:tc>
        <w:tc>
          <w:tcPr>
            <w:tcW w:w="417" w:type="pct"/>
            <w:vMerge w:val="restart"/>
          </w:tcPr>
          <w:p w14:paraId="49F4B528"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Year</w:t>
            </w:r>
          </w:p>
        </w:tc>
        <w:tc>
          <w:tcPr>
            <w:tcW w:w="485" w:type="pct"/>
            <w:vMerge w:val="restart"/>
          </w:tcPr>
          <w:p w14:paraId="4BD6A2F6"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rPr>
                <w:b/>
              </w:rPr>
            </w:pPr>
            <w:r w:rsidRPr="004A34E0">
              <w:rPr>
                <w:b/>
              </w:rPr>
              <w:t>Source</w:t>
            </w:r>
          </w:p>
        </w:tc>
      </w:tr>
      <w:tr w:rsidR="007904E8" w:rsidRPr="004A34E0" w14:paraId="0D58FADE" w14:textId="77777777" w:rsidTr="003B7265">
        <w:trPr>
          <w:trHeight w:val="233"/>
        </w:trPr>
        <w:tc>
          <w:tcPr>
            <w:cnfStyle w:val="001000000000" w:firstRow="0" w:lastRow="0" w:firstColumn="1" w:lastColumn="0" w:oddVBand="0" w:evenVBand="0" w:oddHBand="0" w:evenHBand="0" w:firstRowFirstColumn="0" w:firstRowLastColumn="0" w:lastRowFirstColumn="0" w:lastRowLastColumn="0"/>
            <w:tcW w:w="783" w:type="pct"/>
            <w:vMerge/>
            <w:shd w:val="clear" w:color="auto" w:fill="auto"/>
          </w:tcPr>
          <w:p w14:paraId="3CA40D78" w14:textId="77777777" w:rsidR="007904E8" w:rsidRPr="004A34E0" w:rsidRDefault="007904E8" w:rsidP="00666947">
            <w:pPr>
              <w:pStyle w:val="TableTextLeft"/>
            </w:pPr>
          </w:p>
        </w:tc>
        <w:tc>
          <w:tcPr>
            <w:tcW w:w="693" w:type="pct"/>
            <w:tcBorders>
              <w:top w:val="nil"/>
            </w:tcBorders>
            <w:shd w:val="clear" w:color="auto" w:fill="004C97" w:themeFill="accent1"/>
          </w:tcPr>
          <w:p w14:paraId="7CA58C68" w14:textId="77777777" w:rsidR="007904E8" w:rsidRPr="003B7265"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3B7265">
              <w:rPr>
                <w:b/>
                <w:color w:val="FFFFFF" w:themeColor="background1"/>
              </w:rPr>
              <w:t>Mangrove</w:t>
            </w:r>
          </w:p>
        </w:tc>
        <w:tc>
          <w:tcPr>
            <w:tcW w:w="693" w:type="pct"/>
            <w:tcBorders>
              <w:top w:val="nil"/>
            </w:tcBorders>
            <w:shd w:val="clear" w:color="auto" w:fill="004C97" w:themeFill="accent1"/>
          </w:tcPr>
          <w:p w14:paraId="76086D7C" w14:textId="77777777" w:rsidR="007904E8" w:rsidRPr="003B7265"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3B7265">
              <w:rPr>
                <w:b/>
                <w:color w:val="FFFFFF" w:themeColor="background1"/>
              </w:rPr>
              <w:t>Saltmarsh</w:t>
            </w:r>
          </w:p>
        </w:tc>
        <w:tc>
          <w:tcPr>
            <w:tcW w:w="692" w:type="pct"/>
            <w:tcBorders>
              <w:top w:val="nil"/>
            </w:tcBorders>
            <w:shd w:val="clear" w:color="auto" w:fill="004C97" w:themeFill="accent1"/>
          </w:tcPr>
          <w:p w14:paraId="3C5D2A0E" w14:textId="77777777" w:rsidR="007904E8" w:rsidRPr="003B7265"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3B7265">
              <w:rPr>
                <w:b/>
                <w:color w:val="FFFFFF" w:themeColor="background1"/>
              </w:rPr>
              <w:t>Seagrass</w:t>
            </w:r>
          </w:p>
        </w:tc>
        <w:tc>
          <w:tcPr>
            <w:tcW w:w="750" w:type="pct"/>
            <w:tcBorders>
              <w:top w:val="nil"/>
            </w:tcBorders>
            <w:shd w:val="clear" w:color="auto" w:fill="004C97" w:themeFill="accent1"/>
          </w:tcPr>
          <w:p w14:paraId="5D23263D" w14:textId="77777777" w:rsidR="007904E8" w:rsidRPr="003B7265"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3B7265">
              <w:rPr>
                <w:b/>
                <w:color w:val="FFFFFF" w:themeColor="background1"/>
              </w:rPr>
              <w:t>All three wetlands</w:t>
            </w:r>
          </w:p>
        </w:tc>
        <w:tc>
          <w:tcPr>
            <w:tcW w:w="487" w:type="pct"/>
            <w:tcBorders>
              <w:top w:val="nil"/>
            </w:tcBorders>
            <w:shd w:val="clear" w:color="auto" w:fill="004C97" w:themeFill="accent1"/>
          </w:tcPr>
          <w:p w14:paraId="287ED31E" w14:textId="77777777" w:rsidR="007904E8" w:rsidRPr="003B7265"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3B7265">
              <w:rPr>
                <w:b/>
                <w:color w:val="FFFFFF" w:themeColor="background1"/>
              </w:rPr>
              <w:t>Total</w:t>
            </w:r>
          </w:p>
        </w:tc>
        <w:tc>
          <w:tcPr>
            <w:tcW w:w="417" w:type="pct"/>
            <w:vMerge/>
          </w:tcPr>
          <w:p w14:paraId="2476016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485" w:type="pct"/>
            <w:vMerge/>
          </w:tcPr>
          <w:p w14:paraId="5E20047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rPr>
            </w:pPr>
          </w:p>
        </w:tc>
      </w:tr>
      <w:tr w:rsidR="002573E4" w:rsidRPr="004A34E0" w14:paraId="40FC7DA6" w14:textId="77777777" w:rsidTr="003B7265">
        <w:trPr>
          <w:trHeight w:val="233"/>
        </w:trPr>
        <w:tc>
          <w:tcPr>
            <w:cnfStyle w:val="001000000000" w:firstRow="0" w:lastRow="0" w:firstColumn="1" w:lastColumn="0" w:oddVBand="0" w:evenVBand="0" w:oddHBand="0" w:evenHBand="0" w:firstRowFirstColumn="0" w:firstRowLastColumn="0" w:lastRowFirstColumn="0" w:lastRowLastColumn="0"/>
            <w:tcW w:w="783" w:type="pct"/>
          </w:tcPr>
          <w:p w14:paraId="299CC6C1" w14:textId="77777777" w:rsidR="007904E8" w:rsidRPr="004A34E0" w:rsidRDefault="007904E8" w:rsidP="00666947">
            <w:pPr>
              <w:pStyle w:val="TableTextLeft"/>
            </w:pPr>
            <w:r w:rsidRPr="004A34E0">
              <w:t>Mangrove</w:t>
            </w:r>
          </w:p>
        </w:tc>
        <w:tc>
          <w:tcPr>
            <w:tcW w:w="693" w:type="pct"/>
            <w:shd w:val="clear" w:color="auto" w:fill="CCDBEA" w:themeFill="background2"/>
          </w:tcPr>
          <w:p w14:paraId="7E81A51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1,600</w:t>
            </w:r>
          </w:p>
        </w:tc>
        <w:tc>
          <w:tcPr>
            <w:tcW w:w="693" w:type="pct"/>
          </w:tcPr>
          <w:p w14:paraId="4EA842E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692" w:type="pct"/>
          </w:tcPr>
          <w:p w14:paraId="281C151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750" w:type="pct"/>
          </w:tcPr>
          <w:p w14:paraId="5862573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487" w:type="pct"/>
          </w:tcPr>
          <w:p w14:paraId="4FB8D1D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1,600</w:t>
            </w:r>
          </w:p>
        </w:tc>
        <w:tc>
          <w:tcPr>
            <w:tcW w:w="417" w:type="pct"/>
            <w:vMerge w:val="restart"/>
          </w:tcPr>
          <w:p w14:paraId="0056FE6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2019</w:t>
            </w:r>
            <w:r w:rsidRPr="004A34E0">
              <w:rPr>
                <w:vertAlign w:val="superscript"/>
              </w:rPr>
              <w:t>a</w:t>
            </w:r>
          </w:p>
        </w:tc>
        <w:tc>
          <w:tcPr>
            <w:tcW w:w="485" w:type="pct"/>
            <w:vMerge w:val="restart"/>
          </w:tcPr>
          <w:p w14:paraId="246B3C7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Carnell et al (2019)</w:t>
            </w:r>
          </w:p>
        </w:tc>
      </w:tr>
      <w:tr w:rsidR="002573E4" w:rsidRPr="004A34E0" w14:paraId="7CEBE249" w14:textId="77777777" w:rsidTr="003B7265">
        <w:trPr>
          <w:trHeight w:val="233"/>
        </w:trPr>
        <w:tc>
          <w:tcPr>
            <w:cnfStyle w:val="001000000000" w:firstRow="0" w:lastRow="0" w:firstColumn="1" w:lastColumn="0" w:oddVBand="0" w:evenVBand="0" w:oddHBand="0" w:evenHBand="0" w:firstRowFirstColumn="0" w:firstRowLastColumn="0" w:lastRowFirstColumn="0" w:lastRowLastColumn="0"/>
            <w:tcW w:w="783" w:type="pct"/>
          </w:tcPr>
          <w:p w14:paraId="316D234B" w14:textId="77777777" w:rsidR="007904E8" w:rsidRPr="004A34E0" w:rsidRDefault="007904E8" w:rsidP="00666947">
            <w:pPr>
              <w:pStyle w:val="TableTextLeft"/>
            </w:pPr>
            <w:r w:rsidRPr="004A34E0">
              <w:t>Saltmarsh</w:t>
            </w:r>
          </w:p>
        </w:tc>
        <w:tc>
          <w:tcPr>
            <w:tcW w:w="693" w:type="pct"/>
          </w:tcPr>
          <w:p w14:paraId="42EFD3D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1,700</w:t>
            </w:r>
          </w:p>
        </w:tc>
        <w:tc>
          <w:tcPr>
            <w:tcW w:w="693" w:type="pct"/>
            <w:shd w:val="clear" w:color="auto" w:fill="CCDBEA" w:themeFill="background2"/>
          </w:tcPr>
          <w:p w14:paraId="059F49B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20,000</w:t>
            </w:r>
          </w:p>
        </w:tc>
        <w:tc>
          <w:tcPr>
            <w:tcW w:w="692" w:type="pct"/>
          </w:tcPr>
          <w:p w14:paraId="4ADB73B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750" w:type="pct"/>
          </w:tcPr>
          <w:p w14:paraId="5FF391A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487" w:type="pct"/>
          </w:tcPr>
          <w:p w14:paraId="1E27301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21,700</w:t>
            </w:r>
          </w:p>
        </w:tc>
        <w:tc>
          <w:tcPr>
            <w:tcW w:w="417" w:type="pct"/>
            <w:vMerge/>
          </w:tcPr>
          <w:p w14:paraId="606C072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485" w:type="pct"/>
            <w:vMerge/>
          </w:tcPr>
          <w:p w14:paraId="2B5BD44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2573E4" w:rsidRPr="004A34E0" w14:paraId="5DD15C18" w14:textId="77777777" w:rsidTr="003B7265">
        <w:trPr>
          <w:trHeight w:val="222"/>
        </w:trPr>
        <w:tc>
          <w:tcPr>
            <w:cnfStyle w:val="001000000000" w:firstRow="0" w:lastRow="0" w:firstColumn="1" w:lastColumn="0" w:oddVBand="0" w:evenVBand="0" w:oddHBand="0" w:evenHBand="0" w:firstRowFirstColumn="0" w:firstRowLastColumn="0" w:lastRowFirstColumn="0" w:lastRowLastColumn="0"/>
            <w:tcW w:w="783" w:type="pct"/>
          </w:tcPr>
          <w:p w14:paraId="00550EB2" w14:textId="77777777" w:rsidR="007904E8" w:rsidRPr="004A34E0" w:rsidRDefault="007904E8" w:rsidP="00666947">
            <w:pPr>
              <w:pStyle w:val="TableTextLeft"/>
            </w:pPr>
            <w:r w:rsidRPr="004A34E0">
              <w:t>Seagrass</w:t>
            </w:r>
          </w:p>
        </w:tc>
        <w:tc>
          <w:tcPr>
            <w:tcW w:w="693" w:type="pct"/>
          </w:tcPr>
          <w:p w14:paraId="5A21860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600</w:t>
            </w:r>
          </w:p>
        </w:tc>
        <w:tc>
          <w:tcPr>
            <w:tcW w:w="693" w:type="pct"/>
          </w:tcPr>
          <w:p w14:paraId="531F795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8,800</w:t>
            </w:r>
          </w:p>
        </w:tc>
        <w:tc>
          <w:tcPr>
            <w:tcW w:w="692" w:type="pct"/>
            <w:shd w:val="clear" w:color="auto" w:fill="CCDBEA" w:themeFill="background2"/>
          </w:tcPr>
          <w:p w14:paraId="797EA25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42,000</w:t>
            </w:r>
          </w:p>
        </w:tc>
        <w:tc>
          <w:tcPr>
            <w:tcW w:w="750" w:type="pct"/>
          </w:tcPr>
          <w:p w14:paraId="0A26FC7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487" w:type="pct"/>
          </w:tcPr>
          <w:p w14:paraId="14B0035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51,400</w:t>
            </w:r>
          </w:p>
        </w:tc>
        <w:tc>
          <w:tcPr>
            <w:tcW w:w="417" w:type="pct"/>
            <w:vMerge/>
          </w:tcPr>
          <w:p w14:paraId="3F7C536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485" w:type="pct"/>
            <w:vMerge/>
          </w:tcPr>
          <w:p w14:paraId="1F99795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2573E4" w:rsidRPr="004A34E0" w14:paraId="1D8C13A3" w14:textId="77777777" w:rsidTr="002573E4">
        <w:trPr>
          <w:trHeight w:val="222"/>
        </w:trPr>
        <w:tc>
          <w:tcPr>
            <w:cnfStyle w:val="001000000000" w:firstRow="0" w:lastRow="0" w:firstColumn="1" w:lastColumn="0" w:oddVBand="0" w:evenVBand="0" w:oddHBand="0" w:evenHBand="0" w:firstRowFirstColumn="0" w:firstRowLastColumn="0" w:lastRowFirstColumn="0" w:lastRowLastColumn="0"/>
            <w:tcW w:w="783" w:type="pct"/>
          </w:tcPr>
          <w:p w14:paraId="43C6DBDC" w14:textId="77777777" w:rsidR="007904E8" w:rsidRPr="004A34E0" w:rsidRDefault="007904E8" w:rsidP="00666947">
            <w:pPr>
              <w:pStyle w:val="TableTextLeft"/>
            </w:pPr>
            <w:r w:rsidRPr="004A34E0">
              <w:t>All three wetlands</w:t>
            </w:r>
          </w:p>
        </w:tc>
        <w:tc>
          <w:tcPr>
            <w:tcW w:w="693" w:type="pct"/>
          </w:tcPr>
          <w:p w14:paraId="3EED6A4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693" w:type="pct"/>
          </w:tcPr>
          <w:p w14:paraId="3512FA1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692" w:type="pct"/>
          </w:tcPr>
          <w:p w14:paraId="3411051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750" w:type="pct"/>
          </w:tcPr>
          <w:p w14:paraId="0BFD412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500</w:t>
            </w:r>
          </w:p>
        </w:tc>
        <w:tc>
          <w:tcPr>
            <w:tcW w:w="487" w:type="pct"/>
          </w:tcPr>
          <w:p w14:paraId="0DB99AC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500</w:t>
            </w:r>
          </w:p>
        </w:tc>
        <w:tc>
          <w:tcPr>
            <w:tcW w:w="417" w:type="pct"/>
            <w:vMerge/>
          </w:tcPr>
          <w:p w14:paraId="2472EEA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485" w:type="pct"/>
            <w:vMerge/>
          </w:tcPr>
          <w:p w14:paraId="683A3EE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2573E4" w:rsidRPr="004A34E0" w14:paraId="124847A2" w14:textId="77777777" w:rsidTr="002573E4">
        <w:trPr>
          <w:trHeight w:val="222"/>
        </w:trPr>
        <w:tc>
          <w:tcPr>
            <w:cnfStyle w:val="001000000000" w:firstRow="0" w:lastRow="0" w:firstColumn="1" w:lastColumn="0" w:oddVBand="0" w:evenVBand="0" w:oddHBand="0" w:evenHBand="0" w:firstRowFirstColumn="0" w:firstRowLastColumn="0" w:lastRowFirstColumn="0" w:lastRowLastColumn="0"/>
            <w:tcW w:w="783" w:type="pct"/>
          </w:tcPr>
          <w:p w14:paraId="21DA2763" w14:textId="77777777" w:rsidR="007904E8" w:rsidRPr="004A34E0" w:rsidRDefault="007904E8" w:rsidP="00666947">
            <w:pPr>
              <w:pStyle w:val="TableTextLeft"/>
            </w:pPr>
          </w:p>
        </w:tc>
        <w:tc>
          <w:tcPr>
            <w:tcW w:w="693" w:type="pct"/>
          </w:tcPr>
          <w:p w14:paraId="4925CC4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693" w:type="pct"/>
          </w:tcPr>
          <w:p w14:paraId="4A1A3B9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692" w:type="pct"/>
          </w:tcPr>
          <w:p w14:paraId="6B6D2FD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750" w:type="pct"/>
          </w:tcPr>
          <w:p w14:paraId="56D0AA4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487" w:type="pct"/>
          </w:tcPr>
          <w:p w14:paraId="1E219D7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rPr>
            </w:pPr>
            <w:r w:rsidRPr="004A34E0">
              <w:rPr>
                <w:b/>
              </w:rPr>
              <w:t>75,200</w:t>
            </w:r>
          </w:p>
        </w:tc>
        <w:tc>
          <w:tcPr>
            <w:tcW w:w="417" w:type="pct"/>
            <w:vMerge/>
          </w:tcPr>
          <w:p w14:paraId="0AA1D99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485" w:type="pct"/>
            <w:vMerge/>
          </w:tcPr>
          <w:p w14:paraId="7E25FC2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bl>
    <w:p w14:paraId="231A0CD9" w14:textId="77777777" w:rsidR="007904E8" w:rsidRPr="004A34E0" w:rsidRDefault="007904E8" w:rsidP="007904E8">
      <w:pPr>
        <w:pStyle w:val="BodyText"/>
      </w:pPr>
      <w:proofErr w:type="spellStart"/>
      <w:r w:rsidRPr="004A34E0">
        <w:rPr>
          <w:vertAlign w:val="superscript"/>
        </w:rPr>
        <w:t>a</w:t>
      </w:r>
      <w:proofErr w:type="spellEnd"/>
      <w:r w:rsidRPr="004A34E0">
        <w:rPr>
          <w:vertAlign w:val="superscript"/>
        </w:rPr>
        <w:t xml:space="preserve"> </w:t>
      </w:r>
      <w:r w:rsidRPr="004A34E0">
        <w:t>The Carnell et al (2019) study does not state the year for which the analysis is applicable but given that the study was undertaken in 2019 it is assumed for the purpose of this GORCAP EEA that it is representative of the ecosystem service provided in the year 2019.</w:t>
      </w:r>
    </w:p>
    <w:p w14:paraId="396BA099" w14:textId="77777777" w:rsidR="007904E8" w:rsidRPr="004A34E0" w:rsidRDefault="007904E8" w:rsidP="007904E8">
      <w:pPr>
        <w:pStyle w:val="BodyText"/>
      </w:pPr>
      <w:r w:rsidRPr="004A34E0">
        <w:t>Figure 28 shows the distribution of area that benefits from the coastal protection service provided by coastal ecosystems. Where multiple ecosystem types provide the same level of service in the same location, the wetlands are presented in Figure 28 in the followed order: mangrove (because there is only 4 hectares in the GORCAP EEA region) then saltmarsh (because there is only 75 hectares in the GORCAP EEA region), then seagrass, with geomorphology shown as hatching.</w:t>
      </w:r>
      <w:r w:rsidRPr="004A34E0">
        <w:rPr>
          <w:vertAlign w:val="superscript"/>
        </w:rPr>
        <w:footnoteReference w:id="66"/>
      </w:r>
      <w:r w:rsidRPr="004A34E0">
        <w:t xml:space="preserve"> </w:t>
      </w:r>
    </w:p>
    <w:p w14:paraId="70FCD729" w14:textId="77777777" w:rsidR="007904E8" w:rsidRPr="004A34E0" w:rsidRDefault="007904E8" w:rsidP="007904E8">
      <w:pPr>
        <w:pStyle w:val="BodyText"/>
      </w:pPr>
      <w:r w:rsidRPr="004A34E0">
        <w:t xml:space="preserve">It is estimated that approximately </w:t>
      </w:r>
      <w:r w:rsidRPr="004A34E0">
        <w:rPr>
          <w:b/>
        </w:rPr>
        <w:t>239 kilometres</w:t>
      </w:r>
      <w:r w:rsidRPr="004A34E0">
        <w:t xml:space="preserve"> of coastline is protected by wetland within the GORCAP region based on the Carnell et al (2019) analysis, as shown in Figure 29. It is assumed, based on discussions with the author of the Carnell et al (2019) study, that the exposure reduction by each ecosystem are additive. Therefore, where areas benefit from exposure reductions by multiple wetland areas (and geomorphology), the percentage reduction in hazard exposure is combined (for example, an area with saltmarsh providing a 2 per cent reduction in hazard exposure, seagrass providing a 1 per cent reduction and geomorphology providing a 4 per cent reduction in hazard exposure would be combined to report the total ecosystem providing a 7 per cent reduction in hazard exposure).</w:t>
      </w:r>
    </w:p>
    <w:p w14:paraId="2ED727F9" w14:textId="77777777" w:rsidR="007904E8" w:rsidRPr="004A34E0" w:rsidRDefault="007904E8" w:rsidP="007904E8">
      <w:pPr>
        <w:pStyle w:val="BodyText"/>
        <w:sectPr w:rsidR="007904E8" w:rsidRPr="004A34E0" w:rsidSect="00E52A9A">
          <w:headerReference w:type="even" r:id="rId154"/>
          <w:headerReference w:type="default" r:id="rId155"/>
          <w:footerReference w:type="even" r:id="rId156"/>
          <w:footerReference w:type="default" r:id="rId157"/>
          <w:pgSz w:w="11906" w:h="16838" w:code="9"/>
          <w:pgMar w:top="1134" w:right="1134" w:bottom="1134" w:left="1134" w:header="283" w:footer="283" w:gutter="0"/>
          <w:cols w:space="284"/>
          <w:docGrid w:linePitch="360"/>
        </w:sectPr>
      </w:pPr>
    </w:p>
    <w:p w14:paraId="7BAD8B14" w14:textId="77777777" w:rsidR="003B7265" w:rsidRPr="00B22F84" w:rsidRDefault="003B7265" w:rsidP="003B7265">
      <w:pPr>
        <w:pStyle w:val="Caption"/>
      </w:pPr>
      <w:r w:rsidRPr="00B22F84">
        <w:lastRenderedPageBreak/>
        <w:t xml:space="preserve">Figure 28. Estimated reductions in coastal </w:t>
      </w:r>
      <w:r w:rsidRPr="003B7265">
        <w:t>exposure</w:t>
      </w:r>
      <w:r w:rsidRPr="00B22F84">
        <w:t xml:space="preserve"> across the GORCAP EEA region by coastal ecosystems and geomorphology (Carnell et al, 2019)</w:t>
      </w:r>
    </w:p>
    <w:p w14:paraId="3443305B" w14:textId="3A646DD5" w:rsidR="003B7265" w:rsidRDefault="006510A4" w:rsidP="007904E8">
      <w:pPr>
        <w:pStyle w:val="BodyText"/>
        <w:rPr>
          <w:b/>
        </w:rPr>
      </w:pPr>
      <w:r>
        <w:rPr>
          <w:noProof/>
        </w:rPr>
        <mc:AlternateContent>
          <mc:Choice Requires="wpg">
            <w:drawing>
              <wp:anchor distT="0" distB="0" distL="114300" distR="114300" simplePos="0" relativeHeight="251658332" behindDoc="0" locked="0" layoutInCell="1" allowOverlap="1" wp14:anchorId="39D64DCF" wp14:editId="0C0448D2">
                <wp:simplePos x="0" y="0"/>
                <wp:positionH relativeFrom="column">
                  <wp:posOffset>594995</wp:posOffset>
                </wp:positionH>
                <wp:positionV relativeFrom="paragraph">
                  <wp:posOffset>2111316</wp:posOffset>
                </wp:positionV>
                <wp:extent cx="963930" cy="373868"/>
                <wp:effectExtent l="0" t="0" r="1270" b="7620"/>
                <wp:wrapNone/>
                <wp:docPr id="634435961" name="Group 634435961"/>
                <wp:cNvGraphicFramePr/>
                <a:graphic xmlns:a="http://schemas.openxmlformats.org/drawingml/2006/main">
                  <a:graphicData uri="http://schemas.microsoft.com/office/word/2010/wordprocessingGroup">
                    <wpg:wgp>
                      <wpg:cNvGrpSpPr/>
                      <wpg:grpSpPr>
                        <a:xfrm>
                          <a:off x="0" y="0"/>
                          <a:ext cx="963930" cy="373868"/>
                          <a:chOff x="0" y="0"/>
                          <a:chExt cx="963930" cy="373868"/>
                        </a:xfrm>
                      </wpg:grpSpPr>
                      <wps:wsp>
                        <wps:cNvPr id="812" name="Text Box 812"/>
                        <wps:cNvSpPr txBox="1">
                          <a:spLocks noChangeArrowheads="1"/>
                        </wps:cNvSpPr>
                        <wps:spPr bwMode="auto">
                          <a:xfrm>
                            <a:off x="0" y="0"/>
                            <a:ext cx="963930" cy="233505"/>
                          </a:xfrm>
                          <a:prstGeom prst="rect">
                            <a:avLst/>
                          </a:prstGeom>
                          <a:noFill/>
                          <a:ln w="9525">
                            <a:noFill/>
                            <a:miter lim="800000"/>
                            <a:headEnd/>
                            <a:tailEnd/>
                          </a:ln>
                        </wps:spPr>
                        <wps:txbx>
                          <w:txbxContent>
                            <w:p w14:paraId="0B2A74AD" w14:textId="1A5876BB" w:rsidR="006510A4" w:rsidRDefault="003B7265">
                              <w:r w:rsidRPr="00EB6886">
                                <w:rPr>
                                  <w:b/>
                                  <w:bCs/>
                                  <w:sz w:val="22"/>
                                  <w:szCs w:val="22"/>
                                </w:rPr>
                                <w:t>GORCAP EEA</w:t>
                              </w:r>
                            </w:p>
                          </w:txbxContent>
                        </wps:txbx>
                        <wps:bodyPr rot="0" vert="horz" wrap="square" lIns="0" tIns="0" rIns="0" bIns="0" anchor="t" anchorCtr="0">
                          <a:noAutofit/>
                        </wps:bodyPr>
                      </wps:wsp>
                      <wps:wsp>
                        <wps:cNvPr id="331272845" name="Text Box 331272845"/>
                        <wps:cNvSpPr txBox="1">
                          <a:spLocks noChangeArrowheads="1"/>
                        </wps:cNvSpPr>
                        <wps:spPr bwMode="auto">
                          <a:xfrm>
                            <a:off x="0" y="121619"/>
                            <a:ext cx="355600" cy="252249"/>
                          </a:xfrm>
                          <a:prstGeom prst="rect">
                            <a:avLst/>
                          </a:prstGeom>
                          <a:noFill/>
                          <a:ln w="9525">
                            <a:noFill/>
                            <a:miter lim="800000"/>
                            <a:headEnd/>
                            <a:tailEnd/>
                          </a:ln>
                        </wps:spPr>
                        <wps:txbx>
                          <w:txbxContent>
                            <w:p w14:paraId="75097350" w14:textId="0A96D20A" w:rsidR="006510A4" w:rsidRDefault="006510A4">
                              <w:r w:rsidRPr="00EB6886">
                                <w:rPr>
                                  <w:b/>
                                  <w:bCs/>
                                  <w:sz w:val="22"/>
                                  <w:szCs w:val="22"/>
                                </w:rPr>
                                <w:t>area</w:t>
                              </w:r>
                            </w:p>
                          </w:txbxContent>
                        </wps:txbx>
                        <wps:bodyPr rot="0" vert="horz" wrap="square" lIns="0" tIns="0" rIns="0" bIns="0" anchor="t" anchorCtr="0">
                          <a:noAutofit/>
                        </wps:bodyPr>
                      </wps:wsp>
                    </wpg:wgp>
                  </a:graphicData>
                </a:graphic>
              </wp:anchor>
            </w:drawing>
          </mc:Choice>
          <mc:Fallback>
            <w:pict>
              <v:group w14:anchorId="39D64DCF" id="Group 634435961" o:spid="_x0000_s1069" style="position:absolute;margin-left:46.85pt;margin-top:166.25pt;width:75.9pt;height:29.45pt;z-index:251658332;mso-position-horizontal-relative:text;mso-position-vertical-relative:text" coordsize="9639,37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">
                <v:shape id="Text Box 812" o:spid="_x0000_s1070" type="#_x0000_t202" style="position:absolute;width:9639;height:2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" filled="f" stroked="f">
                  <v:textbox inset="0,0,0,0">
                    <w:txbxContent>
                      <w:p w14:paraId="0B2A74AD" w14:textId="1A5876BB" w:rsidR="006510A4" w:rsidRDefault="003B7265">
                        <w:r w:rsidRPr="00EB6886">
                          <w:rPr>
                            <w:b/>
                            <w:bCs/>
                            <w:sz w:val="22"/>
                            <w:szCs w:val="22"/>
                          </w:rPr>
                          <w:t>GORCAP EEA</w:t>
                        </w:r>
                      </w:p>
                    </w:txbxContent>
                  </v:textbox>
                </v:shape>
                <v:shape id="Text Box 331272845" o:spid="_x0000_s1071" type="#_x0000_t202" style="position:absolute;top:1216;width:3556;height:2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" filled="f" stroked="f">
                  <v:textbox inset="0,0,0,0">
                    <w:txbxContent>
                      <w:p w14:paraId="75097350" w14:textId="0A96D20A" w:rsidR="006510A4" w:rsidRDefault="006510A4">
                        <w:r w:rsidRPr="00EB6886">
                          <w:rPr>
                            <w:b/>
                            <w:bCs/>
                            <w:sz w:val="22"/>
                            <w:szCs w:val="22"/>
                          </w:rPr>
                          <w:t>area</w:t>
                        </w:r>
                      </w:p>
                    </w:txbxContent>
                  </v:textbox>
                </v:shape>
              </v:group>
            </w:pict>
          </mc:Fallback>
        </mc:AlternateContent>
      </w:r>
      <w:r>
        <w:rPr>
          <w:noProof/>
        </w:rPr>
        <mc:AlternateContent>
          <mc:Choice Requires="wps">
            <w:drawing>
              <wp:anchor distT="0" distB="0" distL="114300" distR="114300" simplePos="0" relativeHeight="251658240" behindDoc="0" locked="0" layoutInCell="1" allowOverlap="1" wp14:anchorId="0DA78715" wp14:editId="5B52C774">
                <wp:simplePos x="0" y="0"/>
                <wp:positionH relativeFrom="column">
                  <wp:posOffset>572682</wp:posOffset>
                </wp:positionH>
                <wp:positionV relativeFrom="paragraph">
                  <wp:posOffset>2209293</wp:posOffset>
                </wp:positionV>
                <wp:extent cx="1067551" cy="256740"/>
                <wp:effectExtent l="0" t="0" r="0" b="0"/>
                <wp:wrapNone/>
                <wp:docPr id="1309923287" name="Rectangle 1309923287"/>
                <wp:cNvGraphicFramePr/>
                <a:graphic xmlns:a="http://schemas.openxmlformats.org/drawingml/2006/main">
                  <a:graphicData uri="http://schemas.microsoft.com/office/word/2010/wordprocessingShape">
                    <wps:wsp>
                      <wps:cNvSpPr/>
                      <wps:spPr>
                        <a:xfrm>
                          <a:off x="0" y="0"/>
                          <a:ext cx="1067551" cy="2567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E3E4DC" id="Rectangle 1309923287" o:spid="_x0000_s1026" style="position:absolute;margin-left:45.1pt;margin-top:173.95pt;width:84.05pt;height:20.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" fillcolor="white [3212]" stroked="f" strokeweight="2pt"/>
            </w:pict>
          </mc:Fallback>
        </mc:AlternateContent>
      </w:r>
      <w:r w:rsidR="003B7265" w:rsidRPr="004A34E0">
        <w:rPr>
          <w:noProof/>
        </w:rPr>
        <w:drawing>
          <wp:inline distT="0" distB="0" distL="0" distR="0" wp14:anchorId="1FDF115D" wp14:editId="6FF94955">
            <wp:extent cx="13034962" cy="64008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pic:cNvPicPr/>
                  </pic:nvPicPr>
                  <pic:blipFill>
                    <a:blip r:embed="rId158" cstate="email">
                      <a:extLst>
                        <a:ext uri="{28A0092B-C50C-407E-A947-70E740481C1C}">
                          <a14:useLocalDpi xmlns:a14="http://schemas.microsoft.com/office/drawing/2010/main"/>
                        </a:ext>
                      </a:extLst>
                    </a:blip>
                    <a:stretch>
                      <a:fillRect/>
                    </a:stretch>
                  </pic:blipFill>
                  <pic:spPr>
                    <a:xfrm>
                      <a:off x="0" y="0"/>
                      <a:ext cx="13034962" cy="6400800"/>
                    </a:xfrm>
                    <a:prstGeom prst="rect">
                      <a:avLst/>
                    </a:prstGeom>
                  </pic:spPr>
                </pic:pic>
              </a:graphicData>
            </a:graphic>
          </wp:inline>
        </w:drawing>
      </w:r>
    </w:p>
    <w:p w14:paraId="5E2B17DE" w14:textId="7398495B" w:rsidR="002573E4" w:rsidRDefault="002573E4" w:rsidP="007904E8">
      <w:pPr>
        <w:pStyle w:val="BodyText"/>
        <w:rPr>
          <w:b/>
        </w:rPr>
      </w:pPr>
      <w:r>
        <w:rPr>
          <w:b/>
        </w:rPr>
        <w:br w:type="page"/>
      </w:r>
    </w:p>
    <w:p w14:paraId="27E228AA" w14:textId="57547576" w:rsidR="007904E8" w:rsidRPr="00B22F84" w:rsidRDefault="007904E8" w:rsidP="00B22F84">
      <w:pPr>
        <w:pStyle w:val="Caption"/>
      </w:pPr>
      <w:r w:rsidRPr="00B22F84">
        <w:lastRenderedPageBreak/>
        <w:t>Figure 29. Estimated reductions in coastal exposure (combined) across the GORCAP EEA region coastline by coastal ecosystems and geomorphology (Carnell et al, 2019)</w:t>
      </w:r>
    </w:p>
    <w:p w14:paraId="2A3ED2AF" w14:textId="77777777" w:rsidR="007904E8" w:rsidRPr="004A34E0" w:rsidRDefault="007904E8" w:rsidP="007904E8">
      <w:pPr>
        <w:pStyle w:val="BodyText"/>
      </w:pPr>
      <w:r w:rsidRPr="004A34E0">
        <w:rPr>
          <w:noProof/>
        </w:rPr>
        <mc:AlternateContent>
          <mc:Choice Requires="wps">
            <w:drawing>
              <wp:anchor distT="45720" distB="45720" distL="114300" distR="114300" simplePos="0" relativeHeight="251658318" behindDoc="0" locked="0" layoutInCell="1" allowOverlap="1" wp14:anchorId="79DFBB22" wp14:editId="01E69239">
                <wp:simplePos x="0" y="0"/>
                <wp:positionH relativeFrom="column">
                  <wp:posOffset>718675</wp:posOffset>
                </wp:positionH>
                <wp:positionV relativeFrom="paragraph">
                  <wp:posOffset>2494280</wp:posOffset>
                </wp:positionV>
                <wp:extent cx="1581150" cy="1404620"/>
                <wp:effectExtent l="0" t="0" r="0" b="0"/>
                <wp:wrapNone/>
                <wp:docPr id="815" name="Text Box 8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1404620"/>
                        </a:xfrm>
                        <a:prstGeom prst="rect">
                          <a:avLst/>
                        </a:prstGeom>
                        <a:noFill/>
                        <a:ln w="9525">
                          <a:noFill/>
                          <a:miter lim="800000"/>
                          <a:headEnd/>
                          <a:tailEnd/>
                        </a:ln>
                      </wps:spPr>
                      <wps:txbx>
                        <w:txbxContent>
                          <w:p w14:paraId="51C5E016" w14:textId="77777777" w:rsidR="007904E8" w:rsidRPr="00165BAD" w:rsidRDefault="007904E8" w:rsidP="007904E8">
                            <w:pPr>
                              <w:rPr>
                                <w:b/>
                                <w:bCs/>
                                <w:sz w:val="24"/>
                                <w:szCs w:val="24"/>
                              </w:rPr>
                            </w:pPr>
                            <w:r w:rsidRPr="00165BAD">
                              <w:rPr>
                                <w:b/>
                                <w:bCs/>
                                <w:sz w:val="24"/>
                                <w:szCs w:val="24"/>
                              </w:rPr>
                              <w:t>GORCAP EEA area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9DFBB22" id="Text Box 815" o:spid="_x0000_s1072" type="#_x0000_t202" style="position:absolute;margin-left:56.6pt;margin-top:196.4pt;width:124.5pt;height:110.6pt;z-index:25165831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" filled="f" stroked="f">
                <v:textbox style="mso-fit-shape-to-text:t">
                  <w:txbxContent>
                    <w:p w14:paraId="51C5E016" w14:textId="77777777" w:rsidR="007904E8" w:rsidRPr="00165BAD" w:rsidRDefault="007904E8" w:rsidP="007904E8">
                      <w:pPr>
                        <w:rPr>
                          <w:b/>
                          <w:bCs/>
                          <w:sz w:val="24"/>
                          <w:szCs w:val="24"/>
                        </w:rPr>
                      </w:pPr>
                      <w:r w:rsidRPr="00165BAD">
                        <w:rPr>
                          <w:b/>
                          <w:bCs/>
                          <w:sz w:val="24"/>
                          <w:szCs w:val="24"/>
                        </w:rPr>
                        <w:t>GORCAP EEA area</w:t>
                      </w:r>
                    </w:p>
                  </w:txbxContent>
                </v:textbox>
              </v:shape>
            </w:pict>
          </mc:Fallback>
        </mc:AlternateContent>
      </w:r>
      <w:r w:rsidRPr="004A34E0">
        <w:rPr>
          <w:noProof/>
        </w:rPr>
        <mc:AlternateContent>
          <mc:Choice Requires="wps">
            <w:drawing>
              <wp:anchor distT="0" distB="0" distL="114300" distR="114300" simplePos="0" relativeHeight="251658317" behindDoc="0" locked="0" layoutInCell="1" allowOverlap="1" wp14:anchorId="01C7324E" wp14:editId="74C698F3">
                <wp:simplePos x="0" y="0"/>
                <wp:positionH relativeFrom="column">
                  <wp:posOffset>723265</wp:posOffset>
                </wp:positionH>
                <wp:positionV relativeFrom="paragraph">
                  <wp:posOffset>2599055</wp:posOffset>
                </wp:positionV>
                <wp:extent cx="1212850" cy="238125"/>
                <wp:effectExtent l="0" t="0" r="6350" b="9525"/>
                <wp:wrapNone/>
                <wp:docPr id="817" name="Rectangle 817"/>
                <wp:cNvGraphicFramePr/>
                <a:graphic xmlns:a="http://schemas.openxmlformats.org/drawingml/2006/main">
                  <a:graphicData uri="http://schemas.microsoft.com/office/word/2010/wordprocessingShape">
                    <wps:wsp>
                      <wps:cNvSpPr/>
                      <wps:spPr>
                        <a:xfrm>
                          <a:off x="0" y="0"/>
                          <a:ext cx="1212850" cy="2381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6E5D41" id="Rectangle 817" o:spid="_x0000_s1026" style="position:absolute;margin-left:56.95pt;margin-top:204.65pt;width:95.5pt;height:18.75pt;z-index:25165831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" fillcolor="white [3212]" stroked="f" strokeweight="2pt"/>
            </w:pict>
          </mc:Fallback>
        </mc:AlternateContent>
      </w:r>
      <w:r w:rsidRPr="004A34E0">
        <w:rPr>
          <w:noProof/>
        </w:rPr>
        <w:drawing>
          <wp:inline distT="0" distB="0" distL="0" distR="0" wp14:anchorId="53B9E55E" wp14:editId="495C2B63">
            <wp:extent cx="12959715" cy="6363335"/>
            <wp:effectExtent l="0" t="0" r="0" b="0"/>
            <wp:docPr id="853" name="Picture 853"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 name="Picture 853" descr="Chart, histogram&#10;&#10;Description automatically generated"/>
                    <pic:cNvPicPr/>
                  </pic:nvPicPr>
                  <pic:blipFill>
                    <a:blip r:embed="rId159" cstate="email">
                      <a:extLst>
                        <a:ext uri="{28A0092B-C50C-407E-A947-70E740481C1C}">
                          <a14:useLocalDpi xmlns:a14="http://schemas.microsoft.com/office/drawing/2010/main"/>
                        </a:ext>
                      </a:extLst>
                    </a:blip>
                    <a:stretch>
                      <a:fillRect/>
                    </a:stretch>
                  </pic:blipFill>
                  <pic:spPr>
                    <a:xfrm>
                      <a:off x="0" y="0"/>
                      <a:ext cx="12959715" cy="6363335"/>
                    </a:xfrm>
                    <a:prstGeom prst="rect">
                      <a:avLst/>
                    </a:prstGeom>
                  </pic:spPr>
                </pic:pic>
              </a:graphicData>
            </a:graphic>
          </wp:inline>
        </w:drawing>
      </w:r>
    </w:p>
    <w:p w14:paraId="7ABAB403" w14:textId="77777777" w:rsidR="007904E8" w:rsidRPr="004A34E0" w:rsidRDefault="007904E8" w:rsidP="007904E8">
      <w:pPr>
        <w:pStyle w:val="BodyText"/>
      </w:pPr>
    </w:p>
    <w:p w14:paraId="6798C575" w14:textId="77777777" w:rsidR="007904E8" w:rsidRPr="004A34E0" w:rsidRDefault="007904E8" w:rsidP="007904E8">
      <w:pPr>
        <w:pStyle w:val="BodyText"/>
        <w:sectPr w:rsidR="007904E8" w:rsidRPr="004A34E0" w:rsidSect="00E52A9A">
          <w:headerReference w:type="even" r:id="rId160"/>
          <w:headerReference w:type="default" r:id="rId161"/>
          <w:footerReference w:type="even" r:id="rId162"/>
          <w:footerReference w:type="default" r:id="rId163"/>
          <w:pgSz w:w="23811" w:h="16838" w:orient="landscape" w:code="8"/>
          <w:pgMar w:top="1134" w:right="1134" w:bottom="1134" w:left="1134" w:header="283" w:footer="283" w:gutter="0"/>
          <w:cols w:space="284"/>
          <w:docGrid w:linePitch="360"/>
        </w:sectPr>
      </w:pPr>
    </w:p>
    <w:p w14:paraId="6ADC08C5" w14:textId="77777777" w:rsidR="007904E8" w:rsidRPr="004A34E0" w:rsidRDefault="007904E8" w:rsidP="007904E8">
      <w:pPr>
        <w:pStyle w:val="BodyText"/>
      </w:pPr>
      <w:r w:rsidRPr="004A34E0">
        <w:lastRenderedPageBreak/>
        <w:t>Table 32 shows the breakdown of this length of coastline by the percentage reduction in coastal exposure that is provided by coastal ecosystems in the GORCAP region.</w:t>
      </w:r>
    </w:p>
    <w:p w14:paraId="164963A8" w14:textId="77777777" w:rsidR="007904E8" w:rsidRPr="004A34E0" w:rsidRDefault="007904E8" w:rsidP="00484CDC">
      <w:pPr>
        <w:pStyle w:val="Caption"/>
      </w:pPr>
      <w:r w:rsidRPr="00270081">
        <w:t>Table</w:t>
      </w:r>
      <w:r w:rsidRPr="004A34E0">
        <w:t xml:space="preserve"> 32. Estimated length of coastline (km) benefiting from coastal protection in the GORCAP region in 2019</w:t>
      </w:r>
    </w:p>
    <w:tbl>
      <w:tblPr>
        <w:tblStyle w:val="TableGrid"/>
        <w:tblW w:w="5000" w:type="pct"/>
        <w:tblLook w:val="04A0" w:firstRow="1" w:lastRow="0" w:firstColumn="1" w:lastColumn="0" w:noHBand="0" w:noVBand="1"/>
      </w:tblPr>
      <w:tblGrid>
        <w:gridCol w:w="1547"/>
        <w:gridCol w:w="734"/>
        <w:gridCol w:w="736"/>
        <w:gridCol w:w="736"/>
        <w:gridCol w:w="736"/>
        <w:gridCol w:w="736"/>
        <w:gridCol w:w="736"/>
        <w:gridCol w:w="736"/>
        <w:gridCol w:w="736"/>
        <w:gridCol w:w="736"/>
        <w:gridCol w:w="725"/>
        <w:gridCol w:w="744"/>
      </w:tblGrid>
      <w:tr w:rsidR="002573E4" w:rsidRPr="004A34E0" w14:paraId="1D967BB6" w14:textId="77777777" w:rsidTr="00484CDC">
        <w:trPr>
          <w:cnfStyle w:val="100000000000" w:firstRow="1" w:lastRow="0" w:firstColumn="0" w:lastColumn="0" w:oddVBand="0" w:evenVBand="0" w:oddHBand="0"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811" w:type="pct"/>
          </w:tcPr>
          <w:p w14:paraId="235F5650" w14:textId="77777777" w:rsidR="007904E8" w:rsidRPr="004A34E0" w:rsidRDefault="007904E8" w:rsidP="00666947">
            <w:pPr>
              <w:pStyle w:val="TableTextLeft"/>
            </w:pPr>
          </w:p>
        </w:tc>
        <w:tc>
          <w:tcPr>
            <w:tcW w:w="3505" w:type="pct"/>
            <w:gridSpan w:val="9"/>
          </w:tcPr>
          <w:p w14:paraId="1B7EFD14"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Estimated length of coastline (km) by percentage reduction in hazard exposure</w:t>
            </w:r>
          </w:p>
        </w:tc>
        <w:tc>
          <w:tcPr>
            <w:tcW w:w="384" w:type="pct"/>
            <w:vMerge w:val="restart"/>
          </w:tcPr>
          <w:p w14:paraId="71BF9CB6"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Total (km)</w:t>
            </w:r>
          </w:p>
        </w:tc>
        <w:tc>
          <w:tcPr>
            <w:tcW w:w="300" w:type="pct"/>
          </w:tcPr>
          <w:p w14:paraId="5EEBF803"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rPr>
                <w:b/>
              </w:rPr>
            </w:pPr>
            <w:r w:rsidRPr="004A34E0">
              <w:rPr>
                <w:b/>
              </w:rPr>
              <w:t>Year</w:t>
            </w:r>
          </w:p>
        </w:tc>
      </w:tr>
      <w:tr w:rsidR="007904E8" w:rsidRPr="004A34E0" w14:paraId="6CC999D3" w14:textId="77777777" w:rsidTr="00484CDC">
        <w:trPr>
          <w:trHeight w:val="99"/>
        </w:trPr>
        <w:tc>
          <w:tcPr>
            <w:cnfStyle w:val="001000000000" w:firstRow="0" w:lastRow="0" w:firstColumn="1" w:lastColumn="0" w:oddVBand="0" w:evenVBand="0" w:oddHBand="0" w:evenHBand="0" w:firstRowFirstColumn="0" w:firstRowLastColumn="0" w:lastRowFirstColumn="0" w:lastRowLastColumn="0"/>
            <w:tcW w:w="811" w:type="pct"/>
            <w:tcBorders>
              <w:top w:val="nil"/>
            </w:tcBorders>
            <w:shd w:val="clear" w:color="auto" w:fill="004C97" w:themeFill="accent1"/>
          </w:tcPr>
          <w:p w14:paraId="3114A8D2" w14:textId="77777777" w:rsidR="007904E8" w:rsidRPr="00484CDC" w:rsidRDefault="007904E8" w:rsidP="00666947">
            <w:pPr>
              <w:pStyle w:val="TableTextLeft"/>
              <w:rPr>
                <w:b/>
                <w:color w:val="FFFFFF" w:themeColor="background1"/>
              </w:rPr>
            </w:pPr>
          </w:p>
        </w:tc>
        <w:tc>
          <w:tcPr>
            <w:tcW w:w="389" w:type="pct"/>
            <w:tcBorders>
              <w:top w:val="nil"/>
            </w:tcBorders>
            <w:shd w:val="clear" w:color="auto" w:fill="004C97" w:themeFill="accent1"/>
          </w:tcPr>
          <w:p w14:paraId="009D4082"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484CDC">
              <w:rPr>
                <w:color w:val="FFFFFF" w:themeColor="background1"/>
              </w:rPr>
              <w:t>1%</w:t>
            </w:r>
          </w:p>
        </w:tc>
        <w:tc>
          <w:tcPr>
            <w:tcW w:w="390" w:type="pct"/>
            <w:tcBorders>
              <w:top w:val="nil"/>
            </w:tcBorders>
            <w:shd w:val="clear" w:color="auto" w:fill="004C97" w:themeFill="accent1"/>
          </w:tcPr>
          <w:p w14:paraId="2BC061E4"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484CDC">
              <w:rPr>
                <w:color w:val="FFFFFF" w:themeColor="background1"/>
              </w:rPr>
              <w:t>2%</w:t>
            </w:r>
          </w:p>
        </w:tc>
        <w:tc>
          <w:tcPr>
            <w:tcW w:w="390" w:type="pct"/>
            <w:tcBorders>
              <w:top w:val="nil"/>
            </w:tcBorders>
            <w:shd w:val="clear" w:color="auto" w:fill="004C97" w:themeFill="accent1"/>
          </w:tcPr>
          <w:p w14:paraId="0E78372F"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484CDC">
              <w:rPr>
                <w:color w:val="FFFFFF" w:themeColor="background1"/>
              </w:rPr>
              <w:t>3%</w:t>
            </w:r>
          </w:p>
        </w:tc>
        <w:tc>
          <w:tcPr>
            <w:tcW w:w="390" w:type="pct"/>
            <w:tcBorders>
              <w:top w:val="nil"/>
            </w:tcBorders>
            <w:shd w:val="clear" w:color="auto" w:fill="004C97" w:themeFill="accent1"/>
          </w:tcPr>
          <w:p w14:paraId="34E9AC67"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484CDC">
              <w:rPr>
                <w:color w:val="FFFFFF" w:themeColor="background1"/>
              </w:rPr>
              <w:t>4%</w:t>
            </w:r>
          </w:p>
        </w:tc>
        <w:tc>
          <w:tcPr>
            <w:tcW w:w="390" w:type="pct"/>
            <w:tcBorders>
              <w:top w:val="nil"/>
            </w:tcBorders>
            <w:shd w:val="clear" w:color="auto" w:fill="004C97" w:themeFill="accent1"/>
          </w:tcPr>
          <w:p w14:paraId="0387AE98"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484CDC">
              <w:rPr>
                <w:color w:val="FFFFFF" w:themeColor="background1"/>
              </w:rPr>
              <w:t>5%</w:t>
            </w:r>
          </w:p>
        </w:tc>
        <w:tc>
          <w:tcPr>
            <w:tcW w:w="390" w:type="pct"/>
            <w:tcBorders>
              <w:top w:val="nil"/>
            </w:tcBorders>
            <w:shd w:val="clear" w:color="auto" w:fill="004C97" w:themeFill="accent1"/>
          </w:tcPr>
          <w:p w14:paraId="0741BDC6"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484CDC">
              <w:rPr>
                <w:color w:val="FFFFFF" w:themeColor="background1"/>
              </w:rPr>
              <w:t>6%</w:t>
            </w:r>
          </w:p>
        </w:tc>
        <w:tc>
          <w:tcPr>
            <w:tcW w:w="390" w:type="pct"/>
            <w:tcBorders>
              <w:top w:val="nil"/>
            </w:tcBorders>
            <w:shd w:val="clear" w:color="auto" w:fill="004C97" w:themeFill="accent1"/>
          </w:tcPr>
          <w:p w14:paraId="001A07C6"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484CDC">
              <w:rPr>
                <w:color w:val="FFFFFF" w:themeColor="background1"/>
              </w:rPr>
              <w:t>7%</w:t>
            </w:r>
          </w:p>
        </w:tc>
        <w:tc>
          <w:tcPr>
            <w:tcW w:w="390" w:type="pct"/>
            <w:tcBorders>
              <w:top w:val="nil"/>
            </w:tcBorders>
            <w:shd w:val="clear" w:color="auto" w:fill="004C97" w:themeFill="accent1"/>
          </w:tcPr>
          <w:p w14:paraId="01A8E08E"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484CDC">
              <w:rPr>
                <w:color w:val="FFFFFF" w:themeColor="background1"/>
              </w:rPr>
              <w:t>8%</w:t>
            </w:r>
          </w:p>
        </w:tc>
        <w:tc>
          <w:tcPr>
            <w:tcW w:w="390" w:type="pct"/>
            <w:tcBorders>
              <w:top w:val="nil"/>
            </w:tcBorders>
            <w:shd w:val="clear" w:color="auto" w:fill="004C97" w:themeFill="accent1"/>
          </w:tcPr>
          <w:p w14:paraId="46BB6A76"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484CDC">
              <w:rPr>
                <w:color w:val="FFFFFF" w:themeColor="background1"/>
              </w:rPr>
              <w:t>9%</w:t>
            </w:r>
          </w:p>
        </w:tc>
        <w:tc>
          <w:tcPr>
            <w:tcW w:w="384" w:type="pct"/>
            <w:vMerge/>
            <w:tcBorders>
              <w:top w:val="nil"/>
            </w:tcBorders>
            <w:shd w:val="clear" w:color="auto" w:fill="004C97" w:themeFill="accent1"/>
          </w:tcPr>
          <w:p w14:paraId="1EF00A49"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p>
        </w:tc>
        <w:tc>
          <w:tcPr>
            <w:tcW w:w="300" w:type="pct"/>
            <w:tcBorders>
              <w:top w:val="nil"/>
            </w:tcBorders>
            <w:shd w:val="clear" w:color="auto" w:fill="004C97" w:themeFill="accent1"/>
          </w:tcPr>
          <w:p w14:paraId="79C745B1"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p>
        </w:tc>
      </w:tr>
      <w:tr w:rsidR="007904E8" w:rsidRPr="004A34E0" w14:paraId="1DF9D08C" w14:textId="77777777" w:rsidTr="002573E4">
        <w:trPr>
          <w:trHeight w:val="99"/>
        </w:trPr>
        <w:tc>
          <w:tcPr>
            <w:cnfStyle w:val="001000000000" w:firstRow="0" w:lastRow="0" w:firstColumn="1" w:lastColumn="0" w:oddVBand="0" w:evenVBand="0" w:oddHBand="0" w:evenHBand="0" w:firstRowFirstColumn="0" w:firstRowLastColumn="0" w:lastRowFirstColumn="0" w:lastRowLastColumn="0"/>
            <w:tcW w:w="811" w:type="pct"/>
          </w:tcPr>
          <w:p w14:paraId="0D1F1DAE" w14:textId="77777777" w:rsidR="007904E8" w:rsidRPr="004A34E0" w:rsidRDefault="007904E8" w:rsidP="00666947">
            <w:pPr>
              <w:pStyle w:val="TableTextLeft"/>
              <w:rPr>
                <w:b/>
              </w:rPr>
            </w:pPr>
            <w:r w:rsidRPr="004A34E0">
              <w:rPr>
                <w:b/>
              </w:rPr>
              <w:t>Total coastal wetlands</w:t>
            </w:r>
          </w:p>
        </w:tc>
        <w:tc>
          <w:tcPr>
            <w:tcW w:w="389" w:type="pct"/>
          </w:tcPr>
          <w:p w14:paraId="7DC2509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w:t>
            </w:r>
          </w:p>
        </w:tc>
        <w:tc>
          <w:tcPr>
            <w:tcW w:w="390" w:type="pct"/>
          </w:tcPr>
          <w:p w14:paraId="229A630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w:t>
            </w:r>
          </w:p>
        </w:tc>
        <w:tc>
          <w:tcPr>
            <w:tcW w:w="390" w:type="pct"/>
          </w:tcPr>
          <w:p w14:paraId="17D704E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w:t>
            </w:r>
          </w:p>
        </w:tc>
        <w:tc>
          <w:tcPr>
            <w:tcW w:w="390" w:type="pct"/>
          </w:tcPr>
          <w:p w14:paraId="2EE3CC3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w:t>
            </w:r>
          </w:p>
        </w:tc>
        <w:tc>
          <w:tcPr>
            <w:tcW w:w="390" w:type="pct"/>
          </w:tcPr>
          <w:p w14:paraId="741E199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121</w:t>
            </w:r>
          </w:p>
        </w:tc>
        <w:tc>
          <w:tcPr>
            <w:tcW w:w="390" w:type="pct"/>
          </w:tcPr>
          <w:p w14:paraId="41C8BE3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46</w:t>
            </w:r>
          </w:p>
        </w:tc>
        <w:tc>
          <w:tcPr>
            <w:tcW w:w="390" w:type="pct"/>
          </w:tcPr>
          <w:p w14:paraId="4D36810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23</w:t>
            </w:r>
          </w:p>
        </w:tc>
        <w:tc>
          <w:tcPr>
            <w:tcW w:w="390" w:type="pct"/>
          </w:tcPr>
          <w:p w14:paraId="3F00A7B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15</w:t>
            </w:r>
          </w:p>
        </w:tc>
        <w:tc>
          <w:tcPr>
            <w:tcW w:w="390" w:type="pct"/>
          </w:tcPr>
          <w:p w14:paraId="172FA7F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8</w:t>
            </w:r>
          </w:p>
        </w:tc>
        <w:tc>
          <w:tcPr>
            <w:tcW w:w="384" w:type="pct"/>
          </w:tcPr>
          <w:p w14:paraId="1A4CAD2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rPr>
            </w:pPr>
            <w:r w:rsidRPr="004A34E0">
              <w:rPr>
                <w:b/>
              </w:rPr>
              <w:t>239</w:t>
            </w:r>
          </w:p>
        </w:tc>
        <w:tc>
          <w:tcPr>
            <w:tcW w:w="300" w:type="pct"/>
          </w:tcPr>
          <w:p w14:paraId="0A9C01B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rPr>
            </w:pPr>
            <w:r w:rsidRPr="004A34E0">
              <w:t>2019</w:t>
            </w:r>
            <w:r w:rsidRPr="004A34E0">
              <w:rPr>
                <w:vertAlign w:val="superscript"/>
              </w:rPr>
              <w:t>a</w:t>
            </w:r>
          </w:p>
        </w:tc>
      </w:tr>
    </w:tbl>
    <w:p w14:paraId="22A6C3D3" w14:textId="77777777" w:rsidR="007904E8" w:rsidRPr="004A34E0" w:rsidRDefault="007904E8" w:rsidP="00484CDC">
      <w:pPr>
        <w:pStyle w:val="NoteHeading"/>
      </w:pPr>
      <w:proofErr w:type="spellStart"/>
      <w:r w:rsidRPr="004A34E0">
        <w:rPr>
          <w:vertAlign w:val="superscript"/>
        </w:rPr>
        <w:t>a</w:t>
      </w:r>
      <w:proofErr w:type="spellEnd"/>
      <w:r w:rsidRPr="004A34E0">
        <w:rPr>
          <w:vertAlign w:val="superscript"/>
        </w:rPr>
        <w:t xml:space="preserve"> </w:t>
      </w:r>
      <w:r w:rsidRPr="004A34E0">
        <w:t>The analysis that underpins these estimates is from Carnell et al (2019) and that study does not state the year for which the analysis is applicable. Given that the study was undertaken in 2019 it is assumed for the purpose of this GORCAP EEA that it is representative of the ecosystem service provided in the year 2019.</w:t>
      </w:r>
    </w:p>
    <w:p w14:paraId="72B331D1" w14:textId="77777777" w:rsidR="007904E8" w:rsidRPr="004A34E0" w:rsidRDefault="007904E8" w:rsidP="00484CDC">
      <w:pPr>
        <w:pStyle w:val="BodyText12ptBefore"/>
      </w:pPr>
      <w:r w:rsidRPr="004A34E0">
        <w:t>Table 33 summarises the uncertainty associated with these results and shows that there is low uncertainty associated with both the data used and the assumptions necessary to apply this data to the GORCAP EEA region. This is because the evidence from Carnell et al (2019) was undertaken for the GORCAP EEA region.</w:t>
      </w:r>
    </w:p>
    <w:p w14:paraId="5F8B19A8" w14:textId="77777777" w:rsidR="007904E8" w:rsidRPr="004A34E0" w:rsidRDefault="007904E8" w:rsidP="00484CDC">
      <w:pPr>
        <w:pStyle w:val="Caption"/>
      </w:pPr>
      <w:r w:rsidRPr="004A34E0">
        <w:t>Table 33. Uncertainty assessment - physical quantity of coastal protection</w:t>
      </w:r>
    </w:p>
    <w:tbl>
      <w:tblPr>
        <w:tblStyle w:val="TableGrid"/>
        <w:tblW w:w="5000" w:type="pct"/>
        <w:tblLook w:val="04A0" w:firstRow="1" w:lastRow="0" w:firstColumn="1" w:lastColumn="0" w:noHBand="0" w:noVBand="1"/>
      </w:tblPr>
      <w:tblGrid>
        <w:gridCol w:w="1360"/>
        <w:gridCol w:w="3993"/>
        <w:gridCol w:w="3581"/>
        <w:gridCol w:w="704"/>
      </w:tblGrid>
      <w:tr w:rsidR="002573E4" w:rsidRPr="004A34E0" w14:paraId="4A1A50C6" w14:textId="77777777" w:rsidTr="00484CDC">
        <w:trPr>
          <w:cnfStyle w:val="100000000000" w:firstRow="1" w:lastRow="0" w:firstColumn="0" w:lastColumn="0" w:oddVBand="0" w:evenVBand="0" w:oddHBand="0"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672" w:type="pct"/>
          </w:tcPr>
          <w:p w14:paraId="7C9BE881" w14:textId="77777777" w:rsidR="007904E8" w:rsidRPr="004A34E0" w:rsidRDefault="007904E8" w:rsidP="00666947">
            <w:pPr>
              <w:pStyle w:val="TableTextLeft"/>
            </w:pPr>
          </w:p>
        </w:tc>
        <w:tc>
          <w:tcPr>
            <w:tcW w:w="3951" w:type="pct"/>
            <w:gridSpan w:val="2"/>
          </w:tcPr>
          <w:p w14:paraId="04339461"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Uncertainty in…</w:t>
            </w:r>
          </w:p>
        </w:tc>
        <w:tc>
          <w:tcPr>
            <w:tcW w:w="377" w:type="pct"/>
          </w:tcPr>
          <w:p w14:paraId="49CFF5ED"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rPr>
                <w:b/>
              </w:rPr>
            </w:pPr>
          </w:p>
        </w:tc>
      </w:tr>
      <w:tr w:rsidR="007904E8" w:rsidRPr="004A34E0" w14:paraId="591EB406" w14:textId="77777777" w:rsidTr="00484CDC">
        <w:trPr>
          <w:trHeight w:val="247"/>
        </w:trPr>
        <w:tc>
          <w:tcPr>
            <w:cnfStyle w:val="001000000000" w:firstRow="0" w:lastRow="0" w:firstColumn="1" w:lastColumn="0" w:oddVBand="0" w:evenVBand="0" w:oddHBand="0" w:evenHBand="0" w:firstRowFirstColumn="0" w:firstRowLastColumn="0" w:lastRowFirstColumn="0" w:lastRowLastColumn="0"/>
            <w:tcW w:w="672" w:type="pct"/>
            <w:tcBorders>
              <w:top w:val="nil"/>
            </w:tcBorders>
            <w:shd w:val="clear" w:color="auto" w:fill="004C97" w:themeFill="accent1"/>
          </w:tcPr>
          <w:p w14:paraId="6E99A74D" w14:textId="77777777" w:rsidR="007904E8" w:rsidRPr="00484CDC" w:rsidRDefault="007904E8" w:rsidP="00666947">
            <w:pPr>
              <w:pStyle w:val="TableTextLeft"/>
              <w:rPr>
                <w:color w:val="FFFFFF" w:themeColor="background1"/>
              </w:rPr>
            </w:pPr>
          </w:p>
        </w:tc>
        <w:tc>
          <w:tcPr>
            <w:tcW w:w="2083" w:type="pct"/>
            <w:tcBorders>
              <w:top w:val="nil"/>
            </w:tcBorders>
            <w:shd w:val="clear" w:color="auto" w:fill="004C97" w:themeFill="accent1"/>
          </w:tcPr>
          <w:p w14:paraId="17B419FB"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484CDC">
              <w:rPr>
                <w:b/>
                <w:color w:val="FFFFFF" w:themeColor="background1"/>
              </w:rPr>
              <w:t xml:space="preserve">Evidence </w:t>
            </w:r>
          </w:p>
        </w:tc>
        <w:tc>
          <w:tcPr>
            <w:tcW w:w="1869" w:type="pct"/>
            <w:tcBorders>
              <w:top w:val="nil"/>
            </w:tcBorders>
            <w:shd w:val="clear" w:color="auto" w:fill="004C97" w:themeFill="accent1"/>
          </w:tcPr>
          <w:p w14:paraId="73555FF6"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484CDC">
              <w:rPr>
                <w:b/>
                <w:color w:val="FFFFFF" w:themeColor="background1"/>
              </w:rPr>
              <w:t>Assumptions</w:t>
            </w:r>
          </w:p>
        </w:tc>
        <w:tc>
          <w:tcPr>
            <w:tcW w:w="377" w:type="pct"/>
            <w:tcBorders>
              <w:top w:val="nil"/>
            </w:tcBorders>
            <w:shd w:val="clear" w:color="auto" w:fill="004C97" w:themeFill="accent1"/>
          </w:tcPr>
          <w:p w14:paraId="2D4F5FE6"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r w:rsidRPr="00484CDC">
              <w:rPr>
                <w:b/>
                <w:color w:val="FFFFFF" w:themeColor="background1"/>
              </w:rPr>
              <w:t>Total</w:t>
            </w:r>
          </w:p>
        </w:tc>
      </w:tr>
      <w:tr w:rsidR="002573E4" w:rsidRPr="004A34E0" w14:paraId="6675F49D" w14:textId="77777777" w:rsidTr="002573E4">
        <w:trPr>
          <w:trHeight w:val="75"/>
        </w:trPr>
        <w:tc>
          <w:tcPr>
            <w:cnfStyle w:val="001000000000" w:firstRow="0" w:lastRow="0" w:firstColumn="1" w:lastColumn="0" w:oddVBand="0" w:evenVBand="0" w:oddHBand="0" w:evenHBand="0" w:firstRowFirstColumn="0" w:firstRowLastColumn="0" w:lastRowFirstColumn="0" w:lastRowLastColumn="0"/>
            <w:tcW w:w="672" w:type="pct"/>
          </w:tcPr>
          <w:p w14:paraId="09ED303C" w14:textId="77777777" w:rsidR="007904E8" w:rsidRPr="004A34E0" w:rsidRDefault="007904E8" w:rsidP="00666947">
            <w:pPr>
              <w:pStyle w:val="TableTextLeft"/>
              <w:rPr>
                <w:b/>
              </w:rPr>
            </w:pPr>
            <w:r w:rsidRPr="004A34E0">
              <w:rPr>
                <w:b/>
              </w:rPr>
              <w:t>Explanation</w:t>
            </w:r>
          </w:p>
        </w:tc>
        <w:tc>
          <w:tcPr>
            <w:tcW w:w="2083" w:type="pct"/>
          </w:tcPr>
          <w:p w14:paraId="6B603068"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 xml:space="preserve">The analysis of the coastal protection service provided by wetlands in the GORCAP EEA region relies on a single source of information which uses the </w:t>
            </w:r>
            <w:proofErr w:type="spellStart"/>
            <w:r w:rsidRPr="004A34E0">
              <w:t>InVEST</w:t>
            </w:r>
            <w:proofErr w:type="spellEnd"/>
            <w:r w:rsidRPr="004A34E0">
              <w:t xml:space="preserve"> modelling tool. The methodology underpinning the analysis is summarised in Mapping Ocean Wealth Australia report (Carnell et al (2019)) and is based on Arkema et al (2013) which has been reviewed for more detail, a conversation has also been had with the lead author of the analysis (pers. comm. Paul Carnell). </w:t>
            </w:r>
          </w:p>
          <w:p w14:paraId="642DF1FA"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The Carnell et al (2019) study estimates exposure reductions at low resolution (1km</w:t>
            </w:r>
            <w:r w:rsidRPr="004A34E0">
              <w:rPr>
                <w:vertAlign w:val="superscript"/>
              </w:rPr>
              <w:t>2</w:t>
            </w:r>
            <w:r w:rsidRPr="004A34E0">
              <w:t>)</w:t>
            </w:r>
            <w:r w:rsidRPr="004A34E0">
              <w:rPr>
                <w:vertAlign w:val="superscript"/>
              </w:rPr>
              <w:t xml:space="preserve"> </w:t>
            </w:r>
            <w:r w:rsidRPr="004A34E0">
              <w:t xml:space="preserve">and separately for different wetland types. The exposure reductions are understood to be additive (pers. comm. Paul Carnell).  </w:t>
            </w:r>
          </w:p>
          <w:p w14:paraId="51A8E8BF"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 xml:space="preserve">The outputs from the </w:t>
            </w:r>
            <w:proofErr w:type="spellStart"/>
            <w:r w:rsidRPr="004A34E0">
              <w:t>InVEST</w:t>
            </w:r>
            <w:proofErr w:type="spellEnd"/>
            <w:r w:rsidRPr="004A34E0">
              <w:t xml:space="preserve"> analysis are appropriate as a first cut, indicative assessment of coastal protection service at national / state scales. The approach relies on global datasets (e.g., of ecosystem extent) and broad global level assumptions regarding the role of ecosystems in providing a coastal protection service. The extent of habitats and assumptions regarding the effect of habitats on coastal exposure might therefore differ from that used in an analysis that is specifically developed </w:t>
            </w:r>
            <w:r w:rsidRPr="004A34E0">
              <w:lastRenderedPageBreak/>
              <w:t>for the GORCAP EEA region. There is therefore a great deal of uncertainty associated with the robustness of the analysis when applied at a local level such as for the GORCAP EEA region.</w:t>
            </w:r>
          </w:p>
        </w:tc>
        <w:tc>
          <w:tcPr>
            <w:tcW w:w="1869" w:type="pct"/>
          </w:tcPr>
          <w:p w14:paraId="57F5DAED"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lastRenderedPageBreak/>
              <w:t>It is assumed that there is a demand for the coastal protection service where this arises along the GORCAP EEA coastline (not just where there is property) as it supports property and infrastructure (including key transport links - the road of the Great Ocean Road) as well as the ecosystems which have an aesthetic value and provide a habitat for species.</w:t>
            </w:r>
          </w:p>
          <w:p w14:paraId="0DDC9363"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The analysis assumes that Carnell et al (2019) analysis accounts for existing risk management measures that might be in place. If this was not accounted for then this could mean that local communities might not demand / value / benefit from these coastal wetlands for their coastal protection service at all or as highly as would be the case without such measures.</w:t>
            </w:r>
          </w:p>
          <w:p w14:paraId="620EF5E9"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p>
        </w:tc>
        <w:tc>
          <w:tcPr>
            <w:tcW w:w="377" w:type="pct"/>
          </w:tcPr>
          <w:p w14:paraId="72FCC74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High</w:t>
            </w:r>
          </w:p>
        </w:tc>
      </w:tr>
      <w:tr w:rsidR="007904E8" w:rsidRPr="004A34E0" w14:paraId="4799A3AC" w14:textId="77777777" w:rsidTr="00484CDC">
        <w:trPr>
          <w:trHeight w:val="194"/>
        </w:trPr>
        <w:tc>
          <w:tcPr>
            <w:cnfStyle w:val="001000000000" w:firstRow="0" w:lastRow="0" w:firstColumn="1" w:lastColumn="0" w:oddVBand="0" w:evenVBand="0" w:oddHBand="0" w:evenHBand="0" w:firstRowFirstColumn="0" w:firstRowLastColumn="0" w:lastRowFirstColumn="0" w:lastRowLastColumn="0"/>
            <w:tcW w:w="672" w:type="pct"/>
            <w:shd w:val="clear" w:color="auto" w:fill="CCDBEA" w:themeFill="background2"/>
          </w:tcPr>
          <w:p w14:paraId="563614C2" w14:textId="77777777" w:rsidR="007904E8" w:rsidRPr="004A34E0" w:rsidRDefault="007904E8" w:rsidP="00666947">
            <w:pPr>
              <w:pStyle w:val="TableTextLeft"/>
              <w:rPr>
                <w:b/>
              </w:rPr>
            </w:pPr>
            <w:r w:rsidRPr="004A34E0">
              <w:rPr>
                <w:b/>
              </w:rPr>
              <w:t xml:space="preserve">Rating </w:t>
            </w:r>
          </w:p>
        </w:tc>
        <w:tc>
          <w:tcPr>
            <w:tcW w:w="2083" w:type="pct"/>
            <w:shd w:val="clear" w:color="auto" w:fill="CCDBEA" w:themeFill="background2"/>
          </w:tcPr>
          <w:p w14:paraId="73C73BA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w:t>
            </w:r>
          </w:p>
        </w:tc>
        <w:tc>
          <w:tcPr>
            <w:tcW w:w="1869" w:type="pct"/>
            <w:shd w:val="clear" w:color="auto" w:fill="CCDBEA" w:themeFill="background2"/>
          </w:tcPr>
          <w:p w14:paraId="3D47719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w:t>
            </w:r>
          </w:p>
        </w:tc>
        <w:tc>
          <w:tcPr>
            <w:tcW w:w="377" w:type="pct"/>
            <w:shd w:val="clear" w:color="auto" w:fill="CCDBEA" w:themeFill="background2"/>
          </w:tcPr>
          <w:p w14:paraId="78DCBF0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9</w:t>
            </w:r>
          </w:p>
        </w:tc>
      </w:tr>
    </w:tbl>
    <w:p w14:paraId="73EAF311" w14:textId="77777777" w:rsidR="007904E8" w:rsidRPr="004A34E0" w:rsidRDefault="007904E8" w:rsidP="00A2745D">
      <w:pPr>
        <w:pStyle w:val="AlphaHeading4"/>
      </w:pPr>
      <w:r w:rsidRPr="004A34E0">
        <w:t>Monetary value of coastal protection</w:t>
      </w:r>
    </w:p>
    <w:p w14:paraId="177BBF00" w14:textId="77777777" w:rsidR="007904E8" w:rsidRPr="004A34E0" w:rsidRDefault="007904E8" w:rsidP="000A2646">
      <w:pPr>
        <w:pStyle w:val="BodyText"/>
      </w:pPr>
      <w:r w:rsidRPr="004A34E0">
        <w:t xml:space="preserve">The value of coastal protection service along the 239 km stretch of coastline within the GORCAP EEA that benefits from ecosystems coastal protection service is estimated to be approximately $50.7 million which is an equivalent annual value of $2.6 million (assuming a 40 year period, discounting at 4 per cent), see Table 34. A 40 year period is assumed to be relevant on the basis that a built infrastructure would require replacing after this period. </w:t>
      </w:r>
    </w:p>
    <w:p w14:paraId="015B252A" w14:textId="77777777" w:rsidR="007904E8" w:rsidRPr="004A34E0" w:rsidRDefault="007904E8" w:rsidP="007904E8">
      <w:pPr>
        <w:pStyle w:val="BodyText"/>
      </w:pPr>
      <w:r w:rsidRPr="004A34E0">
        <w:t xml:space="preserve">This is a replacement cost estimated based on the cost of an equivalent reduction in exposure being provided by built infrastructure. This analysis assumes that replacement built infrastructure (e.g., a seawall) reduces hazard exposure by 100 per cent. (These replacement cost estimates are representative of the value of coastal protection, rather than a legitimate option to replace coastal wetlands with built infrastructure). </w:t>
      </w:r>
    </w:p>
    <w:p w14:paraId="20AD7EA6" w14:textId="77777777" w:rsidR="007904E8" w:rsidRPr="004A34E0" w:rsidRDefault="007904E8" w:rsidP="007904E8">
      <w:pPr>
        <w:pStyle w:val="BodyText"/>
      </w:pPr>
      <w:r w:rsidRPr="004A34E0">
        <w:t xml:space="preserve">Table 35 then details the estimated value of coastal protection considering various estimates of the effectiveness of the replacement built infrastructure in reducing hazard exposure, ranging from 25 per cent to 75 per cent in order to provide a range of values of the coastal protection service. </w:t>
      </w:r>
    </w:p>
    <w:p w14:paraId="3AE0573C" w14:textId="77777777" w:rsidR="007904E8" w:rsidRPr="004A34E0" w:rsidRDefault="007904E8" w:rsidP="007904E8">
      <w:pPr>
        <w:pStyle w:val="BodyText"/>
      </w:pPr>
      <w:r w:rsidRPr="004A34E0">
        <w:t>The value of coastal protection service along the 239 km stretch of coast that benefits from wetlands coastal protection service within the GORCAP region is estimated to be approximately $202.8 million at 25 per cent effectiveness, $101.4 million at 50 per cent effectiveness, and $67.6 million at 75 per cent effectiveness, or an equivalent annual value of $10.2 million, $5.1 million, and $3.4 million respectively (assuming a 40 year period, discounting at 4 per cent).</w:t>
      </w:r>
    </w:p>
    <w:p w14:paraId="4B7F6F3A" w14:textId="77777777" w:rsidR="007904E8" w:rsidRPr="004A34E0" w:rsidRDefault="007904E8" w:rsidP="007904E8">
      <w:pPr>
        <w:pStyle w:val="BodyText"/>
        <w:sectPr w:rsidR="007904E8" w:rsidRPr="004A34E0" w:rsidSect="00E52A9A">
          <w:headerReference w:type="even" r:id="rId164"/>
          <w:headerReference w:type="default" r:id="rId165"/>
          <w:footerReference w:type="even" r:id="rId166"/>
          <w:footerReference w:type="default" r:id="rId167"/>
          <w:pgSz w:w="11906" w:h="16838" w:code="9"/>
          <w:pgMar w:top="1134" w:right="1134" w:bottom="1134" w:left="1134" w:header="283" w:footer="283" w:gutter="0"/>
          <w:cols w:space="284"/>
          <w:docGrid w:linePitch="360"/>
        </w:sectPr>
      </w:pPr>
    </w:p>
    <w:p w14:paraId="519FA3E5" w14:textId="77777777" w:rsidR="007904E8" w:rsidRPr="004A34E0" w:rsidRDefault="007904E8" w:rsidP="00484CDC">
      <w:pPr>
        <w:pStyle w:val="Caption"/>
      </w:pPr>
      <w:r w:rsidRPr="004A34E0">
        <w:lastRenderedPageBreak/>
        <w:t xml:space="preserve">Table 34. Estimated present value of coastal protection ($, 2021) provided by coastal ecosystems in the GORCAP region </w:t>
      </w:r>
      <w:r w:rsidRPr="00484CDC">
        <w:t>in</w:t>
      </w:r>
      <w:r w:rsidRPr="004A34E0">
        <w:t xml:space="preserve"> 2019</w:t>
      </w:r>
    </w:p>
    <w:tbl>
      <w:tblPr>
        <w:tblStyle w:val="TableGrid"/>
        <w:tblW w:w="5000" w:type="pct"/>
        <w:tblLook w:val="04A0" w:firstRow="1" w:lastRow="0" w:firstColumn="1" w:lastColumn="0" w:noHBand="0" w:noVBand="1"/>
      </w:tblPr>
      <w:tblGrid>
        <w:gridCol w:w="2608"/>
        <w:gridCol w:w="1087"/>
        <w:gridCol w:w="1087"/>
        <w:gridCol w:w="1087"/>
        <w:gridCol w:w="1087"/>
        <w:gridCol w:w="1227"/>
        <w:gridCol w:w="1087"/>
        <w:gridCol w:w="1087"/>
        <w:gridCol w:w="1087"/>
        <w:gridCol w:w="1088"/>
        <w:gridCol w:w="1227"/>
        <w:gridCol w:w="811"/>
      </w:tblGrid>
      <w:tr w:rsidR="002573E4" w:rsidRPr="004A34E0" w14:paraId="17F1F995" w14:textId="77777777" w:rsidTr="00484CDC">
        <w:trPr>
          <w:cnfStyle w:val="100000000000" w:firstRow="1" w:lastRow="0" w:firstColumn="0" w:lastColumn="0" w:oddVBand="0" w:evenVBand="0" w:oddHBand="0" w:evenHBand="0" w:firstRowFirstColumn="0" w:firstRowLastColumn="0" w:lastRowFirstColumn="0" w:lastRowLastColumn="0"/>
          <w:trHeight w:val="194"/>
        </w:trPr>
        <w:tc>
          <w:tcPr>
            <w:cnfStyle w:val="001000000000" w:firstRow="0" w:lastRow="0" w:firstColumn="1" w:lastColumn="0" w:oddVBand="0" w:evenVBand="0" w:oddHBand="0" w:evenHBand="0" w:firstRowFirstColumn="0" w:firstRowLastColumn="0" w:lastRowFirstColumn="0" w:lastRowLastColumn="0"/>
            <w:tcW w:w="903" w:type="pct"/>
          </w:tcPr>
          <w:p w14:paraId="0926EB41" w14:textId="77777777" w:rsidR="007904E8" w:rsidRPr="004A34E0" w:rsidRDefault="007904E8" w:rsidP="00666947">
            <w:pPr>
              <w:pStyle w:val="TableTextLeft"/>
            </w:pPr>
          </w:p>
        </w:tc>
        <w:tc>
          <w:tcPr>
            <w:tcW w:w="3430" w:type="pct"/>
            <w:gridSpan w:val="9"/>
          </w:tcPr>
          <w:p w14:paraId="351BE3DF"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Estimated value of coastal protection by percentage reduction in hazard exposure</w:t>
            </w:r>
          </w:p>
        </w:tc>
        <w:tc>
          <w:tcPr>
            <w:tcW w:w="381" w:type="pct"/>
            <w:vMerge w:val="restart"/>
          </w:tcPr>
          <w:p w14:paraId="0A01B1E4"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Total</w:t>
            </w:r>
          </w:p>
        </w:tc>
        <w:tc>
          <w:tcPr>
            <w:tcW w:w="286" w:type="pct"/>
          </w:tcPr>
          <w:p w14:paraId="7E121D10"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rPr>
                <w:b/>
              </w:rPr>
            </w:pPr>
            <w:r w:rsidRPr="004A34E0">
              <w:rPr>
                <w:b/>
              </w:rPr>
              <w:t>Year</w:t>
            </w:r>
          </w:p>
        </w:tc>
      </w:tr>
      <w:tr w:rsidR="007904E8" w:rsidRPr="004A34E0" w14:paraId="420365CF" w14:textId="77777777" w:rsidTr="00484CDC">
        <w:trPr>
          <w:trHeight w:val="98"/>
        </w:trPr>
        <w:tc>
          <w:tcPr>
            <w:cnfStyle w:val="001000000000" w:firstRow="0" w:lastRow="0" w:firstColumn="1" w:lastColumn="0" w:oddVBand="0" w:evenVBand="0" w:oddHBand="0" w:evenHBand="0" w:firstRowFirstColumn="0" w:firstRowLastColumn="0" w:lastRowFirstColumn="0" w:lastRowLastColumn="0"/>
            <w:tcW w:w="903" w:type="pct"/>
            <w:tcBorders>
              <w:top w:val="nil"/>
            </w:tcBorders>
            <w:shd w:val="clear" w:color="auto" w:fill="004C97" w:themeFill="accent1"/>
          </w:tcPr>
          <w:p w14:paraId="39008BE4" w14:textId="77777777" w:rsidR="007904E8" w:rsidRPr="00484CDC" w:rsidRDefault="007904E8" w:rsidP="00666947">
            <w:pPr>
              <w:pStyle w:val="TableTextLeft"/>
              <w:rPr>
                <w:b/>
                <w:color w:val="FFFFFF" w:themeColor="background1"/>
              </w:rPr>
            </w:pPr>
          </w:p>
        </w:tc>
        <w:tc>
          <w:tcPr>
            <w:tcW w:w="381" w:type="pct"/>
            <w:tcBorders>
              <w:top w:val="nil"/>
            </w:tcBorders>
            <w:shd w:val="clear" w:color="auto" w:fill="004C97" w:themeFill="accent1"/>
          </w:tcPr>
          <w:p w14:paraId="65037D99"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484CDC">
              <w:rPr>
                <w:color w:val="FFFFFF" w:themeColor="background1"/>
              </w:rPr>
              <w:t>1%</w:t>
            </w:r>
          </w:p>
        </w:tc>
        <w:tc>
          <w:tcPr>
            <w:tcW w:w="381" w:type="pct"/>
            <w:tcBorders>
              <w:top w:val="nil"/>
            </w:tcBorders>
            <w:shd w:val="clear" w:color="auto" w:fill="004C97" w:themeFill="accent1"/>
          </w:tcPr>
          <w:p w14:paraId="51F63344"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484CDC">
              <w:rPr>
                <w:color w:val="FFFFFF" w:themeColor="background1"/>
              </w:rPr>
              <w:t>2%</w:t>
            </w:r>
          </w:p>
        </w:tc>
        <w:tc>
          <w:tcPr>
            <w:tcW w:w="381" w:type="pct"/>
            <w:tcBorders>
              <w:top w:val="nil"/>
            </w:tcBorders>
            <w:shd w:val="clear" w:color="auto" w:fill="004C97" w:themeFill="accent1"/>
          </w:tcPr>
          <w:p w14:paraId="6D19ABFD"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484CDC">
              <w:rPr>
                <w:color w:val="FFFFFF" w:themeColor="background1"/>
              </w:rPr>
              <w:t>3%</w:t>
            </w:r>
          </w:p>
        </w:tc>
        <w:tc>
          <w:tcPr>
            <w:tcW w:w="381" w:type="pct"/>
            <w:tcBorders>
              <w:top w:val="nil"/>
            </w:tcBorders>
            <w:shd w:val="clear" w:color="auto" w:fill="004C97" w:themeFill="accent1"/>
          </w:tcPr>
          <w:p w14:paraId="0CE80585"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484CDC">
              <w:rPr>
                <w:color w:val="FFFFFF" w:themeColor="background1"/>
              </w:rPr>
              <w:t>4%</w:t>
            </w:r>
          </w:p>
        </w:tc>
        <w:tc>
          <w:tcPr>
            <w:tcW w:w="382" w:type="pct"/>
            <w:tcBorders>
              <w:top w:val="nil"/>
            </w:tcBorders>
            <w:shd w:val="clear" w:color="auto" w:fill="004C97" w:themeFill="accent1"/>
          </w:tcPr>
          <w:p w14:paraId="3C28757D"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484CDC">
              <w:rPr>
                <w:color w:val="FFFFFF" w:themeColor="background1"/>
              </w:rPr>
              <w:t>5%</w:t>
            </w:r>
          </w:p>
        </w:tc>
        <w:tc>
          <w:tcPr>
            <w:tcW w:w="381" w:type="pct"/>
            <w:tcBorders>
              <w:top w:val="nil"/>
            </w:tcBorders>
            <w:shd w:val="clear" w:color="auto" w:fill="004C97" w:themeFill="accent1"/>
          </w:tcPr>
          <w:p w14:paraId="773022C2"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484CDC">
              <w:rPr>
                <w:color w:val="FFFFFF" w:themeColor="background1"/>
              </w:rPr>
              <w:t>6%</w:t>
            </w:r>
          </w:p>
        </w:tc>
        <w:tc>
          <w:tcPr>
            <w:tcW w:w="381" w:type="pct"/>
            <w:tcBorders>
              <w:top w:val="nil"/>
            </w:tcBorders>
            <w:shd w:val="clear" w:color="auto" w:fill="004C97" w:themeFill="accent1"/>
          </w:tcPr>
          <w:p w14:paraId="0CB27154"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484CDC">
              <w:rPr>
                <w:color w:val="FFFFFF" w:themeColor="background1"/>
              </w:rPr>
              <w:t>7%</w:t>
            </w:r>
          </w:p>
        </w:tc>
        <w:tc>
          <w:tcPr>
            <w:tcW w:w="381" w:type="pct"/>
            <w:tcBorders>
              <w:top w:val="nil"/>
            </w:tcBorders>
            <w:shd w:val="clear" w:color="auto" w:fill="004C97" w:themeFill="accent1"/>
          </w:tcPr>
          <w:p w14:paraId="34B258F1"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484CDC">
              <w:rPr>
                <w:color w:val="FFFFFF" w:themeColor="background1"/>
              </w:rPr>
              <w:t>8%</w:t>
            </w:r>
          </w:p>
        </w:tc>
        <w:tc>
          <w:tcPr>
            <w:tcW w:w="381" w:type="pct"/>
            <w:tcBorders>
              <w:top w:val="nil"/>
            </w:tcBorders>
            <w:shd w:val="clear" w:color="auto" w:fill="004C97" w:themeFill="accent1"/>
          </w:tcPr>
          <w:p w14:paraId="390ADC95"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484CDC">
              <w:rPr>
                <w:color w:val="FFFFFF" w:themeColor="background1"/>
              </w:rPr>
              <w:t>9%</w:t>
            </w:r>
          </w:p>
        </w:tc>
        <w:tc>
          <w:tcPr>
            <w:tcW w:w="381" w:type="pct"/>
            <w:vMerge/>
            <w:tcBorders>
              <w:top w:val="nil"/>
            </w:tcBorders>
            <w:shd w:val="clear" w:color="auto" w:fill="004C97" w:themeFill="accent1"/>
          </w:tcPr>
          <w:p w14:paraId="70BD2175"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p>
        </w:tc>
        <w:tc>
          <w:tcPr>
            <w:tcW w:w="286" w:type="pct"/>
            <w:tcBorders>
              <w:top w:val="nil"/>
            </w:tcBorders>
            <w:shd w:val="clear" w:color="auto" w:fill="004C97" w:themeFill="accent1"/>
          </w:tcPr>
          <w:p w14:paraId="22B983D6"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p>
        </w:tc>
      </w:tr>
      <w:tr w:rsidR="007904E8" w:rsidRPr="004A34E0" w14:paraId="7DCD601B" w14:textId="77777777" w:rsidTr="002573E4">
        <w:trPr>
          <w:trHeight w:val="409"/>
        </w:trPr>
        <w:tc>
          <w:tcPr>
            <w:cnfStyle w:val="001000000000" w:firstRow="0" w:lastRow="0" w:firstColumn="1" w:lastColumn="0" w:oddVBand="0" w:evenVBand="0" w:oddHBand="0" w:evenHBand="0" w:firstRowFirstColumn="0" w:firstRowLastColumn="0" w:lastRowFirstColumn="0" w:lastRowLastColumn="0"/>
            <w:tcW w:w="903" w:type="pct"/>
          </w:tcPr>
          <w:p w14:paraId="17659177" w14:textId="77777777" w:rsidR="007904E8" w:rsidRPr="004A34E0" w:rsidRDefault="007904E8" w:rsidP="00666947">
            <w:pPr>
              <w:pStyle w:val="TableTextLeft"/>
            </w:pPr>
            <w:r w:rsidRPr="004A34E0">
              <w:rPr>
                <w:i/>
              </w:rPr>
              <w:t>Marginal value of coastal protection</w:t>
            </w:r>
            <w:r w:rsidRPr="004A34E0">
              <w:rPr>
                <w:i/>
                <w:vertAlign w:val="superscript"/>
              </w:rPr>
              <w:footnoteReference w:id="67"/>
            </w:r>
            <w:r w:rsidRPr="004A34E0">
              <w:rPr>
                <w:i/>
              </w:rPr>
              <w:t xml:space="preserve"> ($/km)</w:t>
            </w:r>
          </w:p>
        </w:tc>
        <w:tc>
          <w:tcPr>
            <w:tcW w:w="381" w:type="pct"/>
          </w:tcPr>
          <w:p w14:paraId="2E8A3ED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i/>
              </w:rPr>
              <w:t>$38,420</w:t>
            </w:r>
          </w:p>
        </w:tc>
        <w:tc>
          <w:tcPr>
            <w:tcW w:w="381" w:type="pct"/>
          </w:tcPr>
          <w:p w14:paraId="0899E2A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i/>
              </w:rPr>
              <w:t>$76,840</w:t>
            </w:r>
          </w:p>
        </w:tc>
        <w:tc>
          <w:tcPr>
            <w:tcW w:w="381" w:type="pct"/>
          </w:tcPr>
          <w:p w14:paraId="1298CFA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i/>
              </w:rPr>
              <w:t>$115,260</w:t>
            </w:r>
          </w:p>
        </w:tc>
        <w:tc>
          <w:tcPr>
            <w:tcW w:w="381" w:type="pct"/>
          </w:tcPr>
          <w:p w14:paraId="0B62E8E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i/>
              </w:rPr>
              <w:t>$153,680</w:t>
            </w:r>
          </w:p>
        </w:tc>
        <w:tc>
          <w:tcPr>
            <w:tcW w:w="382" w:type="pct"/>
          </w:tcPr>
          <w:p w14:paraId="6C8C9D7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i/>
              </w:rPr>
              <w:t>$192,100</w:t>
            </w:r>
          </w:p>
        </w:tc>
        <w:tc>
          <w:tcPr>
            <w:tcW w:w="381" w:type="pct"/>
          </w:tcPr>
          <w:p w14:paraId="69827C2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i/>
              </w:rPr>
              <w:t>$230,520</w:t>
            </w:r>
          </w:p>
        </w:tc>
        <w:tc>
          <w:tcPr>
            <w:tcW w:w="381" w:type="pct"/>
          </w:tcPr>
          <w:p w14:paraId="4DE1E9C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i/>
              </w:rPr>
              <w:t>$268,940</w:t>
            </w:r>
          </w:p>
        </w:tc>
        <w:tc>
          <w:tcPr>
            <w:tcW w:w="381" w:type="pct"/>
          </w:tcPr>
          <w:p w14:paraId="6ED1D8D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i/>
              </w:rPr>
              <w:t>$307,360</w:t>
            </w:r>
          </w:p>
        </w:tc>
        <w:tc>
          <w:tcPr>
            <w:tcW w:w="381" w:type="pct"/>
          </w:tcPr>
          <w:p w14:paraId="0379C69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i/>
              </w:rPr>
              <w:t>$345,780</w:t>
            </w:r>
          </w:p>
        </w:tc>
        <w:tc>
          <w:tcPr>
            <w:tcW w:w="381" w:type="pct"/>
          </w:tcPr>
          <w:p w14:paraId="71C4782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i/>
              </w:rPr>
            </w:pPr>
            <w:r w:rsidRPr="004A34E0">
              <w:rPr>
                <w:i/>
              </w:rPr>
              <w:t>-</w:t>
            </w:r>
          </w:p>
        </w:tc>
        <w:tc>
          <w:tcPr>
            <w:tcW w:w="286" w:type="pct"/>
          </w:tcPr>
          <w:p w14:paraId="19416BB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2015</w:t>
            </w:r>
            <w:r w:rsidRPr="004A34E0">
              <w:rPr>
                <w:vertAlign w:val="superscript"/>
              </w:rPr>
              <w:t>a</w:t>
            </w:r>
          </w:p>
        </w:tc>
      </w:tr>
      <w:tr w:rsidR="007904E8" w:rsidRPr="004A34E0" w14:paraId="500DBB99" w14:textId="77777777" w:rsidTr="002573E4">
        <w:trPr>
          <w:trHeight w:val="409"/>
        </w:trPr>
        <w:tc>
          <w:tcPr>
            <w:cnfStyle w:val="001000000000" w:firstRow="0" w:lastRow="0" w:firstColumn="1" w:lastColumn="0" w:oddVBand="0" w:evenVBand="0" w:oddHBand="0" w:evenHBand="0" w:firstRowFirstColumn="0" w:firstRowLastColumn="0" w:lastRowFirstColumn="0" w:lastRowLastColumn="0"/>
            <w:tcW w:w="903" w:type="pct"/>
          </w:tcPr>
          <w:p w14:paraId="4AECE0D9" w14:textId="77777777" w:rsidR="007904E8" w:rsidRPr="004A34E0" w:rsidRDefault="007904E8" w:rsidP="00666947">
            <w:pPr>
              <w:pStyle w:val="TableTextLeft"/>
              <w:rPr>
                <w:i/>
              </w:rPr>
            </w:pPr>
            <w:r w:rsidRPr="004A34E0">
              <w:t xml:space="preserve">Estimated length of coastline (km) by percentage reduction in exposure </w:t>
            </w:r>
          </w:p>
        </w:tc>
        <w:tc>
          <w:tcPr>
            <w:tcW w:w="381" w:type="pct"/>
          </w:tcPr>
          <w:p w14:paraId="7C7AB42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i/>
              </w:rPr>
            </w:pPr>
            <w:r w:rsidRPr="004A34E0">
              <w:t>3.4 km</w:t>
            </w:r>
          </w:p>
        </w:tc>
        <w:tc>
          <w:tcPr>
            <w:tcW w:w="381" w:type="pct"/>
          </w:tcPr>
          <w:p w14:paraId="0A5F304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i/>
              </w:rPr>
            </w:pPr>
            <w:r w:rsidRPr="004A34E0">
              <w:t>2.2 km</w:t>
            </w:r>
          </w:p>
        </w:tc>
        <w:tc>
          <w:tcPr>
            <w:tcW w:w="381" w:type="pct"/>
          </w:tcPr>
          <w:p w14:paraId="00CB556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i/>
              </w:rPr>
            </w:pPr>
            <w:r w:rsidRPr="004A34E0">
              <w:t>0.8 km</w:t>
            </w:r>
          </w:p>
        </w:tc>
        <w:tc>
          <w:tcPr>
            <w:tcW w:w="381" w:type="pct"/>
          </w:tcPr>
          <w:p w14:paraId="1397385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i/>
              </w:rPr>
            </w:pPr>
            <w:r w:rsidRPr="004A34E0">
              <w:t>20.4 km</w:t>
            </w:r>
          </w:p>
        </w:tc>
        <w:tc>
          <w:tcPr>
            <w:tcW w:w="382" w:type="pct"/>
          </w:tcPr>
          <w:p w14:paraId="2B58393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121.0 km</w:t>
            </w:r>
          </w:p>
        </w:tc>
        <w:tc>
          <w:tcPr>
            <w:tcW w:w="381" w:type="pct"/>
          </w:tcPr>
          <w:p w14:paraId="7298DF3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45.9 km</w:t>
            </w:r>
          </w:p>
        </w:tc>
        <w:tc>
          <w:tcPr>
            <w:tcW w:w="381" w:type="pct"/>
          </w:tcPr>
          <w:p w14:paraId="6DB93C4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22.5 km</w:t>
            </w:r>
          </w:p>
        </w:tc>
        <w:tc>
          <w:tcPr>
            <w:tcW w:w="381" w:type="pct"/>
          </w:tcPr>
          <w:p w14:paraId="764B586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14.8 km</w:t>
            </w:r>
          </w:p>
        </w:tc>
        <w:tc>
          <w:tcPr>
            <w:tcW w:w="381" w:type="pct"/>
          </w:tcPr>
          <w:p w14:paraId="438C0A3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8.0 km</w:t>
            </w:r>
          </w:p>
        </w:tc>
        <w:tc>
          <w:tcPr>
            <w:tcW w:w="381" w:type="pct"/>
          </w:tcPr>
          <w:p w14:paraId="6E70B7D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i/>
              </w:rPr>
            </w:pPr>
            <w:r w:rsidRPr="004A34E0">
              <w:rPr>
                <w:b/>
              </w:rPr>
              <w:t>238.9 km</w:t>
            </w:r>
          </w:p>
        </w:tc>
        <w:tc>
          <w:tcPr>
            <w:tcW w:w="286" w:type="pct"/>
          </w:tcPr>
          <w:p w14:paraId="754AC25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2019</w:t>
            </w:r>
            <w:r w:rsidRPr="004A34E0">
              <w:rPr>
                <w:vertAlign w:val="superscript"/>
              </w:rPr>
              <w:t>b</w:t>
            </w:r>
          </w:p>
        </w:tc>
      </w:tr>
      <w:tr w:rsidR="002573E4" w:rsidRPr="004A34E0" w14:paraId="28B3827D" w14:textId="77777777" w:rsidTr="002573E4">
        <w:trPr>
          <w:trHeight w:val="359"/>
        </w:trPr>
        <w:tc>
          <w:tcPr>
            <w:cnfStyle w:val="001000000000" w:firstRow="0" w:lastRow="0" w:firstColumn="1" w:lastColumn="0" w:oddVBand="0" w:evenVBand="0" w:oddHBand="0" w:evenHBand="0" w:firstRowFirstColumn="0" w:firstRowLastColumn="0" w:lastRowFirstColumn="0" w:lastRowLastColumn="0"/>
            <w:tcW w:w="903" w:type="pct"/>
          </w:tcPr>
          <w:p w14:paraId="39E2C781" w14:textId="77777777" w:rsidR="007904E8" w:rsidRPr="004A34E0" w:rsidRDefault="007904E8" w:rsidP="00666947">
            <w:pPr>
              <w:pStyle w:val="TableTextLeft"/>
            </w:pPr>
            <w:r w:rsidRPr="004A34E0">
              <w:t>Total value of coastal protection ($m)</w:t>
            </w:r>
          </w:p>
        </w:tc>
        <w:tc>
          <w:tcPr>
            <w:tcW w:w="381" w:type="pct"/>
          </w:tcPr>
          <w:p w14:paraId="4C0C816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$0.1m</w:t>
            </w:r>
          </w:p>
        </w:tc>
        <w:tc>
          <w:tcPr>
            <w:tcW w:w="381" w:type="pct"/>
          </w:tcPr>
          <w:p w14:paraId="16CDD2B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$0.2m</w:t>
            </w:r>
          </w:p>
        </w:tc>
        <w:tc>
          <w:tcPr>
            <w:tcW w:w="381" w:type="pct"/>
          </w:tcPr>
          <w:p w14:paraId="711A99F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$0.1m</w:t>
            </w:r>
          </w:p>
        </w:tc>
        <w:tc>
          <w:tcPr>
            <w:tcW w:w="381" w:type="pct"/>
          </w:tcPr>
          <w:p w14:paraId="2490810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$3.1m</w:t>
            </w:r>
          </w:p>
        </w:tc>
        <w:tc>
          <w:tcPr>
            <w:tcW w:w="382" w:type="pct"/>
          </w:tcPr>
          <w:p w14:paraId="56B1BDB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$23.2m</w:t>
            </w:r>
          </w:p>
        </w:tc>
        <w:tc>
          <w:tcPr>
            <w:tcW w:w="381" w:type="pct"/>
          </w:tcPr>
          <w:p w14:paraId="7BC89BE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$10.6m</w:t>
            </w:r>
          </w:p>
        </w:tc>
        <w:tc>
          <w:tcPr>
            <w:tcW w:w="381" w:type="pct"/>
          </w:tcPr>
          <w:p w14:paraId="5A10E49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$6.1m</w:t>
            </w:r>
          </w:p>
        </w:tc>
        <w:tc>
          <w:tcPr>
            <w:tcW w:w="381" w:type="pct"/>
          </w:tcPr>
          <w:p w14:paraId="551F988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$4.5m</w:t>
            </w:r>
          </w:p>
        </w:tc>
        <w:tc>
          <w:tcPr>
            <w:tcW w:w="381" w:type="pct"/>
          </w:tcPr>
          <w:p w14:paraId="382B5B0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$2.8m</w:t>
            </w:r>
          </w:p>
        </w:tc>
        <w:tc>
          <w:tcPr>
            <w:tcW w:w="381" w:type="pct"/>
          </w:tcPr>
          <w:p w14:paraId="7250935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$50.7m</w:t>
            </w:r>
          </w:p>
        </w:tc>
        <w:tc>
          <w:tcPr>
            <w:tcW w:w="286" w:type="pct"/>
          </w:tcPr>
          <w:p w14:paraId="1830F1A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rPr>
            </w:pPr>
            <w:r w:rsidRPr="004A34E0">
              <w:rPr>
                <w:b/>
              </w:rPr>
              <w:t>-</w:t>
            </w:r>
          </w:p>
        </w:tc>
      </w:tr>
      <w:tr w:rsidR="002573E4" w:rsidRPr="004A34E0" w14:paraId="781DB084" w14:textId="77777777" w:rsidTr="002573E4">
        <w:trPr>
          <w:trHeight w:val="98"/>
        </w:trPr>
        <w:tc>
          <w:tcPr>
            <w:cnfStyle w:val="001000000000" w:firstRow="0" w:lastRow="0" w:firstColumn="1" w:lastColumn="0" w:oddVBand="0" w:evenVBand="0" w:oddHBand="0" w:evenHBand="0" w:firstRowFirstColumn="0" w:firstRowLastColumn="0" w:lastRowFirstColumn="0" w:lastRowLastColumn="0"/>
            <w:tcW w:w="903" w:type="pct"/>
          </w:tcPr>
          <w:p w14:paraId="09A1C1B1" w14:textId="77777777" w:rsidR="007904E8" w:rsidRPr="004A34E0" w:rsidRDefault="007904E8" w:rsidP="00666947">
            <w:pPr>
              <w:pStyle w:val="TableTextLeft"/>
            </w:pPr>
            <w:r w:rsidRPr="004A34E0">
              <w:t>Equivalent annual value of coastal protection ($) (PV, 40 years, 4%)</w:t>
            </w:r>
          </w:p>
        </w:tc>
        <w:tc>
          <w:tcPr>
            <w:tcW w:w="381" w:type="pct"/>
          </w:tcPr>
          <w:p w14:paraId="1D90535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$6,500</w:t>
            </w:r>
          </w:p>
        </w:tc>
        <w:tc>
          <w:tcPr>
            <w:tcW w:w="381" w:type="pct"/>
          </w:tcPr>
          <w:p w14:paraId="44D9A7E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$8,700</w:t>
            </w:r>
          </w:p>
        </w:tc>
        <w:tc>
          <w:tcPr>
            <w:tcW w:w="381" w:type="pct"/>
          </w:tcPr>
          <w:p w14:paraId="6D0B932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$4,500</w:t>
            </w:r>
          </w:p>
        </w:tc>
        <w:tc>
          <w:tcPr>
            <w:tcW w:w="381" w:type="pct"/>
          </w:tcPr>
          <w:p w14:paraId="7018FC2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$158,000</w:t>
            </w:r>
          </w:p>
        </w:tc>
        <w:tc>
          <w:tcPr>
            <w:tcW w:w="382" w:type="pct"/>
          </w:tcPr>
          <w:p w14:paraId="098E855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$1,170,000</w:t>
            </w:r>
          </w:p>
        </w:tc>
        <w:tc>
          <w:tcPr>
            <w:tcW w:w="381" w:type="pct"/>
          </w:tcPr>
          <w:p w14:paraId="3B9E295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$530,000</w:t>
            </w:r>
          </w:p>
        </w:tc>
        <w:tc>
          <w:tcPr>
            <w:tcW w:w="381" w:type="pct"/>
          </w:tcPr>
          <w:p w14:paraId="3DA55E3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$310,000</w:t>
            </w:r>
          </w:p>
        </w:tc>
        <w:tc>
          <w:tcPr>
            <w:tcW w:w="381" w:type="pct"/>
          </w:tcPr>
          <w:p w14:paraId="0C1CAC9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$230,000</w:t>
            </w:r>
          </w:p>
        </w:tc>
        <w:tc>
          <w:tcPr>
            <w:tcW w:w="381" w:type="pct"/>
          </w:tcPr>
          <w:p w14:paraId="4314F3D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$140,000</w:t>
            </w:r>
          </w:p>
        </w:tc>
        <w:tc>
          <w:tcPr>
            <w:tcW w:w="381" w:type="pct"/>
          </w:tcPr>
          <w:p w14:paraId="15DA7B2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$2,560,000</w:t>
            </w:r>
          </w:p>
        </w:tc>
        <w:tc>
          <w:tcPr>
            <w:tcW w:w="286" w:type="pct"/>
          </w:tcPr>
          <w:p w14:paraId="79B38C6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rPr>
            </w:pPr>
            <w:r w:rsidRPr="004A34E0">
              <w:rPr>
                <w:b/>
              </w:rPr>
              <w:t>-</w:t>
            </w:r>
          </w:p>
        </w:tc>
      </w:tr>
    </w:tbl>
    <w:p w14:paraId="5CB9F5FC" w14:textId="77777777" w:rsidR="007904E8" w:rsidRPr="004A34E0" w:rsidRDefault="007904E8" w:rsidP="00484CDC">
      <w:pPr>
        <w:pStyle w:val="NoteHeading"/>
      </w:pPr>
      <w:proofErr w:type="spellStart"/>
      <w:r w:rsidRPr="004A34E0">
        <w:rPr>
          <w:vertAlign w:val="superscript"/>
        </w:rPr>
        <w:t>a</w:t>
      </w:r>
      <w:proofErr w:type="spellEnd"/>
      <w:r w:rsidRPr="004A34E0">
        <w:rPr>
          <w:vertAlign w:val="superscript"/>
        </w:rPr>
        <w:t xml:space="preserve"> </w:t>
      </w:r>
      <w:r w:rsidRPr="004A34E0">
        <w:t xml:space="preserve">These values are taken to be representative of the costs of sea wall construction in 2015 based on information provided to the DELWP and Parks Victoria (2015) study on valuing Victoria’s parks. This has been uprated for inflation to 2021 terms and applied to the estimate of coastal protection services provided in the GORCAP EEA in 2019. </w:t>
      </w:r>
    </w:p>
    <w:p w14:paraId="651EB3BD" w14:textId="77777777" w:rsidR="007904E8" w:rsidRPr="004A34E0" w:rsidRDefault="007904E8" w:rsidP="00484CDC">
      <w:pPr>
        <w:pStyle w:val="NoteHeading"/>
        <w:rPr>
          <w:vertAlign w:val="superscript"/>
        </w:rPr>
      </w:pPr>
      <w:r w:rsidRPr="004A34E0">
        <w:rPr>
          <w:vertAlign w:val="superscript"/>
        </w:rPr>
        <w:t xml:space="preserve">b </w:t>
      </w:r>
      <w:r w:rsidRPr="004A34E0">
        <w:t>The analysis that underpins these estimates is from Carnell et al (2019) and that study does not state the year for which the analysis is applicable but given that the study was undertaken in 2019 it is assumed for the purpose of this GORCAP EEA that it is representative of the ecosystem service provided in the year 2019.</w:t>
      </w:r>
    </w:p>
    <w:p w14:paraId="65E248C7" w14:textId="77777777" w:rsidR="007904E8" w:rsidRPr="004A34E0" w:rsidRDefault="007904E8" w:rsidP="007904E8">
      <w:pPr>
        <w:pStyle w:val="BodyText"/>
        <w:rPr>
          <w:b/>
        </w:rPr>
        <w:sectPr w:rsidR="007904E8" w:rsidRPr="004A34E0" w:rsidSect="00E52A9A">
          <w:headerReference w:type="even" r:id="rId168"/>
          <w:headerReference w:type="default" r:id="rId169"/>
          <w:footerReference w:type="even" r:id="rId170"/>
          <w:footerReference w:type="default" r:id="rId171"/>
          <w:pgSz w:w="16838" w:h="11906" w:orient="landscape" w:code="9"/>
          <w:pgMar w:top="1134" w:right="1134" w:bottom="1134" w:left="1134" w:header="283" w:footer="283" w:gutter="0"/>
          <w:cols w:space="284"/>
          <w:docGrid w:linePitch="360"/>
        </w:sectPr>
      </w:pPr>
    </w:p>
    <w:p w14:paraId="350EE272" w14:textId="77777777" w:rsidR="007904E8" w:rsidRPr="004A34E0" w:rsidRDefault="007904E8" w:rsidP="00484CDC">
      <w:pPr>
        <w:pStyle w:val="Caption"/>
      </w:pPr>
      <w:r w:rsidRPr="004A34E0">
        <w:lastRenderedPageBreak/>
        <w:t>Table 35. Estimated value of coastal protection ($, 2021) by percentage effectiveness of seawall in reducing in hazard exposure in 2019</w:t>
      </w:r>
    </w:p>
    <w:tbl>
      <w:tblPr>
        <w:tblStyle w:val="TableGrid"/>
        <w:tblW w:w="5000" w:type="pct"/>
        <w:tblLook w:val="04A0" w:firstRow="1" w:lastRow="0" w:firstColumn="1" w:lastColumn="0" w:noHBand="0" w:noVBand="1"/>
      </w:tblPr>
      <w:tblGrid>
        <w:gridCol w:w="3829"/>
        <w:gridCol w:w="1452"/>
        <w:gridCol w:w="1451"/>
        <w:gridCol w:w="1451"/>
        <w:gridCol w:w="1455"/>
      </w:tblGrid>
      <w:tr w:rsidR="007904E8" w:rsidRPr="004A34E0" w14:paraId="2009DBF0" w14:textId="77777777" w:rsidTr="00484CDC">
        <w:trPr>
          <w:cnfStyle w:val="100000000000" w:firstRow="1" w:lastRow="0" w:firstColumn="0" w:lastColumn="0" w:oddVBand="0" w:evenVBand="0" w:oddHBand="0"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1986" w:type="pct"/>
          </w:tcPr>
          <w:p w14:paraId="26FD36B0" w14:textId="77777777" w:rsidR="007904E8" w:rsidRPr="004A34E0" w:rsidRDefault="007904E8" w:rsidP="00666947">
            <w:pPr>
              <w:pStyle w:val="TableTextLeft"/>
            </w:pPr>
          </w:p>
        </w:tc>
        <w:tc>
          <w:tcPr>
            <w:tcW w:w="3014" w:type="pct"/>
            <w:gridSpan w:val="4"/>
          </w:tcPr>
          <w:p w14:paraId="5B27C6FE"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rPr>
                <w:b/>
              </w:rPr>
            </w:pPr>
            <w:r w:rsidRPr="004A34E0">
              <w:rPr>
                <w:b/>
              </w:rPr>
              <w:t>Estimated value of coastal protection ($m) by percentage effectiveness of seawall in reducing in hazard exposure</w:t>
            </w:r>
          </w:p>
        </w:tc>
      </w:tr>
      <w:tr w:rsidR="002573E4" w:rsidRPr="004A34E0" w14:paraId="3493FAF5" w14:textId="77777777" w:rsidTr="00484CDC">
        <w:trPr>
          <w:trHeight w:val="161"/>
        </w:trPr>
        <w:tc>
          <w:tcPr>
            <w:cnfStyle w:val="001000000000" w:firstRow="0" w:lastRow="0" w:firstColumn="1" w:lastColumn="0" w:oddVBand="0" w:evenVBand="0" w:oddHBand="0" w:evenHBand="0" w:firstRowFirstColumn="0" w:firstRowLastColumn="0" w:lastRowFirstColumn="0" w:lastRowLastColumn="0"/>
            <w:tcW w:w="1986" w:type="pct"/>
            <w:tcBorders>
              <w:top w:val="nil"/>
            </w:tcBorders>
            <w:shd w:val="clear" w:color="auto" w:fill="004C97" w:themeFill="accent1"/>
          </w:tcPr>
          <w:p w14:paraId="35473B9D" w14:textId="77777777" w:rsidR="007904E8" w:rsidRPr="00484CDC" w:rsidRDefault="007904E8" w:rsidP="00666947">
            <w:pPr>
              <w:pStyle w:val="TableTextLeft"/>
              <w:rPr>
                <w:b/>
                <w:color w:val="FFFFFF" w:themeColor="background1"/>
              </w:rPr>
            </w:pPr>
          </w:p>
        </w:tc>
        <w:tc>
          <w:tcPr>
            <w:tcW w:w="753" w:type="pct"/>
            <w:tcBorders>
              <w:top w:val="nil"/>
            </w:tcBorders>
            <w:shd w:val="clear" w:color="auto" w:fill="004C97" w:themeFill="accent1"/>
          </w:tcPr>
          <w:p w14:paraId="08C6BD12"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484CDC">
              <w:rPr>
                <w:color w:val="FFFFFF" w:themeColor="background1"/>
              </w:rPr>
              <w:t>25%</w:t>
            </w:r>
          </w:p>
        </w:tc>
        <w:tc>
          <w:tcPr>
            <w:tcW w:w="753" w:type="pct"/>
            <w:tcBorders>
              <w:top w:val="nil"/>
            </w:tcBorders>
            <w:shd w:val="clear" w:color="auto" w:fill="004C97" w:themeFill="accent1"/>
          </w:tcPr>
          <w:p w14:paraId="4B501682"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484CDC">
              <w:rPr>
                <w:color w:val="FFFFFF" w:themeColor="background1"/>
              </w:rPr>
              <w:t>50%</w:t>
            </w:r>
          </w:p>
        </w:tc>
        <w:tc>
          <w:tcPr>
            <w:tcW w:w="753" w:type="pct"/>
            <w:tcBorders>
              <w:top w:val="nil"/>
            </w:tcBorders>
            <w:shd w:val="clear" w:color="auto" w:fill="004C97" w:themeFill="accent1"/>
          </w:tcPr>
          <w:p w14:paraId="5A7C5131"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484CDC">
              <w:rPr>
                <w:color w:val="FFFFFF" w:themeColor="background1"/>
              </w:rPr>
              <w:t>75%</w:t>
            </w:r>
          </w:p>
        </w:tc>
        <w:tc>
          <w:tcPr>
            <w:tcW w:w="754" w:type="pct"/>
            <w:tcBorders>
              <w:top w:val="nil"/>
            </w:tcBorders>
            <w:shd w:val="clear" w:color="auto" w:fill="004C97" w:themeFill="accent1"/>
          </w:tcPr>
          <w:p w14:paraId="6E43A814"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i/>
                <w:color w:val="FFFFFF" w:themeColor="background1"/>
              </w:rPr>
            </w:pPr>
            <w:r w:rsidRPr="00484CDC">
              <w:rPr>
                <w:i/>
                <w:color w:val="FFFFFF" w:themeColor="background1"/>
              </w:rPr>
              <w:t>100%</w:t>
            </w:r>
          </w:p>
        </w:tc>
      </w:tr>
      <w:tr w:rsidR="007904E8" w:rsidRPr="004A34E0" w14:paraId="4B27E92B" w14:textId="77777777" w:rsidTr="002573E4">
        <w:trPr>
          <w:trHeight w:val="353"/>
        </w:trPr>
        <w:tc>
          <w:tcPr>
            <w:cnfStyle w:val="001000000000" w:firstRow="0" w:lastRow="0" w:firstColumn="1" w:lastColumn="0" w:oddVBand="0" w:evenVBand="0" w:oddHBand="0" w:evenHBand="0" w:firstRowFirstColumn="0" w:firstRowLastColumn="0" w:lastRowFirstColumn="0" w:lastRowLastColumn="0"/>
            <w:tcW w:w="1986" w:type="pct"/>
          </w:tcPr>
          <w:p w14:paraId="2C0F4DDD" w14:textId="77777777" w:rsidR="007904E8" w:rsidRPr="004A34E0" w:rsidRDefault="007904E8" w:rsidP="00666947">
            <w:pPr>
              <w:pStyle w:val="TableTextLeft"/>
            </w:pPr>
            <w:r w:rsidRPr="004A34E0">
              <w:t>Total value of coastal protection ($m)</w:t>
            </w:r>
          </w:p>
        </w:tc>
        <w:tc>
          <w:tcPr>
            <w:tcW w:w="753" w:type="pct"/>
          </w:tcPr>
          <w:p w14:paraId="622AEE5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$202.8m</w:t>
            </w:r>
          </w:p>
        </w:tc>
        <w:tc>
          <w:tcPr>
            <w:tcW w:w="753" w:type="pct"/>
          </w:tcPr>
          <w:p w14:paraId="2406CF1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$101.4m</w:t>
            </w:r>
          </w:p>
        </w:tc>
        <w:tc>
          <w:tcPr>
            <w:tcW w:w="753" w:type="pct"/>
          </w:tcPr>
          <w:p w14:paraId="3443310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$67.6m</w:t>
            </w:r>
          </w:p>
        </w:tc>
        <w:tc>
          <w:tcPr>
            <w:tcW w:w="754" w:type="pct"/>
          </w:tcPr>
          <w:p w14:paraId="10BD59B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$50.7m</w:t>
            </w:r>
          </w:p>
        </w:tc>
      </w:tr>
      <w:tr w:rsidR="007904E8" w:rsidRPr="004A34E0" w14:paraId="43BB737A" w14:textId="77777777" w:rsidTr="002573E4">
        <w:trPr>
          <w:trHeight w:val="161"/>
        </w:trPr>
        <w:tc>
          <w:tcPr>
            <w:cnfStyle w:val="001000000000" w:firstRow="0" w:lastRow="0" w:firstColumn="1" w:lastColumn="0" w:oddVBand="0" w:evenVBand="0" w:oddHBand="0" w:evenHBand="0" w:firstRowFirstColumn="0" w:firstRowLastColumn="0" w:lastRowFirstColumn="0" w:lastRowLastColumn="0"/>
            <w:tcW w:w="1986" w:type="pct"/>
          </w:tcPr>
          <w:p w14:paraId="55290417" w14:textId="77777777" w:rsidR="007904E8" w:rsidRPr="004A34E0" w:rsidRDefault="007904E8" w:rsidP="00666947">
            <w:pPr>
              <w:pStyle w:val="TableTextLeft"/>
            </w:pPr>
            <w:r w:rsidRPr="004A34E0">
              <w:t>Equivalent annual value of coastal protection ($m) (PV, 40 years, 4%)</w:t>
            </w:r>
          </w:p>
        </w:tc>
        <w:tc>
          <w:tcPr>
            <w:tcW w:w="753" w:type="pct"/>
          </w:tcPr>
          <w:p w14:paraId="218ECEA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$10.2m</w:t>
            </w:r>
          </w:p>
        </w:tc>
        <w:tc>
          <w:tcPr>
            <w:tcW w:w="753" w:type="pct"/>
          </w:tcPr>
          <w:p w14:paraId="7E9AD6D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$5.1m</w:t>
            </w:r>
          </w:p>
        </w:tc>
        <w:tc>
          <w:tcPr>
            <w:tcW w:w="753" w:type="pct"/>
          </w:tcPr>
          <w:p w14:paraId="1532330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$3.4m</w:t>
            </w:r>
          </w:p>
        </w:tc>
        <w:tc>
          <w:tcPr>
            <w:tcW w:w="754" w:type="pct"/>
          </w:tcPr>
          <w:p w14:paraId="41DC83D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rPr>
            </w:pPr>
            <w:r w:rsidRPr="004A34E0">
              <w:rPr>
                <w:b/>
              </w:rPr>
              <w:t>$2.6m</w:t>
            </w:r>
          </w:p>
        </w:tc>
      </w:tr>
    </w:tbl>
    <w:p w14:paraId="7223EB57" w14:textId="77777777" w:rsidR="007904E8" w:rsidRPr="004A34E0" w:rsidRDefault="007904E8" w:rsidP="007904E8">
      <w:pPr>
        <w:pStyle w:val="BodyText"/>
      </w:pPr>
      <w:r w:rsidRPr="004A34E0">
        <w:t>Table 36 summarises the uncertainty associated with these results and shows that there is high uncertainty associated with both the data used and the assumptions necessary to estimate the monetary value of the coastal service from wetland within the GORCAP EEA region. This is because the evidence from AW Maritime (2021) was specific to the GORCAP EEA region, however there was no allowance in the analysis for the effectiveness of the replacement built infrastructure in reducing hazard exposure.</w:t>
      </w:r>
    </w:p>
    <w:p w14:paraId="67086C67" w14:textId="77777777" w:rsidR="007904E8" w:rsidRPr="004A34E0" w:rsidRDefault="007904E8" w:rsidP="00484CDC">
      <w:pPr>
        <w:pStyle w:val="Caption"/>
      </w:pPr>
      <w:r w:rsidRPr="004A34E0">
        <w:t>Table 36. Uncertainty assessment - monetary value of coastal protection</w:t>
      </w:r>
    </w:p>
    <w:tbl>
      <w:tblPr>
        <w:tblStyle w:val="TableGrid"/>
        <w:tblW w:w="5000" w:type="pct"/>
        <w:tblLook w:val="04A0" w:firstRow="1" w:lastRow="0" w:firstColumn="1" w:lastColumn="0" w:noHBand="0" w:noVBand="1"/>
      </w:tblPr>
      <w:tblGrid>
        <w:gridCol w:w="1360"/>
        <w:gridCol w:w="3862"/>
        <w:gridCol w:w="3712"/>
        <w:gridCol w:w="704"/>
      </w:tblGrid>
      <w:tr w:rsidR="002573E4" w:rsidRPr="004A34E0" w14:paraId="529C6385" w14:textId="77777777" w:rsidTr="00484CDC">
        <w:trPr>
          <w:cnfStyle w:val="100000000000" w:firstRow="1" w:lastRow="0" w:firstColumn="0" w:lastColumn="0" w:oddVBand="0" w:evenVBand="0" w:oddHBand="0"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706" w:type="pct"/>
          </w:tcPr>
          <w:p w14:paraId="5B776506" w14:textId="77777777" w:rsidR="007904E8" w:rsidRPr="004A34E0" w:rsidRDefault="007904E8" w:rsidP="00666947">
            <w:pPr>
              <w:pStyle w:val="TableTextLeft"/>
            </w:pPr>
          </w:p>
        </w:tc>
        <w:tc>
          <w:tcPr>
            <w:tcW w:w="3929" w:type="pct"/>
            <w:gridSpan w:val="2"/>
          </w:tcPr>
          <w:p w14:paraId="0E6B7345"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Uncertainty in…</w:t>
            </w:r>
          </w:p>
        </w:tc>
        <w:tc>
          <w:tcPr>
            <w:tcW w:w="365" w:type="pct"/>
          </w:tcPr>
          <w:p w14:paraId="4B31DA9C"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rPr>
                <w:b/>
              </w:rPr>
            </w:pPr>
          </w:p>
        </w:tc>
      </w:tr>
      <w:tr w:rsidR="007904E8" w:rsidRPr="004A34E0" w14:paraId="4BF75883" w14:textId="77777777" w:rsidTr="00484CDC">
        <w:trPr>
          <w:trHeight w:val="247"/>
        </w:trPr>
        <w:tc>
          <w:tcPr>
            <w:cnfStyle w:val="001000000000" w:firstRow="0" w:lastRow="0" w:firstColumn="1" w:lastColumn="0" w:oddVBand="0" w:evenVBand="0" w:oddHBand="0" w:evenHBand="0" w:firstRowFirstColumn="0" w:firstRowLastColumn="0" w:lastRowFirstColumn="0" w:lastRowLastColumn="0"/>
            <w:tcW w:w="706" w:type="pct"/>
            <w:tcBorders>
              <w:top w:val="nil"/>
            </w:tcBorders>
            <w:shd w:val="clear" w:color="auto" w:fill="004C97" w:themeFill="accent1"/>
          </w:tcPr>
          <w:p w14:paraId="54A2BEC8" w14:textId="77777777" w:rsidR="007904E8" w:rsidRPr="00484CDC" w:rsidRDefault="007904E8" w:rsidP="00666947">
            <w:pPr>
              <w:pStyle w:val="TableTextLeft"/>
              <w:rPr>
                <w:color w:val="FFFFFF" w:themeColor="background1"/>
              </w:rPr>
            </w:pPr>
          </w:p>
        </w:tc>
        <w:tc>
          <w:tcPr>
            <w:tcW w:w="2004" w:type="pct"/>
            <w:tcBorders>
              <w:top w:val="nil"/>
            </w:tcBorders>
            <w:shd w:val="clear" w:color="auto" w:fill="004C97" w:themeFill="accent1"/>
          </w:tcPr>
          <w:p w14:paraId="027DD3DB"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484CDC">
              <w:rPr>
                <w:b/>
                <w:color w:val="FFFFFF" w:themeColor="background1"/>
              </w:rPr>
              <w:t xml:space="preserve">Evidence </w:t>
            </w:r>
          </w:p>
        </w:tc>
        <w:tc>
          <w:tcPr>
            <w:tcW w:w="1926" w:type="pct"/>
            <w:tcBorders>
              <w:top w:val="nil"/>
            </w:tcBorders>
            <w:shd w:val="clear" w:color="auto" w:fill="004C97" w:themeFill="accent1"/>
          </w:tcPr>
          <w:p w14:paraId="303519D4"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484CDC">
              <w:rPr>
                <w:b/>
                <w:color w:val="FFFFFF" w:themeColor="background1"/>
              </w:rPr>
              <w:t>Assumptions</w:t>
            </w:r>
          </w:p>
        </w:tc>
        <w:tc>
          <w:tcPr>
            <w:tcW w:w="365" w:type="pct"/>
            <w:tcBorders>
              <w:top w:val="nil"/>
            </w:tcBorders>
            <w:shd w:val="clear" w:color="auto" w:fill="004C97" w:themeFill="accent1"/>
          </w:tcPr>
          <w:p w14:paraId="002CA660"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r w:rsidRPr="00484CDC">
              <w:rPr>
                <w:b/>
                <w:color w:val="FFFFFF" w:themeColor="background1"/>
              </w:rPr>
              <w:t>Total</w:t>
            </w:r>
          </w:p>
        </w:tc>
      </w:tr>
      <w:tr w:rsidR="002573E4" w:rsidRPr="004A34E0" w14:paraId="60692DFF" w14:textId="77777777" w:rsidTr="002573E4">
        <w:trPr>
          <w:trHeight w:val="75"/>
        </w:trPr>
        <w:tc>
          <w:tcPr>
            <w:cnfStyle w:val="001000000000" w:firstRow="0" w:lastRow="0" w:firstColumn="1" w:lastColumn="0" w:oddVBand="0" w:evenVBand="0" w:oddHBand="0" w:evenHBand="0" w:firstRowFirstColumn="0" w:firstRowLastColumn="0" w:lastRowFirstColumn="0" w:lastRowLastColumn="0"/>
            <w:tcW w:w="706" w:type="pct"/>
          </w:tcPr>
          <w:p w14:paraId="6B0B76CD" w14:textId="77777777" w:rsidR="007904E8" w:rsidRPr="004A34E0" w:rsidRDefault="007904E8" w:rsidP="00666947">
            <w:pPr>
              <w:pStyle w:val="TableTextLeft"/>
              <w:rPr>
                <w:b/>
              </w:rPr>
            </w:pPr>
            <w:r w:rsidRPr="004A34E0">
              <w:rPr>
                <w:b/>
              </w:rPr>
              <w:t>Explanation</w:t>
            </w:r>
          </w:p>
        </w:tc>
        <w:tc>
          <w:tcPr>
            <w:tcW w:w="2004" w:type="pct"/>
          </w:tcPr>
          <w:p w14:paraId="31D97D33"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The analysis relies on a single source of evidence on replacement cost of built infrastructure, which is the estimated cost of replacing current built infrastructure (i.e., groynes, seawalls, revetments, breakwaters) along the coast in Surf Coast, Colac Otway, Corangamite, Warrnambool and Moyne municipalities, with the same (i.e., like for like) infrastructure.</w:t>
            </w:r>
          </w:p>
          <w:p w14:paraId="7FA4E890"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 xml:space="preserve">There is no evidence on the likely avoided damage costs associated with coastal exposure reduction due to the wetlands. </w:t>
            </w:r>
          </w:p>
        </w:tc>
        <w:tc>
          <w:tcPr>
            <w:tcW w:w="1926" w:type="pct"/>
          </w:tcPr>
          <w:p w14:paraId="747AD0C0"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The analysis relies on the physical provision analysis and therefore assumes that there is demand for the coastal protection service where a hazard exposure reduction occurs, that existing risk management measures are accounted for and does not add exposure reductions across ecosystem types.</w:t>
            </w:r>
          </w:p>
          <w:p w14:paraId="26A73A15"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The analysis estimates the cost of an equivalent reduction in coastal hazard exposure being provided by built infrastructure, assuming a range of effectiveness of the built infrastructure.</w:t>
            </w:r>
          </w:p>
        </w:tc>
        <w:tc>
          <w:tcPr>
            <w:tcW w:w="365" w:type="pct"/>
          </w:tcPr>
          <w:p w14:paraId="786BF37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High</w:t>
            </w:r>
          </w:p>
        </w:tc>
      </w:tr>
      <w:tr w:rsidR="007904E8" w:rsidRPr="004A34E0" w14:paraId="2CC28DCB" w14:textId="77777777" w:rsidTr="00484CDC">
        <w:trPr>
          <w:trHeight w:val="194"/>
        </w:trPr>
        <w:tc>
          <w:tcPr>
            <w:cnfStyle w:val="001000000000" w:firstRow="0" w:lastRow="0" w:firstColumn="1" w:lastColumn="0" w:oddVBand="0" w:evenVBand="0" w:oddHBand="0" w:evenHBand="0" w:firstRowFirstColumn="0" w:firstRowLastColumn="0" w:lastRowFirstColumn="0" w:lastRowLastColumn="0"/>
            <w:tcW w:w="706" w:type="pct"/>
            <w:shd w:val="clear" w:color="auto" w:fill="CCDBEA" w:themeFill="background2"/>
          </w:tcPr>
          <w:p w14:paraId="3E1667FA" w14:textId="77777777" w:rsidR="007904E8" w:rsidRPr="004A34E0" w:rsidRDefault="007904E8" w:rsidP="00666947">
            <w:pPr>
              <w:pStyle w:val="TableTextLeft"/>
              <w:rPr>
                <w:b/>
              </w:rPr>
            </w:pPr>
            <w:r w:rsidRPr="004A34E0">
              <w:rPr>
                <w:b/>
              </w:rPr>
              <w:t xml:space="preserve">Rating </w:t>
            </w:r>
          </w:p>
        </w:tc>
        <w:tc>
          <w:tcPr>
            <w:tcW w:w="2004" w:type="pct"/>
            <w:shd w:val="clear" w:color="auto" w:fill="CCDBEA" w:themeFill="background2"/>
          </w:tcPr>
          <w:p w14:paraId="7C9FC19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w:t>
            </w:r>
          </w:p>
        </w:tc>
        <w:tc>
          <w:tcPr>
            <w:tcW w:w="1926" w:type="pct"/>
            <w:shd w:val="clear" w:color="auto" w:fill="CCDBEA" w:themeFill="background2"/>
          </w:tcPr>
          <w:p w14:paraId="17D229D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w:t>
            </w:r>
          </w:p>
        </w:tc>
        <w:tc>
          <w:tcPr>
            <w:tcW w:w="365" w:type="pct"/>
            <w:shd w:val="clear" w:color="auto" w:fill="CCDBEA" w:themeFill="background2"/>
          </w:tcPr>
          <w:p w14:paraId="749C570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9</w:t>
            </w:r>
          </w:p>
        </w:tc>
      </w:tr>
    </w:tbl>
    <w:p w14:paraId="5BC5C246" w14:textId="77777777" w:rsidR="007904E8" w:rsidRPr="004A34E0" w:rsidRDefault="007904E8" w:rsidP="00A2745D">
      <w:pPr>
        <w:pStyle w:val="AlphaHeading4"/>
      </w:pPr>
      <w:r w:rsidRPr="004A34E0">
        <w:t xml:space="preserve">Supply and use </w:t>
      </w:r>
    </w:p>
    <w:p w14:paraId="4CBACF52" w14:textId="77777777" w:rsidR="007904E8" w:rsidRPr="004A34E0" w:rsidRDefault="007904E8" w:rsidP="007904E8">
      <w:pPr>
        <w:pStyle w:val="BodyText"/>
      </w:pPr>
      <w:r w:rsidRPr="004A34E0">
        <w:t xml:space="preserve">The users (beneficiaries) of the coastal protection ecosystem service provided by GOR ecosystem assets will depend on the assets at risk of damages from storm surges and seal level rise. This might be residents or businesses with premises by the coast, or energy and water providers who have infrastructure assets along the coastline and/or tourists. All of these users could potentially benefit from protection provided by coastal wetlands (relative to a “no ecosystem asset” measurement baseline). However, for the purpose of this GORCAP EEA, it is assumed that the user is the government because it would fall onto the public sector to provide the built infrastructure (as it is a public good) to deliver equivalent exposure reductions to that provided by ecosystems, see Table 37. </w:t>
      </w:r>
    </w:p>
    <w:p w14:paraId="35B0591A" w14:textId="77777777" w:rsidR="007904E8" w:rsidRPr="004A34E0" w:rsidRDefault="007904E8" w:rsidP="007904E8">
      <w:pPr>
        <w:pStyle w:val="BodyText"/>
        <w:rPr>
          <w:rFonts w:eastAsia="Calibri"/>
          <w:b/>
        </w:rPr>
      </w:pPr>
      <w:r w:rsidRPr="004A34E0">
        <w:rPr>
          <w:rFonts w:eastAsia="Calibri"/>
          <w:b/>
        </w:rPr>
        <w:br w:type="page"/>
      </w:r>
    </w:p>
    <w:p w14:paraId="49570BE4" w14:textId="77777777" w:rsidR="007904E8" w:rsidRPr="004A34E0" w:rsidRDefault="007904E8" w:rsidP="00484CDC">
      <w:pPr>
        <w:pStyle w:val="Caption"/>
        <w:rPr>
          <w:rFonts w:eastAsia="Calibri"/>
        </w:rPr>
      </w:pPr>
      <w:r w:rsidRPr="004A34E0">
        <w:rPr>
          <w:rFonts w:eastAsia="Calibri"/>
        </w:rPr>
        <w:lastRenderedPageBreak/>
        <w:t>Table 37. Supply and use table for coastal protection from the GORCAP EEA region in 2019</w:t>
      </w:r>
    </w:p>
    <w:tbl>
      <w:tblPr>
        <w:tblStyle w:val="TableGrid"/>
        <w:tblW w:w="0" w:type="auto"/>
        <w:tblLook w:val="04A0" w:firstRow="1" w:lastRow="0" w:firstColumn="1" w:lastColumn="0" w:noHBand="0" w:noVBand="1"/>
      </w:tblPr>
      <w:tblGrid>
        <w:gridCol w:w="1235"/>
        <w:gridCol w:w="842"/>
        <w:gridCol w:w="1405"/>
        <w:gridCol w:w="1336"/>
        <w:gridCol w:w="1407"/>
        <w:gridCol w:w="1015"/>
        <w:gridCol w:w="1252"/>
        <w:gridCol w:w="1146"/>
      </w:tblGrid>
      <w:tr w:rsidR="007904E8" w:rsidRPr="004A34E0" w14:paraId="5F0BD650" w14:textId="77777777" w:rsidTr="00484C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5" w:type="dxa"/>
          </w:tcPr>
          <w:p w14:paraId="05D60B71" w14:textId="77777777" w:rsidR="007904E8" w:rsidRPr="004A34E0" w:rsidRDefault="007904E8" w:rsidP="007904E8">
            <w:pPr>
              <w:pStyle w:val="TableTextLeft"/>
              <w:keepNext w:val="0"/>
              <w:rPr>
                <w:rFonts w:eastAsia="Calibri"/>
              </w:rPr>
            </w:pPr>
          </w:p>
        </w:tc>
        <w:tc>
          <w:tcPr>
            <w:tcW w:w="842" w:type="dxa"/>
          </w:tcPr>
          <w:p w14:paraId="7F819250"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rPr>
                <w:rFonts w:eastAsia="Calibri"/>
              </w:rPr>
            </w:pPr>
          </w:p>
        </w:tc>
        <w:tc>
          <w:tcPr>
            <w:tcW w:w="1405" w:type="dxa"/>
          </w:tcPr>
          <w:p w14:paraId="28D703F8"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rPr>
                <w:rFonts w:eastAsia="Calibri"/>
              </w:rPr>
            </w:pPr>
            <w:r w:rsidRPr="004A34E0">
              <w:rPr>
                <w:rFonts w:eastAsia="Calibri"/>
                <w:b/>
              </w:rPr>
              <w:t>Metric</w:t>
            </w:r>
          </w:p>
        </w:tc>
        <w:tc>
          <w:tcPr>
            <w:tcW w:w="1336" w:type="dxa"/>
          </w:tcPr>
          <w:p w14:paraId="5BC01324"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rPr>
                <w:rFonts w:eastAsia="Calibri"/>
              </w:rPr>
            </w:pPr>
            <w:r w:rsidRPr="004A34E0">
              <w:rPr>
                <w:rFonts w:eastAsia="Calibri"/>
                <w:b/>
              </w:rPr>
              <w:t>Household</w:t>
            </w:r>
          </w:p>
        </w:tc>
        <w:tc>
          <w:tcPr>
            <w:tcW w:w="1407" w:type="dxa"/>
          </w:tcPr>
          <w:p w14:paraId="72AB21F1"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rPr>
                <w:rFonts w:eastAsia="Calibri"/>
              </w:rPr>
            </w:pPr>
            <w:r w:rsidRPr="004A34E0">
              <w:rPr>
                <w:rFonts w:eastAsia="Calibri"/>
                <w:b/>
              </w:rPr>
              <w:t>Government</w:t>
            </w:r>
          </w:p>
        </w:tc>
        <w:tc>
          <w:tcPr>
            <w:tcW w:w="1015" w:type="dxa"/>
          </w:tcPr>
          <w:p w14:paraId="2A4220E6"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rPr>
                <w:rFonts w:eastAsia="Calibri"/>
              </w:rPr>
            </w:pPr>
            <w:r w:rsidRPr="004A34E0">
              <w:rPr>
                <w:rFonts w:eastAsia="Calibri"/>
                <w:b/>
              </w:rPr>
              <w:t>Industry</w:t>
            </w:r>
          </w:p>
        </w:tc>
        <w:tc>
          <w:tcPr>
            <w:tcW w:w="2398" w:type="dxa"/>
            <w:gridSpan w:val="2"/>
          </w:tcPr>
          <w:p w14:paraId="45F4E541"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rPr>
                <w:rFonts w:eastAsia="Calibri"/>
                <w:b/>
              </w:rPr>
            </w:pPr>
            <w:r w:rsidRPr="004A34E0">
              <w:rPr>
                <w:rFonts w:eastAsia="Calibri"/>
                <w:b/>
              </w:rPr>
              <w:t>Ecosystem</w:t>
            </w:r>
          </w:p>
        </w:tc>
      </w:tr>
      <w:tr w:rsidR="007904E8" w:rsidRPr="004A34E0" w14:paraId="7D0BC5F9" w14:textId="77777777" w:rsidTr="00484CDC">
        <w:tc>
          <w:tcPr>
            <w:cnfStyle w:val="001000000000" w:firstRow="0" w:lastRow="0" w:firstColumn="1" w:lastColumn="0" w:oddVBand="0" w:evenVBand="0" w:oddHBand="0" w:evenHBand="0" w:firstRowFirstColumn="0" w:firstRowLastColumn="0" w:lastRowFirstColumn="0" w:lastRowLastColumn="0"/>
            <w:tcW w:w="1235" w:type="dxa"/>
            <w:tcBorders>
              <w:top w:val="nil"/>
              <w:bottom w:val="nil"/>
            </w:tcBorders>
            <w:shd w:val="clear" w:color="auto" w:fill="004C97" w:themeFill="accent1"/>
          </w:tcPr>
          <w:p w14:paraId="6429A3E3" w14:textId="77777777" w:rsidR="007904E8" w:rsidRPr="00484CDC" w:rsidRDefault="007904E8" w:rsidP="00666947">
            <w:pPr>
              <w:pStyle w:val="TableTextLeft"/>
              <w:rPr>
                <w:rFonts w:eastAsia="Calibri"/>
                <w:color w:val="FFFFFF" w:themeColor="background1"/>
              </w:rPr>
            </w:pPr>
          </w:p>
        </w:tc>
        <w:tc>
          <w:tcPr>
            <w:tcW w:w="842" w:type="dxa"/>
            <w:tcBorders>
              <w:top w:val="nil"/>
              <w:bottom w:val="nil"/>
            </w:tcBorders>
            <w:shd w:val="clear" w:color="auto" w:fill="004C97" w:themeFill="accent1"/>
          </w:tcPr>
          <w:p w14:paraId="2C8119BA"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p>
        </w:tc>
        <w:tc>
          <w:tcPr>
            <w:tcW w:w="1405" w:type="dxa"/>
            <w:tcBorders>
              <w:top w:val="nil"/>
              <w:bottom w:val="nil"/>
            </w:tcBorders>
            <w:shd w:val="clear" w:color="auto" w:fill="004C97" w:themeFill="accent1"/>
          </w:tcPr>
          <w:p w14:paraId="6FC4BB60"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p>
        </w:tc>
        <w:tc>
          <w:tcPr>
            <w:tcW w:w="1336" w:type="dxa"/>
            <w:tcBorders>
              <w:top w:val="nil"/>
              <w:bottom w:val="nil"/>
            </w:tcBorders>
            <w:shd w:val="clear" w:color="auto" w:fill="004C97" w:themeFill="accent1"/>
          </w:tcPr>
          <w:p w14:paraId="695544AA"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p>
        </w:tc>
        <w:tc>
          <w:tcPr>
            <w:tcW w:w="1407" w:type="dxa"/>
            <w:tcBorders>
              <w:top w:val="nil"/>
              <w:bottom w:val="nil"/>
            </w:tcBorders>
            <w:shd w:val="clear" w:color="auto" w:fill="004C97" w:themeFill="accent1"/>
          </w:tcPr>
          <w:p w14:paraId="07381217"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p>
        </w:tc>
        <w:tc>
          <w:tcPr>
            <w:tcW w:w="1015" w:type="dxa"/>
            <w:tcBorders>
              <w:top w:val="nil"/>
              <w:bottom w:val="nil"/>
            </w:tcBorders>
            <w:shd w:val="clear" w:color="auto" w:fill="004C97" w:themeFill="accent1"/>
          </w:tcPr>
          <w:p w14:paraId="0D1AB827"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p>
        </w:tc>
        <w:tc>
          <w:tcPr>
            <w:tcW w:w="2398" w:type="dxa"/>
            <w:gridSpan w:val="2"/>
            <w:tcBorders>
              <w:top w:val="nil"/>
              <w:bottom w:val="nil"/>
            </w:tcBorders>
            <w:shd w:val="clear" w:color="auto" w:fill="004C97" w:themeFill="accent1"/>
          </w:tcPr>
          <w:p w14:paraId="551761B2"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r w:rsidRPr="00484CDC">
              <w:rPr>
                <w:rFonts w:eastAsia="Calibri"/>
                <w:color w:val="FFFFFF" w:themeColor="background1"/>
              </w:rPr>
              <w:t>Coastal margins</w:t>
            </w:r>
          </w:p>
        </w:tc>
      </w:tr>
      <w:tr w:rsidR="007904E8" w:rsidRPr="004A34E0" w14:paraId="63A16B46" w14:textId="77777777" w:rsidTr="00484CDC">
        <w:tc>
          <w:tcPr>
            <w:cnfStyle w:val="001000000000" w:firstRow="0" w:lastRow="0" w:firstColumn="1" w:lastColumn="0" w:oddVBand="0" w:evenVBand="0" w:oddHBand="0" w:evenHBand="0" w:firstRowFirstColumn="0" w:firstRowLastColumn="0" w:lastRowFirstColumn="0" w:lastRowLastColumn="0"/>
            <w:tcW w:w="1235" w:type="dxa"/>
            <w:tcBorders>
              <w:top w:val="nil"/>
            </w:tcBorders>
            <w:shd w:val="clear" w:color="auto" w:fill="004C97" w:themeFill="accent1"/>
          </w:tcPr>
          <w:p w14:paraId="47B6D944" w14:textId="77777777" w:rsidR="007904E8" w:rsidRPr="00484CDC" w:rsidRDefault="007904E8" w:rsidP="00666947">
            <w:pPr>
              <w:pStyle w:val="TableTextLeft"/>
              <w:rPr>
                <w:rFonts w:eastAsia="Calibri"/>
                <w:color w:val="FFFFFF" w:themeColor="background1"/>
              </w:rPr>
            </w:pPr>
          </w:p>
        </w:tc>
        <w:tc>
          <w:tcPr>
            <w:tcW w:w="842" w:type="dxa"/>
            <w:tcBorders>
              <w:top w:val="nil"/>
            </w:tcBorders>
            <w:shd w:val="clear" w:color="auto" w:fill="004C97" w:themeFill="accent1"/>
          </w:tcPr>
          <w:p w14:paraId="4CB9F0A0"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p>
        </w:tc>
        <w:tc>
          <w:tcPr>
            <w:tcW w:w="1405" w:type="dxa"/>
            <w:tcBorders>
              <w:top w:val="nil"/>
            </w:tcBorders>
            <w:shd w:val="clear" w:color="auto" w:fill="004C97" w:themeFill="accent1"/>
          </w:tcPr>
          <w:p w14:paraId="14510BAF"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p>
        </w:tc>
        <w:tc>
          <w:tcPr>
            <w:tcW w:w="1336" w:type="dxa"/>
            <w:tcBorders>
              <w:top w:val="nil"/>
            </w:tcBorders>
            <w:shd w:val="clear" w:color="auto" w:fill="004C97" w:themeFill="accent1"/>
          </w:tcPr>
          <w:p w14:paraId="0439FF16"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p>
        </w:tc>
        <w:tc>
          <w:tcPr>
            <w:tcW w:w="1407" w:type="dxa"/>
            <w:tcBorders>
              <w:top w:val="nil"/>
            </w:tcBorders>
            <w:shd w:val="clear" w:color="auto" w:fill="004C97" w:themeFill="accent1"/>
          </w:tcPr>
          <w:p w14:paraId="3FFB9F8C"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p>
        </w:tc>
        <w:tc>
          <w:tcPr>
            <w:tcW w:w="1015" w:type="dxa"/>
            <w:tcBorders>
              <w:top w:val="nil"/>
            </w:tcBorders>
            <w:shd w:val="clear" w:color="auto" w:fill="004C97" w:themeFill="accent1"/>
          </w:tcPr>
          <w:p w14:paraId="33248C4F"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p>
        </w:tc>
        <w:tc>
          <w:tcPr>
            <w:tcW w:w="1252" w:type="dxa"/>
            <w:tcBorders>
              <w:top w:val="nil"/>
            </w:tcBorders>
            <w:shd w:val="clear" w:color="auto" w:fill="004C97" w:themeFill="accent1"/>
          </w:tcPr>
          <w:p w14:paraId="1C27935C"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r w:rsidRPr="00484CDC">
              <w:rPr>
                <w:rFonts w:eastAsia="Calibri"/>
                <w:i/>
                <w:color w:val="FFFFFF" w:themeColor="background1"/>
              </w:rPr>
              <w:t>Crown</w:t>
            </w:r>
          </w:p>
        </w:tc>
        <w:tc>
          <w:tcPr>
            <w:tcW w:w="1146" w:type="dxa"/>
            <w:tcBorders>
              <w:top w:val="nil"/>
            </w:tcBorders>
            <w:shd w:val="clear" w:color="auto" w:fill="004C97" w:themeFill="accent1"/>
          </w:tcPr>
          <w:p w14:paraId="354CF009"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i/>
                <w:color w:val="FFFFFF" w:themeColor="background1"/>
              </w:rPr>
            </w:pPr>
            <w:r w:rsidRPr="00484CDC">
              <w:rPr>
                <w:rFonts w:eastAsia="Calibri"/>
                <w:i/>
                <w:color w:val="FFFFFF" w:themeColor="background1"/>
              </w:rPr>
              <w:t>Non-Crown</w:t>
            </w:r>
          </w:p>
        </w:tc>
      </w:tr>
      <w:tr w:rsidR="007904E8" w:rsidRPr="004A34E0" w14:paraId="1B1B3CF4" w14:textId="77777777" w:rsidTr="002573E4">
        <w:tc>
          <w:tcPr>
            <w:cnfStyle w:val="001000000000" w:firstRow="0" w:lastRow="0" w:firstColumn="1" w:lastColumn="0" w:oddVBand="0" w:evenVBand="0" w:oddHBand="0" w:evenHBand="0" w:firstRowFirstColumn="0" w:firstRowLastColumn="0" w:lastRowFirstColumn="0" w:lastRowLastColumn="0"/>
            <w:tcW w:w="1235" w:type="dxa"/>
            <w:vMerge w:val="restart"/>
          </w:tcPr>
          <w:p w14:paraId="429D4CBF" w14:textId="77777777" w:rsidR="007904E8" w:rsidRPr="004A34E0" w:rsidRDefault="007904E8" w:rsidP="00666947">
            <w:pPr>
              <w:pStyle w:val="TableTextLeft"/>
              <w:rPr>
                <w:rFonts w:eastAsia="Calibri"/>
              </w:rPr>
            </w:pPr>
            <w:r w:rsidRPr="004A34E0">
              <w:rPr>
                <w:rFonts w:eastAsia="Calibri"/>
              </w:rPr>
              <w:t>Coastal protection</w:t>
            </w:r>
          </w:p>
        </w:tc>
        <w:tc>
          <w:tcPr>
            <w:tcW w:w="842" w:type="dxa"/>
          </w:tcPr>
          <w:p w14:paraId="27961FF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Supply</w:t>
            </w:r>
          </w:p>
        </w:tc>
        <w:tc>
          <w:tcPr>
            <w:tcW w:w="1405" w:type="dxa"/>
          </w:tcPr>
          <w:p w14:paraId="4554314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vertAlign w:val="superscript"/>
              </w:rPr>
            </w:pPr>
            <w:r w:rsidRPr="004A34E0">
              <w:rPr>
                <w:rFonts w:eastAsia="Calibri"/>
              </w:rPr>
              <w:t>Km / yr</w:t>
            </w:r>
          </w:p>
        </w:tc>
        <w:tc>
          <w:tcPr>
            <w:tcW w:w="1336" w:type="dxa"/>
            <w:shd w:val="clear" w:color="auto" w:fill="E7F7F8" w:themeFill="accent2" w:themeFillTint="33"/>
          </w:tcPr>
          <w:p w14:paraId="49F22FC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1407" w:type="dxa"/>
            <w:shd w:val="clear" w:color="auto" w:fill="E7F7F8" w:themeFill="accent2" w:themeFillTint="33"/>
          </w:tcPr>
          <w:p w14:paraId="6B1FC2B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1015" w:type="dxa"/>
            <w:shd w:val="clear" w:color="auto" w:fill="E7F7F8" w:themeFill="accent2" w:themeFillTint="33"/>
          </w:tcPr>
          <w:p w14:paraId="3C7E46D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1252" w:type="dxa"/>
          </w:tcPr>
          <w:p w14:paraId="536F937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t>239</w:t>
            </w:r>
          </w:p>
        </w:tc>
        <w:tc>
          <w:tcPr>
            <w:tcW w:w="1146" w:type="dxa"/>
          </w:tcPr>
          <w:p w14:paraId="7A7950B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r>
      <w:tr w:rsidR="002573E4" w:rsidRPr="004A34E0" w14:paraId="47C0D2CF" w14:textId="77777777" w:rsidTr="002573E4">
        <w:tc>
          <w:tcPr>
            <w:cnfStyle w:val="001000000000" w:firstRow="0" w:lastRow="0" w:firstColumn="1" w:lastColumn="0" w:oddVBand="0" w:evenVBand="0" w:oddHBand="0" w:evenHBand="0" w:firstRowFirstColumn="0" w:firstRowLastColumn="0" w:lastRowFirstColumn="0" w:lastRowLastColumn="0"/>
            <w:tcW w:w="1235" w:type="dxa"/>
            <w:vMerge/>
          </w:tcPr>
          <w:p w14:paraId="7EFE0B78" w14:textId="77777777" w:rsidR="007904E8" w:rsidRPr="004A34E0" w:rsidRDefault="007904E8" w:rsidP="00666947">
            <w:pPr>
              <w:pStyle w:val="TableTextLeft"/>
              <w:rPr>
                <w:rFonts w:eastAsia="Calibri"/>
              </w:rPr>
            </w:pPr>
          </w:p>
        </w:tc>
        <w:tc>
          <w:tcPr>
            <w:tcW w:w="842" w:type="dxa"/>
          </w:tcPr>
          <w:p w14:paraId="730AE89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Use</w:t>
            </w:r>
          </w:p>
        </w:tc>
        <w:tc>
          <w:tcPr>
            <w:tcW w:w="1405" w:type="dxa"/>
          </w:tcPr>
          <w:p w14:paraId="0489B53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Km / yr</w:t>
            </w:r>
          </w:p>
        </w:tc>
        <w:tc>
          <w:tcPr>
            <w:tcW w:w="1336" w:type="dxa"/>
          </w:tcPr>
          <w:p w14:paraId="31F98FB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1407" w:type="dxa"/>
          </w:tcPr>
          <w:p w14:paraId="4E0A402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t>239</w:t>
            </w:r>
          </w:p>
        </w:tc>
        <w:tc>
          <w:tcPr>
            <w:tcW w:w="1015" w:type="dxa"/>
          </w:tcPr>
          <w:p w14:paraId="7A4D1E7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1252" w:type="dxa"/>
          </w:tcPr>
          <w:p w14:paraId="7B96C1C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1146" w:type="dxa"/>
          </w:tcPr>
          <w:p w14:paraId="6195B80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r>
      <w:tr w:rsidR="007904E8" w:rsidRPr="004A34E0" w14:paraId="2DA9FB3F" w14:textId="77777777" w:rsidTr="002573E4">
        <w:tc>
          <w:tcPr>
            <w:cnfStyle w:val="001000000000" w:firstRow="0" w:lastRow="0" w:firstColumn="1" w:lastColumn="0" w:oddVBand="0" w:evenVBand="0" w:oddHBand="0" w:evenHBand="0" w:firstRowFirstColumn="0" w:firstRowLastColumn="0" w:lastRowFirstColumn="0" w:lastRowLastColumn="0"/>
            <w:tcW w:w="1235" w:type="dxa"/>
            <w:vMerge w:val="restart"/>
          </w:tcPr>
          <w:p w14:paraId="4B641DE0" w14:textId="77777777" w:rsidR="007904E8" w:rsidRPr="004A34E0" w:rsidRDefault="007904E8" w:rsidP="00666947">
            <w:pPr>
              <w:pStyle w:val="TableTextLeft"/>
              <w:rPr>
                <w:rFonts w:eastAsia="Calibri"/>
              </w:rPr>
            </w:pPr>
            <w:r w:rsidRPr="004A34E0">
              <w:rPr>
                <w:rFonts w:eastAsia="Calibri"/>
              </w:rPr>
              <w:t>Coastal protection</w:t>
            </w:r>
          </w:p>
        </w:tc>
        <w:tc>
          <w:tcPr>
            <w:tcW w:w="842" w:type="dxa"/>
          </w:tcPr>
          <w:p w14:paraId="5ADAE99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Supply</w:t>
            </w:r>
          </w:p>
        </w:tc>
        <w:tc>
          <w:tcPr>
            <w:tcW w:w="1405" w:type="dxa"/>
          </w:tcPr>
          <w:p w14:paraId="1B3F860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 AUD (2021) / yr</w:t>
            </w:r>
          </w:p>
        </w:tc>
        <w:tc>
          <w:tcPr>
            <w:tcW w:w="1336" w:type="dxa"/>
            <w:shd w:val="clear" w:color="auto" w:fill="E7F7F8" w:themeFill="accent2" w:themeFillTint="33"/>
          </w:tcPr>
          <w:p w14:paraId="6F052A9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1407" w:type="dxa"/>
            <w:shd w:val="clear" w:color="auto" w:fill="E7F7F8" w:themeFill="accent2" w:themeFillTint="33"/>
          </w:tcPr>
          <w:p w14:paraId="343F7BE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1015" w:type="dxa"/>
            <w:shd w:val="clear" w:color="auto" w:fill="E7F7F8" w:themeFill="accent2" w:themeFillTint="33"/>
          </w:tcPr>
          <w:p w14:paraId="02805A5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1252" w:type="dxa"/>
          </w:tcPr>
          <w:p w14:paraId="111712F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$3m - $10m</w:t>
            </w:r>
          </w:p>
        </w:tc>
        <w:tc>
          <w:tcPr>
            <w:tcW w:w="1146" w:type="dxa"/>
          </w:tcPr>
          <w:p w14:paraId="3D3ECF7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r>
      <w:tr w:rsidR="002573E4" w:rsidRPr="004A34E0" w14:paraId="2D6FEE91" w14:textId="77777777" w:rsidTr="002573E4">
        <w:tc>
          <w:tcPr>
            <w:cnfStyle w:val="001000000000" w:firstRow="0" w:lastRow="0" w:firstColumn="1" w:lastColumn="0" w:oddVBand="0" w:evenVBand="0" w:oddHBand="0" w:evenHBand="0" w:firstRowFirstColumn="0" w:firstRowLastColumn="0" w:lastRowFirstColumn="0" w:lastRowLastColumn="0"/>
            <w:tcW w:w="1235" w:type="dxa"/>
            <w:vMerge/>
          </w:tcPr>
          <w:p w14:paraId="6D1872C1" w14:textId="77777777" w:rsidR="007904E8" w:rsidRPr="004A34E0" w:rsidRDefault="007904E8" w:rsidP="00666947">
            <w:pPr>
              <w:pStyle w:val="TableTextLeft"/>
              <w:rPr>
                <w:rFonts w:eastAsia="Calibri"/>
              </w:rPr>
            </w:pPr>
          </w:p>
        </w:tc>
        <w:tc>
          <w:tcPr>
            <w:tcW w:w="842" w:type="dxa"/>
          </w:tcPr>
          <w:p w14:paraId="5DF7524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Use</w:t>
            </w:r>
          </w:p>
        </w:tc>
        <w:tc>
          <w:tcPr>
            <w:tcW w:w="1405" w:type="dxa"/>
          </w:tcPr>
          <w:p w14:paraId="741BFA2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 AUD (2021) / yr</w:t>
            </w:r>
          </w:p>
        </w:tc>
        <w:tc>
          <w:tcPr>
            <w:tcW w:w="1336" w:type="dxa"/>
          </w:tcPr>
          <w:p w14:paraId="7058A93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1407" w:type="dxa"/>
          </w:tcPr>
          <w:p w14:paraId="1461B22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$3m - $10m</w:t>
            </w:r>
          </w:p>
        </w:tc>
        <w:tc>
          <w:tcPr>
            <w:tcW w:w="1015" w:type="dxa"/>
          </w:tcPr>
          <w:p w14:paraId="02FB402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1252" w:type="dxa"/>
          </w:tcPr>
          <w:p w14:paraId="7BD9F44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1146" w:type="dxa"/>
          </w:tcPr>
          <w:p w14:paraId="737D6A9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r>
    </w:tbl>
    <w:p w14:paraId="7538758F" w14:textId="77777777" w:rsidR="007904E8" w:rsidRPr="004A34E0" w:rsidRDefault="007904E8" w:rsidP="007904E8">
      <w:pPr>
        <w:pStyle w:val="Heading3"/>
      </w:pPr>
      <w:bookmarkStart w:id="226" w:name="_Toc98854678"/>
      <w:bookmarkStart w:id="227" w:name="_Toc163547054"/>
      <w:r w:rsidRPr="004A34E0">
        <w:t>Education</w:t>
      </w:r>
      <w:bookmarkEnd w:id="226"/>
      <w:bookmarkEnd w:id="227"/>
      <w:r w:rsidRPr="004A34E0">
        <w:t xml:space="preserve"> </w:t>
      </w:r>
    </w:p>
    <w:p w14:paraId="1202F380" w14:textId="46AA0251" w:rsidR="007904E8" w:rsidRPr="007B2FCE" w:rsidRDefault="00963D65" w:rsidP="000035CB">
      <w:pPr>
        <w:pStyle w:val="AlphaHeading4"/>
        <w:numPr>
          <w:ilvl w:val="0"/>
          <w:numId w:val="66"/>
        </w:numPr>
      </w:pPr>
      <w:r w:rsidRPr="007B2FCE">
        <w:t>Physical provision of education</w:t>
      </w:r>
    </w:p>
    <w:p w14:paraId="1644356B" w14:textId="77777777" w:rsidR="007904E8" w:rsidRPr="004A34E0" w:rsidRDefault="007904E8" w:rsidP="007904E8">
      <w:pPr>
        <w:pStyle w:val="BodyText12ptBefore"/>
        <w:rPr>
          <w:b/>
        </w:rPr>
      </w:pPr>
      <w:r w:rsidRPr="004A34E0">
        <w:t xml:space="preserve">The number of educational visits to the natural environment within the GORCAP EEA region in 2019 is estimated to be 714 based on the DET Student Activity Locator (2021) with over half of these visits (399 visits) for camping and the next most popular activity being water sports (109 visits). In order to estimate the number of student visitors associated with these visits, the study team estimated the average number of visitors per visit to the natural environment using 2020 data to be 46 students per visit (based on 392 visits to the natural environment within the GORCAP EEA having 18,110 student visitors in 2019). This calculation resulted in an estimated 32,844 student visitors to the GORCAP EEA region in 2019, as shown in Table 38. </w:t>
      </w:r>
    </w:p>
    <w:p w14:paraId="51C1FB06" w14:textId="77777777" w:rsidR="007904E8" w:rsidRPr="004A34E0" w:rsidRDefault="007904E8" w:rsidP="00484CDC">
      <w:pPr>
        <w:pStyle w:val="Caption"/>
      </w:pPr>
      <w:r w:rsidRPr="004A34E0">
        <w:t>Table 38. Number of school visits to suburbs within the GORCAP EEA by activity type for 2019</w:t>
      </w:r>
    </w:p>
    <w:tbl>
      <w:tblPr>
        <w:tblStyle w:val="TableGrid"/>
        <w:tblW w:w="5000" w:type="pct"/>
        <w:tblLook w:val="04A0" w:firstRow="1" w:lastRow="0" w:firstColumn="1" w:lastColumn="0" w:noHBand="0" w:noVBand="1"/>
      </w:tblPr>
      <w:tblGrid>
        <w:gridCol w:w="2733"/>
        <w:gridCol w:w="2354"/>
        <w:gridCol w:w="2573"/>
        <w:gridCol w:w="989"/>
        <w:gridCol w:w="989"/>
      </w:tblGrid>
      <w:tr w:rsidR="00963D65" w:rsidRPr="004A34E0" w14:paraId="42A27C17" w14:textId="77777777" w:rsidTr="00963D65">
        <w:trPr>
          <w:cnfStyle w:val="100000000000" w:firstRow="1" w:lastRow="0" w:firstColumn="0" w:lastColumn="0" w:oddVBand="0" w:evenVBand="0" w:oddHBand="0"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418" w:type="pct"/>
            <w:noWrap/>
            <w:hideMark/>
          </w:tcPr>
          <w:p w14:paraId="270F5A25" w14:textId="77777777" w:rsidR="007904E8" w:rsidRPr="004A34E0" w:rsidRDefault="007904E8" w:rsidP="00666947">
            <w:pPr>
              <w:pStyle w:val="TableTextLeft"/>
            </w:pPr>
            <w:r w:rsidRPr="004A34E0">
              <w:rPr>
                <w:b/>
              </w:rPr>
              <w:t>Activity type</w:t>
            </w:r>
          </w:p>
        </w:tc>
        <w:tc>
          <w:tcPr>
            <w:tcW w:w="1221" w:type="pct"/>
            <w:noWrap/>
            <w:hideMark/>
          </w:tcPr>
          <w:p w14:paraId="1302000E"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Visits</w:t>
            </w:r>
          </w:p>
        </w:tc>
        <w:tc>
          <w:tcPr>
            <w:tcW w:w="1335" w:type="pct"/>
          </w:tcPr>
          <w:p w14:paraId="4EC8DEEB"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 xml:space="preserve">Student visitors </w:t>
            </w:r>
          </w:p>
        </w:tc>
        <w:tc>
          <w:tcPr>
            <w:tcW w:w="513" w:type="pct"/>
          </w:tcPr>
          <w:p w14:paraId="0B1CC24E"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 xml:space="preserve">Year </w:t>
            </w:r>
          </w:p>
        </w:tc>
        <w:tc>
          <w:tcPr>
            <w:tcW w:w="513" w:type="pct"/>
          </w:tcPr>
          <w:p w14:paraId="6956D126"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rPr>
                <w:b/>
              </w:rPr>
            </w:pPr>
            <w:r w:rsidRPr="004A34E0">
              <w:rPr>
                <w:b/>
              </w:rPr>
              <w:t>Source</w:t>
            </w:r>
          </w:p>
        </w:tc>
      </w:tr>
      <w:tr w:rsidR="007904E8" w:rsidRPr="004A34E0" w14:paraId="7A76B7BD" w14:textId="77777777" w:rsidTr="00963D65">
        <w:trPr>
          <w:trHeight w:val="299"/>
        </w:trPr>
        <w:tc>
          <w:tcPr>
            <w:cnfStyle w:val="001000000000" w:firstRow="0" w:lastRow="0" w:firstColumn="1" w:lastColumn="0" w:oddVBand="0" w:evenVBand="0" w:oddHBand="0" w:evenHBand="0" w:firstRowFirstColumn="0" w:firstRowLastColumn="0" w:lastRowFirstColumn="0" w:lastRowLastColumn="0"/>
            <w:tcW w:w="1418" w:type="pct"/>
            <w:noWrap/>
            <w:hideMark/>
          </w:tcPr>
          <w:p w14:paraId="6E7F5DA9" w14:textId="77777777" w:rsidR="007904E8" w:rsidRPr="004A34E0" w:rsidRDefault="007904E8" w:rsidP="00666947">
            <w:pPr>
              <w:pStyle w:val="TableTextLeft"/>
            </w:pPr>
            <w:r w:rsidRPr="004A34E0">
              <w:t>Bushwalking</w:t>
            </w:r>
          </w:p>
        </w:tc>
        <w:tc>
          <w:tcPr>
            <w:tcW w:w="1221" w:type="pct"/>
            <w:noWrap/>
            <w:hideMark/>
          </w:tcPr>
          <w:p w14:paraId="27391E6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24</w:t>
            </w:r>
          </w:p>
        </w:tc>
        <w:tc>
          <w:tcPr>
            <w:tcW w:w="1335" w:type="pct"/>
          </w:tcPr>
          <w:p w14:paraId="554FE83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1,104</w:t>
            </w:r>
          </w:p>
        </w:tc>
        <w:tc>
          <w:tcPr>
            <w:tcW w:w="513" w:type="pct"/>
            <w:vMerge w:val="restart"/>
          </w:tcPr>
          <w:p w14:paraId="758CC33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2019</w:t>
            </w:r>
          </w:p>
        </w:tc>
        <w:tc>
          <w:tcPr>
            <w:tcW w:w="513" w:type="pct"/>
            <w:vMerge w:val="restart"/>
          </w:tcPr>
          <w:p w14:paraId="342B415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DET (2021)</w:t>
            </w:r>
          </w:p>
        </w:tc>
      </w:tr>
      <w:tr w:rsidR="007904E8" w:rsidRPr="004A34E0" w14:paraId="2B5AF927" w14:textId="77777777" w:rsidTr="00963D65">
        <w:trPr>
          <w:trHeight w:val="299"/>
        </w:trPr>
        <w:tc>
          <w:tcPr>
            <w:cnfStyle w:val="001000000000" w:firstRow="0" w:lastRow="0" w:firstColumn="1" w:lastColumn="0" w:oddVBand="0" w:evenVBand="0" w:oddHBand="0" w:evenHBand="0" w:firstRowFirstColumn="0" w:firstRowLastColumn="0" w:lastRowFirstColumn="0" w:lastRowLastColumn="0"/>
            <w:tcW w:w="1418" w:type="pct"/>
            <w:noWrap/>
            <w:hideMark/>
          </w:tcPr>
          <w:p w14:paraId="3773C7A5" w14:textId="77777777" w:rsidR="007904E8" w:rsidRPr="004A34E0" w:rsidRDefault="007904E8" w:rsidP="00666947">
            <w:pPr>
              <w:pStyle w:val="TableTextLeft"/>
            </w:pPr>
            <w:r w:rsidRPr="004A34E0">
              <w:t>Camp</w:t>
            </w:r>
          </w:p>
        </w:tc>
        <w:tc>
          <w:tcPr>
            <w:tcW w:w="1221" w:type="pct"/>
            <w:noWrap/>
            <w:hideMark/>
          </w:tcPr>
          <w:p w14:paraId="6FBED3B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398</w:t>
            </w:r>
          </w:p>
        </w:tc>
        <w:tc>
          <w:tcPr>
            <w:tcW w:w="1335" w:type="pct"/>
          </w:tcPr>
          <w:p w14:paraId="06CC037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18,308</w:t>
            </w:r>
          </w:p>
        </w:tc>
        <w:tc>
          <w:tcPr>
            <w:tcW w:w="513" w:type="pct"/>
            <w:vMerge/>
          </w:tcPr>
          <w:p w14:paraId="5BADE83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513" w:type="pct"/>
            <w:vMerge/>
          </w:tcPr>
          <w:p w14:paraId="39B3373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252EF08F" w14:textId="77777777" w:rsidTr="00963D65">
        <w:trPr>
          <w:trHeight w:val="299"/>
        </w:trPr>
        <w:tc>
          <w:tcPr>
            <w:cnfStyle w:val="001000000000" w:firstRow="0" w:lastRow="0" w:firstColumn="1" w:lastColumn="0" w:oddVBand="0" w:evenVBand="0" w:oddHBand="0" w:evenHBand="0" w:firstRowFirstColumn="0" w:firstRowLastColumn="0" w:lastRowFirstColumn="0" w:lastRowLastColumn="0"/>
            <w:tcW w:w="1418" w:type="pct"/>
            <w:noWrap/>
            <w:hideMark/>
          </w:tcPr>
          <w:p w14:paraId="5C150669" w14:textId="77777777" w:rsidR="007904E8" w:rsidRPr="004A34E0" w:rsidRDefault="007904E8" w:rsidP="00666947">
            <w:pPr>
              <w:pStyle w:val="TableTextLeft"/>
            </w:pPr>
            <w:r w:rsidRPr="004A34E0">
              <w:t>Camp-outdoor</w:t>
            </w:r>
          </w:p>
        </w:tc>
        <w:tc>
          <w:tcPr>
            <w:tcW w:w="1221" w:type="pct"/>
            <w:noWrap/>
            <w:hideMark/>
          </w:tcPr>
          <w:p w14:paraId="2DA3E1A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w:t>
            </w:r>
          </w:p>
        </w:tc>
        <w:tc>
          <w:tcPr>
            <w:tcW w:w="1335" w:type="pct"/>
          </w:tcPr>
          <w:p w14:paraId="0314B90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46</w:t>
            </w:r>
          </w:p>
        </w:tc>
        <w:tc>
          <w:tcPr>
            <w:tcW w:w="513" w:type="pct"/>
            <w:vMerge/>
          </w:tcPr>
          <w:p w14:paraId="4D0A466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513" w:type="pct"/>
            <w:vMerge/>
          </w:tcPr>
          <w:p w14:paraId="1E3CFFD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350D68F0" w14:textId="77777777" w:rsidTr="00963D65">
        <w:trPr>
          <w:trHeight w:val="299"/>
        </w:trPr>
        <w:tc>
          <w:tcPr>
            <w:cnfStyle w:val="001000000000" w:firstRow="0" w:lastRow="0" w:firstColumn="1" w:lastColumn="0" w:oddVBand="0" w:evenVBand="0" w:oddHBand="0" w:evenHBand="0" w:firstRowFirstColumn="0" w:firstRowLastColumn="0" w:lastRowFirstColumn="0" w:lastRowLastColumn="0"/>
            <w:tcW w:w="1418" w:type="pct"/>
            <w:noWrap/>
            <w:hideMark/>
          </w:tcPr>
          <w:p w14:paraId="14CF6C8D" w14:textId="77777777" w:rsidR="007904E8" w:rsidRPr="004A34E0" w:rsidRDefault="007904E8" w:rsidP="00666947">
            <w:pPr>
              <w:pStyle w:val="TableTextLeft"/>
            </w:pPr>
            <w:r w:rsidRPr="004A34E0">
              <w:t>Cycling</w:t>
            </w:r>
          </w:p>
        </w:tc>
        <w:tc>
          <w:tcPr>
            <w:tcW w:w="1221" w:type="pct"/>
            <w:noWrap/>
            <w:hideMark/>
          </w:tcPr>
          <w:p w14:paraId="7484257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19</w:t>
            </w:r>
          </w:p>
        </w:tc>
        <w:tc>
          <w:tcPr>
            <w:tcW w:w="1335" w:type="pct"/>
          </w:tcPr>
          <w:p w14:paraId="0C9DB0E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874</w:t>
            </w:r>
          </w:p>
        </w:tc>
        <w:tc>
          <w:tcPr>
            <w:tcW w:w="513" w:type="pct"/>
            <w:vMerge/>
          </w:tcPr>
          <w:p w14:paraId="1897643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513" w:type="pct"/>
            <w:vMerge/>
          </w:tcPr>
          <w:p w14:paraId="02EC0F2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57BE8809" w14:textId="77777777" w:rsidTr="00963D65">
        <w:trPr>
          <w:trHeight w:val="299"/>
        </w:trPr>
        <w:tc>
          <w:tcPr>
            <w:cnfStyle w:val="001000000000" w:firstRow="0" w:lastRow="0" w:firstColumn="1" w:lastColumn="0" w:oddVBand="0" w:evenVBand="0" w:oddHBand="0" w:evenHBand="0" w:firstRowFirstColumn="0" w:firstRowLastColumn="0" w:lastRowFirstColumn="0" w:lastRowLastColumn="0"/>
            <w:tcW w:w="1418" w:type="pct"/>
            <w:noWrap/>
            <w:hideMark/>
          </w:tcPr>
          <w:p w14:paraId="5E7F9402" w14:textId="77777777" w:rsidR="007904E8" w:rsidRPr="004A34E0" w:rsidRDefault="007904E8" w:rsidP="00666947">
            <w:pPr>
              <w:pStyle w:val="TableTextLeft"/>
              <w:rPr>
                <w:vertAlign w:val="superscript"/>
              </w:rPr>
            </w:pPr>
            <w:r w:rsidRPr="004A34E0">
              <w:t>Excursion</w:t>
            </w:r>
          </w:p>
        </w:tc>
        <w:tc>
          <w:tcPr>
            <w:tcW w:w="1221" w:type="pct"/>
            <w:noWrap/>
            <w:hideMark/>
          </w:tcPr>
          <w:p w14:paraId="5F5DF2E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98</w:t>
            </w:r>
          </w:p>
        </w:tc>
        <w:tc>
          <w:tcPr>
            <w:tcW w:w="1335" w:type="pct"/>
          </w:tcPr>
          <w:p w14:paraId="323B9FF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4,508</w:t>
            </w:r>
          </w:p>
        </w:tc>
        <w:tc>
          <w:tcPr>
            <w:tcW w:w="513" w:type="pct"/>
            <w:vMerge/>
          </w:tcPr>
          <w:p w14:paraId="3475AF9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513" w:type="pct"/>
            <w:vMerge/>
          </w:tcPr>
          <w:p w14:paraId="21DDDEF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0C2BBAFF" w14:textId="77777777" w:rsidTr="00963D65">
        <w:trPr>
          <w:trHeight w:val="299"/>
        </w:trPr>
        <w:tc>
          <w:tcPr>
            <w:cnfStyle w:val="001000000000" w:firstRow="0" w:lastRow="0" w:firstColumn="1" w:lastColumn="0" w:oddVBand="0" w:evenVBand="0" w:oddHBand="0" w:evenHBand="0" w:firstRowFirstColumn="0" w:firstRowLastColumn="0" w:lastRowFirstColumn="0" w:lastRowLastColumn="0"/>
            <w:tcW w:w="1418" w:type="pct"/>
            <w:noWrap/>
            <w:hideMark/>
          </w:tcPr>
          <w:p w14:paraId="43759BDC" w14:textId="77777777" w:rsidR="007904E8" w:rsidRPr="004A34E0" w:rsidRDefault="007904E8" w:rsidP="00666947">
            <w:pPr>
              <w:pStyle w:val="TableTextLeft"/>
            </w:pPr>
            <w:r w:rsidRPr="004A34E0">
              <w:t>Mountain bike riding</w:t>
            </w:r>
          </w:p>
        </w:tc>
        <w:tc>
          <w:tcPr>
            <w:tcW w:w="1221" w:type="pct"/>
            <w:noWrap/>
            <w:hideMark/>
          </w:tcPr>
          <w:p w14:paraId="11E9118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10</w:t>
            </w:r>
          </w:p>
        </w:tc>
        <w:tc>
          <w:tcPr>
            <w:tcW w:w="1335" w:type="pct"/>
          </w:tcPr>
          <w:p w14:paraId="355324C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460</w:t>
            </w:r>
          </w:p>
        </w:tc>
        <w:tc>
          <w:tcPr>
            <w:tcW w:w="513" w:type="pct"/>
            <w:vMerge/>
          </w:tcPr>
          <w:p w14:paraId="51B6452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513" w:type="pct"/>
            <w:vMerge/>
          </w:tcPr>
          <w:p w14:paraId="58889E3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426B3F92" w14:textId="77777777" w:rsidTr="00963D65">
        <w:trPr>
          <w:trHeight w:val="299"/>
        </w:trPr>
        <w:tc>
          <w:tcPr>
            <w:cnfStyle w:val="001000000000" w:firstRow="0" w:lastRow="0" w:firstColumn="1" w:lastColumn="0" w:oddVBand="0" w:evenVBand="0" w:oddHBand="0" w:evenHBand="0" w:firstRowFirstColumn="0" w:firstRowLastColumn="0" w:lastRowFirstColumn="0" w:lastRowLastColumn="0"/>
            <w:tcW w:w="1418" w:type="pct"/>
            <w:noWrap/>
            <w:hideMark/>
          </w:tcPr>
          <w:p w14:paraId="04B16F87" w14:textId="77777777" w:rsidR="007904E8" w:rsidRPr="004A34E0" w:rsidRDefault="007904E8" w:rsidP="00666947">
            <w:pPr>
              <w:pStyle w:val="TableTextLeft"/>
            </w:pPr>
            <w:r w:rsidRPr="004A34E0">
              <w:t>Sport</w:t>
            </w:r>
          </w:p>
        </w:tc>
        <w:tc>
          <w:tcPr>
            <w:tcW w:w="1221" w:type="pct"/>
            <w:noWrap/>
            <w:hideMark/>
          </w:tcPr>
          <w:p w14:paraId="26104BF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w:t>
            </w:r>
          </w:p>
        </w:tc>
        <w:tc>
          <w:tcPr>
            <w:tcW w:w="1335" w:type="pct"/>
          </w:tcPr>
          <w:p w14:paraId="5A3DEB0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920</w:t>
            </w:r>
          </w:p>
        </w:tc>
        <w:tc>
          <w:tcPr>
            <w:tcW w:w="513" w:type="pct"/>
            <w:vMerge/>
          </w:tcPr>
          <w:p w14:paraId="146DAE1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513" w:type="pct"/>
            <w:vMerge/>
          </w:tcPr>
          <w:p w14:paraId="4EBCF76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189F2722" w14:textId="77777777" w:rsidTr="00963D65">
        <w:trPr>
          <w:trHeight w:val="299"/>
        </w:trPr>
        <w:tc>
          <w:tcPr>
            <w:cnfStyle w:val="001000000000" w:firstRow="0" w:lastRow="0" w:firstColumn="1" w:lastColumn="0" w:oddVBand="0" w:evenVBand="0" w:oddHBand="0" w:evenHBand="0" w:firstRowFirstColumn="0" w:firstRowLastColumn="0" w:lastRowFirstColumn="0" w:lastRowLastColumn="0"/>
            <w:tcW w:w="1418" w:type="pct"/>
            <w:noWrap/>
            <w:hideMark/>
          </w:tcPr>
          <w:p w14:paraId="27729D21" w14:textId="77777777" w:rsidR="007904E8" w:rsidRPr="004A34E0" w:rsidRDefault="007904E8" w:rsidP="00666947">
            <w:pPr>
              <w:pStyle w:val="TableTextLeft"/>
            </w:pPr>
            <w:r w:rsidRPr="004A34E0">
              <w:t>Walking</w:t>
            </w:r>
          </w:p>
        </w:tc>
        <w:tc>
          <w:tcPr>
            <w:tcW w:w="1221" w:type="pct"/>
            <w:noWrap/>
            <w:hideMark/>
          </w:tcPr>
          <w:p w14:paraId="7302D3B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35</w:t>
            </w:r>
          </w:p>
        </w:tc>
        <w:tc>
          <w:tcPr>
            <w:tcW w:w="1335" w:type="pct"/>
          </w:tcPr>
          <w:p w14:paraId="4E807CA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1,610</w:t>
            </w:r>
          </w:p>
        </w:tc>
        <w:tc>
          <w:tcPr>
            <w:tcW w:w="513" w:type="pct"/>
            <w:vMerge/>
          </w:tcPr>
          <w:p w14:paraId="3239F70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513" w:type="pct"/>
            <w:vMerge/>
          </w:tcPr>
          <w:p w14:paraId="74C7309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3772C367" w14:textId="77777777" w:rsidTr="00963D65">
        <w:trPr>
          <w:trHeight w:val="299"/>
        </w:trPr>
        <w:tc>
          <w:tcPr>
            <w:cnfStyle w:val="001000000000" w:firstRow="0" w:lastRow="0" w:firstColumn="1" w:lastColumn="0" w:oddVBand="0" w:evenVBand="0" w:oddHBand="0" w:evenHBand="0" w:firstRowFirstColumn="0" w:firstRowLastColumn="0" w:lastRowFirstColumn="0" w:lastRowLastColumn="0"/>
            <w:tcW w:w="1418" w:type="pct"/>
            <w:noWrap/>
            <w:hideMark/>
          </w:tcPr>
          <w:p w14:paraId="2CAD11F4" w14:textId="77777777" w:rsidR="007904E8" w:rsidRPr="004A34E0" w:rsidRDefault="007904E8" w:rsidP="00666947">
            <w:pPr>
              <w:pStyle w:val="TableTextLeft"/>
            </w:pPr>
            <w:r w:rsidRPr="004A34E0">
              <w:t>Water sport</w:t>
            </w:r>
          </w:p>
        </w:tc>
        <w:tc>
          <w:tcPr>
            <w:tcW w:w="1221" w:type="pct"/>
            <w:noWrap/>
            <w:hideMark/>
          </w:tcPr>
          <w:p w14:paraId="069685E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109</w:t>
            </w:r>
          </w:p>
        </w:tc>
        <w:tc>
          <w:tcPr>
            <w:tcW w:w="1335" w:type="pct"/>
          </w:tcPr>
          <w:p w14:paraId="579A99B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5,014</w:t>
            </w:r>
          </w:p>
        </w:tc>
        <w:tc>
          <w:tcPr>
            <w:tcW w:w="513" w:type="pct"/>
            <w:vMerge/>
          </w:tcPr>
          <w:p w14:paraId="6109172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513" w:type="pct"/>
            <w:vMerge/>
          </w:tcPr>
          <w:p w14:paraId="34C9A95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641678D7" w14:textId="77777777" w:rsidTr="00484CDC">
        <w:trPr>
          <w:trHeight w:val="299"/>
        </w:trPr>
        <w:tc>
          <w:tcPr>
            <w:cnfStyle w:val="001000000000" w:firstRow="0" w:lastRow="0" w:firstColumn="1" w:lastColumn="0" w:oddVBand="0" w:evenVBand="0" w:oddHBand="0" w:evenHBand="0" w:firstRowFirstColumn="0" w:firstRowLastColumn="0" w:lastRowFirstColumn="0" w:lastRowLastColumn="0"/>
            <w:tcW w:w="1418" w:type="pct"/>
            <w:shd w:val="clear" w:color="auto" w:fill="CCDBEA" w:themeFill="background2"/>
            <w:noWrap/>
            <w:hideMark/>
          </w:tcPr>
          <w:p w14:paraId="48BF1ADD" w14:textId="77777777" w:rsidR="007904E8" w:rsidRPr="004A34E0" w:rsidRDefault="007904E8" w:rsidP="00666947">
            <w:pPr>
              <w:pStyle w:val="TableTextLeft"/>
            </w:pPr>
            <w:r w:rsidRPr="004A34E0">
              <w:rPr>
                <w:b/>
              </w:rPr>
              <w:t>Total</w:t>
            </w:r>
          </w:p>
        </w:tc>
        <w:tc>
          <w:tcPr>
            <w:tcW w:w="1221" w:type="pct"/>
            <w:shd w:val="clear" w:color="auto" w:fill="CCDBEA" w:themeFill="background2"/>
            <w:noWrap/>
            <w:hideMark/>
          </w:tcPr>
          <w:p w14:paraId="66765EF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714</w:t>
            </w:r>
          </w:p>
        </w:tc>
        <w:tc>
          <w:tcPr>
            <w:tcW w:w="1335" w:type="pct"/>
            <w:shd w:val="clear" w:color="auto" w:fill="CCDBEA" w:themeFill="background2"/>
          </w:tcPr>
          <w:p w14:paraId="6625D29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32,844</w:t>
            </w:r>
          </w:p>
        </w:tc>
        <w:tc>
          <w:tcPr>
            <w:tcW w:w="513" w:type="pct"/>
            <w:vMerge/>
          </w:tcPr>
          <w:p w14:paraId="540BDE4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513" w:type="pct"/>
            <w:vMerge/>
          </w:tcPr>
          <w:p w14:paraId="665BA00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rPr>
            </w:pPr>
          </w:p>
        </w:tc>
      </w:tr>
    </w:tbl>
    <w:p w14:paraId="63298E5B" w14:textId="77777777" w:rsidR="007904E8" w:rsidRPr="004A34E0" w:rsidRDefault="007904E8" w:rsidP="00484CDC">
      <w:pPr>
        <w:pStyle w:val="BodyText12ptBefore"/>
      </w:pPr>
      <w:r w:rsidRPr="004A34E0">
        <w:t xml:space="preserve">The number of educational visits by GORCAP EEA suburb was also provided by DET, as shown in Table 39. This shows that based on the DET data, the most frequently visited suburbs within the GORCAP EEA for educational trips in 2019 were Anglesea (245 visits), Torquay (149 visits) and Warrnambool (101 visits).  </w:t>
      </w:r>
    </w:p>
    <w:p w14:paraId="4C471C7D" w14:textId="77777777" w:rsidR="007904E8" w:rsidRPr="004A34E0" w:rsidRDefault="007904E8" w:rsidP="007904E8">
      <w:pPr>
        <w:pStyle w:val="BodyText"/>
        <w:rPr>
          <w:b/>
        </w:rPr>
      </w:pPr>
      <w:r w:rsidRPr="004A34E0">
        <w:rPr>
          <w:b/>
        </w:rPr>
        <w:br w:type="page"/>
      </w:r>
    </w:p>
    <w:p w14:paraId="5F1CC2AC" w14:textId="77777777" w:rsidR="007904E8" w:rsidRPr="004A34E0" w:rsidRDefault="007904E8" w:rsidP="00484CDC">
      <w:pPr>
        <w:pStyle w:val="Caption"/>
      </w:pPr>
      <w:r w:rsidRPr="004A34E0">
        <w:lastRenderedPageBreak/>
        <w:t xml:space="preserve">Table 39. Number of school visits to suburbs within the GORCAP EEA by suburb for 2019 </w:t>
      </w:r>
    </w:p>
    <w:tbl>
      <w:tblPr>
        <w:tblStyle w:val="TableGrid"/>
        <w:tblW w:w="5000" w:type="pct"/>
        <w:tblLook w:val="04A0" w:firstRow="1" w:lastRow="0" w:firstColumn="1" w:lastColumn="0" w:noHBand="0" w:noVBand="1"/>
      </w:tblPr>
      <w:tblGrid>
        <w:gridCol w:w="2504"/>
        <w:gridCol w:w="2506"/>
        <w:gridCol w:w="2506"/>
        <w:gridCol w:w="1187"/>
        <w:gridCol w:w="935"/>
      </w:tblGrid>
      <w:tr w:rsidR="00963D65" w:rsidRPr="004A34E0" w14:paraId="79189D32" w14:textId="77777777" w:rsidTr="00484CDC">
        <w:trPr>
          <w:cnfStyle w:val="100000000000" w:firstRow="1" w:lastRow="0" w:firstColumn="0" w:lastColumn="0" w:oddVBand="0" w:evenVBand="0" w:oddHBand="0"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1299" w:type="pct"/>
            <w:noWrap/>
            <w:hideMark/>
          </w:tcPr>
          <w:p w14:paraId="5C0E640C" w14:textId="77777777" w:rsidR="007904E8" w:rsidRPr="004A34E0" w:rsidRDefault="007904E8" w:rsidP="00666947">
            <w:pPr>
              <w:pStyle w:val="TableTextLeft"/>
            </w:pPr>
            <w:r w:rsidRPr="004A34E0">
              <w:rPr>
                <w:b/>
              </w:rPr>
              <w:t>Suburb</w:t>
            </w:r>
          </w:p>
        </w:tc>
        <w:tc>
          <w:tcPr>
            <w:tcW w:w="1300" w:type="pct"/>
            <w:noWrap/>
            <w:hideMark/>
          </w:tcPr>
          <w:p w14:paraId="2F20F5B4"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Visits</w:t>
            </w:r>
          </w:p>
        </w:tc>
        <w:tc>
          <w:tcPr>
            <w:tcW w:w="1300" w:type="pct"/>
          </w:tcPr>
          <w:p w14:paraId="1E7ECFF6"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 xml:space="preserve">Student visitors </w:t>
            </w:r>
          </w:p>
        </w:tc>
        <w:tc>
          <w:tcPr>
            <w:tcW w:w="616" w:type="pct"/>
          </w:tcPr>
          <w:p w14:paraId="01FCD47B"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 xml:space="preserve">Year </w:t>
            </w:r>
          </w:p>
        </w:tc>
        <w:tc>
          <w:tcPr>
            <w:tcW w:w="486" w:type="pct"/>
          </w:tcPr>
          <w:p w14:paraId="5B702A6E"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rPr>
                <w:b/>
              </w:rPr>
            </w:pPr>
            <w:r w:rsidRPr="004A34E0">
              <w:rPr>
                <w:b/>
              </w:rPr>
              <w:t>Source</w:t>
            </w:r>
          </w:p>
        </w:tc>
      </w:tr>
      <w:tr w:rsidR="007904E8" w:rsidRPr="004A34E0" w14:paraId="2B2A8A09" w14:textId="77777777" w:rsidTr="00484CDC">
        <w:trPr>
          <w:trHeight w:val="262"/>
        </w:trPr>
        <w:tc>
          <w:tcPr>
            <w:cnfStyle w:val="001000000000" w:firstRow="0" w:lastRow="0" w:firstColumn="1" w:lastColumn="0" w:oddVBand="0" w:evenVBand="0" w:oddHBand="0" w:evenHBand="0" w:firstRowFirstColumn="0" w:firstRowLastColumn="0" w:lastRowFirstColumn="0" w:lastRowLastColumn="0"/>
            <w:tcW w:w="1299" w:type="pct"/>
            <w:noWrap/>
            <w:hideMark/>
          </w:tcPr>
          <w:p w14:paraId="405372D6" w14:textId="77777777" w:rsidR="007904E8" w:rsidRPr="004A34E0" w:rsidRDefault="007904E8" w:rsidP="00666947">
            <w:pPr>
              <w:pStyle w:val="TableTextLeft"/>
            </w:pPr>
            <w:r w:rsidRPr="004A34E0">
              <w:t>Aireys Inlet</w:t>
            </w:r>
          </w:p>
        </w:tc>
        <w:tc>
          <w:tcPr>
            <w:tcW w:w="1300" w:type="pct"/>
            <w:noWrap/>
            <w:hideMark/>
          </w:tcPr>
          <w:p w14:paraId="5C69565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37</w:t>
            </w:r>
          </w:p>
        </w:tc>
        <w:tc>
          <w:tcPr>
            <w:tcW w:w="1300" w:type="pct"/>
          </w:tcPr>
          <w:p w14:paraId="5021C58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1,702</w:t>
            </w:r>
          </w:p>
        </w:tc>
        <w:tc>
          <w:tcPr>
            <w:tcW w:w="616" w:type="pct"/>
            <w:vMerge w:val="restart"/>
          </w:tcPr>
          <w:p w14:paraId="3AA2E2C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2019</w:t>
            </w:r>
          </w:p>
        </w:tc>
        <w:tc>
          <w:tcPr>
            <w:tcW w:w="486" w:type="pct"/>
            <w:vMerge w:val="restart"/>
          </w:tcPr>
          <w:p w14:paraId="15E2718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DET (2021)</w:t>
            </w:r>
          </w:p>
        </w:tc>
      </w:tr>
      <w:tr w:rsidR="007904E8" w:rsidRPr="004A34E0" w14:paraId="1B8D4E04" w14:textId="77777777" w:rsidTr="00484CDC">
        <w:trPr>
          <w:trHeight w:val="262"/>
        </w:trPr>
        <w:tc>
          <w:tcPr>
            <w:cnfStyle w:val="001000000000" w:firstRow="0" w:lastRow="0" w:firstColumn="1" w:lastColumn="0" w:oddVBand="0" w:evenVBand="0" w:oddHBand="0" w:evenHBand="0" w:firstRowFirstColumn="0" w:firstRowLastColumn="0" w:lastRowFirstColumn="0" w:lastRowLastColumn="0"/>
            <w:tcW w:w="1299" w:type="pct"/>
            <w:noWrap/>
            <w:hideMark/>
          </w:tcPr>
          <w:p w14:paraId="19FE3903" w14:textId="77777777" w:rsidR="007904E8" w:rsidRPr="004A34E0" w:rsidRDefault="007904E8" w:rsidP="00666947">
            <w:pPr>
              <w:pStyle w:val="TableTextLeft"/>
            </w:pPr>
            <w:r w:rsidRPr="004A34E0">
              <w:t>Allansford</w:t>
            </w:r>
          </w:p>
        </w:tc>
        <w:tc>
          <w:tcPr>
            <w:tcW w:w="1300" w:type="pct"/>
            <w:noWrap/>
            <w:hideMark/>
          </w:tcPr>
          <w:p w14:paraId="48DDF55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w:t>
            </w:r>
          </w:p>
        </w:tc>
        <w:tc>
          <w:tcPr>
            <w:tcW w:w="1300" w:type="pct"/>
          </w:tcPr>
          <w:p w14:paraId="0619EED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138</w:t>
            </w:r>
          </w:p>
        </w:tc>
        <w:tc>
          <w:tcPr>
            <w:tcW w:w="616" w:type="pct"/>
            <w:vMerge/>
          </w:tcPr>
          <w:p w14:paraId="2BED491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486" w:type="pct"/>
            <w:vMerge/>
          </w:tcPr>
          <w:p w14:paraId="491A932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0924966D" w14:textId="77777777" w:rsidTr="00484CDC">
        <w:trPr>
          <w:trHeight w:val="262"/>
        </w:trPr>
        <w:tc>
          <w:tcPr>
            <w:cnfStyle w:val="001000000000" w:firstRow="0" w:lastRow="0" w:firstColumn="1" w:lastColumn="0" w:oddVBand="0" w:evenVBand="0" w:oddHBand="0" w:evenHBand="0" w:firstRowFirstColumn="0" w:firstRowLastColumn="0" w:lastRowFirstColumn="0" w:lastRowLastColumn="0"/>
            <w:tcW w:w="1299" w:type="pct"/>
            <w:noWrap/>
            <w:hideMark/>
          </w:tcPr>
          <w:p w14:paraId="16F69E10" w14:textId="77777777" w:rsidR="007904E8" w:rsidRPr="004A34E0" w:rsidRDefault="007904E8" w:rsidP="00666947">
            <w:pPr>
              <w:pStyle w:val="TableTextLeft"/>
            </w:pPr>
            <w:r w:rsidRPr="004A34E0">
              <w:t>Anglesea</w:t>
            </w:r>
          </w:p>
        </w:tc>
        <w:tc>
          <w:tcPr>
            <w:tcW w:w="1300" w:type="pct"/>
            <w:noWrap/>
            <w:hideMark/>
          </w:tcPr>
          <w:p w14:paraId="0E1A7E8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245</w:t>
            </w:r>
          </w:p>
        </w:tc>
        <w:tc>
          <w:tcPr>
            <w:tcW w:w="1300" w:type="pct"/>
          </w:tcPr>
          <w:p w14:paraId="29754CD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11,270</w:t>
            </w:r>
          </w:p>
        </w:tc>
        <w:tc>
          <w:tcPr>
            <w:tcW w:w="616" w:type="pct"/>
            <w:vMerge/>
          </w:tcPr>
          <w:p w14:paraId="1411FD1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486" w:type="pct"/>
            <w:vMerge/>
          </w:tcPr>
          <w:p w14:paraId="1126660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3E434421" w14:textId="77777777" w:rsidTr="00484CDC">
        <w:trPr>
          <w:trHeight w:val="262"/>
        </w:trPr>
        <w:tc>
          <w:tcPr>
            <w:cnfStyle w:val="001000000000" w:firstRow="0" w:lastRow="0" w:firstColumn="1" w:lastColumn="0" w:oddVBand="0" w:evenVBand="0" w:oddHBand="0" w:evenHBand="0" w:firstRowFirstColumn="0" w:firstRowLastColumn="0" w:lastRowFirstColumn="0" w:lastRowLastColumn="0"/>
            <w:tcW w:w="1299" w:type="pct"/>
            <w:noWrap/>
            <w:hideMark/>
          </w:tcPr>
          <w:p w14:paraId="5BAB8772" w14:textId="77777777" w:rsidR="007904E8" w:rsidRPr="004A34E0" w:rsidRDefault="007904E8" w:rsidP="00666947">
            <w:pPr>
              <w:pStyle w:val="TableTextLeft"/>
            </w:pPr>
            <w:r w:rsidRPr="004A34E0">
              <w:t>Apollo Bay</w:t>
            </w:r>
          </w:p>
        </w:tc>
        <w:tc>
          <w:tcPr>
            <w:tcW w:w="1300" w:type="pct"/>
            <w:noWrap/>
            <w:hideMark/>
          </w:tcPr>
          <w:p w14:paraId="5E7814E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34</w:t>
            </w:r>
          </w:p>
        </w:tc>
        <w:tc>
          <w:tcPr>
            <w:tcW w:w="1300" w:type="pct"/>
          </w:tcPr>
          <w:p w14:paraId="3FC7B33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1,564</w:t>
            </w:r>
          </w:p>
        </w:tc>
        <w:tc>
          <w:tcPr>
            <w:tcW w:w="616" w:type="pct"/>
            <w:vMerge/>
          </w:tcPr>
          <w:p w14:paraId="6B3447F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486" w:type="pct"/>
            <w:vMerge/>
          </w:tcPr>
          <w:p w14:paraId="4FBA6F0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0F6468B0" w14:textId="77777777" w:rsidTr="00484CDC">
        <w:trPr>
          <w:trHeight w:val="262"/>
        </w:trPr>
        <w:tc>
          <w:tcPr>
            <w:cnfStyle w:val="001000000000" w:firstRow="0" w:lastRow="0" w:firstColumn="1" w:lastColumn="0" w:oddVBand="0" w:evenVBand="0" w:oddHBand="0" w:evenHBand="0" w:firstRowFirstColumn="0" w:firstRowLastColumn="0" w:lastRowFirstColumn="0" w:lastRowLastColumn="0"/>
            <w:tcW w:w="1299" w:type="pct"/>
            <w:noWrap/>
            <w:hideMark/>
          </w:tcPr>
          <w:p w14:paraId="359969E0" w14:textId="77777777" w:rsidR="007904E8" w:rsidRPr="004A34E0" w:rsidRDefault="007904E8" w:rsidP="00666947">
            <w:pPr>
              <w:pStyle w:val="TableTextLeft"/>
            </w:pPr>
            <w:r w:rsidRPr="004A34E0">
              <w:t>Fairhaven</w:t>
            </w:r>
          </w:p>
        </w:tc>
        <w:tc>
          <w:tcPr>
            <w:tcW w:w="1300" w:type="pct"/>
            <w:noWrap/>
            <w:hideMark/>
          </w:tcPr>
          <w:p w14:paraId="597F7F9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w:t>
            </w:r>
          </w:p>
        </w:tc>
        <w:tc>
          <w:tcPr>
            <w:tcW w:w="1300" w:type="pct"/>
          </w:tcPr>
          <w:p w14:paraId="0B4E3C5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46</w:t>
            </w:r>
          </w:p>
        </w:tc>
        <w:tc>
          <w:tcPr>
            <w:tcW w:w="616" w:type="pct"/>
            <w:vMerge/>
          </w:tcPr>
          <w:p w14:paraId="536E8F5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486" w:type="pct"/>
            <w:vMerge/>
          </w:tcPr>
          <w:p w14:paraId="537D77A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1AFA7709" w14:textId="77777777" w:rsidTr="00484CDC">
        <w:trPr>
          <w:trHeight w:val="262"/>
        </w:trPr>
        <w:tc>
          <w:tcPr>
            <w:cnfStyle w:val="001000000000" w:firstRow="0" w:lastRow="0" w:firstColumn="1" w:lastColumn="0" w:oddVBand="0" w:evenVBand="0" w:oddHBand="0" w:evenHBand="0" w:firstRowFirstColumn="0" w:firstRowLastColumn="0" w:lastRowFirstColumn="0" w:lastRowLastColumn="0"/>
            <w:tcW w:w="1299" w:type="pct"/>
            <w:noWrap/>
            <w:hideMark/>
          </w:tcPr>
          <w:p w14:paraId="1A10D6B2" w14:textId="77777777" w:rsidR="007904E8" w:rsidRPr="004A34E0" w:rsidRDefault="007904E8" w:rsidP="00666947">
            <w:pPr>
              <w:pStyle w:val="TableTextLeft"/>
            </w:pPr>
            <w:r w:rsidRPr="004A34E0">
              <w:t>Gellibrand Lower</w:t>
            </w:r>
          </w:p>
        </w:tc>
        <w:tc>
          <w:tcPr>
            <w:tcW w:w="1300" w:type="pct"/>
            <w:noWrap/>
            <w:hideMark/>
          </w:tcPr>
          <w:p w14:paraId="13092B5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0</w:t>
            </w:r>
          </w:p>
        </w:tc>
        <w:tc>
          <w:tcPr>
            <w:tcW w:w="1300" w:type="pct"/>
          </w:tcPr>
          <w:p w14:paraId="61D005F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0</w:t>
            </w:r>
          </w:p>
        </w:tc>
        <w:tc>
          <w:tcPr>
            <w:tcW w:w="616" w:type="pct"/>
            <w:vMerge/>
          </w:tcPr>
          <w:p w14:paraId="048297E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486" w:type="pct"/>
            <w:vMerge/>
          </w:tcPr>
          <w:p w14:paraId="210A15F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67AA04AE" w14:textId="77777777" w:rsidTr="00484CDC">
        <w:trPr>
          <w:trHeight w:val="262"/>
        </w:trPr>
        <w:tc>
          <w:tcPr>
            <w:cnfStyle w:val="001000000000" w:firstRow="0" w:lastRow="0" w:firstColumn="1" w:lastColumn="0" w:oddVBand="0" w:evenVBand="0" w:oddHBand="0" w:evenHBand="0" w:firstRowFirstColumn="0" w:firstRowLastColumn="0" w:lastRowFirstColumn="0" w:lastRowLastColumn="0"/>
            <w:tcW w:w="1299" w:type="pct"/>
            <w:noWrap/>
            <w:hideMark/>
          </w:tcPr>
          <w:p w14:paraId="15B54BDF" w14:textId="77777777" w:rsidR="007904E8" w:rsidRPr="004A34E0" w:rsidRDefault="007904E8" w:rsidP="00666947">
            <w:pPr>
              <w:pStyle w:val="TableTextLeft"/>
            </w:pPr>
            <w:r w:rsidRPr="004A34E0">
              <w:t>Jan Juc</w:t>
            </w:r>
          </w:p>
        </w:tc>
        <w:tc>
          <w:tcPr>
            <w:tcW w:w="1300" w:type="pct"/>
            <w:noWrap/>
            <w:hideMark/>
          </w:tcPr>
          <w:p w14:paraId="672C54F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w:t>
            </w:r>
          </w:p>
        </w:tc>
        <w:tc>
          <w:tcPr>
            <w:tcW w:w="1300" w:type="pct"/>
          </w:tcPr>
          <w:p w14:paraId="2AC3A4D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92</w:t>
            </w:r>
          </w:p>
        </w:tc>
        <w:tc>
          <w:tcPr>
            <w:tcW w:w="616" w:type="pct"/>
            <w:vMerge/>
          </w:tcPr>
          <w:p w14:paraId="2E97157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486" w:type="pct"/>
            <w:vMerge/>
          </w:tcPr>
          <w:p w14:paraId="751FFFE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1A8AF899" w14:textId="77777777" w:rsidTr="00484CDC">
        <w:trPr>
          <w:trHeight w:val="262"/>
        </w:trPr>
        <w:tc>
          <w:tcPr>
            <w:cnfStyle w:val="001000000000" w:firstRow="0" w:lastRow="0" w:firstColumn="1" w:lastColumn="0" w:oddVBand="0" w:evenVBand="0" w:oddHBand="0" w:evenHBand="0" w:firstRowFirstColumn="0" w:firstRowLastColumn="0" w:lastRowFirstColumn="0" w:lastRowLastColumn="0"/>
            <w:tcW w:w="1299" w:type="pct"/>
            <w:noWrap/>
            <w:hideMark/>
          </w:tcPr>
          <w:p w14:paraId="00828279" w14:textId="77777777" w:rsidR="007904E8" w:rsidRPr="004A34E0" w:rsidRDefault="007904E8" w:rsidP="00666947">
            <w:pPr>
              <w:pStyle w:val="TableTextLeft"/>
            </w:pPr>
            <w:r w:rsidRPr="004A34E0">
              <w:t>Kennett River</w:t>
            </w:r>
          </w:p>
        </w:tc>
        <w:tc>
          <w:tcPr>
            <w:tcW w:w="1300" w:type="pct"/>
            <w:noWrap/>
            <w:hideMark/>
          </w:tcPr>
          <w:p w14:paraId="29D407B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6</w:t>
            </w:r>
          </w:p>
        </w:tc>
        <w:tc>
          <w:tcPr>
            <w:tcW w:w="1300" w:type="pct"/>
          </w:tcPr>
          <w:p w14:paraId="4638D45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276</w:t>
            </w:r>
          </w:p>
        </w:tc>
        <w:tc>
          <w:tcPr>
            <w:tcW w:w="616" w:type="pct"/>
            <w:vMerge/>
          </w:tcPr>
          <w:p w14:paraId="0D360EC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486" w:type="pct"/>
            <w:vMerge/>
          </w:tcPr>
          <w:p w14:paraId="6DE237F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0B156325" w14:textId="77777777" w:rsidTr="00484CDC">
        <w:trPr>
          <w:trHeight w:val="262"/>
        </w:trPr>
        <w:tc>
          <w:tcPr>
            <w:cnfStyle w:val="001000000000" w:firstRow="0" w:lastRow="0" w:firstColumn="1" w:lastColumn="0" w:oddVBand="0" w:evenVBand="0" w:oddHBand="0" w:evenHBand="0" w:firstRowFirstColumn="0" w:firstRowLastColumn="0" w:lastRowFirstColumn="0" w:lastRowLastColumn="0"/>
            <w:tcW w:w="1299" w:type="pct"/>
            <w:noWrap/>
            <w:hideMark/>
          </w:tcPr>
          <w:p w14:paraId="606FB9A8" w14:textId="77777777" w:rsidR="007904E8" w:rsidRPr="004A34E0" w:rsidRDefault="007904E8" w:rsidP="00666947">
            <w:pPr>
              <w:pStyle w:val="TableTextLeft"/>
            </w:pPr>
            <w:r w:rsidRPr="004A34E0">
              <w:t>Lavers Hill</w:t>
            </w:r>
          </w:p>
        </w:tc>
        <w:tc>
          <w:tcPr>
            <w:tcW w:w="1300" w:type="pct"/>
            <w:noWrap/>
            <w:hideMark/>
          </w:tcPr>
          <w:p w14:paraId="3932451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0</w:t>
            </w:r>
          </w:p>
        </w:tc>
        <w:tc>
          <w:tcPr>
            <w:tcW w:w="1300" w:type="pct"/>
          </w:tcPr>
          <w:p w14:paraId="58913BC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0</w:t>
            </w:r>
          </w:p>
        </w:tc>
        <w:tc>
          <w:tcPr>
            <w:tcW w:w="616" w:type="pct"/>
            <w:vMerge/>
          </w:tcPr>
          <w:p w14:paraId="56AF128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486" w:type="pct"/>
            <w:vMerge/>
          </w:tcPr>
          <w:p w14:paraId="156627E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4C264A0E" w14:textId="77777777" w:rsidTr="00484CDC">
        <w:trPr>
          <w:trHeight w:val="262"/>
        </w:trPr>
        <w:tc>
          <w:tcPr>
            <w:cnfStyle w:val="001000000000" w:firstRow="0" w:lastRow="0" w:firstColumn="1" w:lastColumn="0" w:oddVBand="0" w:evenVBand="0" w:oddHBand="0" w:evenHBand="0" w:firstRowFirstColumn="0" w:firstRowLastColumn="0" w:lastRowFirstColumn="0" w:lastRowLastColumn="0"/>
            <w:tcW w:w="1299" w:type="pct"/>
            <w:noWrap/>
            <w:hideMark/>
          </w:tcPr>
          <w:p w14:paraId="4E894BF2" w14:textId="77777777" w:rsidR="007904E8" w:rsidRPr="004A34E0" w:rsidRDefault="007904E8" w:rsidP="00666947">
            <w:pPr>
              <w:pStyle w:val="TableTextLeft"/>
            </w:pPr>
            <w:r w:rsidRPr="004A34E0">
              <w:t>Lorne</w:t>
            </w:r>
          </w:p>
        </w:tc>
        <w:tc>
          <w:tcPr>
            <w:tcW w:w="1300" w:type="pct"/>
            <w:noWrap/>
            <w:hideMark/>
          </w:tcPr>
          <w:p w14:paraId="0433640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85</w:t>
            </w:r>
          </w:p>
        </w:tc>
        <w:tc>
          <w:tcPr>
            <w:tcW w:w="1300" w:type="pct"/>
          </w:tcPr>
          <w:p w14:paraId="4290FD3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3,910</w:t>
            </w:r>
          </w:p>
        </w:tc>
        <w:tc>
          <w:tcPr>
            <w:tcW w:w="616" w:type="pct"/>
            <w:vMerge/>
          </w:tcPr>
          <w:p w14:paraId="4F4FFCC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486" w:type="pct"/>
            <w:vMerge/>
          </w:tcPr>
          <w:p w14:paraId="4AA2370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2FAB4CE4" w14:textId="77777777" w:rsidTr="00484CDC">
        <w:trPr>
          <w:trHeight w:val="262"/>
        </w:trPr>
        <w:tc>
          <w:tcPr>
            <w:cnfStyle w:val="001000000000" w:firstRow="0" w:lastRow="0" w:firstColumn="1" w:lastColumn="0" w:oddVBand="0" w:evenVBand="0" w:oddHBand="0" w:evenHBand="0" w:firstRowFirstColumn="0" w:firstRowLastColumn="0" w:lastRowFirstColumn="0" w:lastRowLastColumn="0"/>
            <w:tcW w:w="1299" w:type="pct"/>
            <w:noWrap/>
            <w:hideMark/>
          </w:tcPr>
          <w:p w14:paraId="73F3E99A" w14:textId="77777777" w:rsidR="007904E8" w:rsidRPr="004A34E0" w:rsidRDefault="007904E8" w:rsidP="00666947">
            <w:pPr>
              <w:pStyle w:val="TableTextLeft"/>
            </w:pPr>
            <w:r w:rsidRPr="004A34E0">
              <w:t>Marengo</w:t>
            </w:r>
          </w:p>
        </w:tc>
        <w:tc>
          <w:tcPr>
            <w:tcW w:w="1300" w:type="pct"/>
            <w:noWrap/>
            <w:hideMark/>
          </w:tcPr>
          <w:p w14:paraId="6F55B61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w:t>
            </w:r>
          </w:p>
        </w:tc>
        <w:tc>
          <w:tcPr>
            <w:tcW w:w="1300" w:type="pct"/>
          </w:tcPr>
          <w:p w14:paraId="4636DDE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46</w:t>
            </w:r>
          </w:p>
        </w:tc>
        <w:tc>
          <w:tcPr>
            <w:tcW w:w="616" w:type="pct"/>
            <w:vMerge/>
          </w:tcPr>
          <w:p w14:paraId="41ECC40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486" w:type="pct"/>
            <w:vMerge/>
          </w:tcPr>
          <w:p w14:paraId="332864A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16F68AEC" w14:textId="77777777" w:rsidTr="00484CDC">
        <w:trPr>
          <w:trHeight w:val="262"/>
        </w:trPr>
        <w:tc>
          <w:tcPr>
            <w:cnfStyle w:val="001000000000" w:firstRow="0" w:lastRow="0" w:firstColumn="1" w:lastColumn="0" w:oddVBand="0" w:evenVBand="0" w:oddHBand="0" w:evenHBand="0" w:firstRowFirstColumn="0" w:firstRowLastColumn="0" w:lastRowFirstColumn="0" w:lastRowLastColumn="0"/>
            <w:tcW w:w="1299" w:type="pct"/>
            <w:noWrap/>
            <w:hideMark/>
          </w:tcPr>
          <w:p w14:paraId="59B18CF6" w14:textId="77777777" w:rsidR="007904E8" w:rsidRPr="004A34E0" w:rsidRDefault="007904E8" w:rsidP="00666947">
            <w:pPr>
              <w:pStyle w:val="TableTextLeft"/>
            </w:pPr>
            <w:r w:rsidRPr="004A34E0">
              <w:t>Nullawarre</w:t>
            </w:r>
          </w:p>
        </w:tc>
        <w:tc>
          <w:tcPr>
            <w:tcW w:w="1300" w:type="pct"/>
            <w:noWrap/>
            <w:hideMark/>
          </w:tcPr>
          <w:p w14:paraId="0B7993C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0</w:t>
            </w:r>
          </w:p>
        </w:tc>
        <w:tc>
          <w:tcPr>
            <w:tcW w:w="1300" w:type="pct"/>
          </w:tcPr>
          <w:p w14:paraId="522828E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0</w:t>
            </w:r>
          </w:p>
        </w:tc>
        <w:tc>
          <w:tcPr>
            <w:tcW w:w="616" w:type="pct"/>
            <w:vMerge/>
          </w:tcPr>
          <w:p w14:paraId="69B5919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486" w:type="pct"/>
            <w:vMerge/>
          </w:tcPr>
          <w:p w14:paraId="75A0054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44B50588" w14:textId="77777777" w:rsidTr="00484CDC">
        <w:trPr>
          <w:trHeight w:val="262"/>
        </w:trPr>
        <w:tc>
          <w:tcPr>
            <w:cnfStyle w:val="001000000000" w:firstRow="0" w:lastRow="0" w:firstColumn="1" w:lastColumn="0" w:oddVBand="0" w:evenVBand="0" w:oddHBand="0" w:evenHBand="0" w:firstRowFirstColumn="0" w:firstRowLastColumn="0" w:lastRowFirstColumn="0" w:lastRowLastColumn="0"/>
            <w:tcW w:w="1299" w:type="pct"/>
            <w:noWrap/>
            <w:hideMark/>
          </w:tcPr>
          <w:p w14:paraId="0B3C4067" w14:textId="77777777" w:rsidR="007904E8" w:rsidRPr="004A34E0" w:rsidRDefault="007904E8" w:rsidP="00666947">
            <w:pPr>
              <w:pStyle w:val="TableTextLeft"/>
            </w:pPr>
            <w:r w:rsidRPr="004A34E0">
              <w:t>Peterborough</w:t>
            </w:r>
          </w:p>
        </w:tc>
        <w:tc>
          <w:tcPr>
            <w:tcW w:w="1300" w:type="pct"/>
            <w:noWrap/>
            <w:hideMark/>
          </w:tcPr>
          <w:p w14:paraId="217F598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w:t>
            </w:r>
          </w:p>
        </w:tc>
        <w:tc>
          <w:tcPr>
            <w:tcW w:w="1300" w:type="pct"/>
          </w:tcPr>
          <w:p w14:paraId="2D9A6D0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92</w:t>
            </w:r>
          </w:p>
        </w:tc>
        <w:tc>
          <w:tcPr>
            <w:tcW w:w="616" w:type="pct"/>
            <w:vMerge/>
          </w:tcPr>
          <w:p w14:paraId="18558F5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486" w:type="pct"/>
            <w:vMerge/>
          </w:tcPr>
          <w:p w14:paraId="2568E8B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4BA7C3FF" w14:textId="77777777" w:rsidTr="00484CDC">
        <w:trPr>
          <w:trHeight w:val="262"/>
        </w:trPr>
        <w:tc>
          <w:tcPr>
            <w:cnfStyle w:val="001000000000" w:firstRow="0" w:lastRow="0" w:firstColumn="1" w:lastColumn="0" w:oddVBand="0" w:evenVBand="0" w:oddHBand="0" w:evenHBand="0" w:firstRowFirstColumn="0" w:firstRowLastColumn="0" w:lastRowFirstColumn="0" w:lastRowLastColumn="0"/>
            <w:tcW w:w="1299" w:type="pct"/>
            <w:noWrap/>
            <w:hideMark/>
          </w:tcPr>
          <w:p w14:paraId="6FA203B3" w14:textId="77777777" w:rsidR="007904E8" w:rsidRPr="004A34E0" w:rsidRDefault="007904E8" w:rsidP="00666947">
            <w:pPr>
              <w:pStyle w:val="TableTextLeft"/>
            </w:pPr>
            <w:r w:rsidRPr="004A34E0">
              <w:t>Port Campbell</w:t>
            </w:r>
          </w:p>
        </w:tc>
        <w:tc>
          <w:tcPr>
            <w:tcW w:w="1300" w:type="pct"/>
            <w:noWrap/>
            <w:hideMark/>
          </w:tcPr>
          <w:p w14:paraId="3574ED4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w:t>
            </w:r>
          </w:p>
        </w:tc>
        <w:tc>
          <w:tcPr>
            <w:tcW w:w="1300" w:type="pct"/>
          </w:tcPr>
          <w:p w14:paraId="61C085C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138</w:t>
            </w:r>
          </w:p>
        </w:tc>
        <w:tc>
          <w:tcPr>
            <w:tcW w:w="616" w:type="pct"/>
            <w:vMerge/>
          </w:tcPr>
          <w:p w14:paraId="31D9F9B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486" w:type="pct"/>
            <w:vMerge/>
          </w:tcPr>
          <w:p w14:paraId="124DBF1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51C73FB1" w14:textId="77777777" w:rsidTr="00484CDC">
        <w:trPr>
          <w:trHeight w:val="262"/>
        </w:trPr>
        <w:tc>
          <w:tcPr>
            <w:cnfStyle w:val="001000000000" w:firstRow="0" w:lastRow="0" w:firstColumn="1" w:lastColumn="0" w:oddVBand="0" w:evenVBand="0" w:oddHBand="0" w:evenHBand="0" w:firstRowFirstColumn="0" w:firstRowLastColumn="0" w:lastRowFirstColumn="0" w:lastRowLastColumn="0"/>
            <w:tcW w:w="1299" w:type="pct"/>
            <w:noWrap/>
            <w:hideMark/>
          </w:tcPr>
          <w:p w14:paraId="7E16D8C9" w14:textId="77777777" w:rsidR="007904E8" w:rsidRPr="004A34E0" w:rsidRDefault="007904E8" w:rsidP="00666947">
            <w:pPr>
              <w:pStyle w:val="TableTextLeft"/>
            </w:pPr>
            <w:r w:rsidRPr="004A34E0">
              <w:t>Princetown</w:t>
            </w:r>
          </w:p>
        </w:tc>
        <w:tc>
          <w:tcPr>
            <w:tcW w:w="1300" w:type="pct"/>
            <w:noWrap/>
            <w:hideMark/>
          </w:tcPr>
          <w:p w14:paraId="4D879E5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39</w:t>
            </w:r>
          </w:p>
        </w:tc>
        <w:tc>
          <w:tcPr>
            <w:tcW w:w="1300" w:type="pct"/>
          </w:tcPr>
          <w:p w14:paraId="66D24B3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1,794</w:t>
            </w:r>
          </w:p>
        </w:tc>
        <w:tc>
          <w:tcPr>
            <w:tcW w:w="616" w:type="pct"/>
            <w:vMerge/>
          </w:tcPr>
          <w:p w14:paraId="2C9D68F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486" w:type="pct"/>
            <w:vMerge/>
          </w:tcPr>
          <w:p w14:paraId="2DD14EC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3A690CC0" w14:textId="77777777" w:rsidTr="00484CDC">
        <w:trPr>
          <w:trHeight w:val="262"/>
        </w:trPr>
        <w:tc>
          <w:tcPr>
            <w:cnfStyle w:val="001000000000" w:firstRow="0" w:lastRow="0" w:firstColumn="1" w:lastColumn="0" w:oddVBand="0" w:evenVBand="0" w:oddHBand="0" w:evenHBand="0" w:firstRowFirstColumn="0" w:firstRowLastColumn="0" w:lastRowFirstColumn="0" w:lastRowLastColumn="0"/>
            <w:tcW w:w="1299" w:type="pct"/>
            <w:noWrap/>
            <w:hideMark/>
          </w:tcPr>
          <w:p w14:paraId="63E3539F" w14:textId="77777777" w:rsidR="007904E8" w:rsidRPr="004A34E0" w:rsidRDefault="007904E8" w:rsidP="00666947">
            <w:pPr>
              <w:pStyle w:val="TableTextLeft"/>
            </w:pPr>
            <w:r w:rsidRPr="004A34E0">
              <w:t>Skenes Creek</w:t>
            </w:r>
          </w:p>
        </w:tc>
        <w:tc>
          <w:tcPr>
            <w:tcW w:w="1300" w:type="pct"/>
            <w:noWrap/>
            <w:hideMark/>
          </w:tcPr>
          <w:p w14:paraId="230BF14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w:t>
            </w:r>
          </w:p>
        </w:tc>
        <w:tc>
          <w:tcPr>
            <w:tcW w:w="1300" w:type="pct"/>
          </w:tcPr>
          <w:p w14:paraId="1C34D81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92</w:t>
            </w:r>
          </w:p>
        </w:tc>
        <w:tc>
          <w:tcPr>
            <w:tcW w:w="616" w:type="pct"/>
            <w:vMerge/>
          </w:tcPr>
          <w:p w14:paraId="325297E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486" w:type="pct"/>
            <w:vMerge/>
          </w:tcPr>
          <w:p w14:paraId="259AB04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6E8DD56D" w14:textId="77777777" w:rsidTr="00484CDC">
        <w:trPr>
          <w:trHeight w:val="262"/>
        </w:trPr>
        <w:tc>
          <w:tcPr>
            <w:cnfStyle w:val="001000000000" w:firstRow="0" w:lastRow="0" w:firstColumn="1" w:lastColumn="0" w:oddVBand="0" w:evenVBand="0" w:oddHBand="0" w:evenHBand="0" w:firstRowFirstColumn="0" w:firstRowLastColumn="0" w:lastRowFirstColumn="0" w:lastRowLastColumn="0"/>
            <w:tcW w:w="1299" w:type="pct"/>
            <w:noWrap/>
            <w:hideMark/>
          </w:tcPr>
          <w:p w14:paraId="6B1AF8BD" w14:textId="77777777" w:rsidR="007904E8" w:rsidRPr="004A34E0" w:rsidRDefault="007904E8" w:rsidP="00666947">
            <w:pPr>
              <w:pStyle w:val="TableTextLeft"/>
            </w:pPr>
            <w:r w:rsidRPr="004A34E0">
              <w:t>Torquay</w:t>
            </w:r>
          </w:p>
        </w:tc>
        <w:tc>
          <w:tcPr>
            <w:tcW w:w="1300" w:type="pct"/>
            <w:noWrap/>
            <w:hideMark/>
          </w:tcPr>
          <w:p w14:paraId="04C5667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149</w:t>
            </w:r>
          </w:p>
        </w:tc>
        <w:tc>
          <w:tcPr>
            <w:tcW w:w="1300" w:type="pct"/>
          </w:tcPr>
          <w:p w14:paraId="23F7D99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6,854</w:t>
            </w:r>
          </w:p>
        </w:tc>
        <w:tc>
          <w:tcPr>
            <w:tcW w:w="616" w:type="pct"/>
            <w:vMerge/>
          </w:tcPr>
          <w:p w14:paraId="766335D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486" w:type="pct"/>
            <w:vMerge/>
          </w:tcPr>
          <w:p w14:paraId="57157DF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16832347" w14:textId="77777777" w:rsidTr="00484CDC">
        <w:trPr>
          <w:trHeight w:val="262"/>
        </w:trPr>
        <w:tc>
          <w:tcPr>
            <w:cnfStyle w:val="001000000000" w:firstRow="0" w:lastRow="0" w:firstColumn="1" w:lastColumn="0" w:oddVBand="0" w:evenVBand="0" w:oddHBand="0" w:evenHBand="0" w:firstRowFirstColumn="0" w:firstRowLastColumn="0" w:lastRowFirstColumn="0" w:lastRowLastColumn="0"/>
            <w:tcW w:w="1299" w:type="pct"/>
            <w:noWrap/>
            <w:hideMark/>
          </w:tcPr>
          <w:p w14:paraId="5241A3FE" w14:textId="77777777" w:rsidR="007904E8" w:rsidRPr="004A34E0" w:rsidRDefault="007904E8" w:rsidP="00666947">
            <w:pPr>
              <w:pStyle w:val="TableTextLeft"/>
            </w:pPr>
            <w:r w:rsidRPr="004A34E0">
              <w:t>Torquay North</w:t>
            </w:r>
          </w:p>
        </w:tc>
        <w:tc>
          <w:tcPr>
            <w:tcW w:w="1300" w:type="pct"/>
            <w:noWrap/>
            <w:hideMark/>
          </w:tcPr>
          <w:p w14:paraId="3B3D289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w:t>
            </w:r>
          </w:p>
        </w:tc>
        <w:tc>
          <w:tcPr>
            <w:tcW w:w="1300" w:type="pct"/>
          </w:tcPr>
          <w:p w14:paraId="344B9A4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46</w:t>
            </w:r>
          </w:p>
        </w:tc>
        <w:tc>
          <w:tcPr>
            <w:tcW w:w="616" w:type="pct"/>
            <w:vMerge/>
          </w:tcPr>
          <w:p w14:paraId="536A52B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486" w:type="pct"/>
            <w:vMerge/>
          </w:tcPr>
          <w:p w14:paraId="30F3DD7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636B2B58" w14:textId="77777777" w:rsidTr="00484CDC">
        <w:trPr>
          <w:trHeight w:val="262"/>
        </w:trPr>
        <w:tc>
          <w:tcPr>
            <w:cnfStyle w:val="001000000000" w:firstRow="0" w:lastRow="0" w:firstColumn="1" w:lastColumn="0" w:oddVBand="0" w:evenVBand="0" w:oddHBand="0" w:evenHBand="0" w:firstRowFirstColumn="0" w:firstRowLastColumn="0" w:lastRowFirstColumn="0" w:lastRowLastColumn="0"/>
            <w:tcW w:w="1299" w:type="pct"/>
            <w:noWrap/>
            <w:hideMark/>
          </w:tcPr>
          <w:p w14:paraId="3FED0B7F" w14:textId="77777777" w:rsidR="007904E8" w:rsidRPr="004A34E0" w:rsidRDefault="007904E8" w:rsidP="00666947">
            <w:pPr>
              <w:pStyle w:val="TableTextLeft"/>
            </w:pPr>
            <w:r w:rsidRPr="004A34E0">
              <w:t>Warrnambool</w:t>
            </w:r>
          </w:p>
        </w:tc>
        <w:tc>
          <w:tcPr>
            <w:tcW w:w="1300" w:type="pct"/>
            <w:noWrap/>
            <w:hideMark/>
          </w:tcPr>
          <w:p w14:paraId="03DEE38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101</w:t>
            </w:r>
          </w:p>
        </w:tc>
        <w:tc>
          <w:tcPr>
            <w:tcW w:w="1300" w:type="pct"/>
          </w:tcPr>
          <w:p w14:paraId="18CB641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4,646</w:t>
            </w:r>
          </w:p>
        </w:tc>
        <w:tc>
          <w:tcPr>
            <w:tcW w:w="616" w:type="pct"/>
            <w:vMerge/>
          </w:tcPr>
          <w:p w14:paraId="4DCBD37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486" w:type="pct"/>
            <w:vMerge/>
          </w:tcPr>
          <w:p w14:paraId="1F7B976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01DF9176" w14:textId="77777777" w:rsidTr="00484CDC">
        <w:trPr>
          <w:trHeight w:val="262"/>
        </w:trPr>
        <w:tc>
          <w:tcPr>
            <w:cnfStyle w:val="001000000000" w:firstRow="0" w:lastRow="0" w:firstColumn="1" w:lastColumn="0" w:oddVBand="0" w:evenVBand="0" w:oddHBand="0" w:evenHBand="0" w:firstRowFirstColumn="0" w:firstRowLastColumn="0" w:lastRowFirstColumn="0" w:lastRowLastColumn="0"/>
            <w:tcW w:w="1299" w:type="pct"/>
            <w:noWrap/>
            <w:hideMark/>
          </w:tcPr>
          <w:p w14:paraId="216AB745" w14:textId="77777777" w:rsidR="007904E8" w:rsidRPr="004A34E0" w:rsidRDefault="007904E8" w:rsidP="00666947">
            <w:pPr>
              <w:pStyle w:val="TableTextLeft"/>
            </w:pPr>
            <w:r w:rsidRPr="004A34E0">
              <w:t>Wye River</w:t>
            </w:r>
          </w:p>
        </w:tc>
        <w:tc>
          <w:tcPr>
            <w:tcW w:w="1300" w:type="pct"/>
            <w:noWrap/>
            <w:hideMark/>
          </w:tcPr>
          <w:p w14:paraId="1605A5E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w:t>
            </w:r>
          </w:p>
        </w:tc>
        <w:tc>
          <w:tcPr>
            <w:tcW w:w="1300" w:type="pct"/>
          </w:tcPr>
          <w:p w14:paraId="71BABF4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138</w:t>
            </w:r>
          </w:p>
        </w:tc>
        <w:tc>
          <w:tcPr>
            <w:tcW w:w="616" w:type="pct"/>
            <w:vMerge/>
          </w:tcPr>
          <w:p w14:paraId="2449B6C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486" w:type="pct"/>
            <w:vMerge/>
          </w:tcPr>
          <w:p w14:paraId="3AF5C6F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33B85FE1" w14:textId="77777777" w:rsidTr="00484CDC">
        <w:trPr>
          <w:trHeight w:val="262"/>
        </w:trPr>
        <w:tc>
          <w:tcPr>
            <w:cnfStyle w:val="001000000000" w:firstRow="0" w:lastRow="0" w:firstColumn="1" w:lastColumn="0" w:oddVBand="0" w:evenVBand="0" w:oddHBand="0" w:evenHBand="0" w:firstRowFirstColumn="0" w:firstRowLastColumn="0" w:lastRowFirstColumn="0" w:lastRowLastColumn="0"/>
            <w:tcW w:w="1299" w:type="pct"/>
            <w:shd w:val="clear" w:color="auto" w:fill="CCDBEA" w:themeFill="background2"/>
            <w:noWrap/>
            <w:hideMark/>
          </w:tcPr>
          <w:p w14:paraId="78DBFC28" w14:textId="77777777" w:rsidR="007904E8" w:rsidRPr="004A34E0" w:rsidRDefault="007904E8" w:rsidP="00666947">
            <w:pPr>
              <w:pStyle w:val="TableTextLeft"/>
            </w:pPr>
            <w:r w:rsidRPr="004A34E0">
              <w:rPr>
                <w:b/>
              </w:rPr>
              <w:t>Total</w:t>
            </w:r>
          </w:p>
        </w:tc>
        <w:tc>
          <w:tcPr>
            <w:tcW w:w="1300" w:type="pct"/>
            <w:shd w:val="clear" w:color="auto" w:fill="CCDBEA" w:themeFill="background2"/>
            <w:noWrap/>
            <w:hideMark/>
          </w:tcPr>
          <w:p w14:paraId="2A6595C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714</w:t>
            </w:r>
          </w:p>
        </w:tc>
        <w:tc>
          <w:tcPr>
            <w:tcW w:w="1300" w:type="pct"/>
            <w:shd w:val="clear" w:color="auto" w:fill="CCDBEA" w:themeFill="background2"/>
          </w:tcPr>
          <w:p w14:paraId="162EC40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32,844</w:t>
            </w:r>
          </w:p>
        </w:tc>
        <w:tc>
          <w:tcPr>
            <w:tcW w:w="616" w:type="pct"/>
            <w:vMerge/>
          </w:tcPr>
          <w:p w14:paraId="1B236C9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486" w:type="pct"/>
            <w:vMerge/>
          </w:tcPr>
          <w:p w14:paraId="3909456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rPr>
            </w:pPr>
          </w:p>
        </w:tc>
      </w:tr>
    </w:tbl>
    <w:p w14:paraId="7C152A7E" w14:textId="77777777" w:rsidR="007904E8" w:rsidRPr="004A34E0" w:rsidRDefault="007904E8" w:rsidP="00484CDC">
      <w:pPr>
        <w:pStyle w:val="BodyText12ptBefore"/>
      </w:pPr>
      <w:r w:rsidRPr="004A34E0">
        <w:t>Figure 30 shows the distribution of student visitors to suburbs / towns across the GORCAP EEA area.</w:t>
      </w:r>
    </w:p>
    <w:p w14:paraId="530C0E19" w14:textId="77777777" w:rsidR="007904E8" w:rsidRPr="004A34E0" w:rsidRDefault="007904E8" w:rsidP="007904E8">
      <w:pPr>
        <w:pStyle w:val="BodyText"/>
        <w:sectPr w:rsidR="007904E8" w:rsidRPr="004A34E0" w:rsidSect="00E52A9A">
          <w:headerReference w:type="even" r:id="rId172"/>
          <w:headerReference w:type="default" r:id="rId173"/>
          <w:footerReference w:type="even" r:id="rId174"/>
          <w:footerReference w:type="default" r:id="rId175"/>
          <w:pgSz w:w="11906" w:h="16838" w:code="9"/>
          <w:pgMar w:top="1134" w:right="1134" w:bottom="1134" w:left="1134" w:header="283" w:footer="283" w:gutter="0"/>
          <w:cols w:space="284"/>
          <w:docGrid w:linePitch="360"/>
        </w:sectPr>
      </w:pPr>
    </w:p>
    <w:p w14:paraId="1085A555" w14:textId="77777777" w:rsidR="007904E8" w:rsidRPr="004A34E0" w:rsidRDefault="007904E8" w:rsidP="00484CDC">
      <w:pPr>
        <w:pStyle w:val="Caption"/>
      </w:pPr>
      <w:r w:rsidRPr="004A34E0">
        <w:lastRenderedPageBreak/>
        <w:t>Figure 30. Distribution of educational visits to ecosystem assets across GORCAP EEA in 2019 (DET, 2021)</w:t>
      </w:r>
    </w:p>
    <w:p w14:paraId="722475F5" w14:textId="77777777" w:rsidR="007904E8" w:rsidRPr="004A34E0" w:rsidRDefault="007904E8" w:rsidP="007904E8">
      <w:pPr>
        <w:pStyle w:val="BodyText"/>
      </w:pPr>
      <w:r w:rsidRPr="004A34E0">
        <w:rPr>
          <w:noProof/>
        </w:rPr>
        <mc:AlternateContent>
          <mc:Choice Requires="wps">
            <w:drawing>
              <wp:anchor distT="45720" distB="45720" distL="114300" distR="114300" simplePos="0" relativeHeight="251658319" behindDoc="0" locked="0" layoutInCell="1" allowOverlap="1" wp14:anchorId="4A61513C" wp14:editId="0584566C">
                <wp:simplePos x="0" y="0"/>
                <wp:positionH relativeFrom="column">
                  <wp:posOffset>800100</wp:posOffset>
                </wp:positionH>
                <wp:positionV relativeFrom="paragraph">
                  <wp:posOffset>4012187</wp:posOffset>
                </wp:positionV>
                <wp:extent cx="1581150" cy="1404620"/>
                <wp:effectExtent l="0" t="0" r="0" b="3175"/>
                <wp:wrapNone/>
                <wp:docPr id="818" name="Text Box 8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1404620"/>
                        </a:xfrm>
                        <a:prstGeom prst="rect">
                          <a:avLst/>
                        </a:prstGeom>
                        <a:solidFill>
                          <a:schemeClr val="bg1"/>
                        </a:solidFill>
                        <a:ln w="9525">
                          <a:noFill/>
                          <a:miter lim="800000"/>
                          <a:headEnd/>
                          <a:tailEnd/>
                        </a:ln>
                      </wps:spPr>
                      <wps:txbx>
                        <w:txbxContent>
                          <w:p w14:paraId="426CF538" w14:textId="77777777" w:rsidR="007904E8" w:rsidRPr="00165BAD" w:rsidRDefault="007904E8" w:rsidP="007904E8">
                            <w:pPr>
                              <w:rPr>
                                <w:b/>
                                <w:bCs/>
                                <w:sz w:val="24"/>
                                <w:szCs w:val="24"/>
                              </w:rPr>
                            </w:pPr>
                            <w:r w:rsidRPr="00165BAD">
                              <w:rPr>
                                <w:b/>
                                <w:bCs/>
                                <w:sz w:val="24"/>
                                <w:szCs w:val="24"/>
                              </w:rPr>
                              <w:t>GORCAP EEA area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A61513C" id="Text Box 818" o:spid="_x0000_s1073" type="#_x0000_t202" style="position:absolute;margin-left:63pt;margin-top:315.9pt;width:124.5pt;height:110.6pt;z-index:25165831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" fillcolor="white [3212]" stroked="f">
                <v:textbox style="mso-fit-shape-to-text:t">
                  <w:txbxContent>
                    <w:p w14:paraId="426CF538" w14:textId="77777777" w:rsidR="007904E8" w:rsidRPr="00165BAD" w:rsidRDefault="007904E8" w:rsidP="007904E8">
                      <w:pPr>
                        <w:rPr>
                          <w:b/>
                          <w:bCs/>
                          <w:sz w:val="24"/>
                          <w:szCs w:val="24"/>
                        </w:rPr>
                      </w:pPr>
                      <w:r w:rsidRPr="00165BAD">
                        <w:rPr>
                          <w:b/>
                          <w:bCs/>
                          <w:sz w:val="24"/>
                          <w:szCs w:val="24"/>
                        </w:rPr>
                        <w:t>GORCAP EEA area</w:t>
                      </w:r>
                    </w:p>
                  </w:txbxContent>
                </v:textbox>
              </v:shape>
            </w:pict>
          </mc:Fallback>
        </mc:AlternateContent>
      </w:r>
      <w:r w:rsidRPr="004A34E0">
        <w:rPr>
          <w:noProof/>
        </w:rPr>
        <w:drawing>
          <wp:inline distT="0" distB="0" distL="0" distR="0" wp14:anchorId="607898C3" wp14:editId="4D40C897">
            <wp:extent cx="13165688" cy="6464992"/>
            <wp:effectExtent l="19050" t="19050" r="17145" b="1206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294"/>
                    <pic:cNvPicPr/>
                  </pic:nvPicPr>
                  <pic:blipFill>
                    <a:blip r:embed="rId176" cstate="email">
                      <a:extLst>
                        <a:ext uri="{28A0092B-C50C-407E-A947-70E740481C1C}">
                          <a14:useLocalDpi xmlns:a14="http://schemas.microsoft.com/office/drawing/2010/main"/>
                        </a:ext>
                      </a:extLst>
                    </a:blip>
                    <a:stretch>
                      <a:fillRect/>
                    </a:stretch>
                  </pic:blipFill>
                  <pic:spPr>
                    <a:xfrm>
                      <a:off x="0" y="0"/>
                      <a:ext cx="13165688" cy="6464992"/>
                    </a:xfrm>
                    <a:prstGeom prst="rect">
                      <a:avLst/>
                    </a:prstGeom>
                    <a:ln>
                      <a:solidFill>
                        <a:schemeClr val="tx1"/>
                      </a:solidFill>
                    </a:ln>
                  </pic:spPr>
                </pic:pic>
              </a:graphicData>
            </a:graphic>
          </wp:inline>
        </w:drawing>
      </w:r>
    </w:p>
    <w:p w14:paraId="7BCE2E2A" w14:textId="77777777" w:rsidR="007904E8" w:rsidRPr="004A34E0" w:rsidRDefault="007904E8" w:rsidP="007904E8">
      <w:pPr>
        <w:pStyle w:val="BodyText"/>
        <w:sectPr w:rsidR="007904E8" w:rsidRPr="004A34E0" w:rsidSect="00E52A9A">
          <w:headerReference w:type="even" r:id="rId177"/>
          <w:headerReference w:type="default" r:id="rId178"/>
          <w:footerReference w:type="even" r:id="rId179"/>
          <w:footerReference w:type="default" r:id="rId180"/>
          <w:pgSz w:w="23811" w:h="16838" w:orient="landscape" w:code="8"/>
          <w:pgMar w:top="1134" w:right="1134" w:bottom="1134" w:left="1134" w:header="283" w:footer="283" w:gutter="0"/>
          <w:cols w:space="284"/>
          <w:docGrid w:linePitch="360"/>
        </w:sectPr>
      </w:pPr>
    </w:p>
    <w:p w14:paraId="2FCDEC55" w14:textId="77777777" w:rsidR="007904E8" w:rsidRPr="004A34E0" w:rsidRDefault="007904E8" w:rsidP="007904E8">
      <w:pPr>
        <w:pStyle w:val="BodyText"/>
      </w:pPr>
      <w:r w:rsidRPr="004A34E0">
        <w:lastRenderedPageBreak/>
        <w:t>Table 40 summarises the uncertainty associated with these results and shows that there is a low level of uncertainty associated with these estimates, despite the extent to which the database captures visits from non-government schools being unclear.</w:t>
      </w:r>
    </w:p>
    <w:p w14:paraId="09F04216" w14:textId="77777777" w:rsidR="007904E8" w:rsidRPr="004A34E0" w:rsidRDefault="007904E8" w:rsidP="00484CDC">
      <w:pPr>
        <w:pStyle w:val="Caption"/>
      </w:pPr>
      <w:r w:rsidRPr="004A34E0">
        <w:t xml:space="preserve">Table 40. Uncertainty assessment - physical quantity of education </w:t>
      </w:r>
    </w:p>
    <w:tbl>
      <w:tblPr>
        <w:tblStyle w:val="TableGrid"/>
        <w:tblW w:w="5000" w:type="pct"/>
        <w:tblLook w:val="04A0" w:firstRow="1" w:lastRow="0" w:firstColumn="1" w:lastColumn="0" w:noHBand="0" w:noVBand="1"/>
      </w:tblPr>
      <w:tblGrid>
        <w:gridCol w:w="1360"/>
        <w:gridCol w:w="3864"/>
        <w:gridCol w:w="3708"/>
        <w:gridCol w:w="706"/>
      </w:tblGrid>
      <w:tr w:rsidR="00963D65" w:rsidRPr="004A34E0" w14:paraId="35F9A41F" w14:textId="77777777" w:rsidTr="00484CDC">
        <w:trPr>
          <w:cnfStyle w:val="100000000000" w:firstRow="1" w:lastRow="0" w:firstColumn="0" w:lastColumn="0" w:oddVBand="0" w:evenVBand="0" w:oddHBand="0"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672" w:type="pct"/>
          </w:tcPr>
          <w:p w14:paraId="3ECF839E" w14:textId="77777777" w:rsidR="007904E8" w:rsidRPr="004A34E0" w:rsidRDefault="007904E8" w:rsidP="00666947">
            <w:pPr>
              <w:pStyle w:val="TableTextLeft"/>
            </w:pPr>
          </w:p>
        </w:tc>
        <w:tc>
          <w:tcPr>
            <w:tcW w:w="3951" w:type="pct"/>
            <w:gridSpan w:val="2"/>
          </w:tcPr>
          <w:p w14:paraId="39F90C2E"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Uncertainty in…</w:t>
            </w:r>
          </w:p>
        </w:tc>
        <w:tc>
          <w:tcPr>
            <w:tcW w:w="377" w:type="pct"/>
          </w:tcPr>
          <w:p w14:paraId="22551B00"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rPr>
                <w:b/>
              </w:rPr>
            </w:pPr>
          </w:p>
        </w:tc>
      </w:tr>
      <w:tr w:rsidR="007904E8" w:rsidRPr="004A34E0" w14:paraId="3572B0F1" w14:textId="77777777" w:rsidTr="003D0D3F">
        <w:trPr>
          <w:trHeight w:val="247"/>
        </w:trPr>
        <w:tc>
          <w:tcPr>
            <w:cnfStyle w:val="001000000000" w:firstRow="0" w:lastRow="0" w:firstColumn="1" w:lastColumn="0" w:oddVBand="0" w:evenVBand="0" w:oddHBand="0" w:evenHBand="0" w:firstRowFirstColumn="0" w:firstRowLastColumn="0" w:lastRowFirstColumn="0" w:lastRowLastColumn="0"/>
            <w:tcW w:w="672" w:type="pct"/>
            <w:tcBorders>
              <w:top w:val="nil"/>
            </w:tcBorders>
            <w:shd w:val="clear" w:color="auto" w:fill="004C97" w:themeFill="accent1"/>
          </w:tcPr>
          <w:p w14:paraId="4519F9ED" w14:textId="77777777" w:rsidR="007904E8" w:rsidRPr="004A34E0" w:rsidRDefault="007904E8" w:rsidP="00666947">
            <w:pPr>
              <w:pStyle w:val="TableTextLeft"/>
            </w:pPr>
          </w:p>
        </w:tc>
        <w:tc>
          <w:tcPr>
            <w:tcW w:w="2016" w:type="pct"/>
            <w:tcBorders>
              <w:top w:val="nil"/>
            </w:tcBorders>
            <w:shd w:val="clear" w:color="auto" w:fill="004C97" w:themeFill="accent1"/>
          </w:tcPr>
          <w:p w14:paraId="1095C993"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484CDC">
              <w:rPr>
                <w:b/>
                <w:color w:val="FFFFFF" w:themeColor="background1"/>
              </w:rPr>
              <w:t xml:space="preserve">Evidence </w:t>
            </w:r>
          </w:p>
        </w:tc>
        <w:tc>
          <w:tcPr>
            <w:tcW w:w="1935" w:type="pct"/>
            <w:tcBorders>
              <w:top w:val="nil"/>
            </w:tcBorders>
            <w:shd w:val="clear" w:color="auto" w:fill="004C97" w:themeFill="accent1"/>
          </w:tcPr>
          <w:p w14:paraId="5D62C306"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484CDC">
              <w:rPr>
                <w:b/>
                <w:color w:val="FFFFFF" w:themeColor="background1"/>
              </w:rPr>
              <w:t>Assumptions</w:t>
            </w:r>
          </w:p>
        </w:tc>
        <w:tc>
          <w:tcPr>
            <w:tcW w:w="377" w:type="pct"/>
            <w:tcBorders>
              <w:top w:val="nil"/>
            </w:tcBorders>
            <w:shd w:val="clear" w:color="auto" w:fill="004C97" w:themeFill="accent1"/>
          </w:tcPr>
          <w:p w14:paraId="30E0A6FB"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r w:rsidRPr="00484CDC">
              <w:rPr>
                <w:b/>
                <w:color w:val="FFFFFF" w:themeColor="background1"/>
              </w:rPr>
              <w:t>Total</w:t>
            </w:r>
          </w:p>
        </w:tc>
      </w:tr>
      <w:tr w:rsidR="00963D65" w:rsidRPr="004A34E0" w14:paraId="4652B8A2" w14:textId="77777777" w:rsidTr="00963D65">
        <w:trPr>
          <w:trHeight w:val="75"/>
        </w:trPr>
        <w:tc>
          <w:tcPr>
            <w:cnfStyle w:val="001000000000" w:firstRow="0" w:lastRow="0" w:firstColumn="1" w:lastColumn="0" w:oddVBand="0" w:evenVBand="0" w:oddHBand="0" w:evenHBand="0" w:firstRowFirstColumn="0" w:firstRowLastColumn="0" w:lastRowFirstColumn="0" w:lastRowLastColumn="0"/>
            <w:tcW w:w="672" w:type="pct"/>
          </w:tcPr>
          <w:p w14:paraId="0BFAEB84" w14:textId="77777777" w:rsidR="007904E8" w:rsidRPr="004A34E0" w:rsidRDefault="007904E8" w:rsidP="00666947">
            <w:pPr>
              <w:pStyle w:val="TableTextLeft"/>
              <w:rPr>
                <w:b/>
              </w:rPr>
            </w:pPr>
            <w:r w:rsidRPr="004A34E0">
              <w:rPr>
                <w:b/>
              </w:rPr>
              <w:t>Explanation</w:t>
            </w:r>
          </w:p>
        </w:tc>
        <w:tc>
          <w:tcPr>
            <w:tcW w:w="2016" w:type="pct"/>
          </w:tcPr>
          <w:p w14:paraId="3429D1E3"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 xml:space="preserve">The DET Student Activity Locator database is the most comprehensive information available on educational visitation in Victoria. All Victorian government schools must notify DET of approved school excursions to ensure accurate information is available for emergency services. Non-government schools are also able to access the Student Activity Locator to register excursions. It is unclear the extent to which the database captures visits from non-government schools. </w:t>
            </w:r>
          </w:p>
        </w:tc>
        <w:tc>
          <w:tcPr>
            <w:tcW w:w="1935" w:type="pct"/>
          </w:tcPr>
          <w:p w14:paraId="4365CE60"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To estimate student visitors for 2019, the study team estimated the average number of visitors per school visit for the year 2020 and applied this to the number of school visits. This assumes that the number of visitors per educational trip was unaffected by the COVID-19 pandemic</w:t>
            </w:r>
          </w:p>
        </w:tc>
        <w:tc>
          <w:tcPr>
            <w:tcW w:w="377" w:type="pct"/>
          </w:tcPr>
          <w:p w14:paraId="33AB1BB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Low</w:t>
            </w:r>
          </w:p>
        </w:tc>
      </w:tr>
      <w:tr w:rsidR="007904E8" w:rsidRPr="004A34E0" w14:paraId="75899EA6" w14:textId="77777777" w:rsidTr="00484CDC">
        <w:trPr>
          <w:trHeight w:val="194"/>
        </w:trPr>
        <w:tc>
          <w:tcPr>
            <w:cnfStyle w:val="001000000000" w:firstRow="0" w:lastRow="0" w:firstColumn="1" w:lastColumn="0" w:oddVBand="0" w:evenVBand="0" w:oddHBand="0" w:evenHBand="0" w:firstRowFirstColumn="0" w:firstRowLastColumn="0" w:lastRowFirstColumn="0" w:lastRowLastColumn="0"/>
            <w:tcW w:w="672" w:type="pct"/>
            <w:shd w:val="clear" w:color="auto" w:fill="CCDBEA" w:themeFill="background2"/>
          </w:tcPr>
          <w:p w14:paraId="6E81FC6F" w14:textId="77777777" w:rsidR="007904E8" w:rsidRPr="004A34E0" w:rsidRDefault="007904E8" w:rsidP="00666947">
            <w:pPr>
              <w:pStyle w:val="TableTextLeft"/>
              <w:rPr>
                <w:b/>
              </w:rPr>
            </w:pPr>
            <w:r w:rsidRPr="004A34E0">
              <w:rPr>
                <w:b/>
              </w:rPr>
              <w:t xml:space="preserve">Rating </w:t>
            </w:r>
          </w:p>
        </w:tc>
        <w:tc>
          <w:tcPr>
            <w:tcW w:w="2016" w:type="pct"/>
            <w:shd w:val="clear" w:color="auto" w:fill="CCDBEA" w:themeFill="background2"/>
          </w:tcPr>
          <w:p w14:paraId="0BBE298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w:t>
            </w:r>
          </w:p>
        </w:tc>
        <w:tc>
          <w:tcPr>
            <w:tcW w:w="1935" w:type="pct"/>
            <w:shd w:val="clear" w:color="auto" w:fill="CCDBEA" w:themeFill="background2"/>
          </w:tcPr>
          <w:p w14:paraId="194B2B6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w:t>
            </w:r>
          </w:p>
        </w:tc>
        <w:tc>
          <w:tcPr>
            <w:tcW w:w="377" w:type="pct"/>
            <w:shd w:val="clear" w:color="auto" w:fill="CCDBEA" w:themeFill="background2"/>
          </w:tcPr>
          <w:p w14:paraId="73CC093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w:t>
            </w:r>
          </w:p>
        </w:tc>
      </w:tr>
    </w:tbl>
    <w:p w14:paraId="5A998933" w14:textId="77777777" w:rsidR="007904E8" w:rsidRPr="004A34E0" w:rsidRDefault="007904E8" w:rsidP="00A2745D">
      <w:pPr>
        <w:pStyle w:val="AlphaHeading4"/>
      </w:pPr>
      <w:r w:rsidRPr="004A34E0">
        <w:t xml:space="preserve">Monetary value of education </w:t>
      </w:r>
    </w:p>
    <w:p w14:paraId="4F3142D7" w14:textId="77777777" w:rsidR="007904E8" w:rsidRPr="004A34E0" w:rsidRDefault="007904E8" w:rsidP="007904E8">
      <w:pPr>
        <w:pStyle w:val="BodyText12ptBefore"/>
      </w:pPr>
      <w:r w:rsidRPr="004A34E0">
        <w:t xml:space="preserve">The value of educational trips is estimated to be </w:t>
      </w:r>
      <w:r w:rsidRPr="004A34E0">
        <w:rPr>
          <w:b/>
        </w:rPr>
        <w:t>$0.6 million a year based on activity expenditures only</w:t>
      </w:r>
      <w:r w:rsidRPr="004A34E0">
        <w:t xml:space="preserve">. This consists of approximately $0.47 million per year from overnight visits and $0.14 million per year from day visits, as shown in Table 41. </w:t>
      </w:r>
    </w:p>
    <w:p w14:paraId="2FDE1FBA" w14:textId="77777777" w:rsidR="007904E8" w:rsidRPr="004A34E0" w:rsidRDefault="007904E8" w:rsidP="00484CDC">
      <w:pPr>
        <w:pStyle w:val="Caption"/>
      </w:pPr>
      <w:r w:rsidRPr="004A34E0">
        <w:t xml:space="preserve">Table 41. Estimated expenditure ($, 2021) on educational trips to GORCAP EEA region in 2019 </w:t>
      </w:r>
    </w:p>
    <w:tbl>
      <w:tblPr>
        <w:tblStyle w:val="TableGrid"/>
        <w:tblW w:w="5000" w:type="pct"/>
        <w:tblLook w:val="04A0" w:firstRow="1" w:lastRow="0" w:firstColumn="1" w:lastColumn="0" w:noHBand="0" w:noVBand="1"/>
      </w:tblPr>
      <w:tblGrid>
        <w:gridCol w:w="1594"/>
        <w:gridCol w:w="2966"/>
        <w:gridCol w:w="1272"/>
        <w:gridCol w:w="1538"/>
        <w:gridCol w:w="1025"/>
        <w:gridCol w:w="1243"/>
      </w:tblGrid>
      <w:tr w:rsidR="00963D65" w:rsidRPr="004A34E0" w14:paraId="4019B527" w14:textId="77777777" w:rsidTr="00963D65">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650" w:type="pct"/>
            <w:noWrap/>
            <w:hideMark/>
          </w:tcPr>
          <w:p w14:paraId="3628CB05" w14:textId="77777777" w:rsidR="007904E8" w:rsidRPr="004A34E0" w:rsidRDefault="007904E8" w:rsidP="00666947">
            <w:pPr>
              <w:pStyle w:val="TableTextLeft"/>
            </w:pPr>
            <w:r w:rsidRPr="004A34E0">
              <w:rPr>
                <w:b/>
              </w:rPr>
              <w:t>Information</w:t>
            </w:r>
          </w:p>
        </w:tc>
        <w:tc>
          <w:tcPr>
            <w:tcW w:w="1574" w:type="pct"/>
          </w:tcPr>
          <w:p w14:paraId="56013CEE"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p>
        </w:tc>
        <w:tc>
          <w:tcPr>
            <w:tcW w:w="695" w:type="pct"/>
          </w:tcPr>
          <w:p w14:paraId="088B668F"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Estimate</w:t>
            </w:r>
          </w:p>
        </w:tc>
        <w:tc>
          <w:tcPr>
            <w:tcW w:w="833" w:type="pct"/>
          </w:tcPr>
          <w:p w14:paraId="66EA253C"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Unit</w:t>
            </w:r>
          </w:p>
        </w:tc>
        <w:tc>
          <w:tcPr>
            <w:tcW w:w="567" w:type="pct"/>
          </w:tcPr>
          <w:p w14:paraId="3FA34BDC"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Year</w:t>
            </w:r>
          </w:p>
        </w:tc>
        <w:tc>
          <w:tcPr>
            <w:tcW w:w="680" w:type="pct"/>
          </w:tcPr>
          <w:p w14:paraId="76A20153"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rPr>
                <w:b/>
              </w:rPr>
            </w:pPr>
            <w:r w:rsidRPr="004A34E0">
              <w:rPr>
                <w:b/>
              </w:rPr>
              <w:t>Source</w:t>
            </w:r>
          </w:p>
        </w:tc>
      </w:tr>
      <w:tr w:rsidR="007904E8" w:rsidRPr="004A34E0" w14:paraId="1E25ECDC" w14:textId="77777777" w:rsidTr="00963D65">
        <w:trPr>
          <w:trHeight w:val="297"/>
        </w:trPr>
        <w:tc>
          <w:tcPr>
            <w:cnfStyle w:val="001000000000" w:firstRow="0" w:lastRow="0" w:firstColumn="1" w:lastColumn="0" w:oddVBand="0" w:evenVBand="0" w:oddHBand="0" w:evenHBand="0" w:firstRowFirstColumn="0" w:firstRowLastColumn="0" w:lastRowFirstColumn="0" w:lastRowLastColumn="0"/>
            <w:tcW w:w="650" w:type="pct"/>
            <w:vMerge w:val="restart"/>
            <w:noWrap/>
          </w:tcPr>
          <w:p w14:paraId="35477781" w14:textId="77777777" w:rsidR="007904E8" w:rsidRPr="004A34E0" w:rsidRDefault="007904E8" w:rsidP="00666947">
            <w:pPr>
              <w:pStyle w:val="TableTextLeft"/>
            </w:pPr>
            <w:r w:rsidRPr="004A34E0">
              <w:t>Day visits</w:t>
            </w:r>
          </w:p>
        </w:tc>
        <w:tc>
          <w:tcPr>
            <w:tcW w:w="1574" w:type="pct"/>
          </w:tcPr>
          <w:p w14:paraId="11C05DA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Day student visitors</w:t>
            </w:r>
          </w:p>
        </w:tc>
        <w:tc>
          <w:tcPr>
            <w:tcW w:w="695" w:type="pct"/>
          </w:tcPr>
          <w:p w14:paraId="1BD524E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14,490</w:t>
            </w:r>
          </w:p>
        </w:tc>
        <w:tc>
          <w:tcPr>
            <w:tcW w:w="833" w:type="pct"/>
          </w:tcPr>
          <w:p w14:paraId="5AF4D6C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Number visitors</w:t>
            </w:r>
          </w:p>
        </w:tc>
        <w:tc>
          <w:tcPr>
            <w:tcW w:w="567" w:type="pct"/>
          </w:tcPr>
          <w:p w14:paraId="7DE17B7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2019</w:t>
            </w:r>
          </w:p>
        </w:tc>
        <w:tc>
          <w:tcPr>
            <w:tcW w:w="680" w:type="pct"/>
          </w:tcPr>
          <w:p w14:paraId="4E4A943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DET (2021)</w:t>
            </w:r>
          </w:p>
        </w:tc>
      </w:tr>
      <w:tr w:rsidR="007904E8" w:rsidRPr="004A34E0" w14:paraId="30F3372A" w14:textId="77777777" w:rsidTr="00963D65">
        <w:trPr>
          <w:trHeight w:val="297"/>
        </w:trPr>
        <w:tc>
          <w:tcPr>
            <w:cnfStyle w:val="001000000000" w:firstRow="0" w:lastRow="0" w:firstColumn="1" w:lastColumn="0" w:oddVBand="0" w:evenVBand="0" w:oddHBand="0" w:evenHBand="0" w:firstRowFirstColumn="0" w:firstRowLastColumn="0" w:lastRowFirstColumn="0" w:lastRowLastColumn="0"/>
            <w:tcW w:w="650" w:type="pct"/>
            <w:vMerge/>
            <w:noWrap/>
          </w:tcPr>
          <w:p w14:paraId="2FFC81B3" w14:textId="77777777" w:rsidR="007904E8" w:rsidRPr="004A34E0" w:rsidRDefault="007904E8" w:rsidP="00666947">
            <w:pPr>
              <w:pStyle w:val="TableTextLeft"/>
            </w:pPr>
          </w:p>
        </w:tc>
        <w:tc>
          <w:tcPr>
            <w:tcW w:w="1574" w:type="pct"/>
          </w:tcPr>
          <w:p w14:paraId="0508785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Expenditure per day visit </w:t>
            </w:r>
          </w:p>
        </w:tc>
        <w:tc>
          <w:tcPr>
            <w:tcW w:w="695" w:type="pct"/>
          </w:tcPr>
          <w:p w14:paraId="30FD399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$9</w:t>
            </w:r>
          </w:p>
        </w:tc>
        <w:tc>
          <w:tcPr>
            <w:tcW w:w="833" w:type="pct"/>
          </w:tcPr>
          <w:p w14:paraId="7D96E7C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$/Visitor</w:t>
            </w:r>
          </w:p>
        </w:tc>
        <w:tc>
          <w:tcPr>
            <w:tcW w:w="567" w:type="pct"/>
          </w:tcPr>
          <w:p w14:paraId="21460D7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2016-17</w:t>
            </w:r>
            <w:r w:rsidRPr="004A34E0">
              <w:rPr>
                <w:vertAlign w:val="superscript"/>
              </w:rPr>
              <w:t>a</w:t>
            </w:r>
          </w:p>
        </w:tc>
        <w:tc>
          <w:tcPr>
            <w:tcW w:w="680" w:type="pct"/>
          </w:tcPr>
          <w:p w14:paraId="178052B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ACA (2018)</w:t>
            </w:r>
          </w:p>
        </w:tc>
      </w:tr>
      <w:tr w:rsidR="007904E8" w:rsidRPr="004A34E0" w14:paraId="21C7D68C" w14:textId="77777777" w:rsidTr="00963D65">
        <w:trPr>
          <w:trHeight w:val="297"/>
        </w:trPr>
        <w:tc>
          <w:tcPr>
            <w:cnfStyle w:val="001000000000" w:firstRow="0" w:lastRow="0" w:firstColumn="1" w:lastColumn="0" w:oddVBand="0" w:evenVBand="0" w:oddHBand="0" w:evenHBand="0" w:firstRowFirstColumn="0" w:firstRowLastColumn="0" w:lastRowFirstColumn="0" w:lastRowLastColumn="0"/>
            <w:tcW w:w="650" w:type="pct"/>
            <w:vMerge/>
            <w:noWrap/>
          </w:tcPr>
          <w:p w14:paraId="7D980E8F" w14:textId="77777777" w:rsidR="007904E8" w:rsidRPr="004A34E0" w:rsidRDefault="007904E8" w:rsidP="00666947">
            <w:pPr>
              <w:pStyle w:val="TableTextLeft"/>
            </w:pPr>
          </w:p>
        </w:tc>
        <w:tc>
          <w:tcPr>
            <w:tcW w:w="1574" w:type="pct"/>
          </w:tcPr>
          <w:p w14:paraId="4D738F0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Total expenditure day visits</w:t>
            </w:r>
          </w:p>
        </w:tc>
        <w:tc>
          <w:tcPr>
            <w:tcW w:w="695" w:type="pct"/>
          </w:tcPr>
          <w:p w14:paraId="65426B1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$135,490</w:t>
            </w:r>
          </w:p>
        </w:tc>
        <w:tc>
          <w:tcPr>
            <w:tcW w:w="833" w:type="pct"/>
          </w:tcPr>
          <w:p w14:paraId="401314A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$/year</w:t>
            </w:r>
          </w:p>
        </w:tc>
        <w:tc>
          <w:tcPr>
            <w:tcW w:w="567" w:type="pct"/>
          </w:tcPr>
          <w:p w14:paraId="370BB5C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680" w:type="pct"/>
          </w:tcPr>
          <w:p w14:paraId="5748E00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r>
      <w:tr w:rsidR="007904E8" w:rsidRPr="004A34E0" w14:paraId="22D0D17F" w14:textId="77777777" w:rsidTr="00963D65">
        <w:trPr>
          <w:trHeight w:val="297"/>
        </w:trPr>
        <w:tc>
          <w:tcPr>
            <w:cnfStyle w:val="001000000000" w:firstRow="0" w:lastRow="0" w:firstColumn="1" w:lastColumn="0" w:oddVBand="0" w:evenVBand="0" w:oddHBand="0" w:evenHBand="0" w:firstRowFirstColumn="0" w:firstRowLastColumn="0" w:lastRowFirstColumn="0" w:lastRowLastColumn="0"/>
            <w:tcW w:w="650" w:type="pct"/>
            <w:vMerge w:val="restart"/>
            <w:noWrap/>
          </w:tcPr>
          <w:p w14:paraId="0A7E7674" w14:textId="77777777" w:rsidR="007904E8" w:rsidRPr="004A34E0" w:rsidRDefault="007904E8" w:rsidP="00666947">
            <w:pPr>
              <w:pStyle w:val="TableTextLeft"/>
            </w:pPr>
            <w:r w:rsidRPr="004A34E0">
              <w:t>Overnight visits</w:t>
            </w:r>
          </w:p>
        </w:tc>
        <w:tc>
          <w:tcPr>
            <w:tcW w:w="1574" w:type="pct"/>
          </w:tcPr>
          <w:p w14:paraId="3092FF7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Overnight student visitors</w:t>
            </w:r>
          </w:p>
        </w:tc>
        <w:tc>
          <w:tcPr>
            <w:tcW w:w="695" w:type="pct"/>
          </w:tcPr>
          <w:p w14:paraId="125EF1A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18,354</w:t>
            </w:r>
          </w:p>
        </w:tc>
        <w:tc>
          <w:tcPr>
            <w:tcW w:w="833" w:type="pct"/>
          </w:tcPr>
          <w:p w14:paraId="5F68D4A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Number visitors</w:t>
            </w:r>
          </w:p>
        </w:tc>
        <w:tc>
          <w:tcPr>
            <w:tcW w:w="567" w:type="pct"/>
          </w:tcPr>
          <w:p w14:paraId="53B2EDB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2019</w:t>
            </w:r>
          </w:p>
        </w:tc>
        <w:tc>
          <w:tcPr>
            <w:tcW w:w="680" w:type="pct"/>
          </w:tcPr>
          <w:p w14:paraId="1256B0F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DET (2021)</w:t>
            </w:r>
          </w:p>
        </w:tc>
      </w:tr>
      <w:tr w:rsidR="007904E8" w:rsidRPr="004A34E0" w14:paraId="23D656A1" w14:textId="77777777" w:rsidTr="00963D65">
        <w:trPr>
          <w:trHeight w:val="297"/>
        </w:trPr>
        <w:tc>
          <w:tcPr>
            <w:cnfStyle w:val="001000000000" w:firstRow="0" w:lastRow="0" w:firstColumn="1" w:lastColumn="0" w:oddVBand="0" w:evenVBand="0" w:oddHBand="0" w:evenHBand="0" w:firstRowFirstColumn="0" w:firstRowLastColumn="0" w:lastRowFirstColumn="0" w:lastRowLastColumn="0"/>
            <w:tcW w:w="650" w:type="pct"/>
            <w:vMerge/>
            <w:noWrap/>
          </w:tcPr>
          <w:p w14:paraId="4001CB14" w14:textId="77777777" w:rsidR="007904E8" w:rsidRPr="004A34E0" w:rsidRDefault="007904E8" w:rsidP="00666947">
            <w:pPr>
              <w:pStyle w:val="TableTextLeft"/>
            </w:pPr>
          </w:p>
        </w:tc>
        <w:tc>
          <w:tcPr>
            <w:tcW w:w="1574" w:type="pct"/>
          </w:tcPr>
          <w:p w14:paraId="1FD8A53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Expenditure overnight visits</w:t>
            </w:r>
          </w:p>
        </w:tc>
        <w:tc>
          <w:tcPr>
            <w:tcW w:w="695" w:type="pct"/>
          </w:tcPr>
          <w:p w14:paraId="55471ED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$26</w:t>
            </w:r>
          </w:p>
        </w:tc>
        <w:tc>
          <w:tcPr>
            <w:tcW w:w="833" w:type="pct"/>
          </w:tcPr>
          <w:p w14:paraId="24774BF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$/Visitor</w:t>
            </w:r>
          </w:p>
        </w:tc>
        <w:tc>
          <w:tcPr>
            <w:tcW w:w="567" w:type="pct"/>
          </w:tcPr>
          <w:p w14:paraId="0FA91F9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2016-17</w:t>
            </w:r>
            <w:r w:rsidRPr="004A34E0">
              <w:rPr>
                <w:vertAlign w:val="superscript"/>
              </w:rPr>
              <w:t>a</w:t>
            </w:r>
          </w:p>
        </w:tc>
        <w:tc>
          <w:tcPr>
            <w:tcW w:w="680" w:type="pct"/>
          </w:tcPr>
          <w:p w14:paraId="662E935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ACA (2018)</w:t>
            </w:r>
          </w:p>
        </w:tc>
      </w:tr>
      <w:tr w:rsidR="007904E8" w:rsidRPr="004A34E0" w14:paraId="26455A4B" w14:textId="77777777" w:rsidTr="00963D65">
        <w:trPr>
          <w:trHeight w:val="297"/>
        </w:trPr>
        <w:tc>
          <w:tcPr>
            <w:cnfStyle w:val="001000000000" w:firstRow="0" w:lastRow="0" w:firstColumn="1" w:lastColumn="0" w:oddVBand="0" w:evenVBand="0" w:oddHBand="0" w:evenHBand="0" w:firstRowFirstColumn="0" w:firstRowLastColumn="0" w:lastRowFirstColumn="0" w:lastRowLastColumn="0"/>
            <w:tcW w:w="650" w:type="pct"/>
            <w:vMerge/>
            <w:noWrap/>
          </w:tcPr>
          <w:p w14:paraId="70C62DE9" w14:textId="77777777" w:rsidR="007904E8" w:rsidRPr="004A34E0" w:rsidRDefault="007904E8" w:rsidP="00666947">
            <w:pPr>
              <w:pStyle w:val="TableTextLeft"/>
            </w:pPr>
          </w:p>
        </w:tc>
        <w:tc>
          <w:tcPr>
            <w:tcW w:w="1574" w:type="pct"/>
          </w:tcPr>
          <w:p w14:paraId="7DDC322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Total expenditure overnight visits</w:t>
            </w:r>
          </w:p>
        </w:tc>
        <w:tc>
          <w:tcPr>
            <w:tcW w:w="695" w:type="pct"/>
          </w:tcPr>
          <w:p w14:paraId="037D4C1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$471,955</w:t>
            </w:r>
          </w:p>
        </w:tc>
        <w:tc>
          <w:tcPr>
            <w:tcW w:w="833" w:type="pct"/>
          </w:tcPr>
          <w:p w14:paraId="78DD490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$/year</w:t>
            </w:r>
          </w:p>
        </w:tc>
        <w:tc>
          <w:tcPr>
            <w:tcW w:w="567" w:type="pct"/>
          </w:tcPr>
          <w:p w14:paraId="5C4670B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680" w:type="pct"/>
          </w:tcPr>
          <w:p w14:paraId="1560310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r>
    </w:tbl>
    <w:p w14:paraId="6B11EED1" w14:textId="77777777" w:rsidR="007904E8" w:rsidRPr="004A34E0" w:rsidRDefault="007904E8" w:rsidP="00484CDC">
      <w:pPr>
        <w:pStyle w:val="NoteHeading"/>
      </w:pPr>
      <w:proofErr w:type="spellStart"/>
      <w:r w:rsidRPr="004A34E0">
        <w:rPr>
          <w:vertAlign w:val="superscript"/>
        </w:rPr>
        <w:t>a</w:t>
      </w:r>
      <w:proofErr w:type="spellEnd"/>
      <w:r w:rsidRPr="004A34E0">
        <w:rPr>
          <w:vertAlign w:val="superscript"/>
        </w:rPr>
        <w:t xml:space="preserve"> </w:t>
      </w:r>
      <w:r w:rsidRPr="004A34E0">
        <w:t xml:space="preserve">These figures are representative of the year 2016-17 but are uprated for inflation to be in present value terms for 2021.  </w:t>
      </w:r>
    </w:p>
    <w:p w14:paraId="2A03CB6D" w14:textId="77777777" w:rsidR="007904E8" w:rsidRPr="004A34E0" w:rsidRDefault="007904E8" w:rsidP="007904E8">
      <w:pPr>
        <w:pStyle w:val="BodyText"/>
      </w:pPr>
      <w:r w:rsidRPr="004A34E0">
        <w:t>Regional tourism satellite accounts for 2018-19 (TRA, 2021) for the Great Ocean Road Tourism Region estimate Gross Value Added (GVA) generated from education and training in 2018-19 to be $26.8 million</w:t>
      </w:r>
      <w:r w:rsidRPr="004A34E0">
        <w:rPr>
          <w:vertAlign w:val="superscript"/>
        </w:rPr>
        <w:footnoteReference w:id="68"/>
      </w:r>
      <w:r w:rsidRPr="004A34E0">
        <w:t xml:space="preserve">. The DET data shows that 53 per cent of visits to the GORCAP EEA region in 2019 were to the natural environment (a total of 1,340 registered visits to the GORCAP EEA region and that 714 of these were to the natural environment). This proportion is used to adjust the total education and training GVA in GORCAP </w:t>
      </w:r>
      <w:r w:rsidRPr="004A34E0">
        <w:lastRenderedPageBreak/>
        <w:t xml:space="preserve">region to isolate that which can be attributed specifically to the natural environment. This estimate is then further adjusted for the proportional contribution of ecosystems (i.e., as an input to production) to GVA of 20 per cent. This analysis suggests that the estimated contribution of ecosystems within the GORCAP EEA region to education and training GVA is </w:t>
      </w:r>
      <w:r w:rsidRPr="004A34E0">
        <w:rPr>
          <w:b/>
        </w:rPr>
        <w:t>$2.9 million in 2019</w:t>
      </w:r>
      <w:r w:rsidRPr="004A34E0">
        <w:t>, see Table 42.</w:t>
      </w:r>
    </w:p>
    <w:p w14:paraId="6E9FE60B" w14:textId="77777777" w:rsidR="007904E8" w:rsidRPr="004A34E0" w:rsidRDefault="007904E8" w:rsidP="00484CDC">
      <w:pPr>
        <w:pStyle w:val="Caption"/>
        <w:rPr>
          <w:highlight w:val="yellow"/>
        </w:rPr>
      </w:pPr>
      <w:r w:rsidRPr="004A34E0">
        <w:t>Table 42. Estimated GVA ($, 2021) generated by educational trips to GORCAP EEA region in 2019</w:t>
      </w:r>
    </w:p>
    <w:tbl>
      <w:tblPr>
        <w:tblStyle w:val="TableGrid"/>
        <w:tblW w:w="5000" w:type="pct"/>
        <w:tblLook w:val="04A0" w:firstRow="1" w:lastRow="0" w:firstColumn="1" w:lastColumn="0" w:noHBand="0" w:noVBand="1"/>
      </w:tblPr>
      <w:tblGrid>
        <w:gridCol w:w="1720"/>
        <w:gridCol w:w="4821"/>
        <w:gridCol w:w="1075"/>
        <w:gridCol w:w="944"/>
        <w:gridCol w:w="1078"/>
      </w:tblGrid>
      <w:tr w:rsidR="00963D65" w:rsidRPr="004A34E0" w14:paraId="29942B05" w14:textId="77777777" w:rsidTr="00963D65">
        <w:trPr>
          <w:cnfStyle w:val="100000000000" w:firstRow="1" w:lastRow="0" w:firstColumn="0" w:lastColumn="0" w:oddVBand="0" w:evenVBand="0" w:oddHBand="0"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846" w:type="pct"/>
            <w:noWrap/>
            <w:hideMark/>
          </w:tcPr>
          <w:p w14:paraId="1B311F36" w14:textId="77777777" w:rsidR="007904E8" w:rsidRPr="004A34E0" w:rsidRDefault="007904E8" w:rsidP="00666947">
            <w:pPr>
              <w:pStyle w:val="TableTextLeft"/>
            </w:pPr>
            <w:r w:rsidRPr="004A34E0">
              <w:rPr>
                <w:b/>
              </w:rPr>
              <w:t>Information</w:t>
            </w:r>
          </w:p>
        </w:tc>
        <w:tc>
          <w:tcPr>
            <w:tcW w:w="2373" w:type="pct"/>
          </w:tcPr>
          <w:p w14:paraId="46870CD2"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p>
        </w:tc>
        <w:tc>
          <w:tcPr>
            <w:tcW w:w="616" w:type="pct"/>
          </w:tcPr>
          <w:p w14:paraId="4603A297"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Estimate</w:t>
            </w:r>
          </w:p>
        </w:tc>
        <w:tc>
          <w:tcPr>
            <w:tcW w:w="548" w:type="pct"/>
          </w:tcPr>
          <w:p w14:paraId="14814D94"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Year</w:t>
            </w:r>
          </w:p>
        </w:tc>
        <w:tc>
          <w:tcPr>
            <w:tcW w:w="617" w:type="pct"/>
          </w:tcPr>
          <w:p w14:paraId="3F89EE9F"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rPr>
                <w:b/>
              </w:rPr>
            </w:pPr>
            <w:r w:rsidRPr="004A34E0">
              <w:rPr>
                <w:b/>
              </w:rPr>
              <w:t xml:space="preserve">Source </w:t>
            </w:r>
          </w:p>
        </w:tc>
      </w:tr>
      <w:tr w:rsidR="007904E8" w:rsidRPr="004A34E0" w14:paraId="71DDE24F" w14:textId="77777777" w:rsidTr="00963D65">
        <w:trPr>
          <w:trHeight w:val="295"/>
        </w:trPr>
        <w:tc>
          <w:tcPr>
            <w:cnfStyle w:val="001000000000" w:firstRow="0" w:lastRow="0" w:firstColumn="1" w:lastColumn="0" w:oddVBand="0" w:evenVBand="0" w:oddHBand="0" w:evenHBand="0" w:firstRowFirstColumn="0" w:firstRowLastColumn="0" w:lastRowFirstColumn="0" w:lastRowLastColumn="0"/>
            <w:tcW w:w="3219" w:type="pct"/>
            <w:gridSpan w:val="2"/>
            <w:noWrap/>
          </w:tcPr>
          <w:p w14:paraId="34432FD1" w14:textId="77777777" w:rsidR="007904E8" w:rsidRPr="004A34E0" w:rsidRDefault="007904E8" w:rsidP="00666947">
            <w:pPr>
              <w:pStyle w:val="TableTextLeft"/>
            </w:pPr>
            <w:r w:rsidRPr="004A34E0">
              <w:t xml:space="preserve">Education and training GVA in GORCAP region ($m) </w:t>
            </w:r>
          </w:p>
        </w:tc>
        <w:tc>
          <w:tcPr>
            <w:tcW w:w="616" w:type="pct"/>
          </w:tcPr>
          <w:p w14:paraId="108E25F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$26.8m</w:t>
            </w:r>
          </w:p>
        </w:tc>
        <w:tc>
          <w:tcPr>
            <w:tcW w:w="548" w:type="pct"/>
          </w:tcPr>
          <w:p w14:paraId="385341A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vertAlign w:val="superscript"/>
              </w:rPr>
            </w:pPr>
            <w:r w:rsidRPr="004A34E0">
              <w:t>2018-19</w:t>
            </w:r>
            <w:r w:rsidRPr="004A34E0">
              <w:rPr>
                <w:vertAlign w:val="superscript"/>
              </w:rPr>
              <w:t>a</w:t>
            </w:r>
          </w:p>
        </w:tc>
        <w:tc>
          <w:tcPr>
            <w:tcW w:w="617" w:type="pct"/>
          </w:tcPr>
          <w:p w14:paraId="6D0B9EF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TRA (2021)</w:t>
            </w:r>
          </w:p>
        </w:tc>
      </w:tr>
      <w:tr w:rsidR="007904E8" w:rsidRPr="004A34E0" w14:paraId="7469A641" w14:textId="77777777" w:rsidTr="00963D65">
        <w:trPr>
          <w:trHeight w:val="70"/>
        </w:trPr>
        <w:tc>
          <w:tcPr>
            <w:cnfStyle w:val="001000000000" w:firstRow="0" w:lastRow="0" w:firstColumn="1" w:lastColumn="0" w:oddVBand="0" w:evenVBand="0" w:oddHBand="0" w:evenHBand="0" w:firstRowFirstColumn="0" w:firstRowLastColumn="0" w:lastRowFirstColumn="0" w:lastRowLastColumn="0"/>
            <w:tcW w:w="3219" w:type="pct"/>
            <w:gridSpan w:val="2"/>
            <w:noWrap/>
          </w:tcPr>
          <w:p w14:paraId="683FF1A6" w14:textId="77777777" w:rsidR="007904E8" w:rsidRPr="004A34E0" w:rsidRDefault="007904E8" w:rsidP="00666947">
            <w:pPr>
              <w:pStyle w:val="TableTextLeft"/>
            </w:pPr>
            <w:r w:rsidRPr="004A34E0">
              <w:t>Education and training GVA attributed to natural environment ($m)</w:t>
            </w:r>
          </w:p>
        </w:tc>
        <w:tc>
          <w:tcPr>
            <w:tcW w:w="616" w:type="pct"/>
          </w:tcPr>
          <w:p w14:paraId="78265E5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$14.3m</w:t>
            </w:r>
          </w:p>
        </w:tc>
        <w:tc>
          <w:tcPr>
            <w:tcW w:w="548" w:type="pct"/>
          </w:tcPr>
          <w:p w14:paraId="72FF400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2018-19</w:t>
            </w:r>
            <w:r w:rsidRPr="004A34E0">
              <w:rPr>
                <w:vertAlign w:val="superscript"/>
              </w:rPr>
              <w:t>a</w:t>
            </w:r>
          </w:p>
        </w:tc>
        <w:tc>
          <w:tcPr>
            <w:tcW w:w="617" w:type="pct"/>
          </w:tcPr>
          <w:p w14:paraId="4547F40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r>
      <w:tr w:rsidR="007904E8" w:rsidRPr="004A34E0" w14:paraId="507EE356" w14:textId="77777777" w:rsidTr="00963D65">
        <w:trPr>
          <w:trHeight w:val="295"/>
        </w:trPr>
        <w:tc>
          <w:tcPr>
            <w:cnfStyle w:val="001000000000" w:firstRow="0" w:lastRow="0" w:firstColumn="1" w:lastColumn="0" w:oddVBand="0" w:evenVBand="0" w:oddHBand="0" w:evenHBand="0" w:firstRowFirstColumn="0" w:firstRowLastColumn="0" w:lastRowFirstColumn="0" w:lastRowLastColumn="0"/>
            <w:tcW w:w="3219" w:type="pct"/>
            <w:gridSpan w:val="2"/>
            <w:noWrap/>
          </w:tcPr>
          <w:p w14:paraId="141BF32B" w14:textId="77777777" w:rsidR="007904E8" w:rsidRPr="004A34E0" w:rsidRDefault="007904E8" w:rsidP="00666947">
            <w:pPr>
              <w:pStyle w:val="TableTextLeft"/>
            </w:pPr>
            <w:r w:rsidRPr="004A34E0">
              <w:t>Contribution of natural environment to education and training GVA ($m)</w:t>
            </w:r>
          </w:p>
        </w:tc>
        <w:tc>
          <w:tcPr>
            <w:tcW w:w="616" w:type="pct"/>
          </w:tcPr>
          <w:p w14:paraId="0F4C6D4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$2.9m</w:t>
            </w:r>
          </w:p>
        </w:tc>
        <w:tc>
          <w:tcPr>
            <w:tcW w:w="548" w:type="pct"/>
          </w:tcPr>
          <w:p w14:paraId="0209CAB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2018-19</w:t>
            </w:r>
            <w:r w:rsidRPr="004A34E0">
              <w:rPr>
                <w:vertAlign w:val="superscript"/>
              </w:rPr>
              <w:t>a</w:t>
            </w:r>
          </w:p>
        </w:tc>
        <w:tc>
          <w:tcPr>
            <w:tcW w:w="617" w:type="pct"/>
          </w:tcPr>
          <w:p w14:paraId="4CB17FC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r>
    </w:tbl>
    <w:p w14:paraId="02530AF4" w14:textId="77777777" w:rsidR="007904E8" w:rsidRPr="004A34E0" w:rsidRDefault="007904E8" w:rsidP="00484CDC">
      <w:pPr>
        <w:pStyle w:val="NoteHeading"/>
      </w:pPr>
      <w:proofErr w:type="spellStart"/>
      <w:r w:rsidRPr="004A34E0">
        <w:rPr>
          <w:vertAlign w:val="superscript"/>
        </w:rPr>
        <w:t>a</w:t>
      </w:r>
      <w:proofErr w:type="spellEnd"/>
      <w:r w:rsidRPr="004A34E0">
        <w:t xml:space="preserve"> These figures are representative of the year 2018-19 but are uprated for inflation to be in present value terms for 2021.  </w:t>
      </w:r>
    </w:p>
    <w:p w14:paraId="46D7E597" w14:textId="77777777" w:rsidR="007904E8" w:rsidRPr="004A34E0" w:rsidRDefault="007904E8" w:rsidP="007904E8">
      <w:pPr>
        <w:pStyle w:val="BodyText"/>
      </w:pPr>
      <w:r w:rsidRPr="004A34E0">
        <w:t xml:space="preserve">Table 43 summarises the uncertainty associated with these results and shows that there is high uncertainty associated with the approach taken to estimate a monetary value for educational visits to the GOR. This is because the cost of visits is used to estimate value rather than the true economic value of educational benefits. Also, the GVA estimates relate to the broader Tourism region rather than the GORCAP EEA boundary and an assumption is made that 20 per cent of the GVA value represents the estimate of resource rent (i.e., the contribution of the environment separate from all other inputs). </w:t>
      </w:r>
    </w:p>
    <w:p w14:paraId="638FBF7A" w14:textId="77777777" w:rsidR="007904E8" w:rsidRPr="004A34E0" w:rsidRDefault="007904E8" w:rsidP="00484CDC">
      <w:pPr>
        <w:pStyle w:val="Caption"/>
      </w:pPr>
      <w:r w:rsidRPr="004A34E0">
        <w:t xml:space="preserve">Table 43. Uncertainty assessment - </w:t>
      </w:r>
      <w:r w:rsidRPr="00484CDC">
        <w:t>monetary</w:t>
      </w:r>
      <w:r w:rsidRPr="004A34E0">
        <w:t xml:space="preserve"> value of education </w:t>
      </w:r>
    </w:p>
    <w:tbl>
      <w:tblPr>
        <w:tblStyle w:val="TableGrid"/>
        <w:tblW w:w="5000" w:type="pct"/>
        <w:tblLook w:val="04A0" w:firstRow="1" w:lastRow="0" w:firstColumn="1" w:lastColumn="0" w:noHBand="0" w:noVBand="1"/>
      </w:tblPr>
      <w:tblGrid>
        <w:gridCol w:w="1360"/>
        <w:gridCol w:w="3859"/>
        <w:gridCol w:w="3713"/>
        <w:gridCol w:w="706"/>
      </w:tblGrid>
      <w:tr w:rsidR="00963D65" w:rsidRPr="004A34E0" w14:paraId="0CC7E661" w14:textId="77777777" w:rsidTr="00D30977">
        <w:trPr>
          <w:cnfStyle w:val="100000000000" w:firstRow="1" w:lastRow="0" w:firstColumn="0" w:lastColumn="0" w:oddVBand="0" w:evenVBand="0" w:oddHBand="0"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706" w:type="pct"/>
          </w:tcPr>
          <w:p w14:paraId="63427110" w14:textId="77777777" w:rsidR="007904E8" w:rsidRPr="004A34E0" w:rsidRDefault="007904E8" w:rsidP="00666947">
            <w:pPr>
              <w:pStyle w:val="TableTextLeft"/>
            </w:pPr>
          </w:p>
        </w:tc>
        <w:tc>
          <w:tcPr>
            <w:tcW w:w="3928" w:type="pct"/>
            <w:gridSpan w:val="2"/>
          </w:tcPr>
          <w:p w14:paraId="06F8580B"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Uncertainty in…</w:t>
            </w:r>
          </w:p>
        </w:tc>
        <w:tc>
          <w:tcPr>
            <w:tcW w:w="366" w:type="pct"/>
          </w:tcPr>
          <w:p w14:paraId="005660B0"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rPr>
                <w:b/>
              </w:rPr>
            </w:pPr>
          </w:p>
        </w:tc>
      </w:tr>
      <w:tr w:rsidR="007904E8" w:rsidRPr="004A34E0" w14:paraId="1D834B82" w14:textId="77777777" w:rsidTr="00D30977">
        <w:trPr>
          <w:trHeight w:val="247"/>
        </w:trPr>
        <w:tc>
          <w:tcPr>
            <w:cnfStyle w:val="001000000000" w:firstRow="0" w:lastRow="0" w:firstColumn="1" w:lastColumn="0" w:oddVBand="0" w:evenVBand="0" w:oddHBand="0" w:evenHBand="0" w:firstRowFirstColumn="0" w:firstRowLastColumn="0" w:lastRowFirstColumn="0" w:lastRowLastColumn="0"/>
            <w:tcW w:w="706" w:type="pct"/>
            <w:tcBorders>
              <w:top w:val="nil"/>
            </w:tcBorders>
            <w:shd w:val="clear" w:color="auto" w:fill="004C97" w:themeFill="accent1"/>
          </w:tcPr>
          <w:p w14:paraId="6BDDD1AE" w14:textId="77777777" w:rsidR="007904E8" w:rsidRPr="00484CDC" w:rsidRDefault="007904E8" w:rsidP="00666947">
            <w:pPr>
              <w:pStyle w:val="TableTextLeft"/>
              <w:rPr>
                <w:color w:val="FFFFFF" w:themeColor="background1"/>
              </w:rPr>
            </w:pPr>
          </w:p>
        </w:tc>
        <w:tc>
          <w:tcPr>
            <w:tcW w:w="2002" w:type="pct"/>
            <w:tcBorders>
              <w:top w:val="nil"/>
            </w:tcBorders>
            <w:shd w:val="clear" w:color="auto" w:fill="004C97" w:themeFill="accent1"/>
          </w:tcPr>
          <w:p w14:paraId="37C20281"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484CDC">
              <w:rPr>
                <w:b/>
                <w:color w:val="FFFFFF" w:themeColor="background1"/>
              </w:rPr>
              <w:t xml:space="preserve">Evidence </w:t>
            </w:r>
          </w:p>
        </w:tc>
        <w:tc>
          <w:tcPr>
            <w:tcW w:w="1926" w:type="pct"/>
            <w:tcBorders>
              <w:top w:val="nil"/>
            </w:tcBorders>
            <w:shd w:val="clear" w:color="auto" w:fill="004C97" w:themeFill="accent1"/>
          </w:tcPr>
          <w:p w14:paraId="28E6D4A0"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484CDC">
              <w:rPr>
                <w:b/>
                <w:color w:val="FFFFFF" w:themeColor="background1"/>
              </w:rPr>
              <w:t>Assumptions</w:t>
            </w:r>
          </w:p>
        </w:tc>
        <w:tc>
          <w:tcPr>
            <w:tcW w:w="366" w:type="pct"/>
            <w:tcBorders>
              <w:top w:val="nil"/>
            </w:tcBorders>
            <w:shd w:val="clear" w:color="auto" w:fill="004C97" w:themeFill="accent1"/>
          </w:tcPr>
          <w:p w14:paraId="3A77B5B9"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r w:rsidRPr="00484CDC">
              <w:rPr>
                <w:b/>
                <w:color w:val="FFFFFF" w:themeColor="background1"/>
              </w:rPr>
              <w:t>Total</w:t>
            </w:r>
          </w:p>
        </w:tc>
      </w:tr>
      <w:tr w:rsidR="00963D65" w:rsidRPr="004A34E0" w14:paraId="2B1F66FE" w14:textId="77777777" w:rsidTr="00D30977">
        <w:trPr>
          <w:trHeight w:val="75"/>
        </w:trPr>
        <w:tc>
          <w:tcPr>
            <w:cnfStyle w:val="001000000000" w:firstRow="0" w:lastRow="0" w:firstColumn="1" w:lastColumn="0" w:oddVBand="0" w:evenVBand="0" w:oddHBand="0" w:evenHBand="0" w:firstRowFirstColumn="0" w:firstRowLastColumn="0" w:lastRowFirstColumn="0" w:lastRowLastColumn="0"/>
            <w:tcW w:w="706" w:type="pct"/>
          </w:tcPr>
          <w:p w14:paraId="50F470C6" w14:textId="77777777" w:rsidR="007904E8" w:rsidRPr="004A34E0" w:rsidRDefault="007904E8" w:rsidP="00666947">
            <w:pPr>
              <w:pStyle w:val="TableTextLeft"/>
              <w:rPr>
                <w:b/>
              </w:rPr>
            </w:pPr>
            <w:r w:rsidRPr="004A34E0">
              <w:rPr>
                <w:b/>
              </w:rPr>
              <w:t>Explanation</w:t>
            </w:r>
          </w:p>
        </w:tc>
        <w:tc>
          <w:tcPr>
            <w:tcW w:w="2002" w:type="pct"/>
          </w:tcPr>
          <w:p w14:paraId="4C973EC2" w14:textId="77777777" w:rsidR="007904E8" w:rsidRPr="004A34E0" w:rsidRDefault="007904E8" w:rsidP="000035CB">
            <w:pPr>
              <w:pStyle w:val="ListBullet"/>
              <w:numPr>
                <w:ilvl w:val="0"/>
                <w:numId w:val="26"/>
              </w:numPr>
              <w:cnfStyle w:val="000000000000" w:firstRow="0" w:lastRow="0" w:firstColumn="0" w:lastColumn="0" w:oddVBand="0" w:evenVBand="0" w:oddHBand="0" w:evenHBand="0" w:firstRowFirstColumn="0" w:firstRowLastColumn="0" w:lastRowFirstColumn="0" w:lastRowLastColumn="0"/>
            </w:pPr>
            <w:r w:rsidRPr="004A34E0">
              <w:t xml:space="preserve">The monetary valuation relies on the expenditure from the Australian Camping Association (2018) which is considered robust. </w:t>
            </w:r>
          </w:p>
          <w:p w14:paraId="614F88B8"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There is no estimate of total cost of educational visits including the broader expenditures associated with transport costs, value of teachers in-vehicle travel time or the value of student time. These estimates are therefore considered conservative and there is uncertainty regarding the total expenditure value.</w:t>
            </w:r>
          </w:p>
          <w:p w14:paraId="433CD86E"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Expenditure approaches do not capture the “true economic value of educational benefits” because of a lack of quantitative evidence of the links between outdoor education and benefits</w:t>
            </w:r>
          </w:p>
          <w:p w14:paraId="1047C8C8"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 xml:space="preserve">There is no estimate of GVA for the GORCAP EEA region specifically, only the broader GOR Tourism Region.  </w:t>
            </w:r>
          </w:p>
        </w:tc>
        <w:tc>
          <w:tcPr>
            <w:tcW w:w="1926" w:type="pct"/>
          </w:tcPr>
          <w:p w14:paraId="2CEE6BD0"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Expenditures on educational activities are assumed to provide a lower bound estimate of the value of outdoor education on common economic assumption that if benefits were not perceived to be greater than costs then the activity would not be undertaken in the first place.</w:t>
            </w:r>
          </w:p>
          <w:p w14:paraId="51AAC528"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The GVA estimates assume that average GVA per visitor is generated from visitors to GOR Tourism Region is the same across visits to the natural environment and non-natural environment (as GVA is adjusted on the basis of the proportion of visits to the natural environment).</w:t>
            </w:r>
          </w:p>
          <w:p w14:paraId="1F5A6B05"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An estimated 20 per cent of the GVA value is taken as the estimate of resource rent.</w:t>
            </w:r>
          </w:p>
          <w:p w14:paraId="6AC87056"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The monetary values are presented in 2021 terms, uprating the original estimates for inflation.</w:t>
            </w:r>
          </w:p>
        </w:tc>
        <w:tc>
          <w:tcPr>
            <w:tcW w:w="366" w:type="pct"/>
          </w:tcPr>
          <w:p w14:paraId="268A850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High</w:t>
            </w:r>
          </w:p>
        </w:tc>
      </w:tr>
      <w:tr w:rsidR="007904E8" w:rsidRPr="004A34E0" w14:paraId="607E9D85" w14:textId="77777777" w:rsidTr="00D30977">
        <w:trPr>
          <w:trHeight w:val="194"/>
        </w:trPr>
        <w:tc>
          <w:tcPr>
            <w:cnfStyle w:val="001000000000" w:firstRow="0" w:lastRow="0" w:firstColumn="1" w:lastColumn="0" w:oddVBand="0" w:evenVBand="0" w:oddHBand="0" w:evenHBand="0" w:firstRowFirstColumn="0" w:firstRowLastColumn="0" w:lastRowFirstColumn="0" w:lastRowLastColumn="0"/>
            <w:tcW w:w="706" w:type="pct"/>
            <w:shd w:val="clear" w:color="auto" w:fill="CCDBEA" w:themeFill="background2"/>
          </w:tcPr>
          <w:p w14:paraId="6EBEF03E" w14:textId="77777777" w:rsidR="007904E8" w:rsidRPr="004A34E0" w:rsidRDefault="007904E8" w:rsidP="00666947">
            <w:pPr>
              <w:pStyle w:val="TableTextLeft"/>
              <w:rPr>
                <w:b/>
              </w:rPr>
            </w:pPr>
            <w:r w:rsidRPr="004A34E0">
              <w:rPr>
                <w:b/>
              </w:rPr>
              <w:t xml:space="preserve">Rating </w:t>
            </w:r>
          </w:p>
        </w:tc>
        <w:tc>
          <w:tcPr>
            <w:tcW w:w="2002" w:type="pct"/>
            <w:shd w:val="clear" w:color="auto" w:fill="CCDBEA" w:themeFill="background2"/>
          </w:tcPr>
          <w:p w14:paraId="2E136FC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w:t>
            </w:r>
          </w:p>
        </w:tc>
        <w:tc>
          <w:tcPr>
            <w:tcW w:w="1926" w:type="pct"/>
            <w:shd w:val="clear" w:color="auto" w:fill="CCDBEA" w:themeFill="background2"/>
          </w:tcPr>
          <w:p w14:paraId="3AB4563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w:t>
            </w:r>
          </w:p>
        </w:tc>
        <w:tc>
          <w:tcPr>
            <w:tcW w:w="366" w:type="pct"/>
            <w:shd w:val="clear" w:color="auto" w:fill="CCDBEA" w:themeFill="background2"/>
          </w:tcPr>
          <w:p w14:paraId="335BB6B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9</w:t>
            </w:r>
          </w:p>
        </w:tc>
      </w:tr>
    </w:tbl>
    <w:p w14:paraId="343FDA3B" w14:textId="702A934F" w:rsidR="007904E8" w:rsidRPr="00B6515F" w:rsidRDefault="005C5B78" w:rsidP="00B454DB">
      <w:pPr>
        <w:pStyle w:val="AlphaHeading4"/>
      </w:pPr>
      <w:r>
        <w:br w:type="page"/>
      </w:r>
      <w:r w:rsidR="007904E8" w:rsidRPr="00B6515F">
        <w:lastRenderedPageBreak/>
        <w:t xml:space="preserve">Supply and use </w:t>
      </w:r>
    </w:p>
    <w:p w14:paraId="10A3D0D8" w14:textId="77777777" w:rsidR="007904E8" w:rsidRPr="004A34E0" w:rsidRDefault="007904E8" w:rsidP="007904E8">
      <w:pPr>
        <w:pStyle w:val="BodyText"/>
      </w:pPr>
      <w:r w:rsidRPr="004A34E0">
        <w:t>It is not possible to attribute educational visits to specific ecosystems within the GORCAP EEA region. However, the beneficiaries / users of educational visits are households / society who benefit from the educational experience both directly (learning about the natural environment) and indirectly (i.e., learning skills that support academic competence) as well as life skills, mental health benefits and increased environmental awareness. These values are captured by industry through expenditures and direct GVA (based on the values estimated / the valuation methodology adopted for this EEA)</w:t>
      </w:r>
    </w:p>
    <w:p w14:paraId="778FA5EA" w14:textId="77777777" w:rsidR="007904E8" w:rsidRPr="004A34E0" w:rsidRDefault="007904E8" w:rsidP="00484CDC">
      <w:pPr>
        <w:pStyle w:val="Caption"/>
        <w:rPr>
          <w:rFonts w:eastAsia="Calibri"/>
        </w:rPr>
      </w:pPr>
      <w:r w:rsidRPr="004A34E0">
        <w:rPr>
          <w:rFonts w:eastAsia="Calibri"/>
        </w:rPr>
        <w:t>Table 44. Supply and use table for education from the GORCAP EEA region in 2019</w:t>
      </w:r>
    </w:p>
    <w:tbl>
      <w:tblPr>
        <w:tblStyle w:val="TableGrid"/>
        <w:tblW w:w="5000" w:type="pct"/>
        <w:tblLook w:val="04A0" w:firstRow="1" w:lastRow="0" w:firstColumn="1" w:lastColumn="0" w:noHBand="0" w:noVBand="1"/>
      </w:tblPr>
      <w:tblGrid>
        <w:gridCol w:w="1237"/>
        <w:gridCol w:w="839"/>
        <w:gridCol w:w="1372"/>
        <w:gridCol w:w="1477"/>
        <w:gridCol w:w="1619"/>
        <w:gridCol w:w="1511"/>
        <w:gridCol w:w="1583"/>
      </w:tblGrid>
      <w:tr w:rsidR="00963D65" w:rsidRPr="004A34E0" w14:paraId="5BDF19F5" w14:textId="77777777" w:rsidTr="00963D65">
        <w:trPr>
          <w:cnfStyle w:val="100000000000" w:firstRow="1" w:lastRow="0" w:firstColumn="0" w:lastColumn="0" w:oddVBand="0" w:evenVBand="0" w:oddHBand="0"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642" w:type="pct"/>
          </w:tcPr>
          <w:p w14:paraId="224C4A2A" w14:textId="77777777" w:rsidR="007904E8" w:rsidRPr="004A34E0" w:rsidRDefault="007904E8" w:rsidP="007904E8">
            <w:pPr>
              <w:pStyle w:val="TableTextLeft"/>
              <w:keepNext w:val="0"/>
              <w:rPr>
                <w:rFonts w:eastAsia="Calibri"/>
              </w:rPr>
            </w:pPr>
          </w:p>
        </w:tc>
        <w:tc>
          <w:tcPr>
            <w:tcW w:w="435" w:type="pct"/>
          </w:tcPr>
          <w:p w14:paraId="63C5EFF1"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rPr>
                <w:rFonts w:eastAsia="Calibri"/>
              </w:rPr>
            </w:pPr>
          </w:p>
        </w:tc>
        <w:tc>
          <w:tcPr>
            <w:tcW w:w="712" w:type="pct"/>
          </w:tcPr>
          <w:p w14:paraId="3B92E3B7"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rPr>
                <w:rFonts w:eastAsia="Calibri"/>
              </w:rPr>
            </w:pPr>
            <w:r w:rsidRPr="004A34E0">
              <w:rPr>
                <w:rFonts w:eastAsia="Calibri"/>
                <w:b/>
              </w:rPr>
              <w:t>Metric</w:t>
            </w:r>
          </w:p>
        </w:tc>
        <w:tc>
          <w:tcPr>
            <w:tcW w:w="766" w:type="pct"/>
          </w:tcPr>
          <w:p w14:paraId="0D36C44B"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rPr>
                <w:rFonts w:eastAsia="Calibri"/>
              </w:rPr>
            </w:pPr>
            <w:r w:rsidRPr="004A34E0">
              <w:rPr>
                <w:rFonts w:eastAsia="Calibri"/>
                <w:b/>
              </w:rPr>
              <w:t>Household</w:t>
            </w:r>
          </w:p>
        </w:tc>
        <w:tc>
          <w:tcPr>
            <w:tcW w:w="840" w:type="pct"/>
          </w:tcPr>
          <w:p w14:paraId="09151870"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rPr>
                <w:rFonts w:eastAsia="Calibri"/>
              </w:rPr>
            </w:pPr>
            <w:r w:rsidRPr="004A34E0">
              <w:rPr>
                <w:rFonts w:eastAsia="Calibri"/>
                <w:b/>
              </w:rPr>
              <w:t>Government</w:t>
            </w:r>
          </w:p>
        </w:tc>
        <w:tc>
          <w:tcPr>
            <w:tcW w:w="784" w:type="pct"/>
          </w:tcPr>
          <w:p w14:paraId="09573418"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rPr>
                <w:rFonts w:eastAsia="Calibri"/>
              </w:rPr>
            </w:pPr>
            <w:r w:rsidRPr="004A34E0">
              <w:rPr>
                <w:rFonts w:eastAsia="Calibri"/>
                <w:b/>
              </w:rPr>
              <w:t>Industry</w:t>
            </w:r>
          </w:p>
        </w:tc>
        <w:tc>
          <w:tcPr>
            <w:tcW w:w="822" w:type="pct"/>
          </w:tcPr>
          <w:p w14:paraId="7176210E"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rPr>
                <w:rFonts w:eastAsia="Calibri"/>
                <w:b/>
              </w:rPr>
            </w:pPr>
            <w:r w:rsidRPr="004A34E0">
              <w:rPr>
                <w:rFonts w:eastAsia="Calibri"/>
                <w:b/>
              </w:rPr>
              <w:t>Ecosystem</w:t>
            </w:r>
          </w:p>
        </w:tc>
      </w:tr>
      <w:tr w:rsidR="007904E8" w:rsidRPr="004A34E0" w14:paraId="4FA8350F" w14:textId="77777777" w:rsidTr="00963D65">
        <w:tc>
          <w:tcPr>
            <w:cnfStyle w:val="001000000000" w:firstRow="0" w:lastRow="0" w:firstColumn="1" w:lastColumn="0" w:oddVBand="0" w:evenVBand="0" w:oddHBand="0" w:evenHBand="0" w:firstRowFirstColumn="0" w:firstRowLastColumn="0" w:lastRowFirstColumn="0" w:lastRowLastColumn="0"/>
            <w:tcW w:w="642" w:type="pct"/>
            <w:vMerge w:val="restart"/>
          </w:tcPr>
          <w:p w14:paraId="18F3C038" w14:textId="77777777" w:rsidR="007904E8" w:rsidRPr="004A34E0" w:rsidRDefault="007904E8" w:rsidP="00666947">
            <w:pPr>
              <w:pStyle w:val="TableTextLeft"/>
              <w:rPr>
                <w:rFonts w:eastAsia="Calibri"/>
              </w:rPr>
            </w:pPr>
            <w:r w:rsidRPr="004A34E0">
              <w:rPr>
                <w:rFonts w:eastAsia="Calibri"/>
              </w:rPr>
              <w:t xml:space="preserve">Education </w:t>
            </w:r>
          </w:p>
        </w:tc>
        <w:tc>
          <w:tcPr>
            <w:tcW w:w="435" w:type="pct"/>
          </w:tcPr>
          <w:p w14:paraId="5A21F39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Supply</w:t>
            </w:r>
          </w:p>
        </w:tc>
        <w:tc>
          <w:tcPr>
            <w:tcW w:w="712" w:type="pct"/>
          </w:tcPr>
          <w:p w14:paraId="638BD4F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vertAlign w:val="superscript"/>
              </w:rPr>
            </w:pPr>
            <w:r w:rsidRPr="004A34E0">
              <w:rPr>
                <w:rFonts w:eastAsia="Calibri"/>
              </w:rPr>
              <w:t>Visitors / yr</w:t>
            </w:r>
          </w:p>
        </w:tc>
        <w:tc>
          <w:tcPr>
            <w:tcW w:w="766" w:type="pct"/>
          </w:tcPr>
          <w:p w14:paraId="0676803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840" w:type="pct"/>
          </w:tcPr>
          <w:p w14:paraId="0B20BDE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784" w:type="pct"/>
          </w:tcPr>
          <w:p w14:paraId="02231D0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822" w:type="pct"/>
          </w:tcPr>
          <w:p w14:paraId="181DF0B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32,844</w:t>
            </w:r>
          </w:p>
        </w:tc>
      </w:tr>
      <w:tr w:rsidR="00963D65" w:rsidRPr="004A34E0" w14:paraId="311ED4E9" w14:textId="77777777" w:rsidTr="00963D65">
        <w:tc>
          <w:tcPr>
            <w:cnfStyle w:val="001000000000" w:firstRow="0" w:lastRow="0" w:firstColumn="1" w:lastColumn="0" w:oddVBand="0" w:evenVBand="0" w:oddHBand="0" w:evenHBand="0" w:firstRowFirstColumn="0" w:firstRowLastColumn="0" w:lastRowFirstColumn="0" w:lastRowLastColumn="0"/>
            <w:tcW w:w="642" w:type="pct"/>
            <w:vMerge/>
          </w:tcPr>
          <w:p w14:paraId="0308611C" w14:textId="77777777" w:rsidR="007904E8" w:rsidRPr="004A34E0" w:rsidRDefault="007904E8" w:rsidP="00666947">
            <w:pPr>
              <w:pStyle w:val="TableTextLeft"/>
              <w:rPr>
                <w:rFonts w:eastAsia="Calibri"/>
              </w:rPr>
            </w:pPr>
          </w:p>
        </w:tc>
        <w:tc>
          <w:tcPr>
            <w:tcW w:w="435" w:type="pct"/>
          </w:tcPr>
          <w:p w14:paraId="73822EC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Use</w:t>
            </w:r>
          </w:p>
        </w:tc>
        <w:tc>
          <w:tcPr>
            <w:tcW w:w="712" w:type="pct"/>
          </w:tcPr>
          <w:p w14:paraId="6449B70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Visitors / yr</w:t>
            </w:r>
          </w:p>
        </w:tc>
        <w:tc>
          <w:tcPr>
            <w:tcW w:w="766" w:type="pct"/>
          </w:tcPr>
          <w:p w14:paraId="7AFF689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32,844</w:t>
            </w:r>
          </w:p>
        </w:tc>
        <w:tc>
          <w:tcPr>
            <w:tcW w:w="840" w:type="pct"/>
          </w:tcPr>
          <w:p w14:paraId="335BB1D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w:t>
            </w:r>
          </w:p>
        </w:tc>
        <w:tc>
          <w:tcPr>
            <w:tcW w:w="784" w:type="pct"/>
          </w:tcPr>
          <w:p w14:paraId="5FC3127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w:t>
            </w:r>
          </w:p>
        </w:tc>
        <w:tc>
          <w:tcPr>
            <w:tcW w:w="822" w:type="pct"/>
          </w:tcPr>
          <w:p w14:paraId="59A885B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w:t>
            </w:r>
          </w:p>
        </w:tc>
      </w:tr>
      <w:tr w:rsidR="007904E8" w:rsidRPr="004A34E0" w14:paraId="65C3DCC1" w14:textId="77777777" w:rsidTr="00963D65">
        <w:tc>
          <w:tcPr>
            <w:cnfStyle w:val="001000000000" w:firstRow="0" w:lastRow="0" w:firstColumn="1" w:lastColumn="0" w:oddVBand="0" w:evenVBand="0" w:oddHBand="0" w:evenHBand="0" w:firstRowFirstColumn="0" w:firstRowLastColumn="0" w:lastRowFirstColumn="0" w:lastRowLastColumn="0"/>
            <w:tcW w:w="642" w:type="pct"/>
            <w:vMerge w:val="restart"/>
          </w:tcPr>
          <w:p w14:paraId="06DACC29" w14:textId="77777777" w:rsidR="007904E8" w:rsidRPr="004A34E0" w:rsidRDefault="007904E8" w:rsidP="00666947">
            <w:pPr>
              <w:pStyle w:val="TableTextLeft"/>
              <w:rPr>
                <w:rFonts w:eastAsia="Calibri"/>
              </w:rPr>
            </w:pPr>
            <w:r w:rsidRPr="004A34E0">
              <w:rPr>
                <w:rFonts w:eastAsia="Calibri"/>
              </w:rPr>
              <w:t xml:space="preserve">Education </w:t>
            </w:r>
          </w:p>
        </w:tc>
        <w:tc>
          <w:tcPr>
            <w:tcW w:w="435" w:type="pct"/>
          </w:tcPr>
          <w:p w14:paraId="12D6E86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Supply</w:t>
            </w:r>
          </w:p>
        </w:tc>
        <w:tc>
          <w:tcPr>
            <w:tcW w:w="712" w:type="pct"/>
          </w:tcPr>
          <w:p w14:paraId="599DC6E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 AUD (2021) / yr</w:t>
            </w:r>
          </w:p>
        </w:tc>
        <w:tc>
          <w:tcPr>
            <w:tcW w:w="766" w:type="pct"/>
          </w:tcPr>
          <w:p w14:paraId="14E35FF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840" w:type="pct"/>
          </w:tcPr>
          <w:p w14:paraId="71E5190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784" w:type="pct"/>
          </w:tcPr>
          <w:p w14:paraId="7CFD6E3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822" w:type="pct"/>
          </w:tcPr>
          <w:p w14:paraId="217A240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$0.6m - $2.9m</w:t>
            </w:r>
          </w:p>
        </w:tc>
      </w:tr>
      <w:tr w:rsidR="00963D65" w:rsidRPr="004A34E0" w14:paraId="217FEA85" w14:textId="77777777" w:rsidTr="00963D65">
        <w:tc>
          <w:tcPr>
            <w:cnfStyle w:val="001000000000" w:firstRow="0" w:lastRow="0" w:firstColumn="1" w:lastColumn="0" w:oddVBand="0" w:evenVBand="0" w:oddHBand="0" w:evenHBand="0" w:firstRowFirstColumn="0" w:firstRowLastColumn="0" w:lastRowFirstColumn="0" w:lastRowLastColumn="0"/>
            <w:tcW w:w="642" w:type="pct"/>
            <w:vMerge/>
          </w:tcPr>
          <w:p w14:paraId="25F8C044" w14:textId="77777777" w:rsidR="007904E8" w:rsidRPr="004A34E0" w:rsidRDefault="007904E8" w:rsidP="00666947">
            <w:pPr>
              <w:pStyle w:val="TableTextLeft"/>
              <w:rPr>
                <w:rFonts w:eastAsia="Calibri"/>
              </w:rPr>
            </w:pPr>
          </w:p>
        </w:tc>
        <w:tc>
          <w:tcPr>
            <w:tcW w:w="435" w:type="pct"/>
          </w:tcPr>
          <w:p w14:paraId="52F4B69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Use</w:t>
            </w:r>
          </w:p>
        </w:tc>
        <w:tc>
          <w:tcPr>
            <w:tcW w:w="712" w:type="pct"/>
          </w:tcPr>
          <w:p w14:paraId="110E6A9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 AUD (2021) / yr</w:t>
            </w:r>
          </w:p>
        </w:tc>
        <w:tc>
          <w:tcPr>
            <w:tcW w:w="766" w:type="pct"/>
          </w:tcPr>
          <w:p w14:paraId="711B2C1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w:t>
            </w:r>
          </w:p>
        </w:tc>
        <w:tc>
          <w:tcPr>
            <w:tcW w:w="840" w:type="pct"/>
          </w:tcPr>
          <w:p w14:paraId="3A77726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w:t>
            </w:r>
          </w:p>
        </w:tc>
        <w:tc>
          <w:tcPr>
            <w:tcW w:w="784" w:type="pct"/>
          </w:tcPr>
          <w:p w14:paraId="136BCF2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$0.6m - $2.9m</w:t>
            </w:r>
          </w:p>
        </w:tc>
        <w:tc>
          <w:tcPr>
            <w:tcW w:w="822" w:type="pct"/>
          </w:tcPr>
          <w:p w14:paraId="29F7C65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w:t>
            </w:r>
          </w:p>
        </w:tc>
      </w:tr>
    </w:tbl>
    <w:p w14:paraId="20F1565C" w14:textId="77777777" w:rsidR="007904E8" w:rsidRPr="004A34E0" w:rsidRDefault="007904E8" w:rsidP="007904E8">
      <w:pPr>
        <w:pStyle w:val="Heading3"/>
      </w:pPr>
      <w:bookmarkStart w:id="228" w:name="_Toc98854679"/>
      <w:bookmarkStart w:id="229" w:name="_Toc163547055"/>
      <w:r w:rsidRPr="004A34E0">
        <w:t>Biomass - food</w:t>
      </w:r>
      <w:bookmarkEnd w:id="228"/>
      <w:bookmarkEnd w:id="229"/>
    </w:p>
    <w:p w14:paraId="658AD1E6" w14:textId="77777777" w:rsidR="007904E8" w:rsidRPr="007B2FCE" w:rsidRDefault="007904E8" w:rsidP="000035CB">
      <w:pPr>
        <w:pStyle w:val="AlphaHeading4"/>
        <w:numPr>
          <w:ilvl w:val="0"/>
          <w:numId w:val="67"/>
        </w:numPr>
      </w:pPr>
      <w:r w:rsidRPr="007B2FCE">
        <w:t>Physical provision of biomass – food</w:t>
      </w:r>
    </w:p>
    <w:p w14:paraId="22E7B31A" w14:textId="2DCEA8FD" w:rsidR="000A2646" w:rsidRPr="00AD40F5" w:rsidRDefault="000A2646" w:rsidP="000035CB">
      <w:pPr>
        <w:pStyle w:val="AlphaHeading5"/>
        <w:numPr>
          <w:ilvl w:val="0"/>
          <w:numId w:val="48"/>
        </w:numPr>
        <w:rPr>
          <w:rFonts w:eastAsia="Calibri"/>
        </w:rPr>
      </w:pPr>
      <w:bookmarkStart w:id="230" w:name="_Toc163547056"/>
      <w:r w:rsidRPr="000A2646">
        <w:t>Agriculture</w:t>
      </w:r>
      <w:bookmarkEnd w:id="230"/>
    </w:p>
    <w:p w14:paraId="19A35387" w14:textId="5B942F47" w:rsidR="007904E8" w:rsidRPr="004A34E0" w:rsidRDefault="007904E8" w:rsidP="000035CB">
      <w:pPr>
        <w:pStyle w:val="ListBullet"/>
        <w:numPr>
          <w:ilvl w:val="0"/>
          <w:numId w:val="25"/>
        </w:numPr>
      </w:pPr>
      <w:r w:rsidRPr="004A34E0">
        <w:t>The extent mapping (see Section 4.1.1.) estimated the total farmland area within the GORCAP EEA region is around 27,394 hectares (shown in Figure 31). The estimated annual production of biomass from agriculture is estimated to be as follows, see Table 45:</w:t>
      </w:r>
    </w:p>
    <w:p w14:paraId="29C815E5" w14:textId="77777777" w:rsidR="007904E8" w:rsidRPr="004A34E0" w:rsidRDefault="007904E8" w:rsidP="007904E8">
      <w:pPr>
        <w:pStyle w:val="ListBullet"/>
      </w:pPr>
      <w:r w:rsidRPr="004A34E0">
        <w:rPr>
          <w:b/>
        </w:rPr>
        <w:t>28,230 tonnes of agricultural production</w:t>
      </w:r>
      <w:r w:rsidRPr="004A34E0">
        <w:t>, including 14,465 tonnes of hay and silage, and 13,047 tonnes of broadacre crops.</w:t>
      </w:r>
    </w:p>
    <w:p w14:paraId="7BFCC057" w14:textId="77777777" w:rsidR="007904E8" w:rsidRPr="004A34E0" w:rsidRDefault="007904E8" w:rsidP="007904E8">
      <w:pPr>
        <w:pStyle w:val="ListBullet"/>
      </w:pPr>
      <w:r w:rsidRPr="004A34E0">
        <w:rPr>
          <w:b/>
        </w:rPr>
        <w:t xml:space="preserve">164,151 livestock, </w:t>
      </w:r>
      <w:r w:rsidRPr="004A34E0">
        <w:t xml:space="preserve">including 70,672 meat chickens, 75,466 sheep and lambs, and 17,226 meat and dairy cattle. </w:t>
      </w:r>
    </w:p>
    <w:p w14:paraId="2A6BB4C1" w14:textId="77777777" w:rsidR="007904E8" w:rsidRPr="004A34E0" w:rsidRDefault="007904E8" w:rsidP="00270081">
      <w:pPr>
        <w:pStyle w:val="Caption"/>
      </w:pPr>
      <w:r w:rsidRPr="004A34E0">
        <w:t>Table 45. Estimated annual agricultural production in GORCAP EEA region in 2019-20</w:t>
      </w:r>
    </w:p>
    <w:tbl>
      <w:tblPr>
        <w:tblStyle w:val="TableGrid"/>
        <w:tblW w:w="5000" w:type="pct"/>
        <w:tblLook w:val="04A0" w:firstRow="1" w:lastRow="0" w:firstColumn="1" w:lastColumn="0" w:noHBand="0" w:noVBand="1"/>
      </w:tblPr>
      <w:tblGrid>
        <w:gridCol w:w="2535"/>
        <w:gridCol w:w="1675"/>
        <w:gridCol w:w="1764"/>
        <w:gridCol w:w="1931"/>
        <w:gridCol w:w="1733"/>
      </w:tblGrid>
      <w:tr w:rsidR="007904E8" w:rsidRPr="004A34E0" w14:paraId="311F3C54" w14:textId="77777777" w:rsidTr="00963D65">
        <w:trPr>
          <w:cnfStyle w:val="100000000000" w:firstRow="1" w:lastRow="0" w:firstColumn="0" w:lastColumn="0" w:oddVBand="0" w:evenVBand="0" w:oddHBand="0" w:evenHBand="0" w:firstRowFirstColumn="0" w:firstRowLastColumn="0" w:lastRowFirstColumn="0" w:lastRowLastColumn="0"/>
          <w:trHeight w:val="371"/>
          <w:tblHeader/>
        </w:trPr>
        <w:tc>
          <w:tcPr>
            <w:cnfStyle w:val="001000000000" w:firstRow="0" w:lastRow="0" w:firstColumn="1" w:lastColumn="0" w:oddVBand="0" w:evenVBand="0" w:oddHBand="0" w:evenHBand="0" w:firstRowFirstColumn="0" w:firstRowLastColumn="0" w:lastRowFirstColumn="0" w:lastRowLastColumn="0"/>
            <w:tcW w:w="1315" w:type="pct"/>
          </w:tcPr>
          <w:p w14:paraId="49A057DE" w14:textId="77777777" w:rsidR="007904E8" w:rsidRPr="004A34E0" w:rsidRDefault="007904E8" w:rsidP="007904E8">
            <w:pPr>
              <w:pStyle w:val="TableTextLeft"/>
              <w:keepNext w:val="0"/>
            </w:pPr>
            <w:r w:rsidRPr="004A34E0">
              <w:rPr>
                <w:b/>
              </w:rPr>
              <w:t>Agricultural produce</w:t>
            </w:r>
          </w:p>
        </w:tc>
        <w:tc>
          <w:tcPr>
            <w:tcW w:w="869" w:type="pct"/>
          </w:tcPr>
          <w:p w14:paraId="2757AF73"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pPr>
            <w:r w:rsidRPr="004A34E0">
              <w:rPr>
                <w:b/>
              </w:rPr>
              <w:t>Metric</w:t>
            </w:r>
          </w:p>
        </w:tc>
        <w:tc>
          <w:tcPr>
            <w:tcW w:w="915" w:type="pct"/>
          </w:tcPr>
          <w:p w14:paraId="69F29EE0"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pPr>
            <w:r w:rsidRPr="004A34E0">
              <w:rPr>
                <w:b/>
              </w:rPr>
              <w:t>Geelong</w:t>
            </w:r>
          </w:p>
        </w:tc>
        <w:tc>
          <w:tcPr>
            <w:tcW w:w="1002" w:type="pct"/>
          </w:tcPr>
          <w:p w14:paraId="1BC5D7E3"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pPr>
            <w:r w:rsidRPr="004A34E0">
              <w:rPr>
                <w:b/>
              </w:rPr>
              <w:t>Warrnambool and South-West</w:t>
            </w:r>
          </w:p>
        </w:tc>
        <w:tc>
          <w:tcPr>
            <w:tcW w:w="900" w:type="pct"/>
          </w:tcPr>
          <w:p w14:paraId="0FF7D125"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rPr>
                <w:b/>
              </w:rPr>
            </w:pPr>
            <w:r w:rsidRPr="004A34E0">
              <w:rPr>
                <w:b/>
              </w:rPr>
              <w:t>Total GORCAP region</w:t>
            </w:r>
          </w:p>
        </w:tc>
      </w:tr>
      <w:tr w:rsidR="007904E8" w:rsidRPr="004A34E0" w14:paraId="2B64A419" w14:textId="77777777" w:rsidTr="00963D65">
        <w:trPr>
          <w:trHeight w:val="165"/>
        </w:trPr>
        <w:tc>
          <w:tcPr>
            <w:cnfStyle w:val="001000000000" w:firstRow="0" w:lastRow="0" w:firstColumn="1" w:lastColumn="0" w:oddVBand="0" w:evenVBand="0" w:oddHBand="0" w:evenHBand="0" w:firstRowFirstColumn="0" w:firstRowLastColumn="0" w:lastRowFirstColumn="0" w:lastRowLastColumn="0"/>
            <w:tcW w:w="1315" w:type="pct"/>
          </w:tcPr>
          <w:p w14:paraId="165A2BB9" w14:textId="77777777" w:rsidR="007904E8" w:rsidRPr="004A34E0" w:rsidRDefault="007904E8" w:rsidP="00666947">
            <w:pPr>
              <w:pStyle w:val="TableTextLeft"/>
            </w:pPr>
            <w:r w:rsidRPr="004A34E0">
              <w:t>Broadacre crops</w:t>
            </w:r>
          </w:p>
        </w:tc>
        <w:tc>
          <w:tcPr>
            <w:tcW w:w="869" w:type="pct"/>
          </w:tcPr>
          <w:p w14:paraId="1C4C1D7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Tonnes</w:t>
            </w:r>
          </w:p>
        </w:tc>
        <w:tc>
          <w:tcPr>
            <w:tcW w:w="915" w:type="pct"/>
          </w:tcPr>
          <w:p w14:paraId="2F124B9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3,223</w:t>
            </w:r>
          </w:p>
        </w:tc>
        <w:tc>
          <w:tcPr>
            <w:tcW w:w="1002" w:type="pct"/>
          </w:tcPr>
          <w:p w14:paraId="6BEAF45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9,824</w:t>
            </w:r>
          </w:p>
        </w:tc>
        <w:tc>
          <w:tcPr>
            <w:tcW w:w="900" w:type="pct"/>
          </w:tcPr>
          <w:p w14:paraId="2FAD6E1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13,047</w:t>
            </w:r>
          </w:p>
        </w:tc>
      </w:tr>
      <w:tr w:rsidR="007904E8" w:rsidRPr="004A34E0" w14:paraId="75717039" w14:textId="77777777" w:rsidTr="00963D65">
        <w:trPr>
          <w:trHeight w:val="75"/>
        </w:trPr>
        <w:tc>
          <w:tcPr>
            <w:cnfStyle w:val="001000000000" w:firstRow="0" w:lastRow="0" w:firstColumn="1" w:lastColumn="0" w:oddVBand="0" w:evenVBand="0" w:oddHBand="0" w:evenHBand="0" w:firstRowFirstColumn="0" w:firstRowLastColumn="0" w:lastRowFirstColumn="0" w:lastRowLastColumn="0"/>
            <w:tcW w:w="1315" w:type="pct"/>
          </w:tcPr>
          <w:p w14:paraId="4EF81AB7" w14:textId="77777777" w:rsidR="007904E8" w:rsidRPr="004A34E0" w:rsidRDefault="007904E8" w:rsidP="00666947">
            <w:pPr>
              <w:pStyle w:val="TableTextLeft"/>
            </w:pPr>
            <w:r w:rsidRPr="004A34E0">
              <w:t>Fruit and nuts</w:t>
            </w:r>
          </w:p>
        </w:tc>
        <w:tc>
          <w:tcPr>
            <w:tcW w:w="869" w:type="pct"/>
          </w:tcPr>
          <w:p w14:paraId="1F25AAD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Tonnes</w:t>
            </w:r>
          </w:p>
        </w:tc>
        <w:tc>
          <w:tcPr>
            <w:tcW w:w="915" w:type="pct"/>
          </w:tcPr>
          <w:p w14:paraId="03178AB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w:t>
            </w:r>
          </w:p>
        </w:tc>
        <w:tc>
          <w:tcPr>
            <w:tcW w:w="1002" w:type="pct"/>
          </w:tcPr>
          <w:p w14:paraId="39325AF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10</w:t>
            </w:r>
          </w:p>
        </w:tc>
        <w:tc>
          <w:tcPr>
            <w:tcW w:w="900" w:type="pct"/>
          </w:tcPr>
          <w:p w14:paraId="5BD780B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11</w:t>
            </w:r>
          </w:p>
        </w:tc>
      </w:tr>
      <w:tr w:rsidR="007904E8" w:rsidRPr="004A34E0" w14:paraId="102A6C28" w14:textId="77777777" w:rsidTr="00963D65">
        <w:trPr>
          <w:trHeight w:val="75"/>
        </w:trPr>
        <w:tc>
          <w:tcPr>
            <w:cnfStyle w:val="001000000000" w:firstRow="0" w:lastRow="0" w:firstColumn="1" w:lastColumn="0" w:oddVBand="0" w:evenVBand="0" w:oddHBand="0" w:evenHBand="0" w:firstRowFirstColumn="0" w:firstRowLastColumn="0" w:lastRowFirstColumn="0" w:lastRowLastColumn="0"/>
            <w:tcW w:w="1315" w:type="pct"/>
          </w:tcPr>
          <w:p w14:paraId="1BEB3E0F" w14:textId="77777777" w:rsidR="007904E8" w:rsidRPr="004A34E0" w:rsidRDefault="007904E8" w:rsidP="00666947">
            <w:pPr>
              <w:pStyle w:val="TableTextLeft"/>
            </w:pPr>
            <w:r w:rsidRPr="004A34E0">
              <w:t>Grapes – Wine production</w:t>
            </w:r>
          </w:p>
        </w:tc>
        <w:tc>
          <w:tcPr>
            <w:tcW w:w="869" w:type="pct"/>
          </w:tcPr>
          <w:p w14:paraId="2AB888F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Tonnes</w:t>
            </w:r>
          </w:p>
        </w:tc>
        <w:tc>
          <w:tcPr>
            <w:tcW w:w="915" w:type="pct"/>
          </w:tcPr>
          <w:p w14:paraId="046B121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10</w:t>
            </w:r>
          </w:p>
        </w:tc>
        <w:tc>
          <w:tcPr>
            <w:tcW w:w="1002" w:type="pct"/>
          </w:tcPr>
          <w:p w14:paraId="1AA1FC8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15</w:t>
            </w:r>
          </w:p>
        </w:tc>
        <w:tc>
          <w:tcPr>
            <w:tcW w:w="900" w:type="pct"/>
          </w:tcPr>
          <w:p w14:paraId="5362CB9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25</w:t>
            </w:r>
          </w:p>
        </w:tc>
      </w:tr>
      <w:tr w:rsidR="007904E8" w:rsidRPr="004A34E0" w14:paraId="79BD223A" w14:textId="77777777" w:rsidTr="00963D65">
        <w:trPr>
          <w:trHeight w:val="119"/>
        </w:trPr>
        <w:tc>
          <w:tcPr>
            <w:cnfStyle w:val="001000000000" w:firstRow="0" w:lastRow="0" w:firstColumn="1" w:lastColumn="0" w:oddVBand="0" w:evenVBand="0" w:oddHBand="0" w:evenHBand="0" w:firstRowFirstColumn="0" w:firstRowLastColumn="0" w:lastRowFirstColumn="0" w:lastRowLastColumn="0"/>
            <w:tcW w:w="1315" w:type="pct"/>
          </w:tcPr>
          <w:p w14:paraId="4683E265" w14:textId="77777777" w:rsidR="007904E8" w:rsidRPr="004A34E0" w:rsidRDefault="007904E8" w:rsidP="00666947">
            <w:pPr>
              <w:pStyle w:val="TableTextLeft"/>
            </w:pPr>
            <w:r w:rsidRPr="004A34E0">
              <w:t>Vegetables</w:t>
            </w:r>
          </w:p>
        </w:tc>
        <w:tc>
          <w:tcPr>
            <w:tcW w:w="869" w:type="pct"/>
          </w:tcPr>
          <w:p w14:paraId="4C91087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Tonnes</w:t>
            </w:r>
          </w:p>
        </w:tc>
        <w:tc>
          <w:tcPr>
            <w:tcW w:w="915" w:type="pct"/>
          </w:tcPr>
          <w:p w14:paraId="72FDC96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54</w:t>
            </w:r>
          </w:p>
        </w:tc>
        <w:tc>
          <w:tcPr>
            <w:tcW w:w="1002" w:type="pct"/>
          </w:tcPr>
          <w:p w14:paraId="0D23E23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628</w:t>
            </w:r>
          </w:p>
        </w:tc>
        <w:tc>
          <w:tcPr>
            <w:tcW w:w="900" w:type="pct"/>
          </w:tcPr>
          <w:p w14:paraId="34AA063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682</w:t>
            </w:r>
          </w:p>
        </w:tc>
      </w:tr>
      <w:tr w:rsidR="007904E8" w:rsidRPr="004A34E0" w14:paraId="1D43C7C2" w14:textId="77777777" w:rsidTr="00484CDC">
        <w:trPr>
          <w:trHeight w:val="75"/>
        </w:trPr>
        <w:tc>
          <w:tcPr>
            <w:cnfStyle w:val="001000000000" w:firstRow="0" w:lastRow="0" w:firstColumn="1" w:lastColumn="0" w:oddVBand="0" w:evenVBand="0" w:oddHBand="0" w:evenHBand="0" w:firstRowFirstColumn="0" w:firstRowLastColumn="0" w:lastRowFirstColumn="0" w:lastRowLastColumn="0"/>
            <w:tcW w:w="1315" w:type="pct"/>
            <w:shd w:val="clear" w:color="auto" w:fill="201547" w:themeFill="text2"/>
          </w:tcPr>
          <w:p w14:paraId="67D6F863" w14:textId="77777777" w:rsidR="007904E8" w:rsidRPr="004A34E0" w:rsidRDefault="007904E8" w:rsidP="00666947">
            <w:pPr>
              <w:pStyle w:val="TableTextLeft"/>
              <w:rPr>
                <w:i/>
              </w:rPr>
            </w:pPr>
            <w:r w:rsidRPr="004A34E0">
              <w:rPr>
                <w:i/>
              </w:rPr>
              <w:t>Livestock products</w:t>
            </w:r>
          </w:p>
        </w:tc>
        <w:tc>
          <w:tcPr>
            <w:tcW w:w="869" w:type="pct"/>
            <w:shd w:val="clear" w:color="auto" w:fill="201547" w:themeFill="text2"/>
          </w:tcPr>
          <w:p w14:paraId="3D03EEC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915" w:type="pct"/>
            <w:shd w:val="clear" w:color="auto" w:fill="201547" w:themeFill="text2"/>
          </w:tcPr>
          <w:p w14:paraId="5AEBB84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002" w:type="pct"/>
            <w:shd w:val="clear" w:color="auto" w:fill="201547" w:themeFill="text2"/>
          </w:tcPr>
          <w:p w14:paraId="20089AC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900" w:type="pct"/>
            <w:shd w:val="clear" w:color="auto" w:fill="201547" w:themeFill="text2"/>
          </w:tcPr>
          <w:p w14:paraId="0525FC1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7E759385" w14:textId="77777777" w:rsidTr="00963D65">
        <w:trPr>
          <w:trHeight w:val="211"/>
        </w:trPr>
        <w:tc>
          <w:tcPr>
            <w:cnfStyle w:val="001000000000" w:firstRow="0" w:lastRow="0" w:firstColumn="1" w:lastColumn="0" w:oddVBand="0" w:evenVBand="0" w:oddHBand="0" w:evenHBand="0" w:firstRowFirstColumn="0" w:firstRowLastColumn="0" w:lastRowFirstColumn="0" w:lastRowLastColumn="0"/>
            <w:tcW w:w="1315" w:type="pct"/>
          </w:tcPr>
          <w:p w14:paraId="4C531E10" w14:textId="77777777" w:rsidR="007904E8" w:rsidRPr="004A34E0" w:rsidRDefault="007904E8" w:rsidP="007904E8">
            <w:pPr>
              <w:pStyle w:val="ListBullet"/>
              <w:spacing w:before="120" w:after="120"/>
            </w:pPr>
            <w:r w:rsidRPr="004A34E0">
              <w:t>Milk (dairy cattle)</w:t>
            </w:r>
          </w:p>
        </w:tc>
        <w:tc>
          <w:tcPr>
            <w:tcW w:w="869" w:type="pct"/>
          </w:tcPr>
          <w:p w14:paraId="2BB53BA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Livestock</w:t>
            </w:r>
          </w:p>
        </w:tc>
        <w:tc>
          <w:tcPr>
            <w:tcW w:w="915" w:type="pct"/>
          </w:tcPr>
          <w:p w14:paraId="62BF635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30</w:t>
            </w:r>
          </w:p>
        </w:tc>
        <w:tc>
          <w:tcPr>
            <w:tcW w:w="1002" w:type="pct"/>
          </w:tcPr>
          <w:p w14:paraId="635203D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7,878</w:t>
            </w:r>
          </w:p>
        </w:tc>
        <w:tc>
          <w:tcPr>
            <w:tcW w:w="900" w:type="pct"/>
          </w:tcPr>
          <w:p w14:paraId="5C6A8B7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7,908</w:t>
            </w:r>
          </w:p>
        </w:tc>
      </w:tr>
      <w:tr w:rsidR="007904E8" w:rsidRPr="004A34E0" w14:paraId="0119C958" w14:textId="77777777" w:rsidTr="00963D65">
        <w:trPr>
          <w:trHeight w:val="117"/>
        </w:trPr>
        <w:tc>
          <w:tcPr>
            <w:cnfStyle w:val="001000000000" w:firstRow="0" w:lastRow="0" w:firstColumn="1" w:lastColumn="0" w:oddVBand="0" w:evenVBand="0" w:oddHBand="0" w:evenHBand="0" w:firstRowFirstColumn="0" w:firstRowLastColumn="0" w:lastRowFirstColumn="0" w:lastRowLastColumn="0"/>
            <w:tcW w:w="1315" w:type="pct"/>
          </w:tcPr>
          <w:p w14:paraId="7FA94B1A" w14:textId="77777777" w:rsidR="007904E8" w:rsidRPr="004A34E0" w:rsidRDefault="007904E8" w:rsidP="007904E8">
            <w:pPr>
              <w:pStyle w:val="ListBullet"/>
              <w:spacing w:before="120" w:after="120"/>
            </w:pPr>
            <w:r w:rsidRPr="004A34E0">
              <w:t>Eggs (dozens)</w:t>
            </w:r>
          </w:p>
        </w:tc>
        <w:tc>
          <w:tcPr>
            <w:tcW w:w="869" w:type="pct"/>
          </w:tcPr>
          <w:p w14:paraId="1CB312F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Egg dozens</w:t>
            </w:r>
          </w:p>
        </w:tc>
        <w:tc>
          <w:tcPr>
            <w:tcW w:w="915" w:type="pct"/>
          </w:tcPr>
          <w:p w14:paraId="1CEB649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146,808</w:t>
            </w:r>
          </w:p>
        </w:tc>
        <w:tc>
          <w:tcPr>
            <w:tcW w:w="1002" w:type="pct"/>
          </w:tcPr>
          <w:p w14:paraId="0D7E22E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3,917</w:t>
            </w:r>
          </w:p>
        </w:tc>
        <w:tc>
          <w:tcPr>
            <w:tcW w:w="900" w:type="pct"/>
          </w:tcPr>
          <w:p w14:paraId="3B0D1CE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150,725</w:t>
            </w:r>
          </w:p>
        </w:tc>
      </w:tr>
      <w:tr w:rsidR="007904E8" w:rsidRPr="004A34E0" w14:paraId="139892FA" w14:textId="77777777" w:rsidTr="00484CDC">
        <w:trPr>
          <w:trHeight w:val="119"/>
        </w:trPr>
        <w:tc>
          <w:tcPr>
            <w:cnfStyle w:val="001000000000" w:firstRow="0" w:lastRow="0" w:firstColumn="1" w:lastColumn="0" w:oddVBand="0" w:evenVBand="0" w:oddHBand="0" w:evenHBand="0" w:firstRowFirstColumn="0" w:firstRowLastColumn="0" w:lastRowFirstColumn="0" w:lastRowLastColumn="0"/>
            <w:tcW w:w="1315" w:type="pct"/>
            <w:shd w:val="clear" w:color="auto" w:fill="201547" w:themeFill="text2"/>
          </w:tcPr>
          <w:p w14:paraId="554DF422" w14:textId="77777777" w:rsidR="007904E8" w:rsidRPr="004A34E0" w:rsidRDefault="007904E8" w:rsidP="00666947">
            <w:pPr>
              <w:pStyle w:val="TableTextLeft"/>
              <w:rPr>
                <w:i/>
              </w:rPr>
            </w:pPr>
            <w:r w:rsidRPr="004A34E0">
              <w:rPr>
                <w:i/>
              </w:rPr>
              <w:t>Livestock slaughtered</w:t>
            </w:r>
          </w:p>
        </w:tc>
        <w:tc>
          <w:tcPr>
            <w:tcW w:w="869" w:type="pct"/>
            <w:shd w:val="clear" w:color="auto" w:fill="201547" w:themeFill="text2"/>
          </w:tcPr>
          <w:p w14:paraId="2A9B9AE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915" w:type="pct"/>
            <w:shd w:val="clear" w:color="auto" w:fill="201547" w:themeFill="text2"/>
          </w:tcPr>
          <w:p w14:paraId="2E92CAC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002" w:type="pct"/>
            <w:shd w:val="clear" w:color="auto" w:fill="201547" w:themeFill="text2"/>
          </w:tcPr>
          <w:p w14:paraId="507A81A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900" w:type="pct"/>
            <w:shd w:val="clear" w:color="auto" w:fill="201547" w:themeFill="text2"/>
          </w:tcPr>
          <w:p w14:paraId="06CD789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4E1C8410" w14:textId="77777777" w:rsidTr="00963D65">
        <w:trPr>
          <w:trHeight w:val="293"/>
        </w:trPr>
        <w:tc>
          <w:tcPr>
            <w:cnfStyle w:val="001000000000" w:firstRow="0" w:lastRow="0" w:firstColumn="1" w:lastColumn="0" w:oddVBand="0" w:evenVBand="0" w:oddHBand="0" w:evenHBand="0" w:firstRowFirstColumn="0" w:firstRowLastColumn="0" w:lastRowFirstColumn="0" w:lastRowLastColumn="0"/>
            <w:tcW w:w="1315" w:type="pct"/>
          </w:tcPr>
          <w:p w14:paraId="5F4B2AEE" w14:textId="77777777" w:rsidR="007904E8" w:rsidRPr="004A34E0" w:rsidRDefault="007904E8" w:rsidP="007904E8">
            <w:pPr>
              <w:pStyle w:val="ListBullet"/>
              <w:spacing w:before="120" w:after="120"/>
            </w:pPr>
            <w:r w:rsidRPr="004A34E0">
              <w:t>Sheep and lambs</w:t>
            </w:r>
          </w:p>
        </w:tc>
        <w:tc>
          <w:tcPr>
            <w:tcW w:w="869" w:type="pct"/>
          </w:tcPr>
          <w:p w14:paraId="61BAC97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Livestock</w:t>
            </w:r>
          </w:p>
        </w:tc>
        <w:tc>
          <w:tcPr>
            <w:tcW w:w="915" w:type="pct"/>
          </w:tcPr>
          <w:p w14:paraId="55CF043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9,230</w:t>
            </w:r>
          </w:p>
        </w:tc>
        <w:tc>
          <w:tcPr>
            <w:tcW w:w="1002" w:type="pct"/>
          </w:tcPr>
          <w:p w14:paraId="01E177B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66,235</w:t>
            </w:r>
          </w:p>
        </w:tc>
        <w:tc>
          <w:tcPr>
            <w:tcW w:w="900" w:type="pct"/>
          </w:tcPr>
          <w:p w14:paraId="41BB6B9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75,466</w:t>
            </w:r>
          </w:p>
        </w:tc>
      </w:tr>
      <w:tr w:rsidR="007904E8" w:rsidRPr="004A34E0" w14:paraId="46408DF4" w14:textId="77777777" w:rsidTr="00963D65">
        <w:trPr>
          <w:trHeight w:val="103"/>
        </w:trPr>
        <w:tc>
          <w:tcPr>
            <w:cnfStyle w:val="001000000000" w:firstRow="0" w:lastRow="0" w:firstColumn="1" w:lastColumn="0" w:oddVBand="0" w:evenVBand="0" w:oddHBand="0" w:evenHBand="0" w:firstRowFirstColumn="0" w:firstRowLastColumn="0" w:lastRowFirstColumn="0" w:lastRowLastColumn="0"/>
            <w:tcW w:w="1315" w:type="pct"/>
          </w:tcPr>
          <w:p w14:paraId="3703275D" w14:textId="77777777" w:rsidR="007904E8" w:rsidRPr="004A34E0" w:rsidRDefault="007904E8" w:rsidP="007904E8">
            <w:pPr>
              <w:pStyle w:val="ListBullet"/>
              <w:spacing w:before="120" w:after="120"/>
              <w:rPr>
                <w:i/>
              </w:rPr>
            </w:pPr>
            <w:r w:rsidRPr="004A34E0">
              <w:t>Cattle and calves</w:t>
            </w:r>
          </w:p>
        </w:tc>
        <w:tc>
          <w:tcPr>
            <w:tcW w:w="869" w:type="pct"/>
          </w:tcPr>
          <w:p w14:paraId="0F09F48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Livestock</w:t>
            </w:r>
          </w:p>
        </w:tc>
        <w:tc>
          <w:tcPr>
            <w:tcW w:w="915" w:type="pct"/>
          </w:tcPr>
          <w:p w14:paraId="0BF78FE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588</w:t>
            </w:r>
          </w:p>
        </w:tc>
        <w:tc>
          <w:tcPr>
            <w:tcW w:w="1002" w:type="pct"/>
          </w:tcPr>
          <w:p w14:paraId="3359549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8,729</w:t>
            </w:r>
          </w:p>
        </w:tc>
        <w:tc>
          <w:tcPr>
            <w:tcW w:w="900" w:type="pct"/>
          </w:tcPr>
          <w:p w14:paraId="050FB28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9,317</w:t>
            </w:r>
          </w:p>
        </w:tc>
      </w:tr>
      <w:tr w:rsidR="007904E8" w:rsidRPr="004A34E0" w14:paraId="72B92774" w14:textId="77777777" w:rsidTr="00963D65">
        <w:trPr>
          <w:trHeight w:val="135"/>
        </w:trPr>
        <w:tc>
          <w:tcPr>
            <w:cnfStyle w:val="001000000000" w:firstRow="0" w:lastRow="0" w:firstColumn="1" w:lastColumn="0" w:oddVBand="0" w:evenVBand="0" w:oddHBand="0" w:evenHBand="0" w:firstRowFirstColumn="0" w:firstRowLastColumn="0" w:lastRowFirstColumn="0" w:lastRowLastColumn="0"/>
            <w:tcW w:w="1315" w:type="pct"/>
          </w:tcPr>
          <w:p w14:paraId="3592AA39" w14:textId="77777777" w:rsidR="007904E8" w:rsidRPr="004A34E0" w:rsidRDefault="007904E8" w:rsidP="007904E8">
            <w:pPr>
              <w:pStyle w:val="ListBullet"/>
              <w:spacing w:before="120" w:after="120"/>
            </w:pPr>
            <w:r w:rsidRPr="004A34E0">
              <w:lastRenderedPageBreak/>
              <w:t>Pigs</w:t>
            </w:r>
          </w:p>
        </w:tc>
        <w:tc>
          <w:tcPr>
            <w:tcW w:w="869" w:type="pct"/>
          </w:tcPr>
          <w:p w14:paraId="56992BB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Livestock</w:t>
            </w:r>
          </w:p>
        </w:tc>
        <w:tc>
          <w:tcPr>
            <w:tcW w:w="915" w:type="pct"/>
          </w:tcPr>
          <w:p w14:paraId="4D2EF19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551</w:t>
            </w:r>
          </w:p>
        </w:tc>
        <w:tc>
          <w:tcPr>
            <w:tcW w:w="1002" w:type="pct"/>
          </w:tcPr>
          <w:p w14:paraId="1CF7B74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32</w:t>
            </w:r>
          </w:p>
        </w:tc>
        <w:tc>
          <w:tcPr>
            <w:tcW w:w="900" w:type="pct"/>
          </w:tcPr>
          <w:p w14:paraId="663DFA5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584</w:t>
            </w:r>
          </w:p>
        </w:tc>
      </w:tr>
      <w:tr w:rsidR="007904E8" w:rsidRPr="004A34E0" w14:paraId="4FA2D30D" w14:textId="77777777" w:rsidTr="00963D65">
        <w:trPr>
          <w:trHeight w:val="153"/>
        </w:trPr>
        <w:tc>
          <w:tcPr>
            <w:cnfStyle w:val="001000000000" w:firstRow="0" w:lastRow="0" w:firstColumn="1" w:lastColumn="0" w:oddVBand="0" w:evenVBand="0" w:oddHBand="0" w:evenHBand="0" w:firstRowFirstColumn="0" w:firstRowLastColumn="0" w:lastRowFirstColumn="0" w:lastRowLastColumn="0"/>
            <w:tcW w:w="1315" w:type="pct"/>
          </w:tcPr>
          <w:p w14:paraId="442B7D29" w14:textId="77777777" w:rsidR="007904E8" w:rsidRPr="004A34E0" w:rsidRDefault="007904E8" w:rsidP="007904E8">
            <w:pPr>
              <w:pStyle w:val="ListBullet"/>
              <w:spacing w:before="120" w:after="120"/>
            </w:pPr>
            <w:r w:rsidRPr="004A34E0">
              <w:t>Poultry</w:t>
            </w:r>
          </w:p>
        </w:tc>
        <w:tc>
          <w:tcPr>
            <w:tcW w:w="869" w:type="pct"/>
          </w:tcPr>
          <w:p w14:paraId="536D56A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Livestock</w:t>
            </w:r>
          </w:p>
        </w:tc>
        <w:tc>
          <w:tcPr>
            <w:tcW w:w="915" w:type="pct"/>
          </w:tcPr>
          <w:p w14:paraId="24A2067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69,621</w:t>
            </w:r>
          </w:p>
        </w:tc>
        <w:tc>
          <w:tcPr>
            <w:tcW w:w="1002" w:type="pct"/>
          </w:tcPr>
          <w:p w14:paraId="76DE7C6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1052</w:t>
            </w:r>
          </w:p>
        </w:tc>
        <w:tc>
          <w:tcPr>
            <w:tcW w:w="900" w:type="pct"/>
          </w:tcPr>
          <w:p w14:paraId="5057B40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70,672</w:t>
            </w:r>
          </w:p>
        </w:tc>
      </w:tr>
      <w:tr w:rsidR="007904E8" w:rsidRPr="004A34E0" w14:paraId="7FDF058B" w14:textId="77777777" w:rsidTr="00963D65">
        <w:trPr>
          <w:trHeight w:val="75"/>
        </w:trPr>
        <w:tc>
          <w:tcPr>
            <w:cnfStyle w:val="001000000000" w:firstRow="0" w:lastRow="0" w:firstColumn="1" w:lastColumn="0" w:oddVBand="0" w:evenVBand="0" w:oddHBand="0" w:evenHBand="0" w:firstRowFirstColumn="0" w:firstRowLastColumn="0" w:lastRowFirstColumn="0" w:lastRowLastColumn="0"/>
            <w:tcW w:w="1315" w:type="pct"/>
          </w:tcPr>
          <w:p w14:paraId="34877762" w14:textId="77777777" w:rsidR="007904E8" w:rsidRPr="004A34E0" w:rsidRDefault="007904E8" w:rsidP="007904E8">
            <w:pPr>
              <w:pStyle w:val="ListBullet"/>
              <w:spacing w:before="120" w:after="120"/>
            </w:pPr>
            <w:r w:rsidRPr="004A34E0">
              <w:t>Other</w:t>
            </w:r>
          </w:p>
        </w:tc>
        <w:tc>
          <w:tcPr>
            <w:tcW w:w="869" w:type="pct"/>
          </w:tcPr>
          <w:p w14:paraId="4BFBC66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Livestock</w:t>
            </w:r>
          </w:p>
        </w:tc>
        <w:tc>
          <w:tcPr>
            <w:tcW w:w="915" w:type="pct"/>
          </w:tcPr>
          <w:p w14:paraId="14F6B15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52</w:t>
            </w:r>
          </w:p>
        </w:tc>
        <w:tc>
          <w:tcPr>
            <w:tcW w:w="1002" w:type="pct"/>
          </w:tcPr>
          <w:p w14:paraId="56FEF7C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152</w:t>
            </w:r>
          </w:p>
        </w:tc>
        <w:tc>
          <w:tcPr>
            <w:tcW w:w="900" w:type="pct"/>
          </w:tcPr>
          <w:p w14:paraId="0E737F1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204</w:t>
            </w:r>
          </w:p>
        </w:tc>
      </w:tr>
      <w:tr w:rsidR="007904E8" w:rsidRPr="004A34E0" w14:paraId="67AD2A57" w14:textId="77777777" w:rsidTr="00484CDC">
        <w:trPr>
          <w:trHeight w:val="113"/>
        </w:trPr>
        <w:tc>
          <w:tcPr>
            <w:cnfStyle w:val="001000000000" w:firstRow="0" w:lastRow="0" w:firstColumn="1" w:lastColumn="0" w:oddVBand="0" w:evenVBand="0" w:oddHBand="0" w:evenHBand="0" w:firstRowFirstColumn="0" w:firstRowLastColumn="0" w:lastRowFirstColumn="0" w:lastRowLastColumn="0"/>
            <w:tcW w:w="1315" w:type="pct"/>
            <w:shd w:val="clear" w:color="auto" w:fill="201547" w:themeFill="text2"/>
          </w:tcPr>
          <w:p w14:paraId="29E49930" w14:textId="77777777" w:rsidR="007904E8" w:rsidRPr="004A34E0" w:rsidRDefault="007904E8" w:rsidP="00666947">
            <w:pPr>
              <w:pStyle w:val="TableTextLeft"/>
              <w:rPr>
                <w:i/>
              </w:rPr>
            </w:pPr>
            <w:r w:rsidRPr="004A34E0">
              <w:rPr>
                <w:i/>
              </w:rPr>
              <w:t>Non-food agricultural produce</w:t>
            </w:r>
          </w:p>
        </w:tc>
        <w:tc>
          <w:tcPr>
            <w:tcW w:w="869" w:type="pct"/>
            <w:shd w:val="clear" w:color="auto" w:fill="201547" w:themeFill="text2"/>
          </w:tcPr>
          <w:p w14:paraId="41D58B4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915" w:type="pct"/>
            <w:shd w:val="clear" w:color="auto" w:fill="201547" w:themeFill="text2"/>
          </w:tcPr>
          <w:p w14:paraId="384DB9A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002" w:type="pct"/>
            <w:shd w:val="clear" w:color="auto" w:fill="201547" w:themeFill="text2"/>
          </w:tcPr>
          <w:p w14:paraId="18D8FE3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900" w:type="pct"/>
            <w:shd w:val="clear" w:color="auto" w:fill="201547" w:themeFill="text2"/>
          </w:tcPr>
          <w:p w14:paraId="579E1C3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32B06371" w14:textId="77777777" w:rsidTr="00963D65">
        <w:trPr>
          <w:trHeight w:val="75"/>
        </w:trPr>
        <w:tc>
          <w:tcPr>
            <w:cnfStyle w:val="001000000000" w:firstRow="0" w:lastRow="0" w:firstColumn="1" w:lastColumn="0" w:oddVBand="0" w:evenVBand="0" w:oddHBand="0" w:evenHBand="0" w:firstRowFirstColumn="0" w:firstRowLastColumn="0" w:lastRowFirstColumn="0" w:lastRowLastColumn="0"/>
            <w:tcW w:w="1315" w:type="pct"/>
          </w:tcPr>
          <w:p w14:paraId="793E4CEE" w14:textId="77777777" w:rsidR="007904E8" w:rsidRPr="004A34E0" w:rsidRDefault="007904E8" w:rsidP="007904E8">
            <w:pPr>
              <w:pStyle w:val="ListBullet"/>
              <w:spacing w:before="120" w:after="120"/>
            </w:pPr>
            <w:r w:rsidRPr="004A34E0">
              <w:t>Hay and silage</w:t>
            </w:r>
          </w:p>
        </w:tc>
        <w:tc>
          <w:tcPr>
            <w:tcW w:w="869" w:type="pct"/>
          </w:tcPr>
          <w:p w14:paraId="661A33E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Tonnes</w:t>
            </w:r>
          </w:p>
        </w:tc>
        <w:tc>
          <w:tcPr>
            <w:tcW w:w="915" w:type="pct"/>
          </w:tcPr>
          <w:p w14:paraId="164719D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759</w:t>
            </w:r>
          </w:p>
        </w:tc>
        <w:tc>
          <w:tcPr>
            <w:tcW w:w="1002" w:type="pct"/>
          </w:tcPr>
          <w:p w14:paraId="40B7018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13,705</w:t>
            </w:r>
          </w:p>
        </w:tc>
        <w:tc>
          <w:tcPr>
            <w:tcW w:w="900" w:type="pct"/>
          </w:tcPr>
          <w:p w14:paraId="47C3841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14,465</w:t>
            </w:r>
          </w:p>
        </w:tc>
      </w:tr>
    </w:tbl>
    <w:p w14:paraId="33E3B926" w14:textId="77777777" w:rsidR="007904E8" w:rsidRPr="004A34E0" w:rsidRDefault="007904E8" w:rsidP="007904E8">
      <w:pPr>
        <w:pStyle w:val="BodyText"/>
        <w:sectPr w:rsidR="007904E8" w:rsidRPr="004A34E0" w:rsidSect="00E52A9A">
          <w:headerReference w:type="even" r:id="rId181"/>
          <w:headerReference w:type="default" r:id="rId182"/>
          <w:footerReference w:type="even" r:id="rId183"/>
          <w:footerReference w:type="default" r:id="rId184"/>
          <w:pgSz w:w="11906" w:h="16838" w:code="9"/>
          <w:pgMar w:top="1134" w:right="1134" w:bottom="1134" w:left="1134" w:header="283" w:footer="283" w:gutter="0"/>
          <w:cols w:space="284"/>
          <w:docGrid w:linePitch="360"/>
        </w:sectPr>
      </w:pPr>
    </w:p>
    <w:p w14:paraId="12AC50BC" w14:textId="77777777" w:rsidR="007904E8" w:rsidRPr="004A34E0" w:rsidRDefault="007904E8" w:rsidP="00BA21B4">
      <w:pPr>
        <w:pStyle w:val="Caption"/>
      </w:pPr>
      <w:r w:rsidRPr="004A34E0">
        <w:lastRenderedPageBreak/>
        <w:t xml:space="preserve">Figure 31. Farmland distribution across GORCAP EEA region in 2019 </w:t>
      </w:r>
      <w:r w:rsidRPr="004A34E0">
        <w:rPr>
          <w:rFonts w:eastAsia="Arial"/>
        </w:rPr>
        <w:t>(DELWP, 2020)</w:t>
      </w:r>
    </w:p>
    <w:p w14:paraId="77A1E8CD" w14:textId="77777777" w:rsidR="007904E8" w:rsidRPr="004A34E0" w:rsidRDefault="007904E8" w:rsidP="007904E8">
      <w:pPr>
        <w:pStyle w:val="BodyText"/>
        <w:sectPr w:rsidR="007904E8" w:rsidRPr="004A34E0" w:rsidSect="00E52A9A">
          <w:headerReference w:type="even" r:id="rId185"/>
          <w:headerReference w:type="default" r:id="rId186"/>
          <w:footerReference w:type="even" r:id="rId187"/>
          <w:footerReference w:type="default" r:id="rId188"/>
          <w:pgSz w:w="23811" w:h="16838" w:orient="landscape" w:code="8"/>
          <w:pgMar w:top="1134" w:right="1134" w:bottom="1134" w:left="1134" w:header="283" w:footer="283" w:gutter="0"/>
          <w:cols w:space="284"/>
          <w:docGrid w:linePitch="360"/>
        </w:sectPr>
      </w:pPr>
      <w:r w:rsidRPr="004A34E0">
        <w:rPr>
          <w:noProof/>
        </w:rPr>
        <mc:AlternateContent>
          <mc:Choice Requires="wps">
            <w:drawing>
              <wp:anchor distT="45720" distB="45720" distL="114300" distR="114300" simplePos="0" relativeHeight="251658320" behindDoc="0" locked="0" layoutInCell="1" allowOverlap="1" wp14:anchorId="68AC33BE" wp14:editId="40F42C2D">
                <wp:simplePos x="0" y="0"/>
                <wp:positionH relativeFrom="column">
                  <wp:posOffset>752475</wp:posOffset>
                </wp:positionH>
                <wp:positionV relativeFrom="paragraph">
                  <wp:posOffset>5105512</wp:posOffset>
                </wp:positionV>
                <wp:extent cx="1581150" cy="1404620"/>
                <wp:effectExtent l="0" t="0" r="0" b="3175"/>
                <wp:wrapNone/>
                <wp:docPr id="820" name="Text Box 8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1404620"/>
                        </a:xfrm>
                        <a:prstGeom prst="rect">
                          <a:avLst/>
                        </a:prstGeom>
                        <a:solidFill>
                          <a:schemeClr val="bg1"/>
                        </a:solidFill>
                        <a:ln w="9525">
                          <a:noFill/>
                          <a:miter lim="800000"/>
                          <a:headEnd/>
                          <a:tailEnd/>
                        </a:ln>
                      </wps:spPr>
                      <wps:txbx>
                        <w:txbxContent>
                          <w:p w14:paraId="7E8367B0" w14:textId="77777777" w:rsidR="007904E8" w:rsidRPr="00165BAD" w:rsidRDefault="007904E8" w:rsidP="007904E8">
                            <w:pPr>
                              <w:rPr>
                                <w:b/>
                                <w:bCs/>
                                <w:sz w:val="24"/>
                                <w:szCs w:val="24"/>
                              </w:rPr>
                            </w:pPr>
                            <w:r w:rsidRPr="00165BAD">
                              <w:rPr>
                                <w:b/>
                                <w:bCs/>
                                <w:sz w:val="24"/>
                                <w:szCs w:val="24"/>
                              </w:rPr>
                              <w:t>GORCAP EEA area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8AC33BE" id="Text Box 820" o:spid="_x0000_s1074" type="#_x0000_t202" style="position:absolute;margin-left:59.25pt;margin-top:402pt;width:124.5pt;height:110.6pt;z-index:251658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" fillcolor="white [3212]" stroked="f">
                <v:textbox style="mso-fit-shape-to-text:t">
                  <w:txbxContent>
                    <w:p w14:paraId="7E8367B0" w14:textId="77777777" w:rsidR="007904E8" w:rsidRPr="00165BAD" w:rsidRDefault="007904E8" w:rsidP="007904E8">
                      <w:pPr>
                        <w:rPr>
                          <w:b/>
                          <w:bCs/>
                          <w:sz w:val="24"/>
                          <w:szCs w:val="24"/>
                        </w:rPr>
                      </w:pPr>
                      <w:r w:rsidRPr="00165BAD">
                        <w:rPr>
                          <w:b/>
                          <w:bCs/>
                          <w:sz w:val="24"/>
                          <w:szCs w:val="24"/>
                        </w:rPr>
                        <w:t>GORCAP EEA area</w:t>
                      </w:r>
                    </w:p>
                  </w:txbxContent>
                </v:textbox>
              </v:shape>
            </w:pict>
          </mc:Fallback>
        </mc:AlternateContent>
      </w:r>
      <w:r w:rsidRPr="004A34E0">
        <w:rPr>
          <w:noProof/>
        </w:rPr>
        <w:drawing>
          <wp:inline distT="0" distB="0" distL="0" distR="0" wp14:anchorId="79BBFF01" wp14:editId="5F6BFFCA">
            <wp:extent cx="12855213" cy="6312535"/>
            <wp:effectExtent l="19050" t="19050" r="22860" b="12065"/>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314"/>
                    <pic:cNvPicPr/>
                  </pic:nvPicPr>
                  <pic:blipFill>
                    <a:blip r:embed="rId189" cstate="email">
                      <a:extLst>
                        <a:ext uri="{28A0092B-C50C-407E-A947-70E740481C1C}">
                          <a14:useLocalDpi xmlns:a14="http://schemas.microsoft.com/office/drawing/2010/main"/>
                        </a:ext>
                      </a:extLst>
                    </a:blip>
                    <a:stretch>
                      <a:fillRect/>
                    </a:stretch>
                  </pic:blipFill>
                  <pic:spPr>
                    <a:xfrm>
                      <a:off x="0" y="0"/>
                      <a:ext cx="12855213" cy="6312535"/>
                    </a:xfrm>
                    <a:prstGeom prst="rect">
                      <a:avLst/>
                    </a:prstGeom>
                    <a:ln>
                      <a:solidFill>
                        <a:schemeClr val="tx1"/>
                      </a:solidFill>
                    </a:ln>
                  </pic:spPr>
                </pic:pic>
              </a:graphicData>
            </a:graphic>
          </wp:inline>
        </w:drawing>
      </w:r>
    </w:p>
    <w:p w14:paraId="196CFCA2" w14:textId="77777777" w:rsidR="007904E8" w:rsidRPr="004A34E0" w:rsidRDefault="007904E8" w:rsidP="000A2646">
      <w:pPr>
        <w:pStyle w:val="Heading4"/>
        <w:numPr>
          <w:ilvl w:val="0"/>
          <w:numId w:val="0"/>
        </w:numPr>
      </w:pPr>
      <w:bookmarkStart w:id="231" w:name="_Toc163547057"/>
      <w:r w:rsidRPr="004A34E0">
        <w:lastRenderedPageBreak/>
        <w:t>Fisheries - wild fish harvest</w:t>
      </w:r>
      <w:bookmarkEnd w:id="231"/>
    </w:p>
    <w:p w14:paraId="05248595" w14:textId="77777777" w:rsidR="007904E8" w:rsidRPr="004A34E0" w:rsidRDefault="007904E8" w:rsidP="007904E8">
      <w:pPr>
        <w:pStyle w:val="BodyText12ptBefore"/>
      </w:pPr>
      <w:r w:rsidRPr="004A34E0">
        <w:t>The extent mapping (see Section 4.1.1) estimated the total area of coastal wetlands within the GORCAP EEA region is around 1,209 ha consisting of 1,130 ha seagrass, 75 ha saltmarsh and 4 ha mangrove in 2019 (see Tables 18 and 19). The estimated annual biomass enhancement of wild fish stocks that is caught by commercial fishers to these wetland habitats is estimated to be as follows, see Table 46:</w:t>
      </w:r>
    </w:p>
    <w:p w14:paraId="6525577B" w14:textId="77777777" w:rsidR="007904E8" w:rsidRPr="004A34E0" w:rsidRDefault="007904E8" w:rsidP="007904E8">
      <w:pPr>
        <w:pStyle w:val="ListBullet"/>
      </w:pPr>
      <w:r w:rsidRPr="004A34E0">
        <w:rPr>
          <w:b/>
        </w:rPr>
        <w:t>2,453 kilograms per year due to the contribution of wetlands to the diet of fish stocks</w:t>
      </w:r>
      <w:r w:rsidRPr="004A34E0">
        <w:t>, mainly King George Whiting (1,096 kilograms) and black bream (929 kilograms) based on estimates from Carnell et al (2019). The includes 26 kilograms attributable to saltmarsh, 11 kilograms attributable to mangrove and 2,453 kilograms attributable to seagrass.</w:t>
      </w:r>
    </w:p>
    <w:p w14:paraId="6499E5EB" w14:textId="77777777" w:rsidR="007904E8" w:rsidRPr="004A34E0" w:rsidRDefault="007904E8" w:rsidP="00270081">
      <w:pPr>
        <w:pStyle w:val="Caption"/>
      </w:pPr>
      <w:r w:rsidRPr="004A34E0">
        <w:t>Table 46. Estimated annual biomass enhancement of fish catch due to wetlands in GORCAP EEA region in 2019</w:t>
      </w:r>
    </w:p>
    <w:tbl>
      <w:tblPr>
        <w:tblStyle w:val="TableGrid"/>
        <w:tblW w:w="5000" w:type="pct"/>
        <w:tblLook w:val="04A0" w:firstRow="1" w:lastRow="0" w:firstColumn="1" w:lastColumn="0" w:noHBand="0" w:noVBand="1"/>
      </w:tblPr>
      <w:tblGrid>
        <w:gridCol w:w="938"/>
        <w:gridCol w:w="1964"/>
        <w:gridCol w:w="1527"/>
        <w:gridCol w:w="1529"/>
        <w:gridCol w:w="1529"/>
        <w:gridCol w:w="744"/>
        <w:gridCol w:w="1407"/>
      </w:tblGrid>
      <w:tr w:rsidR="007904E8" w:rsidRPr="004A34E0" w14:paraId="6A39757A" w14:textId="77777777" w:rsidTr="00484CDC">
        <w:trPr>
          <w:cnfStyle w:val="100000000000" w:firstRow="1" w:lastRow="0" w:firstColumn="0" w:lastColumn="0" w:oddVBand="0" w:evenVBand="0" w:oddHBand="0"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478" w:type="pct"/>
            <w:gridSpan w:val="2"/>
            <w:vMerge w:val="restart"/>
            <w:shd w:val="clear" w:color="auto" w:fill="auto"/>
          </w:tcPr>
          <w:p w14:paraId="17695B97" w14:textId="77777777" w:rsidR="007904E8" w:rsidRPr="004A34E0" w:rsidRDefault="007904E8" w:rsidP="00666947">
            <w:pPr>
              <w:pStyle w:val="TableTextLeft"/>
            </w:pPr>
          </w:p>
        </w:tc>
        <w:tc>
          <w:tcPr>
            <w:tcW w:w="2413" w:type="pct"/>
            <w:gridSpan w:val="3"/>
          </w:tcPr>
          <w:p w14:paraId="3FEB63C8"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Annual biomass enhancement (kilograms per year)</w:t>
            </w:r>
          </w:p>
        </w:tc>
        <w:tc>
          <w:tcPr>
            <w:tcW w:w="366" w:type="pct"/>
            <w:vMerge w:val="restart"/>
          </w:tcPr>
          <w:p w14:paraId="445FC4C6"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Year</w:t>
            </w:r>
          </w:p>
        </w:tc>
        <w:tc>
          <w:tcPr>
            <w:tcW w:w="743" w:type="pct"/>
            <w:vMerge w:val="restart"/>
          </w:tcPr>
          <w:p w14:paraId="290CC6F5"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rPr>
                <w:b/>
              </w:rPr>
            </w:pPr>
            <w:r w:rsidRPr="004A34E0">
              <w:rPr>
                <w:b/>
              </w:rPr>
              <w:t>Source</w:t>
            </w:r>
          </w:p>
        </w:tc>
      </w:tr>
      <w:tr w:rsidR="007904E8" w:rsidRPr="004A34E0" w14:paraId="2C24CDBD" w14:textId="77777777" w:rsidTr="00484CDC">
        <w:trPr>
          <w:trHeight w:val="289"/>
        </w:trPr>
        <w:tc>
          <w:tcPr>
            <w:cnfStyle w:val="001000000000" w:firstRow="0" w:lastRow="0" w:firstColumn="1" w:lastColumn="0" w:oddVBand="0" w:evenVBand="0" w:oddHBand="0" w:evenHBand="0" w:firstRowFirstColumn="0" w:firstRowLastColumn="0" w:lastRowFirstColumn="0" w:lastRowLastColumn="0"/>
            <w:tcW w:w="1478" w:type="pct"/>
            <w:gridSpan w:val="2"/>
            <w:vMerge/>
            <w:shd w:val="clear" w:color="auto" w:fill="auto"/>
          </w:tcPr>
          <w:p w14:paraId="395CA64F" w14:textId="77777777" w:rsidR="007904E8" w:rsidRPr="004A34E0" w:rsidRDefault="007904E8" w:rsidP="00666947">
            <w:pPr>
              <w:pStyle w:val="TableTextLeft"/>
            </w:pPr>
          </w:p>
        </w:tc>
        <w:tc>
          <w:tcPr>
            <w:tcW w:w="804" w:type="pct"/>
            <w:tcBorders>
              <w:top w:val="nil"/>
            </w:tcBorders>
            <w:shd w:val="clear" w:color="auto" w:fill="004C97" w:themeFill="accent1"/>
          </w:tcPr>
          <w:p w14:paraId="3264E823"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484CDC">
              <w:rPr>
                <w:b/>
                <w:color w:val="FFFFFF" w:themeColor="background1"/>
              </w:rPr>
              <w:t>Saltmarsh</w:t>
            </w:r>
          </w:p>
        </w:tc>
        <w:tc>
          <w:tcPr>
            <w:tcW w:w="805" w:type="pct"/>
            <w:tcBorders>
              <w:top w:val="nil"/>
            </w:tcBorders>
            <w:shd w:val="clear" w:color="auto" w:fill="004C97" w:themeFill="accent1"/>
          </w:tcPr>
          <w:p w14:paraId="642A4C79"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484CDC">
              <w:rPr>
                <w:b/>
                <w:color w:val="FFFFFF" w:themeColor="background1"/>
              </w:rPr>
              <w:t>Mangrove</w:t>
            </w:r>
          </w:p>
        </w:tc>
        <w:tc>
          <w:tcPr>
            <w:tcW w:w="805" w:type="pct"/>
            <w:tcBorders>
              <w:top w:val="nil"/>
            </w:tcBorders>
            <w:shd w:val="clear" w:color="auto" w:fill="004C97" w:themeFill="accent1"/>
          </w:tcPr>
          <w:p w14:paraId="45C49BEB"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484CDC">
              <w:rPr>
                <w:b/>
                <w:color w:val="FFFFFF" w:themeColor="background1"/>
              </w:rPr>
              <w:t>Seagrass</w:t>
            </w:r>
          </w:p>
        </w:tc>
        <w:tc>
          <w:tcPr>
            <w:tcW w:w="366" w:type="pct"/>
            <w:vMerge/>
          </w:tcPr>
          <w:p w14:paraId="229E57A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743" w:type="pct"/>
            <w:vMerge/>
          </w:tcPr>
          <w:p w14:paraId="2F96180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rPr>
            </w:pPr>
          </w:p>
        </w:tc>
      </w:tr>
      <w:tr w:rsidR="00963D65" w:rsidRPr="004A34E0" w14:paraId="06AB3438" w14:textId="77777777" w:rsidTr="00963D65">
        <w:trPr>
          <w:trHeight w:val="289"/>
        </w:trPr>
        <w:tc>
          <w:tcPr>
            <w:cnfStyle w:val="001000000000" w:firstRow="0" w:lastRow="0" w:firstColumn="1" w:lastColumn="0" w:oddVBand="0" w:evenVBand="0" w:oddHBand="0" w:evenHBand="0" w:firstRowFirstColumn="0" w:firstRowLastColumn="0" w:lastRowFirstColumn="0" w:lastRowLastColumn="0"/>
            <w:tcW w:w="447" w:type="pct"/>
            <w:vMerge w:val="restart"/>
          </w:tcPr>
          <w:p w14:paraId="1AF5958B" w14:textId="77777777" w:rsidR="007904E8" w:rsidRPr="004A34E0" w:rsidRDefault="007904E8" w:rsidP="00666947">
            <w:pPr>
              <w:pStyle w:val="TableTextLeft"/>
            </w:pPr>
            <w:r w:rsidRPr="004A34E0">
              <w:t>Species</w:t>
            </w:r>
          </w:p>
        </w:tc>
        <w:tc>
          <w:tcPr>
            <w:tcW w:w="1031" w:type="pct"/>
          </w:tcPr>
          <w:p w14:paraId="5A76ACB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King George Whiting</w:t>
            </w:r>
          </w:p>
        </w:tc>
        <w:tc>
          <w:tcPr>
            <w:tcW w:w="804" w:type="pct"/>
          </w:tcPr>
          <w:p w14:paraId="15CCE3A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18</w:t>
            </w:r>
          </w:p>
        </w:tc>
        <w:tc>
          <w:tcPr>
            <w:tcW w:w="805" w:type="pct"/>
          </w:tcPr>
          <w:p w14:paraId="7046BBE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7</w:t>
            </w:r>
          </w:p>
        </w:tc>
        <w:tc>
          <w:tcPr>
            <w:tcW w:w="805" w:type="pct"/>
          </w:tcPr>
          <w:p w14:paraId="64A3BA9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1,072</w:t>
            </w:r>
          </w:p>
        </w:tc>
        <w:tc>
          <w:tcPr>
            <w:tcW w:w="366" w:type="pct"/>
            <w:vMerge w:val="restart"/>
          </w:tcPr>
          <w:p w14:paraId="783A819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vertAlign w:val="superscript"/>
              </w:rPr>
            </w:pPr>
            <w:r w:rsidRPr="004A34E0">
              <w:t>2019</w:t>
            </w:r>
            <w:r w:rsidRPr="004A34E0">
              <w:rPr>
                <w:vertAlign w:val="superscript"/>
              </w:rPr>
              <w:t>a</w:t>
            </w:r>
          </w:p>
        </w:tc>
        <w:tc>
          <w:tcPr>
            <w:tcW w:w="743" w:type="pct"/>
            <w:vMerge w:val="restart"/>
          </w:tcPr>
          <w:p w14:paraId="778A109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Carnell et al (2019) </w:t>
            </w:r>
          </w:p>
        </w:tc>
      </w:tr>
      <w:tr w:rsidR="00963D65" w:rsidRPr="004A34E0" w14:paraId="70300401" w14:textId="77777777" w:rsidTr="00963D65">
        <w:trPr>
          <w:trHeight w:val="289"/>
        </w:trPr>
        <w:tc>
          <w:tcPr>
            <w:cnfStyle w:val="001000000000" w:firstRow="0" w:lastRow="0" w:firstColumn="1" w:lastColumn="0" w:oddVBand="0" w:evenVBand="0" w:oddHBand="0" w:evenHBand="0" w:firstRowFirstColumn="0" w:firstRowLastColumn="0" w:lastRowFirstColumn="0" w:lastRowLastColumn="0"/>
            <w:tcW w:w="447" w:type="pct"/>
            <w:vMerge/>
          </w:tcPr>
          <w:p w14:paraId="70FF0735" w14:textId="77777777" w:rsidR="007904E8" w:rsidRPr="004A34E0" w:rsidRDefault="007904E8" w:rsidP="00666947">
            <w:pPr>
              <w:pStyle w:val="TableTextLeft"/>
            </w:pPr>
          </w:p>
        </w:tc>
        <w:tc>
          <w:tcPr>
            <w:tcW w:w="1031" w:type="pct"/>
          </w:tcPr>
          <w:p w14:paraId="02C4654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Southern Garfish</w:t>
            </w:r>
          </w:p>
        </w:tc>
        <w:tc>
          <w:tcPr>
            <w:tcW w:w="804" w:type="pct"/>
          </w:tcPr>
          <w:p w14:paraId="436F2E4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4</w:t>
            </w:r>
          </w:p>
        </w:tc>
        <w:tc>
          <w:tcPr>
            <w:tcW w:w="805" w:type="pct"/>
          </w:tcPr>
          <w:p w14:paraId="1B4F954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w:t>
            </w:r>
          </w:p>
        </w:tc>
        <w:tc>
          <w:tcPr>
            <w:tcW w:w="805" w:type="pct"/>
          </w:tcPr>
          <w:p w14:paraId="571E2E0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191</w:t>
            </w:r>
          </w:p>
        </w:tc>
        <w:tc>
          <w:tcPr>
            <w:tcW w:w="366" w:type="pct"/>
            <w:vMerge/>
          </w:tcPr>
          <w:p w14:paraId="3BD820E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743" w:type="pct"/>
            <w:vMerge/>
          </w:tcPr>
          <w:p w14:paraId="6D73026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963D65" w:rsidRPr="004A34E0" w14:paraId="0F6094CA" w14:textId="77777777" w:rsidTr="00963D65">
        <w:trPr>
          <w:trHeight w:val="104"/>
        </w:trPr>
        <w:tc>
          <w:tcPr>
            <w:cnfStyle w:val="001000000000" w:firstRow="0" w:lastRow="0" w:firstColumn="1" w:lastColumn="0" w:oddVBand="0" w:evenVBand="0" w:oddHBand="0" w:evenHBand="0" w:firstRowFirstColumn="0" w:firstRowLastColumn="0" w:lastRowFirstColumn="0" w:lastRowLastColumn="0"/>
            <w:tcW w:w="447" w:type="pct"/>
            <w:vMerge/>
          </w:tcPr>
          <w:p w14:paraId="7D168B6D" w14:textId="77777777" w:rsidR="007904E8" w:rsidRPr="004A34E0" w:rsidRDefault="007904E8" w:rsidP="00666947">
            <w:pPr>
              <w:pStyle w:val="TableTextLeft"/>
            </w:pPr>
          </w:p>
        </w:tc>
        <w:tc>
          <w:tcPr>
            <w:tcW w:w="1031" w:type="pct"/>
          </w:tcPr>
          <w:p w14:paraId="64EFD88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Snapper</w:t>
            </w:r>
          </w:p>
        </w:tc>
        <w:tc>
          <w:tcPr>
            <w:tcW w:w="804" w:type="pct"/>
          </w:tcPr>
          <w:p w14:paraId="605347C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5</w:t>
            </w:r>
          </w:p>
        </w:tc>
        <w:tc>
          <w:tcPr>
            <w:tcW w:w="805" w:type="pct"/>
          </w:tcPr>
          <w:p w14:paraId="75F4893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w:t>
            </w:r>
          </w:p>
        </w:tc>
        <w:tc>
          <w:tcPr>
            <w:tcW w:w="805" w:type="pct"/>
          </w:tcPr>
          <w:p w14:paraId="41419FA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262</w:t>
            </w:r>
          </w:p>
        </w:tc>
        <w:tc>
          <w:tcPr>
            <w:tcW w:w="366" w:type="pct"/>
            <w:vMerge/>
          </w:tcPr>
          <w:p w14:paraId="0D95E5C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743" w:type="pct"/>
            <w:vMerge/>
          </w:tcPr>
          <w:p w14:paraId="4A9D4B5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963D65" w:rsidRPr="004A34E0" w14:paraId="37F46D9B" w14:textId="77777777" w:rsidTr="00963D65">
        <w:trPr>
          <w:trHeight w:val="289"/>
        </w:trPr>
        <w:tc>
          <w:tcPr>
            <w:cnfStyle w:val="001000000000" w:firstRow="0" w:lastRow="0" w:firstColumn="1" w:lastColumn="0" w:oddVBand="0" w:evenVBand="0" w:oddHBand="0" w:evenHBand="0" w:firstRowFirstColumn="0" w:firstRowLastColumn="0" w:lastRowFirstColumn="0" w:lastRowLastColumn="0"/>
            <w:tcW w:w="447" w:type="pct"/>
            <w:vMerge/>
          </w:tcPr>
          <w:p w14:paraId="0738BBBD" w14:textId="77777777" w:rsidR="007904E8" w:rsidRPr="004A34E0" w:rsidRDefault="007904E8" w:rsidP="00666947">
            <w:pPr>
              <w:pStyle w:val="TableTextLeft"/>
            </w:pPr>
          </w:p>
        </w:tc>
        <w:tc>
          <w:tcPr>
            <w:tcW w:w="1031" w:type="pct"/>
          </w:tcPr>
          <w:p w14:paraId="2686F78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Black bream</w:t>
            </w:r>
          </w:p>
        </w:tc>
        <w:tc>
          <w:tcPr>
            <w:tcW w:w="804" w:type="pct"/>
          </w:tcPr>
          <w:p w14:paraId="22D30D4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805" w:type="pct"/>
          </w:tcPr>
          <w:p w14:paraId="15B018D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805" w:type="pct"/>
          </w:tcPr>
          <w:p w14:paraId="1FB663C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929</w:t>
            </w:r>
          </w:p>
        </w:tc>
        <w:tc>
          <w:tcPr>
            <w:tcW w:w="366" w:type="pct"/>
            <w:vMerge/>
          </w:tcPr>
          <w:p w14:paraId="331E711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743" w:type="pct"/>
            <w:vMerge/>
          </w:tcPr>
          <w:p w14:paraId="31E4F76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315C9EB4" w14:textId="77777777" w:rsidTr="00484CDC">
        <w:trPr>
          <w:trHeight w:val="279"/>
        </w:trPr>
        <w:tc>
          <w:tcPr>
            <w:cnfStyle w:val="001000000000" w:firstRow="0" w:lastRow="0" w:firstColumn="1" w:lastColumn="0" w:oddVBand="0" w:evenVBand="0" w:oddHBand="0" w:evenHBand="0" w:firstRowFirstColumn="0" w:firstRowLastColumn="0" w:lastRowFirstColumn="0" w:lastRowLastColumn="0"/>
            <w:tcW w:w="1478" w:type="pct"/>
            <w:gridSpan w:val="2"/>
            <w:shd w:val="clear" w:color="auto" w:fill="CCDBEA" w:themeFill="background2"/>
          </w:tcPr>
          <w:p w14:paraId="371DB3D1" w14:textId="77777777" w:rsidR="007904E8" w:rsidRPr="004A34E0" w:rsidRDefault="007904E8" w:rsidP="00666947">
            <w:pPr>
              <w:pStyle w:val="TableTextLeft"/>
            </w:pPr>
            <w:r w:rsidRPr="004A34E0">
              <w:rPr>
                <w:b/>
              </w:rPr>
              <w:t>Total</w:t>
            </w:r>
          </w:p>
        </w:tc>
        <w:tc>
          <w:tcPr>
            <w:tcW w:w="804" w:type="pct"/>
            <w:shd w:val="clear" w:color="auto" w:fill="CCDBEA" w:themeFill="background2"/>
          </w:tcPr>
          <w:p w14:paraId="098830F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26</w:t>
            </w:r>
          </w:p>
        </w:tc>
        <w:tc>
          <w:tcPr>
            <w:tcW w:w="805" w:type="pct"/>
            <w:shd w:val="clear" w:color="auto" w:fill="CCDBEA" w:themeFill="background2"/>
          </w:tcPr>
          <w:p w14:paraId="48CB5DF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11</w:t>
            </w:r>
          </w:p>
        </w:tc>
        <w:tc>
          <w:tcPr>
            <w:tcW w:w="805" w:type="pct"/>
            <w:shd w:val="clear" w:color="auto" w:fill="CCDBEA" w:themeFill="background2"/>
          </w:tcPr>
          <w:p w14:paraId="3CE12F6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2,453</w:t>
            </w:r>
          </w:p>
        </w:tc>
        <w:tc>
          <w:tcPr>
            <w:tcW w:w="366" w:type="pct"/>
            <w:vMerge/>
          </w:tcPr>
          <w:p w14:paraId="25E3D49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743" w:type="pct"/>
            <w:vMerge/>
          </w:tcPr>
          <w:p w14:paraId="305E6BD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rPr>
            </w:pPr>
          </w:p>
        </w:tc>
      </w:tr>
    </w:tbl>
    <w:p w14:paraId="664E9D54" w14:textId="77777777" w:rsidR="007904E8" w:rsidRPr="004A34E0" w:rsidRDefault="007904E8" w:rsidP="007904E8">
      <w:pPr>
        <w:pStyle w:val="BodyText"/>
        <w:rPr>
          <w:vertAlign w:val="superscript"/>
        </w:rPr>
      </w:pPr>
      <w:proofErr w:type="spellStart"/>
      <w:r w:rsidRPr="004A34E0">
        <w:rPr>
          <w:vertAlign w:val="superscript"/>
        </w:rPr>
        <w:t>a</w:t>
      </w:r>
      <w:proofErr w:type="spellEnd"/>
      <w:r w:rsidRPr="004A34E0">
        <w:rPr>
          <w:vertAlign w:val="superscript"/>
        </w:rPr>
        <w:t xml:space="preserve"> </w:t>
      </w:r>
      <w:r w:rsidRPr="004A34E0">
        <w:t xml:space="preserve">The Carnell et al (2019) study does not state the year for which the analysis is applicable. Given that the study was undertaken in 2019 it is assumed for the purpose of this GORCAP EEA that it is representative of the ecosystem service provided in that year. </w:t>
      </w:r>
    </w:p>
    <w:p w14:paraId="71F245CD" w14:textId="152BBE42" w:rsidR="000A2646" w:rsidRPr="000A2646" w:rsidRDefault="007904E8" w:rsidP="000A2646">
      <w:pPr>
        <w:pStyle w:val="Heading4"/>
        <w:numPr>
          <w:ilvl w:val="0"/>
          <w:numId w:val="0"/>
        </w:numPr>
      </w:pPr>
      <w:bookmarkStart w:id="232" w:name="_Toc163547058"/>
      <w:r w:rsidRPr="004A34E0">
        <w:t>Fisheries - wild invertebrates (abalone):</w:t>
      </w:r>
      <w:bookmarkEnd w:id="232"/>
      <w:r w:rsidRPr="004A34E0">
        <w:t xml:space="preserve"> </w:t>
      </w:r>
    </w:p>
    <w:p w14:paraId="70F6868A" w14:textId="0C569DD9" w:rsidR="007904E8" w:rsidRPr="004A34E0" w:rsidRDefault="007904E8" w:rsidP="000A2646">
      <w:pPr>
        <w:pStyle w:val="BodyText"/>
      </w:pPr>
      <w:r w:rsidRPr="004A34E0">
        <w:t xml:space="preserve">The total abalone biomass within Victoria is estimated at 83,500 tonnes, with an estimated 32,000 tonnes located within the GORCAP region (39 per cent), based on spatial data from the </w:t>
      </w:r>
      <w:proofErr w:type="spellStart"/>
      <w:r w:rsidRPr="004A34E0">
        <w:t>Ierodiaconou</w:t>
      </w:r>
      <w:proofErr w:type="spellEnd"/>
      <w:r w:rsidRPr="004A34E0">
        <w:t xml:space="preserve"> et al (2018) study. The spatial distribution of abalone biomass within the GORCAP EEA area is shown in Figure 32. Based on the total Victorian abalone harvesting of 693 tonnes in 2018/19 (from VFA (2019)), it is estimated that 269 tonnes of abalone is harvested in the GORCAP region. </w:t>
      </w:r>
    </w:p>
    <w:p w14:paraId="3C9452F8" w14:textId="77777777" w:rsidR="007904E8" w:rsidRPr="004A34E0" w:rsidRDefault="007904E8" w:rsidP="007904E8">
      <w:pPr>
        <w:pStyle w:val="BodyText12ptBefore"/>
        <w:sectPr w:rsidR="007904E8" w:rsidRPr="004A34E0" w:rsidSect="00E52A9A">
          <w:headerReference w:type="even" r:id="rId190"/>
          <w:headerReference w:type="default" r:id="rId191"/>
          <w:footerReference w:type="even" r:id="rId192"/>
          <w:pgSz w:w="11906" w:h="16838" w:code="9"/>
          <w:pgMar w:top="1134" w:right="1134" w:bottom="1134" w:left="1134" w:header="283" w:footer="283" w:gutter="0"/>
          <w:cols w:space="284"/>
          <w:docGrid w:linePitch="360"/>
        </w:sectPr>
      </w:pPr>
    </w:p>
    <w:p w14:paraId="213FD13B" w14:textId="77777777" w:rsidR="007904E8" w:rsidRPr="004A34E0" w:rsidRDefault="007904E8" w:rsidP="00484CDC">
      <w:pPr>
        <w:pStyle w:val="Caption"/>
      </w:pPr>
      <w:r w:rsidRPr="004A34E0">
        <w:lastRenderedPageBreak/>
        <w:t>Figure 32. Abalone biomass distribution across the GORCAP EEA area in 2018 (</w:t>
      </w:r>
      <w:proofErr w:type="spellStart"/>
      <w:r w:rsidRPr="004A34E0">
        <w:t>Ierodiaconou</w:t>
      </w:r>
      <w:proofErr w:type="spellEnd"/>
      <w:r w:rsidRPr="004A34E0">
        <w:t xml:space="preserve"> et al, 2018)</w:t>
      </w:r>
    </w:p>
    <w:p w14:paraId="284A95CF" w14:textId="55D83B68" w:rsidR="007904E8" w:rsidRPr="004A34E0" w:rsidRDefault="007904E8" w:rsidP="007904E8">
      <w:pPr>
        <w:pStyle w:val="BodyText"/>
        <w:rPr>
          <w:b/>
        </w:rPr>
        <w:sectPr w:rsidR="007904E8" w:rsidRPr="004A34E0" w:rsidSect="00E52A9A">
          <w:headerReference w:type="default" r:id="rId193"/>
          <w:footerReference w:type="default" r:id="rId194"/>
          <w:pgSz w:w="23811" w:h="16838" w:orient="landscape" w:code="8"/>
          <w:pgMar w:top="1134" w:right="1134" w:bottom="1134" w:left="1134" w:header="283" w:footer="283" w:gutter="0"/>
          <w:cols w:space="284"/>
          <w:docGrid w:linePitch="360"/>
        </w:sectPr>
      </w:pPr>
      <w:r w:rsidRPr="004A34E0">
        <w:rPr>
          <w:noProof/>
        </w:rPr>
        <mc:AlternateContent>
          <mc:Choice Requires="wps">
            <w:drawing>
              <wp:anchor distT="45720" distB="45720" distL="114300" distR="114300" simplePos="0" relativeHeight="251658321" behindDoc="0" locked="0" layoutInCell="1" allowOverlap="1" wp14:anchorId="03B08E53" wp14:editId="724F9AFF">
                <wp:simplePos x="0" y="0"/>
                <wp:positionH relativeFrom="column">
                  <wp:posOffset>811498</wp:posOffset>
                </wp:positionH>
                <wp:positionV relativeFrom="paragraph">
                  <wp:posOffset>4802875</wp:posOffset>
                </wp:positionV>
                <wp:extent cx="1581150" cy="1404620"/>
                <wp:effectExtent l="0" t="0" r="0" b="3175"/>
                <wp:wrapNone/>
                <wp:docPr id="821" name="Text Box 8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1404620"/>
                        </a:xfrm>
                        <a:prstGeom prst="rect">
                          <a:avLst/>
                        </a:prstGeom>
                        <a:solidFill>
                          <a:schemeClr val="bg1"/>
                        </a:solidFill>
                        <a:ln w="9525">
                          <a:noFill/>
                          <a:miter lim="800000"/>
                          <a:headEnd/>
                          <a:tailEnd/>
                        </a:ln>
                      </wps:spPr>
                      <wps:txbx>
                        <w:txbxContent>
                          <w:p w14:paraId="01E27550" w14:textId="77777777" w:rsidR="007904E8" w:rsidRPr="00165BAD" w:rsidRDefault="007904E8" w:rsidP="007904E8">
                            <w:pPr>
                              <w:rPr>
                                <w:b/>
                                <w:bCs/>
                                <w:sz w:val="24"/>
                                <w:szCs w:val="24"/>
                              </w:rPr>
                            </w:pPr>
                            <w:r w:rsidRPr="00165BAD">
                              <w:rPr>
                                <w:b/>
                                <w:bCs/>
                                <w:sz w:val="24"/>
                                <w:szCs w:val="24"/>
                              </w:rPr>
                              <w:t>GORCAP EEA area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3B08E53" id="Text Box 821" o:spid="_x0000_s1075" type="#_x0000_t202" style="position:absolute;margin-left:63.9pt;margin-top:378.2pt;width:124.5pt;height:110.6pt;z-index:25165832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" fillcolor="white [3212]" stroked="f">
                <v:textbox style="mso-fit-shape-to-text:t">
                  <w:txbxContent>
                    <w:p w14:paraId="01E27550" w14:textId="77777777" w:rsidR="007904E8" w:rsidRPr="00165BAD" w:rsidRDefault="007904E8" w:rsidP="007904E8">
                      <w:pPr>
                        <w:rPr>
                          <w:b/>
                          <w:bCs/>
                          <w:sz w:val="24"/>
                          <w:szCs w:val="24"/>
                        </w:rPr>
                      </w:pPr>
                      <w:r w:rsidRPr="00165BAD">
                        <w:rPr>
                          <w:b/>
                          <w:bCs/>
                          <w:sz w:val="24"/>
                          <w:szCs w:val="24"/>
                        </w:rPr>
                        <w:t>GORCAP EEA area</w:t>
                      </w:r>
                    </w:p>
                  </w:txbxContent>
                </v:textbox>
              </v:shape>
            </w:pict>
          </mc:Fallback>
        </mc:AlternateContent>
      </w:r>
      <w:r w:rsidR="006510A4" w:rsidRPr="004A34E0">
        <w:rPr>
          <w:noProof/>
        </w:rPr>
        <w:drawing>
          <wp:inline distT="0" distB="0" distL="0" distR="0" wp14:anchorId="636BF5D9" wp14:editId="5C2DADA8">
            <wp:extent cx="13599128" cy="6639784"/>
            <wp:effectExtent l="12700" t="12700" r="15875" b="1524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cstate="email">
                      <a:extLst>
                        <a:ext uri="{28A0092B-C50C-407E-A947-70E740481C1C}">
                          <a14:useLocalDpi xmlns:a14="http://schemas.microsoft.com/office/drawing/2010/main"/>
                        </a:ext>
                      </a:extLst>
                    </a:blip>
                    <a:stretch>
                      <a:fillRect/>
                    </a:stretch>
                  </pic:blipFill>
                  <pic:spPr>
                    <a:xfrm>
                      <a:off x="0" y="0"/>
                      <a:ext cx="13612112" cy="6646123"/>
                    </a:xfrm>
                    <a:prstGeom prst="rect">
                      <a:avLst/>
                    </a:prstGeom>
                    <a:ln>
                      <a:solidFill>
                        <a:schemeClr val="tx1"/>
                      </a:solidFill>
                    </a:ln>
                  </pic:spPr>
                </pic:pic>
              </a:graphicData>
            </a:graphic>
          </wp:inline>
        </w:drawing>
      </w:r>
    </w:p>
    <w:p w14:paraId="5061E3B7" w14:textId="77777777" w:rsidR="007904E8" w:rsidRPr="004A34E0" w:rsidRDefault="007904E8" w:rsidP="007904E8">
      <w:pPr>
        <w:pStyle w:val="BodyText"/>
      </w:pPr>
      <w:r w:rsidRPr="004A34E0">
        <w:lastRenderedPageBreak/>
        <w:t xml:space="preserve">Table 46 summarises the uncertainty associated with these results and shows that there is high uncertainty associated with the estimates of fish biomass enhancement because of a lack of evidence, combined with the inherent uncertainty of the relationship due to its complexity and the assumption that the ecological interactions that have been modelled in the literature are representative of those that exist within the GORCAP EEA region. Also, for commercial production it is assumed that the proportion of </w:t>
      </w:r>
      <w:r w:rsidRPr="004A34E0">
        <w:rPr>
          <w:i/>
        </w:rPr>
        <w:t>all</w:t>
      </w:r>
      <w:r w:rsidRPr="004A34E0">
        <w:t xml:space="preserve"> the agricultural production that occurs within the SA4 areas is representative of that occurring within the urban Melbourne region.</w:t>
      </w:r>
    </w:p>
    <w:p w14:paraId="5669C230" w14:textId="77777777" w:rsidR="007904E8" w:rsidRPr="004A34E0" w:rsidRDefault="007904E8" w:rsidP="00484CDC">
      <w:pPr>
        <w:pStyle w:val="Caption"/>
      </w:pPr>
      <w:r w:rsidRPr="004A34E0">
        <w:t>Table 46. Uncertainty assessment - physical quantity of biomass - food</w:t>
      </w:r>
    </w:p>
    <w:tbl>
      <w:tblPr>
        <w:tblStyle w:val="TableGrid"/>
        <w:tblW w:w="5000" w:type="pct"/>
        <w:tblLook w:val="04A0" w:firstRow="1" w:lastRow="0" w:firstColumn="1" w:lastColumn="0" w:noHBand="0" w:noVBand="1"/>
      </w:tblPr>
      <w:tblGrid>
        <w:gridCol w:w="1360"/>
        <w:gridCol w:w="3594"/>
        <w:gridCol w:w="3978"/>
        <w:gridCol w:w="706"/>
      </w:tblGrid>
      <w:tr w:rsidR="007904E8" w:rsidRPr="004A34E0" w14:paraId="65FB6ED6" w14:textId="77777777" w:rsidTr="003D0D3F">
        <w:trPr>
          <w:cnfStyle w:val="100000000000" w:firstRow="1" w:lastRow="0" w:firstColumn="0" w:lastColumn="0" w:oddVBand="0" w:evenVBand="0" w:oddHBand="0"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672" w:type="pct"/>
          </w:tcPr>
          <w:p w14:paraId="19AE9F27" w14:textId="77777777" w:rsidR="007904E8" w:rsidRPr="004A34E0" w:rsidRDefault="007904E8" w:rsidP="00666947">
            <w:pPr>
              <w:pStyle w:val="TableTextLeft"/>
            </w:pPr>
          </w:p>
        </w:tc>
        <w:tc>
          <w:tcPr>
            <w:tcW w:w="3951" w:type="pct"/>
            <w:gridSpan w:val="2"/>
          </w:tcPr>
          <w:p w14:paraId="5B1C5B61"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Uncertainty in…</w:t>
            </w:r>
          </w:p>
        </w:tc>
        <w:tc>
          <w:tcPr>
            <w:tcW w:w="377" w:type="pct"/>
          </w:tcPr>
          <w:p w14:paraId="69EA8BA0"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rPr>
                <w:b/>
              </w:rPr>
            </w:pPr>
          </w:p>
        </w:tc>
      </w:tr>
      <w:tr w:rsidR="007904E8" w:rsidRPr="004A34E0" w14:paraId="15B9AAB5" w14:textId="77777777" w:rsidTr="003D0D3F">
        <w:trPr>
          <w:trHeight w:val="247"/>
        </w:trPr>
        <w:tc>
          <w:tcPr>
            <w:cnfStyle w:val="001000000000" w:firstRow="0" w:lastRow="0" w:firstColumn="1" w:lastColumn="0" w:oddVBand="0" w:evenVBand="0" w:oddHBand="0" w:evenHBand="0" w:firstRowFirstColumn="0" w:firstRowLastColumn="0" w:lastRowFirstColumn="0" w:lastRowLastColumn="0"/>
            <w:tcW w:w="672" w:type="pct"/>
            <w:tcBorders>
              <w:top w:val="nil"/>
            </w:tcBorders>
            <w:shd w:val="clear" w:color="auto" w:fill="004C97" w:themeFill="accent1"/>
          </w:tcPr>
          <w:p w14:paraId="79D7EF4A" w14:textId="77777777" w:rsidR="007904E8" w:rsidRPr="003D0D3F" w:rsidRDefault="007904E8" w:rsidP="00666947">
            <w:pPr>
              <w:pStyle w:val="TableTextLeft"/>
              <w:rPr>
                <w:color w:val="FFFFFF" w:themeColor="background1"/>
              </w:rPr>
            </w:pPr>
          </w:p>
        </w:tc>
        <w:tc>
          <w:tcPr>
            <w:tcW w:w="1876" w:type="pct"/>
            <w:tcBorders>
              <w:top w:val="nil"/>
            </w:tcBorders>
            <w:shd w:val="clear" w:color="auto" w:fill="004C97" w:themeFill="accent1"/>
          </w:tcPr>
          <w:p w14:paraId="6C03EB22"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3D0D3F">
              <w:rPr>
                <w:b/>
                <w:color w:val="FFFFFF" w:themeColor="background1"/>
              </w:rPr>
              <w:t xml:space="preserve">Evidence </w:t>
            </w:r>
          </w:p>
        </w:tc>
        <w:tc>
          <w:tcPr>
            <w:tcW w:w="2075" w:type="pct"/>
            <w:tcBorders>
              <w:top w:val="nil"/>
            </w:tcBorders>
            <w:shd w:val="clear" w:color="auto" w:fill="004C97" w:themeFill="accent1"/>
          </w:tcPr>
          <w:p w14:paraId="6D605DED"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3D0D3F">
              <w:rPr>
                <w:b/>
                <w:color w:val="FFFFFF" w:themeColor="background1"/>
              </w:rPr>
              <w:t>Assumptions</w:t>
            </w:r>
          </w:p>
        </w:tc>
        <w:tc>
          <w:tcPr>
            <w:tcW w:w="377" w:type="pct"/>
            <w:tcBorders>
              <w:top w:val="nil"/>
            </w:tcBorders>
            <w:shd w:val="clear" w:color="auto" w:fill="004C97" w:themeFill="accent1"/>
          </w:tcPr>
          <w:p w14:paraId="25004090"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r w:rsidRPr="003D0D3F">
              <w:rPr>
                <w:b/>
                <w:color w:val="FFFFFF" w:themeColor="background1"/>
              </w:rPr>
              <w:t>Total</w:t>
            </w:r>
          </w:p>
        </w:tc>
      </w:tr>
      <w:tr w:rsidR="007904E8" w:rsidRPr="004A34E0" w14:paraId="5F9DC7D9" w14:textId="77777777" w:rsidTr="000A2646">
        <w:trPr>
          <w:trHeight w:val="75"/>
        </w:trPr>
        <w:tc>
          <w:tcPr>
            <w:cnfStyle w:val="001000000000" w:firstRow="0" w:lastRow="0" w:firstColumn="1" w:lastColumn="0" w:oddVBand="0" w:evenVBand="0" w:oddHBand="0" w:evenHBand="0" w:firstRowFirstColumn="0" w:firstRowLastColumn="0" w:lastRowFirstColumn="0" w:lastRowLastColumn="0"/>
            <w:tcW w:w="672" w:type="pct"/>
          </w:tcPr>
          <w:p w14:paraId="0ED6A5CB" w14:textId="77777777" w:rsidR="007904E8" w:rsidRPr="004A34E0" w:rsidRDefault="007904E8" w:rsidP="00666947">
            <w:pPr>
              <w:pStyle w:val="TableTextLeft"/>
              <w:rPr>
                <w:b/>
              </w:rPr>
            </w:pPr>
            <w:r w:rsidRPr="004A34E0">
              <w:rPr>
                <w:b/>
              </w:rPr>
              <w:t>Explanation</w:t>
            </w:r>
          </w:p>
        </w:tc>
        <w:tc>
          <w:tcPr>
            <w:tcW w:w="1876" w:type="pct"/>
          </w:tcPr>
          <w:p w14:paraId="5BA30D86"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There is no evidence on the actual area of productive farmland or the agricultural output and value specifically for the GORCAP region within this study.</w:t>
            </w:r>
          </w:p>
          <w:p w14:paraId="194AB10A"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 xml:space="preserve">There is one key source of evidence on the contribution of wetland habitats to biomass enhancement of fish catch in south-eastern Australia. The complexity and location specificity of the interaction between habitat status (extent and condition) and fish stock life cycles makes estimates attribution of fish stock enhancement to habitats inherently uncertain. </w:t>
            </w:r>
          </w:p>
          <w:p w14:paraId="61767A90"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There is no evidence of abalone harvest specifically in the GORCAP region.</w:t>
            </w:r>
          </w:p>
        </w:tc>
        <w:tc>
          <w:tcPr>
            <w:tcW w:w="2075" w:type="pct"/>
          </w:tcPr>
          <w:p w14:paraId="1948CD6B"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 xml:space="preserve">It is assumed that a proportion of </w:t>
            </w:r>
            <w:r w:rsidRPr="004A34E0">
              <w:rPr>
                <w:i/>
              </w:rPr>
              <w:t>all</w:t>
            </w:r>
            <w:r w:rsidRPr="004A34E0">
              <w:t xml:space="preserve"> the agricultural production that occurs within the SA4 areas is representative of that occurring within the GORCAP region, whereas in reality, the mix of agriculture occurring within the GORCAP region is likely different to that occurring across the whole SA4 region.</w:t>
            </w:r>
          </w:p>
          <w:p w14:paraId="18FD32F4"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 xml:space="preserve">It is assumed that the estimates of fish biomass enhancement are representative of the ecological interactions between wetland habitats and fish stocks within the GORCAP region in 2019. </w:t>
            </w:r>
          </w:p>
          <w:p w14:paraId="44986D24"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It is assumed that abalone biomass harvesting in the GORCAP region can be estimated as a proportion of total Victorian abalone harvesting.</w:t>
            </w:r>
          </w:p>
        </w:tc>
        <w:tc>
          <w:tcPr>
            <w:tcW w:w="377" w:type="pct"/>
          </w:tcPr>
          <w:p w14:paraId="269FE84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High</w:t>
            </w:r>
          </w:p>
        </w:tc>
      </w:tr>
      <w:tr w:rsidR="007904E8" w:rsidRPr="004A34E0" w14:paraId="11A0AFDF" w14:textId="77777777" w:rsidTr="00484CDC">
        <w:trPr>
          <w:trHeight w:val="194"/>
        </w:trPr>
        <w:tc>
          <w:tcPr>
            <w:cnfStyle w:val="001000000000" w:firstRow="0" w:lastRow="0" w:firstColumn="1" w:lastColumn="0" w:oddVBand="0" w:evenVBand="0" w:oddHBand="0" w:evenHBand="0" w:firstRowFirstColumn="0" w:firstRowLastColumn="0" w:lastRowFirstColumn="0" w:lastRowLastColumn="0"/>
            <w:tcW w:w="672" w:type="pct"/>
            <w:shd w:val="clear" w:color="auto" w:fill="CCDBEA" w:themeFill="background2"/>
          </w:tcPr>
          <w:p w14:paraId="4308BF8D" w14:textId="77777777" w:rsidR="007904E8" w:rsidRPr="004A34E0" w:rsidRDefault="007904E8" w:rsidP="00666947">
            <w:pPr>
              <w:pStyle w:val="TableTextLeft"/>
              <w:rPr>
                <w:b/>
              </w:rPr>
            </w:pPr>
            <w:r w:rsidRPr="004A34E0">
              <w:rPr>
                <w:b/>
              </w:rPr>
              <w:t xml:space="preserve">Rating </w:t>
            </w:r>
          </w:p>
        </w:tc>
        <w:tc>
          <w:tcPr>
            <w:tcW w:w="1876" w:type="pct"/>
            <w:shd w:val="clear" w:color="auto" w:fill="CCDBEA" w:themeFill="background2"/>
          </w:tcPr>
          <w:p w14:paraId="41A9576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w:t>
            </w:r>
          </w:p>
        </w:tc>
        <w:tc>
          <w:tcPr>
            <w:tcW w:w="2075" w:type="pct"/>
            <w:shd w:val="clear" w:color="auto" w:fill="CCDBEA" w:themeFill="background2"/>
          </w:tcPr>
          <w:p w14:paraId="188A88F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w:t>
            </w:r>
          </w:p>
        </w:tc>
        <w:tc>
          <w:tcPr>
            <w:tcW w:w="377" w:type="pct"/>
            <w:shd w:val="clear" w:color="auto" w:fill="CCDBEA" w:themeFill="background2"/>
          </w:tcPr>
          <w:p w14:paraId="15B6672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6</w:t>
            </w:r>
          </w:p>
        </w:tc>
      </w:tr>
    </w:tbl>
    <w:p w14:paraId="5B8E8724" w14:textId="77777777" w:rsidR="007904E8" w:rsidRPr="000A2646" w:rsidRDefault="007904E8" w:rsidP="00A2745D">
      <w:pPr>
        <w:pStyle w:val="AlphaHeading4"/>
      </w:pPr>
      <w:r w:rsidRPr="000A2646">
        <w:t>Monetary value of biomass - food</w:t>
      </w:r>
    </w:p>
    <w:p w14:paraId="05E36A11" w14:textId="77777777" w:rsidR="007904E8" w:rsidRPr="004A34E0" w:rsidRDefault="007904E8" w:rsidP="007904E8">
      <w:pPr>
        <w:pStyle w:val="ListBullet"/>
      </w:pPr>
      <w:r w:rsidRPr="004A34E0">
        <w:t>Agriculture</w:t>
      </w:r>
      <w:r w:rsidRPr="004A34E0">
        <w:rPr>
          <w:b/>
        </w:rPr>
        <w:t xml:space="preserve">:  </w:t>
      </w:r>
      <w:r w:rsidRPr="004A34E0">
        <w:t>The annual economic value ($AUD) of agricultural production within the GORCAP EEA region is estimated to be approximately $11.4 million</w:t>
      </w:r>
      <w:r w:rsidRPr="004A34E0">
        <w:rPr>
          <w:vertAlign w:val="superscript"/>
        </w:rPr>
        <w:footnoteReference w:id="69"/>
      </w:r>
      <w:r w:rsidRPr="004A34E0">
        <w:t xml:space="preserve"> (with an assumed resource rent of 20 per cent applied), see Table 47:</w:t>
      </w:r>
    </w:p>
    <w:p w14:paraId="0068B691" w14:textId="77777777" w:rsidR="007904E8" w:rsidRPr="004A34E0" w:rsidRDefault="007904E8" w:rsidP="00270081">
      <w:pPr>
        <w:pStyle w:val="Caption"/>
      </w:pPr>
      <w:r w:rsidRPr="004A34E0">
        <w:t>Table 47. Estimated annual economic value ($, 2021) of agricultural production in GORCAP EEA region in 2019-20</w:t>
      </w:r>
    </w:p>
    <w:tbl>
      <w:tblPr>
        <w:tblStyle w:val="TableGrid"/>
        <w:tblW w:w="5000" w:type="pct"/>
        <w:tblLook w:val="04A0" w:firstRow="1" w:lastRow="0" w:firstColumn="1" w:lastColumn="0" w:noHBand="0" w:noVBand="1"/>
      </w:tblPr>
      <w:tblGrid>
        <w:gridCol w:w="3444"/>
        <w:gridCol w:w="1707"/>
        <w:gridCol w:w="2363"/>
        <w:gridCol w:w="2124"/>
      </w:tblGrid>
      <w:tr w:rsidR="007904E8" w:rsidRPr="004A34E0" w14:paraId="5465B1C6" w14:textId="77777777" w:rsidTr="000A2646">
        <w:trPr>
          <w:cnfStyle w:val="100000000000" w:firstRow="1" w:lastRow="0" w:firstColumn="0" w:lastColumn="0" w:oddVBand="0" w:evenVBand="0" w:oddHBand="0" w:evenHBand="0" w:firstRowFirstColumn="0" w:firstRowLastColumn="0" w:lastRowFirstColumn="0" w:lastRowLastColumn="0"/>
          <w:trHeight w:val="205"/>
        </w:trPr>
        <w:tc>
          <w:tcPr>
            <w:cnfStyle w:val="001000000000" w:firstRow="0" w:lastRow="0" w:firstColumn="1" w:lastColumn="0" w:oddVBand="0" w:evenVBand="0" w:oddHBand="0" w:evenHBand="0" w:firstRowFirstColumn="0" w:firstRowLastColumn="0" w:lastRowFirstColumn="0" w:lastRowLastColumn="0"/>
            <w:tcW w:w="1786" w:type="pct"/>
          </w:tcPr>
          <w:p w14:paraId="7CF0AC2D" w14:textId="77777777" w:rsidR="007904E8" w:rsidRPr="004A34E0" w:rsidRDefault="007904E8" w:rsidP="007904E8">
            <w:pPr>
              <w:pStyle w:val="TableTextLeft"/>
              <w:keepNext w:val="0"/>
            </w:pPr>
            <w:r w:rsidRPr="004A34E0">
              <w:rPr>
                <w:b/>
              </w:rPr>
              <w:t>Agricultural produce</w:t>
            </w:r>
          </w:p>
        </w:tc>
        <w:tc>
          <w:tcPr>
            <w:tcW w:w="885" w:type="pct"/>
          </w:tcPr>
          <w:p w14:paraId="380A2C3D"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pPr>
            <w:r w:rsidRPr="004A34E0">
              <w:rPr>
                <w:b/>
              </w:rPr>
              <w:t>Geelong</w:t>
            </w:r>
          </w:p>
        </w:tc>
        <w:tc>
          <w:tcPr>
            <w:tcW w:w="1226" w:type="pct"/>
          </w:tcPr>
          <w:p w14:paraId="794FFD98"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pPr>
            <w:r w:rsidRPr="004A34E0">
              <w:rPr>
                <w:b/>
              </w:rPr>
              <w:t>Warrnambool and South-West</w:t>
            </w:r>
          </w:p>
        </w:tc>
        <w:tc>
          <w:tcPr>
            <w:tcW w:w="1102" w:type="pct"/>
          </w:tcPr>
          <w:p w14:paraId="0CC09D78"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rPr>
                <w:b/>
              </w:rPr>
            </w:pPr>
            <w:r w:rsidRPr="004A34E0">
              <w:rPr>
                <w:b/>
              </w:rPr>
              <w:t>Total GORCAP region</w:t>
            </w:r>
          </w:p>
        </w:tc>
      </w:tr>
      <w:tr w:rsidR="007904E8" w:rsidRPr="004A34E0" w14:paraId="1F62A19B" w14:textId="77777777" w:rsidTr="000A2646">
        <w:trPr>
          <w:trHeight w:val="75"/>
        </w:trPr>
        <w:tc>
          <w:tcPr>
            <w:cnfStyle w:val="001000000000" w:firstRow="0" w:lastRow="0" w:firstColumn="1" w:lastColumn="0" w:oddVBand="0" w:evenVBand="0" w:oddHBand="0" w:evenHBand="0" w:firstRowFirstColumn="0" w:firstRowLastColumn="0" w:lastRowFirstColumn="0" w:lastRowLastColumn="0"/>
            <w:tcW w:w="1786" w:type="pct"/>
          </w:tcPr>
          <w:p w14:paraId="5C61E713" w14:textId="77777777" w:rsidR="007904E8" w:rsidRPr="004A34E0" w:rsidRDefault="007904E8" w:rsidP="00666947">
            <w:pPr>
              <w:pStyle w:val="TableTextLeft"/>
            </w:pPr>
            <w:r w:rsidRPr="004A34E0">
              <w:t>Broadacre crops</w:t>
            </w:r>
          </w:p>
        </w:tc>
        <w:tc>
          <w:tcPr>
            <w:tcW w:w="885" w:type="pct"/>
          </w:tcPr>
          <w:p w14:paraId="32EA9E3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$231,560 </w:t>
            </w:r>
          </w:p>
        </w:tc>
        <w:tc>
          <w:tcPr>
            <w:tcW w:w="1226" w:type="pct"/>
          </w:tcPr>
          <w:p w14:paraId="6DC392E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$730,404 </w:t>
            </w:r>
          </w:p>
        </w:tc>
        <w:tc>
          <w:tcPr>
            <w:tcW w:w="1102" w:type="pct"/>
          </w:tcPr>
          <w:p w14:paraId="02E8286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$961,963 </w:t>
            </w:r>
          </w:p>
        </w:tc>
      </w:tr>
      <w:tr w:rsidR="007904E8" w:rsidRPr="004A34E0" w14:paraId="10D61CDD" w14:textId="77777777" w:rsidTr="000A2646">
        <w:trPr>
          <w:trHeight w:val="75"/>
        </w:trPr>
        <w:tc>
          <w:tcPr>
            <w:cnfStyle w:val="001000000000" w:firstRow="0" w:lastRow="0" w:firstColumn="1" w:lastColumn="0" w:oddVBand="0" w:evenVBand="0" w:oddHBand="0" w:evenHBand="0" w:firstRowFirstColumn="0" w:firstRowLastColumn="0" w:lastRowFirstColumn="0" w:lastRowLastColumn="0"/>
            <w:tcW w:w="1786" w:type="pct"/>
          </w:tcPr>
          <w:p w14:paraId="25DE74E7" w14:textId="77777777" w:rsidR="007904E8" w:rsidRPr="004A34E0" w:rsidRDefault="007904E8" w:rsidP="00666947">
            <w:pPr>
              <w:pStyle w:val="TableTextLeft"/>
            </w:pPr>
            <w:r w:rsidRPr="004A34E0">
              <w:t>Fruit and nuts</w:t>
            </w:r>
          </w:p>
        </w:tc>
        <w:tc>
          <w:tcPr>
            <w:tcW w:w="885" w:type="pct"/>
          </w:tcPr>
          <w:p w14:paraId="6237983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$450 </w:t>
            </w:r>
          </w:p>
        </w:tc>
        <w:tc>
          <w:tcPr>
            <w:tcW w:w="1226" w:type="pct"/>
          </w:tcPr>
          <w:p w14:paraId="09D8193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$8,176 </w:t>
            </w:r>
          </w:p>
        </w:tc>
        <w:tc>
          <w:tcPr>
            <w:tcW w:w="1102" w:type="pct"/>
          </w:tcPr>
          <w:p w14:paraId="424CA15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$8,626 </w:t>
            </w:r>
          </w:p>
        </w:tc>
      </w:tr>
      <w:tr w:rsidR="007904E8" w:rsidRPr="004A34E0" w14:paraId="4B8DE505" w14:textId="77777777" w:rsidTr="000A2646">
        <w:trPr>
          <w:trHeight w:val="79"/>
        </w:trPr>
        <w:tc>
          <w:tcPr>
            <w:cnfStyle w:val="001000000000" w:firstRow="0" w:lastRow="0" w:firstColumn="1" w:lastColumn="0" w:oddVBand="0" w:evenVBand="0" w:oddHBand="0" w:evenHBand="0" w:firstRowFirstColumn="0" w:firstRowLastColumn="0" w:lastRowFirstColumn="0" w:lastRowLastColumn="0"/>
            <w:tcW w:w="1786" w:type="pct"/>
          </w:tcPr>
          <w:p w14:paraId="011DFBBE" w14:textId="77777777" w:rsidR="007904E8" w:rsidRPr="004A34E0" w:rsidRDefault="007904E8" w:rsidP="00666947">
            <w:pPr>
              <w:pStyle w:val="TableTextLeft"/>
            </w:pPr>
            <w:r w:rsidRPr="004A34E0">
              <w:t>Grapes – Wine production</w:t>
            </w:r>
          </w:p>
        </w:tc>
        <w:tc>
          <w:tcPr>
            <w:tcW w:w="885" w:type="pct"/>
          </w:tcPr>
          <w:p w14:paraId="764F570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$1,261 </w:t>
            </w:r>
          </w:p>
        </w:tc>
        <w:tc>
          <w:tcPr>
            <w:tcW w:w="1226" w:type="pct"/>
          </w:tcPr>
          <w:p w14:paraId="5CC996E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$1,904 </w:t>
            </w:r>
          </w:p>
        </w:tc>
        <w:tc>
          <w:tcPr>
            <w:tcW w:w="1102" w:type="pct"/>
          </w:tcPr>
          <w:p w14:paraId="3CB01E7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$3,165 </w:t>
            </w:r>
          </w:p>
        </w:tc>
      </w:tr>
      <w:tr w:rsidR="007904E8" w:rsidRPr="004A34E0" w14:paraId="6F5D0BD7" w14:textId="77777777" w:rsidTr="000A2646">
        <w:trPr>
          <w:trHeight w:val="83"/>
        </w:trPr>
        <w:tc>
          <w:tcPr>
            <w:cnfStyle w:val="001000000000" w:firstRow="0" w:lastRow="0" w:firstColumn="1" w:lastColumn="0" w:oddVBand="0" w:evenVBand="0" w:oddHBand="0" w:evenHBand="0" w:firstRowFirstColumn="0" w:firstRowLastColumn="0" w:lastRowFirstColumn="0" w:lastRowLastColumn="0"/>
            <w:tcW w:w="1786" w:type="pct"/>
          </w:tcPr>
          <w:p w14:paraId="1D97BB39" w14:textId="77777777" w:rsidR="007904E8" w:rsidRPr="004A34E0" w:rsidRDefault="007904E8" w:rsidP="00666947">
            <w:pPr>
              <w:pStyle w:val="TableTextLeft"/>
            </w:pPr>
            <w:r w:rsidRPr="004A34E0">
              <w:t>Vegetables</w:t>
            </w:r>
          </w:p>
        </w:tc>
        <w:tc>
          <w:tcPr>
            <w:tcW w:w="885" w:type="pct"/>
          </w:tcPr>
          <w:p w14:paraId="60F63B5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$25,104 </w:t>
            </w:r>
          </w:p>
        </w:tc>
        <w:tc>
          <w:tcPr>
            <w:tcW w:w="1226" w:type="pct"/>
          </w:tcPr>
          <w:p w14:paraId="614F7D4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$66,170 </w:t>
            </w:r>
          </w:p>
        </w:tc>
        <w:tc>
          <w:tcPr>
            <w:tcW w:w="1102" w:type="pct"/>
          </w:tcPr>
          <w:p w14:paraId="4186E71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$91,274 </w:t>
            </w:r>
          </w:p>
        </w:tc>
      </w:tr>
      <w:tr w:rsidR="007904E8" w:rsidRPr="004A34E0" w14:paraId="01E995C8" w14:textId="77777777" w:rsidTr="000A2646">
        <w:trPr>
          <w:trHeight w:val="87"/>
        </w:trPr>
        <w:tc>
          <w:tcPr>
            <w:cnfStyle w:val="001000000000" w:firstRow="0" w:lastRow="0" w:firstColumn="1" w:lastColumn="0" w:oddVBand="0" w:evenVBand="0" w:oddHBand="0" w:evenHBand="0" w:firstRowFirstColumn="0" w:firstRowLastColumn="0" w:lastRowFirstColumn="0" w:lastRowLastColumn="0"/>
            <w:tcW w:w="1786" w:type="pct"/>
          </w:tcPr>
          <w:p w14:paraId="5F9C1BCF" w14:textId="77777777" w:rsidR="007904E8" w:rsidRPr="004A34E0" w:rsidRDefault="007904E8" w:rsidP="00666947">
            <w:pPr>
              <w:pStyle w:val="TableTextLeft"/>
              <w:rPr>
                <w:i/>
              </w:rPr>
            </w:pPr>
            <w:r w:rsidRPr="004A34E0">
              <w:rPr>
                <w:i/>
              </w:rPr>
              <w:t>Livestock products</w:t>
            </w:r>
          </w:p>
        </w:tc>
        <w:tc>
          <w:tcPr>
            <w:tcW w:w="885" w:type="pct"/>
          </w:tcPr>
          <w:p w14:paraId="02E3B2D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226" w:type="pct"/>
          </w:tcPr>
          <w:p w14:paraId="74507F0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102" w:type="pct"/>
          </w:tcPr>
          <w:p w14:paraId="4F260DB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39DA547C" w14:textId="77777777" w:rsidTr="000A2646">
        <w:trPr>
          <w:trHeight w:val="233"/>
        </w:trPr>
        <w:tc>
          <w:tcPr>
            <w:cnfStyle w:val="001000000000" w:firstRow="0" w:lastRow="0" w:firstColumn="1" w:lastColumn="0" w:oddVBand="0" w:evenVBand="0" w:oddHBand="0" w:evenHBand="0" w:firstRowFirstColumn="0" w:firstRowLastColumn="0" w:lastRowFirstColumn="0" w:lastRowLastColumn="0"/>
            <w:tcW w:w="1786" w:type="pct"/>
          </w:tcPr>
          <w:p w14:paraId="7923BAC5" w14:textId="77777777" w:rsidR="007904E8" w:rsidRPr="004A34E0" w:rsidRDefault="007904E8" w:rsidP="007904E8">
            <w:pPr>
              <w:pStyle w:val="ListBullet"/>
              <w:spacing w:before="120" w:after="120"/>
            </w:pPr>
            <w:r w:rsidRPr="004A34E0">
              <w:lastRenderedPageBreak/>
              <w:t>Milk (dairy cattle)</w:t>
            </w:r>
          </w:p>
        </w:tc>
        <w:tc>
          <w:tcPr>
            <w:tcW w:w="885" w:type="pct"/>
          </w:tcPr>
          <w:p w14:paraId="6AC122B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$163 </w:t>
            </w:r>
          </w:p>
        </w:tc>
        <w:tc>
          <w:tcPr>
            <w:tcW w:w="1226" w:type="pct"/>
          </w:tcPr>
          <w:p w14:paraId="0E5D765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$3,153,594 </w:t>
            </w:r>
          </w:p>
        </w:tc>
        <w:tc>
          <w:tcPr>
            <w:tcW w:w="1102" w:type="pct"/>
          </w:tcPr>
          <w:p w14:paraId="329283E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$3,153,756 </w:t>
            </w:r>
          </w:p>
        </w:tc>
      </w:tr>
      <w:tr w:rsidR="007904E8" w:rsidRPr="004A34E0" w14:paraId="04CD5D33" w14:textId="77777777" w:rsidTr="000A2646">
        <w:trPr>
          <w:trHeight w:val="122"/>
        </w:trPr>
        <w:tc>
          <w:tcPr>
            <w:cnfStyle w:val="001000000000" w:firstRow="0" w:lastRow="0" w:firstColumn="1" w:lastColumn="0" w:oddVBand="0" w:evenVBand="0" w:oddHBand="0" w:evenHBand="0" w:firstRowFirstColumn="0" w:firstRowLastColumn="0" w:lastRowFirstColumn="0" w:lastRowLastColumn="0"/>
            <w:tcW w:w="1786" w:type="pct"/>
          </w:tcPr>
          <w:p w14:paraId="07E7FBA8" w14:textId="77777777" w:rsidR="007904E8" w:rsidRPr="004A34E0" w:rsidRDefault="007904E8" w:rsidP="007904E8">
            <w:pPr>
              <w:pStyle w:val="ListBullet"/>
              <w:spacing w:before="120" w:after="120"/>
            </w:pPr>
            <w:r w:rsidRPr="004A34E0">
              <w:t>Eggs (dozens)</w:t>
            </w:r>
          </w:p>
        </w:tc>
        <w:tc>
          <w:tcPr>
            <w:tcW w:w="885" w:type="pct"/>
          </w:tcPr>
          <w:p w14:paraId="69AE110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$70,260 </w:t>
            </w:r>
          </w:p>
        </w:tc>
        <w:tc>
          <w:tcPr>
            <w:tcW w:w="1226" w:type="pct"/>
          </w:tcPr>
          <w:p w14:paraId="55CF3D5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$1,875 </w:t>
            </w:r>
          </w:p>
        </w:tc>
        <w:tc>
          <w:tcPr>
            <w:tcW w:w="1102" w:type="pct"/>
          </w:tcPr>
          <w:p w14:paraId="0A6FF9C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$72,135 </w:t>
            </w:r>
          </w:p>
        </w:tc>
      </w:tr>
      <w:tr w:rsidR="007904E8" w:rsidRPr="004A34E0" w14:paraId="4B0C2923" w14:textId="77777777" w:rsidTr="000A2646">
        <w:trPr>
          <w:trHeight w:val="75"/>
        </w:trPr>
        <w:tc>
          <w:tcPr>
            <w:cnfStyle w:val="001000000000" w:firstRow="0" w:lastRow="0" w:firstColumn="1" w:lastColumn="0" w:oddVBand="0" w:evenVBand="0" w:oddHBand="0" w:evenHBand="0" w:firstRowFirstColumn="0" w:firstRowLastColumn="0" w:lastRowFirstColumn="0" w:lastRowLastColumn="0"/>
            <w:tcW w:w="1786" w:type="pct"/>
          </w:tcPr>
          <w:p w14:paraId="557D1936" w14:textId="77777777" w:rsidR="007904E8" w:rsidRPr="004A34E0" w:rsidRDefault="007904E8" w:rsidP="00666947">
            <w:pPr>
              <w:pStyle w:val="TableTextLeft"/>
              <w:rPr>
                <w:i/>
              </w:rPr>
            </w:pPr>
            <w:r w:rsidRPr="004A34E0">
              <w:rPr>
                <w:i/>
              </w:rPr>
              <w:t>Livestock slaughtered</w:t>
            </w:r>
          </w:p>
        </w:tc>
        <w:tc>
          <w:tcPr>
            <w:tcW w:w="885" w:type="pct"/>
          </w:tcPr>
          <w:p w14:paraId="3B3D027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226" w:type="pct"/>
          </w:tcPr>
          <w:p w14:paraId="2E952F0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102" w:type="pct"/>
          </w:tcPr>
          <w:p w14:paraId="2C3A138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0B4FF8BA" w14:textId="77777777" w:rsidTr="000A2646">
        <w:trPr>
          <w:trHeight w:val="75"/>
        </w:trPr>
        <w:tc>
          <w:tcPr>
            <w:cnfStyle w:val="001000000000" w:firstRow="0" w:lastRow="0" w:firstColumn="1" w:lastColumn="0" w:oddVBand="0" w:evenVBand="0" w:oddHBand="0" w:evenHBand="0" w:firstRowFirstColumn="0" w:firstRowLastColumn="0" w:lastRowFirstColumn="0" w:lastRowLastColumn="0"/>
            <w:tcW w:w="1786" w:type="pct"/>
          </w:tcPr>
          <w:p w14:paraId="2C9310A9" w14:textId="77777777" w:rsidR="007904E8" w:rsidRPr="004A34E0" w:rsidRDefault="007904E8" w:rsidP="007904E8">
            <w:pPr>
              <w:pStyle w:val="ListBullet"/>
              <w:spacing w:before="120" w:after="120"/>
            </w:pPr>
            <w:r w:rsidRPr="004A34E0">
              <w:t>Sheep and lambs</w:t>
            </w:r>
          </w:p>
        </w:tc>
        <w:tc>
          <w:tcPr>
            <w:tcW w:w="885" w:type="pct"/>
          </w:tcPr>
          <w:p w14:paraId="20F3014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$282,430 </w:t>
            </w:r>
          </w:p>
        </w:tc>
        <w:tc>
          <w:tcPr>
            <w:tcW w:w="1226" w:type="pct"/>
          </w:tcPr>
          <w:p w14:paraId="2584F17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$2,115,842 </w:t>
            </w:r>
          </w:p>
        </w:tc>
        <w:tc>
          <w:tcPr>
            <w:tcW w:w="1102" w:type="pct"/>
          </w:tcPr>
          <w:p w14:paraId="7831031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$2,398,271 </w:t>
            </w:r>
          </w:p>
        </w:tc>
      </w:tr>
      <w:tr w:rsidR="007904E8" w:rsidRPr="004A34E0" w14:paraId="2B3FAEDA" w14:textId="77777777" w:rsidTr="000A2646">
        <w:trPr>
          <w:trHeight w:val="75"/>
        </w:trPr>
        <w:tc>
          <w:tcPr>
            <w:cnfStyle w:val="001000000000" w:firstRow="0" w:lastRow="0" w:firstColumn="1" w:lastColumn="0" w:oddVBand="0" w:evenVBand="0" w:oddHBand="0" w:evenHBand="0" w:firstRowFirstColumn="0" w:firstRowLastColumn="0" w:lastRowFirstColumn="0" w:lastRowLastColumn="0"/>
            <w:tcW w:w="1786" w:type="pct"/>
          </w:tcPr>
          <w:p w14:paraId="16059EC3" w14:textId="77777777" w:rsidR="007904E8" w:rsidRPr="004A34E0" w:rsidRDefault="007904E8" w:rsidP="007904E8">
            <w:pPr>
              <w:pStyle w:val="ListBullet"/>
              <w:spacing w:before="120" w:after="120"/>
              <w:rPr>
                <w:i/>
              </w:rPr>
            </w:pPr>
            <w:r w:rsidRPr="004A34E0">
              <w:t>Cattle and calves</w:t>
            </w:r>
          </w:p>
        </w:tc>
        <w:tc>
          <w:tcPr>
            <w:tcW w:w="885" w:type="pct"/>
          </w:tcPr>
          <w:p w14:paraId="70A8523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$105,072 </w:t>
            </w:r>
          </w:p>
        </w:tc>
        <w:tc>
          <w:tcPr>
            <w:tcW w:w="1226" w:type="pct"/>
          </w:tcPr>
          <w:p w14:paraId="0467DF3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$2,741,321 </w:t>
            </w:r>
          </w:p>
        </w:tc>
        <w:tc>
          <w:tcPr>
            <w:tcW w:w="1102" w:type="pct"/>
          </w:tcPr>
          <w:p w14:paraId="1FEB91A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$2,846,394 </w:t>
            </w:r>
          </w:p>
        </w:tc>
      </w:tr>
      <w:tr w:rsidR="007904E8" w:rsidRPr="004A34E0" w14:paraId="1D3BBBBA" w14:textId="77777777" w:rsidTr="000A2646">
        <w:trPr>
          <w:trHeight w:val="120"/>
        </w:trPr>
        <w:tc>
          <w:tcPr>
            <w:cnfStyle w:val="001000000000" w:firstRow="0" w:lastRow="0" w:firstColumn="1" w:lastColumn="0" w:oddVBand="0" w:evenVBand="0" w:oddHBand="0" w:evenHBand="0" w:firstRowFirstColumn="0" w:firstRowLastColumn="0" w:lastRowFirstColumn="0" w:lastRowLastColumn="0"/>
            <w:tcW w:w="1786" w:type="pct"/>
          </w:tcPr>
          <w:p w14:paraId="4523AC59" w14:textId="77777777" w:rsidR="007904E8" w:rsidRPr="004A34E0" w:rsidRDefault="007904E8" w:rsidP="007904E8">
            <w:pPr>
              <w:pStyle w:val="ListBullet"/>
              <w:spacing w:before="120" w:after="120"/>
            </w:pPr>
            <w:r w:rsidRPr="004A34E0">
              <w:t>Pigs</w:t>
            </w:r>
          </w:p>
        </w:tc>
        <w:tc>
          <w:tcPr>
            <w:tcW w:w="885" w:type="pct"/>
          </w:tcPr>
          <w:p w14:paraId="0497B34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$69,818 </w:t>
            </w:r>
          </w:p>
        </w:tc>
        <w:tc>
          <w:tcPr>
            <w:tcW w:w="1226" w:type="pct"/>
          </w:tcPr>
          <w:p w14:paraId="4AC5F95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$4,099 </w:t>
            </w:r>
          </w:p>
        </w:tc>
        <w:tc>
          <w:tcPr>
            <w:tcW w:w="1102" w:type="pct"/>
          </w:tcPr>
          <w:p w14:paraId="27FC830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$73,917 </w:t>
            </w:r>
          </w:p>
        </w:tc>
      </w:tr>
      <w:tr w:rsidR="007904E8" w:rsidRPr="004A34E0" w14:paraId="047872E5" w14:textId="77777777" w:rsidTr="000A2646">
        <w:trPr>
          <w:trHeight w:val="75"/>
        </w:trPr>
        <w:tc>
          <w:tcPr>
            <w:cnfStyle w:val="001000000000" w:firstRow="0" w:lastRow="0" w:firstColumn="1" w:lastColumn="0" w:oddVBand="0" w:evenVBand="0" w:oddHBand="0" w:evenHBand="0" w:firstRowFirstColumn="0" w:firstRowLastColumn="0" w:lastRowFirstColumn="0" w:lastRowLastColumn="0"/>
            <w:tcW w:w="1786" w:type="pct"/>
          </w:tcPr>
          <w:p w14:paraId="179D7EAD" w14:textId="77777777" w:rsidR="007904E8" w:rsidRPr="004A34E0" w:rsidRDefault="007904E8" w:rsidP="007904E8">
            <w:pPr>
              <w:pStyle w:val="ListBullet"/>
              <w:spacing w:before="120" w:after="120"/>
            </w:pPr>
            <w:r w:rsidRPr="004A34E0">
              <w:t>Poultry</w:t>
            </w:r>
          </w:p>
        </w:tc>
        <w:tc>
          <w:tcPr>
            <w:tcW w:w="885" w:type="pct"/>
          </w:tcPr>
          <w:p w14:paraId="10117DD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$351,227 </w:t>
            </w:r>
          </w:p>
        </w:tc>
        <w:tc>
          <w:tcPr>
            <w:tcW w:w="1226" w:type="pct"/>
          </w:tcPr>
          <w:p w14:paraId="0A15E73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$5,592 </w:t>
            </w:r>
          </w:p>
        </w:tc>
        <w:tc>
          <w:tcPr>
            <w:tcW w:w="1102" w:type="pct"/>
          </w:tcPr>
          <w:p w14:paraId="05540CB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$356,819 </w:t>
            </w:r>
          </w:p>
        </w:tc>
      </w:tr>
      <w:tr w:rsidR="007904E8" w:rsidRPr="004A34E0" w14:paraId="3921E303" w14:textId="77777777" w:rsidTr="000A2646">
        <w:trPr>
          <w:trHeight w:val="75"/>
        </w:trPr>
        <w:tc>
          <w:tcPr>
            <w:cnfStyle w:val="001000000000" w:firstRow="0" w:lastRow="0" w:firstColumn="1" w:lastColumn="0" w:oddVBand="0" w:evenVBand="0" w:oddHBand="0" w:evenHBand="0" w:firstRowFirstColumn="0" w:firstRowLastColumn="0" w:lastRowFirstColumn="0" w:lastRowLastColumn="0"/>
            <w:tcW w:w="1786" w:type="pct"/>
          </w:tcPr>
          <w:p w14:paraId="1BDC6754" w14:textId="77777777" w:rsidR="007904E8" w:rsidRPr="004A34E0" w:rsidRDefault="007904E8" w:rsidP="007904E8">
            <w:pPr>
              <w:pStyle w:val="ListBullet"/>
              <w:spacing w:before="120" w:after="120"/>
            </w:pPr>
            <w:r w:rsidRPr="004A34E0">
              <w:t>Other</w:t>
            </w:r>
          </w:p>
        </w:tc>
        <w:tc>
          <w:tcPr>
            <w:tcW w:w="885" w:type="pct"/>
          </w:tcPr>
          <w:p w14:paraId="7174B47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$9,424 </w:t>
            </w:r>
          </w:p>
        </w:tc>
        <w:tc>
          <w:tcPr>
            <w:tcW w:w="1226" w:type="pct"/>
          </w:tcPr>
          <w:p w14:paraId="253C26D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$27,305 </w:t>
            </w:r>
          </w:p>
        </w:tc>
        <w:tc>
          <w:tcPr>
            <w:tcW w:w="1102" w:type="pct"/>
          </w:tcPr>
          <w:p w14:paraId="0FAB492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$36,729 </w:t>
            </w:r>
          </w:p>
        </w:tc>
      </w:tr>
      <w:tr w:rsidR="007904E8" w:rsidRPr="004A34E0" w14:paraId="3FFF5FBD" w14:textId="77777777" w:rsidTr="000A2646">
        <w:trPr>
          <w:trHeight w:val="75"/>
        </w:trPr>
        <w:tc>
          <w:tcPr>
            <w:cnfStyle w:val="001000000000" w:firstRow="0" w:lastRow="0" w:firstColumn="1" w:lastColumn="0" w:oddVBand="0" w:evenVBand="0" w:oddHBand="0" w:evenHBand="0" w:firstRowFirstColumn="0" w:firstRowLastColumn="0" w:lastRowFirstColumn="0" w:lastRowLastColumn="0"/>
            <w:tcW w:w="1786" w:type="pct"/>
          </w:tcPr>
          <w:p w14:paraId="640ECA5F" w14:textId="77777777" w:rsidR="007904E8" w:rsidRPr="004A34E0" w:rsidRDefault="007904E8" w:rsidP="00666947">
            <w:pPr>
              <w:pStyle w:val="TableTextLeft"/>
              <w:rPr>
                <w:i/>
              </w:rPr>
            </w:pPr>
            <w:r w:rsidRPr="004A34E0">
              <w:rPr>
                <w:i/>
              </w:rPr>
              <w:t>Non-food agricultural produce</w:t>
            </w:r>
          </w:p>
        </w:tc>
        <w:tc>
          <w:tcPr>
            <w:tcW w:w="885" w:type="pct"/>
          </w:tcPr>
          <w:p w14:paraId="2676880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226" w:type="pct"/>
          </w:tcPr>
          <w:p w14:paraId="2C4CAB5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102" w:type="pct"/>
          </w:tcPr>
          <w:p w14:paraId="1455F0B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353A00C6" w14:textId="77777777" w:rsidTr="000A2646">
        <w:trPr>
          <w:trHeight w:val="122"/>
        </w:trPr>
        <w:tc>
          <w:tcPr>
            <w:cnfStyle w:val="001000000000" w:firstRow="0" w:lastRow="0" w:firstColumn="1" w:lastColumn="0" w:oddVBand="0" w:evenVBand="0" w:oddHBand="0" w:evenHBand="0" w:firstRowFirstColumn="0" w:firstRowLastColumn="0" w:lastRowFirstColumn="0" w:lastRowLastColumn="0"/>
            <w:tcW w:w="1786" w:type="pct"/>
          </w:tcPr>
          <w:p w14:paraId="43089A4B" w14:textId="77777777" w:rsidR="007904E8" w:rsidRPr="004A34E0" w:rsidRDefault="007904E8" w:rsidP="007904E8">
            <w:pPr>
              <w:pStyle w:val="ListBullet"/>
              <w:spacing w:before="120" w:after="120"/>
            </w:pPr>
            <w:r w:rsidRPr="004A34E0">
              <w:t>Hay and silage</w:t>
            </w:r>
          </w:p>
        </w:tc>
        <w:tc>
          <w:tcPr>
            <w:tcW w:w="885" w:type="pct"/>
          </w:tcPr>
          <w:p w14:paraId="3C1417C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$42,260 </w:t>
            </w:r>
          </w:p>
        </w:tc>
        <w:tc>
          <w:tcPr>
            <w:tcW w:w="1226" w:type="pct"/>
          </w:tcPr>
          <w:p w14:paraId="69E0C95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$442,425 </w:t>
            </w:r>
          </w:p>
        </w:tc>
        <w:tc>
          <w:tcPr>
            <w:tcW w:w="1102" w:type="pct"/>
          </w:tcPr>
          <w:p w14:paraId="6F97FFB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$484,684 </w:t>
            </w:r>
          </w:p>
        </w:tc>
      </w:tr>
      <w:tr w:rsidR="007904E8" w:rsidRPr="004A34E0" w14:paraId="1814FBA3" w14:textId="77777777" w:rsidTr="000A2646">
        <w:trPr>
          <w:trHeight w:val="75"/>
        </w:trPr>
        <w:tc>
          <w:tcPr>
            <w:cnfStyle w:val="001000000000" w:firstRow="0" w:lastRow="0" w:firstColumn="1" w:lastColumn="0" w:oddVBand="0" w:evenVBand="0" w:oddHBand="0" w:evenHBand="0" w:firstRowFirstColumn="0" w:firstRowLastColumn="0" w:lastRowFirstColumn="0" w:lastRowLastColumn="0"/>
            <w:tcW w:w="1786" w:type="pct"/>
          </w:tcPr>
          <w:p w14:paraId="0D3C77FC" w14:textId="77777777" w:rsidR="007904E8" w:rsidRPr="004A34E0" w:rsidRDefault="007904E8" w:rsidP="007904E8">
            <w:pPr>
              <w:pStyle w:val="ListBullet"/>
              <w:spacing w:before="120" w:after="120"/>
            </w:pPr>
            <w:r w:rsidRPr="004A34E0">
              <w:t>Wool</w:t>
            </w:r>
          </w:p>
        </w:tc>
        <w:tc>
          <w:tcPr>
            <w:tcW w:w="885" w:type="pct"/>
          </w:tcPr>
          <w:p w14:paraId="63D3C00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$93,919 </w:t>
            </w:r>
          </w:p>
        </w:tc>
        <w:tc>
          <w:tcPr>
            <w:tcW w:w="1226" w:type="pct"/>
          </w:tcPr>
          <w:p w14:paraId="4D7AE9A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$673,945 </w:t>
            </w:r>
          </w:p>
        </w:tc>
        <w:tc>
          <w:tcPr>
            <w:tcW w:w="1102" w:type="pct"/>
          </w:tcPr>
          <w:p w14:paraId="7F631B2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$767,864 </w:t>
            </w:r>
          </w:p>
        </w:tc>
      </w:tr>
      <w:tr w:rsidR="007904E8" w:rsidRPr="004A34E0" w14:paraId="2182518B" w14:textId="77777777" w:rsidTr="000A2646">
        <w:trPr>
          <w:trHeight w:val="115"/>
        </w:trPr>
        <w:tc>
          <w:tcPr>
            <w:cnfStyle w:val="001000000000" w:firstRow="0" w:lastRow="0" w:firstColumn="1" w:lastColumn="0" w:oddVBand="0" w:evenVBand="0" w:oddHBand="0" w:evenHBand="0" w:firstRowFirstColumn="0" w:firstRowLastColumn="0" w:lastRowFirstColumn="0" w:lastRowLastColumn="0"/>
            <w:tcW w:w="1786" w:type="pct"/>
          </w:tcPr>
          <w:p w14:paraId="780661AC" w14:textId="77777777" w:rsidR="007904E8" w:rsidRPr="004A34E0" w:rsidRDefault="007904E8" w:rsidP="007904E8">
            <w:pPr>
              <w:pStyle w:val="ListBullet"/>
              <w:spacing w:before="120" w:after="120"/>
            </w:pPr>
            <w:r w:rsidRPr="004A34E0">
              <w:t>Nurseries, cut flowers, cultivated turf</w:t>
            </w:r>
          </w:p>
        </w:tc>
        <w:tc>
          <w:tcPr>
            <w:tcW w:w="885" w:type="pct"/>
          </w:tcPr>
          <w:p w14:paraId="27DDEBF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$70,303 </w:t>
            </w:r>
          </w:p>
        </w:tc>
        <w:tc>
          <w:tcPr>
            <w:tcW w:w="1226" w:type="pct"/>
          </w:tcPr>
          <w:p w14:paraId="07B111C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$49,101 </w:t>
            </w:r>
          </w:p>
        </w:tc>
        <w:tc>
          <w:tcPr>
            <w:tcW w:w="1102" w:type="pct"/>
          </w:tcPr>
          <w:p w14:paraId="2F03027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$119,404 </w:t>
            </w:r>
          </w:p>
        </w:tc>
      </w:tr>
      <w:tr w:rsidR="007904E8" w:rsidRPr="004A34E0" w14:paraId="570E620C" w14:textId="77777777" w:rsidTr="00484CDC">
        <w:trPr>
          <w:trHeight w:val="119"/>
        </w:trPr>
        <w:tc>
          <w:tcPr>
            <w:cnfStyle w:val="001000000000" w:firstRow="0" w:lastRow="0" w:firstColumn="1" w:lastColumn="0" w:oddVBand="0" w:evenVBand="0" w:oddHBand="0" w:evenHBand="0" w:firstRowFirstColumn="0" w:firstRowLastColumn="0" w:lastRowFirstColumn="0" w:lastRowLastColumn="0"/>
            <w:tcW w:w="1786" w:type="pct"/>
            <w:shd w:val="clear" w:color="auto" w:fill="CCDBEA" w:themeFill="background2"/>
          </w:tcPr>
          <w:p w14:paraId="1F7F11D2" w14:textId="77777777" w:rsidR="007904E8" w:rsidRPr="004A34E0" w:rsidRDefault="007904E8" w:rsidP="00666947">
            <w:pPr>
              <w:pStyle w:val="TableTextLeft"/>
            </w:pPr>
            <w:r w:rsidRPr="004A34E0">
              <w:rPr>
                <w:b/>
              </w:rPr>
              <w:t>Total</w:t>
            </w:r>
          </w:p>
        </w:tc>
        <w:tc>
          <w:tcPr>
            <w:tcW w:w="885" w:type="pct"/>
            <w:shd w:val="clear" w:color="auto" w:fill="CCDBEA" w:themeFill="background2"/>
          </w:tcPr>
          <w:p w14:paraId="68DB745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 xml:space="preserve"> $1,353,252 </w:t>
            </w:r>
          </w:p>
        </w:tc>
        <w:tc>
          <w:tcPr>
            <w:tcW w:w="1226" w:type="pct"/>
            <w:shd w:val="clear" w:color="auto" w:fill="CCDBEA" w:themeFill="background2"/>
          </w:tcPr>
          <w:p w14:paraId="460AF94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 xml:space="preserve"> $10,021,752 </w:t>
            </w:r>
          </w:p>
        </w:tc>
        <w:tc>
          <w:tcPr>
            <w:tcW w:w="1102" w:type="pct"/>
            <w:shd w:val="clear" w:color="auto" w:fill="CCDBEA" w:themeFill="background2"/>
          </w:tcPr>
          <w:p w14:paraId="2E0A2A8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rPr>
            </w:pPr>
            <w:r w:rsidRPr="004A34E0">
              <w:rPr>
                <w:b/>
              </w:rPr>
              <w:t xml:space="preserve"> $11,375,003 </w:t>
            </w:r>
          </w:p>
        </w:tc>
      </w:tr>
    </w:tbl>
    <w:p w14:paraId="31D54007" w14:textId="77777777" w:rsidR="007904E8" w:rsidRPr="004A34E0" w:rsidRDefault="007904E8" w:rsidP="000A2646">
      <w:pPr>
        <w:pStyle w:val="Heading4"/>
        <w:numPr>
          <w:ilvl w:val="0"/>
          <w:numId w:val="0"/>
        </w:numPr>
      </w:pPr>
      <w:bookmarkStart w:id="233" w:name="_Toc163547059"/>
      <w:r w:rsidRPr="004A34E0">
        <w:t>Fisheries - wild fish harvest</w:t>
      </w:r>
      <w:bookmarkEnd w:id="233"/>
    </w:p>
    <w:p w14:paraId="5D062C3A" w14:textId="77777777" w:rsidR="007904E8" w:rsidRPr="004A34E0" w:rsidRDefault="007904E8" w:rsidP="007904E8">
      <w:pPr>
        <w:pStyle w:val="BodyText12ptBefore"/>
      </w:pPr>
      <w:r w:rsidRPr="004A34E0">
        <w:rPr>
          <w:rFonts w:eastAsia="Calibri"/>
        </w:rPr>
        <w:t>The</w:t>
      </w:r>
      <w:r w:rsidRPr="004A34E0">
        <w:rPr>
          <w:rFonts w:eastAsia="Calibri"/>
          <w:b/>
        </w:rPr>
        <w:t xml:space="preserve"> </w:t>
      </w:r>
      <w:r w:rsidRPr="004A34E0">
        <w:rPr>
          <w:rFonts w:eastAsia="Calibri"/>
        </w:rPr>
        <w:t xml:space="preserve">annual economic value ($AUD) of biomass enhancement in </w:t>
      </w:r>
      <w:r w:rsidRPr="004A34E0">
        <w:t xml:space="preserve">wild </w:t>
      </w:r>
      <w:r w:rsidRPr="004A34E0">
        <w:rPr>
          <w:rFonts w:eastAsia="Calibri"/>
        </w:rPr>
        <w:t>fish stocks</w:t>
      </w:r>
      <w:r w:rsidRPr="004A34E0">
        <w:t xml:space="preserve"> that is caught by commercial fishers due to the wetland habitats within the GORCAP EEA region is estimated to be as follows, see Table 48:</w:t>
      </w:r>
    </w:p>
    <w:p w14:paraId="50DB852F" w14:textId="77777777" w:rsidR="007904E8" w:rsidRPr="004A34E0" w:rsidRDefault="007904E8" w:rsidP="007904E8">
      <w:pPr>
        <w:pStyle w:val="ListBullet"/>
      </w:pPr>
      <w:r w:rsidRPr="004A34E0">
        <w:rPr>
          <w:b/>
        </w:rPr>
        <w:t>$7,500 per year due to the contribution of wetlands to the diet of fish stocks</w:t>
      </w:r>
      <w:r w:rsidRPr="004A34E0">
        <w:t xml:space="preserve">, mainly King George Whiting and black bream based on estimates from Carnell et al (2019) and an assumed resource rent of 20 per cent. This is mainly attributable to seagrass. </w:t>
      </w:r>
    </w:p>
    <w:p w14:paraId="10914D4B" w14:textId="77777777" w:rsidR="007904E8" w:rsidRPr="004A34E0" w:rsidRDefault="007904E8" w:rsidP="00270081">
      <w:pPr>
        <w:pStyle w:val="Caption"/>
      </w:pPr>
      <w:r w:rsidRPr="004A34E0">
        <w:t xml:space="preserve">Table 48. Estimated annual economic value ($, 2021) of fish stock enhancement that is caught by fishers due to wetlands in GORCAP EEA region in 2019 (Carnell et al, 2019) </w:t>
      </w:r>
    </w:p>
    <w:tbl>
      <w:tblPr>
        <w:tblStyle w:val="TableGrid"/>
        <w:tblW w:w="5000" w:type="pct"/>
        <w:tblLook w:val="04A0" w:firstRow="1" w:lastRow="0" w:firstColumn="1" w:lastColumn="0" w:noHBand="0" w:noVBand="1"/>
      </w:tblPr>
      <w:tblGrid>
        <w:gridCol w:w="938"/>
        <w:gridCol w:w="2187"/>
        <w:gridCol w:w="1246"/>
        <w:gridCol w:w="1707"/>
        <w:gridCol w:w="1707"/>
        <w:gridCol w:w="797"/>
        <w:gridCol w:w="1056"/>
      </w:tblGrid>
      <w:tr w:rsidR="007904E8" w:rsidRPr="004A34E0" w14:paraId="41AB9C4A" w14:textId="77777777" w:rsidTr="003D0D3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9" w:type="pct"/>
            <w:gridSpan w:val="2"/>
            <w:vMerge w:val="restart"/>
          </w:tcPr>
          <w:p w14:paraId="3E0CB17D" w14:textId="77777777" w:rsidR="007904E8" w:rsidRPr="004A34E0" w:rsidRDefault="007904E8" w:rsidP="00666947">
            <w:pPr>
              <w:pStyle w:val="TableTextLeft"/>
            </w:pPr>
          </w:p>
        </w:tc>
        <w:tc>
          <w:tcPr>
            <w:tcW w:w="2431" w:type="pct"/>
            <w:gridSpan w:val="3"/>
          </w:tcPr>
          <w:p w14:paraId="0801D870"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Annual economic enhancement ($ per year)</w:t>
            </w:r>
          </w:p>
        </w:tc>
        <w:tc>
          <w:tcPr>
            <w:tcW w:w="418" w:type="pct"/>
            <w:vMerge w:val="restart"/>
          </w:tcPr>
          <w:p w14:paraId="49D8F3DD"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Year</w:t>
            </w:r>
          </w:p>
        </w:tc>
        <w:tc>
          <w:tcPr>
            <w:tcW w:w="552" w:type="pct"/>
            <w:vMerge w:val="restart"/>
          </w:tcPr>
          <w:p w14:paraId="23104173"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rPr>
                <w:b/>
              </w:rPr>
            </w:pPr>
            <w:r w:rsidRPr="004A34E0">
              <w:rPr>
                <w:b/>
              </w:rPr>
              <w:t>Source</w:t>
            </w:r>
          </w:p>
        </w:tc>
      </w:tr>
      <w:tr w:rsidR="007904E8" w:rsidRPr="004A34E0" w14:paraId="7C8622A6" w14:textId="77777777" w:rsidTr="003D0D3F">
        <w:tc>
          <w:tcPr>
            <w:cnfStyle w:val="001000000000" w:firstRow="0" w:lastRow="0" w:firstColumn="1" w:lastColumn="0" w:oddVBand="0" w:evenVBand="0" w:oddHBand="0" w:evenHBand="0" w:firstRowFirstColumn="0" w:firstRowLastColumn="0" w:lastRowFirstColumn="0" w:lastRowLastColumn="0"/>
            <w:tcW w:w="1599" w:type="pct"/>
            <w:gridSpan w:val="2"/>
            <w:vMerge/>
          </w:tcPr>
          <w:p w14:paraId="6F978F9B" w14:textId="77777777" w:rsidR="007904E8" w:rsidRPr="004A34E0" w:rsidRDefault="007904E8" w:rsidP="00666947">
            <w:pPr>
              <w:pStyle w:val="TableTextLeft"/>
            </w:pPr>
          </w:p>
        </w:tc>
        <w:tc>
          <w:tcPr>
            <w:tcW w:w="651" w:type="pct"/>
            <w:tcBorders>
              <w:top w:val="nil"/>
            </w:tcBorders>
            <w:shd w:val="clear" w:color="auto" w:fill="004C97" w:themeFill="accent1"/>
          </w:tcPr>
          <w:p w14:paraId="246D2D83"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Cs/>
                <w:color w:val="FFFFFF" w:themeColor="background1"/>
              </w:rPr>
            </w:pPr>
            <w:r w:rsidRPr="003D0D3F">
              <w:rPr>
                <w:bCs/>
                <w:color w:val="FFFFFF" w:themeColor="background1"/>
              </w:rPr>
              <w:t>Saltmarsh</w:t>
            </w:r>
          </w:p>
        </w:tc>
        <w:tc>
          <w:tcPr>
            <w:tcW w:w="890" w:type="pct"/>
            <w:tcBorders>
              <w:top w:val="nil"/>
            </w:tcBorders>
            <w:shd w:val="clear" w:color="auto" w:fill="004C97" w:themeFill="accent1"/>
          </w:tcPr>
          <w:p w14:paraId="0B77CC57"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Cs/>
                <w:color w:val="FFFFFF" w:themeColor="background1"/>
              </w:rPr>
            </w:pPr>
            <w:r w:rsidRPr="003D0D3F">
              <w:rPr>
                <w:bCs/>
                <w:color w:val="FFFFFF" w:themeColor="background1"/>
              </w:rPr>
              <w:t>Mangrove</w:t>
            </w:r>
          </w:p>
        </w:tc>
        <w:tc>
          <w:tcPr>
            <w:tcW w:w="890" w:type="pct"/>
            <w:tcBorders>
              <w:top w:val="nil"/>
            </w:tcBorders>
            <w:shd w:val="clear" w:color="auto" w:fill="004C97" w:themeFill="accent1"/>
          </w:tcPr>
          <w:p w14:paraId="0DE6DF9A"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Cs/>
                <w:color w:val="FFFFFF" w:themeColor="background1"/>
              </w:rPr>
            </w:pPr>
            <w:r w:rsidRPr="003D0D3F">
              <w:rPr>
                <w:bCs/>
                <w:color w:val="FFFFFF" w:themeColor="background1"/>
              </w:rPr>
              <w:t>Seagrass</w:t>
            </w:r>
          </w:p>
        </w:tc>
        <w:tc>
          <w:tcPr>
            <w:tcW w:w="418" w:type="pct"/>
            <w:vMerge/>
          </w:tcPr>
          <w:p w14:paraId="6D1CE10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552" w:type="pct"/>
            <w:vMerge/>
          </w:tcPr>
          <w:p w14:paraId="07F27BD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rPr>
            </w:pPr>
          </w:p>
        </w:tc>
      </w:tr>
      <w:tr w:rsidR="007904E8" w:rsidRPr="004A34E0" w14:paraId="0F7771B7" w14:textId="77777777" w:rsidTr="000A2646">
        <w:tc>
          <w:tcPr>
            <w:cnfStyle w:val="001000000000" w:firstRow="0" w:lastRow="0" w:firstColumn="1" w:lastColumn="0" w:oddVBand="0" w:evenVBand="0" w:oddHBand="0" w:evenHBand="0" w:firstRowFirstColumn="0" w:firstRowLastColumn="0" w:lastRowFirstColumn="0" w:lastRowLastColumn="0"/>
            <w:tcW w:w="460" w:type="pct"/>
            <w:vMerge w:val="restart"/>
          </w:tcPr>
          <w:p w14:paraId="40EC2CF2" w14:textId="77777777" w:rsidR="007904E8" w:rsidRPr="004A34E0" w:rsidRDefault="007904E8" w:rsidP="00666947">
            <w:pPr>
              <w:pStyle w:val="TableTextLeft"/>
            </w:pPr>
            <w:r w:rsidRPr="004A34E0">
              <w:t>Species</w:t>
            </w:r>
          </w:p>
        </w:tc>
        <w:tc>
          <w:tcPr>
            <w:tcW w:w="1139" w:type="pct"/>
          </w:tcPr>
          <w:p w14:paraId="3F85167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King George Whiting</w:t>
            </w:r>
          </w:p>
        </w:tc>
        <w:tc>
          <w:tcPr>
            <w:tcW w:w="651" w:type="pct"/>
          </w:tcPr>
          <w:p w14:paraId="6FBB587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$390</w:t>
            </w:r>
          </w:p>
        </w:tc>
        <w:tc>
          <w:tcPr>
            <w:tcW w:w="890" w:type="pct"/>
          </w:tcPr>
          <w:p w14:paraId="013E0F3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$145</w:t>
            </w:r>
          </w:p>
        </w:tc>
        <w:tc>
          <w:tcPr>
            <w:tcW w:w="890" w:type="pct"/>
          </w:tcPr>
          <w:p w14:paraId="44DABB8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$21,108</w:t>
            </w:r>
          </w:p>
        </w:tc>
        <w:tc>
          <w:tcPr>
            <w:tcW w:w="418" w:type="pct"/>
            <w:vMerge w:val="restart"/>
          </w:tcPr>
          <w:p w14:paraId="1658D7E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2019</w:t>
            </w:r>
            <w:r w:rsidRPr="004A34E0">
              <w:rPr>
                <w:vertAlign w:val="superscript"/>
              </w:rPr>
              <w:t>a</w:t>
            </w:r>
          </w:p>
        </w:tc>
        <w:tc>
          <w:tcPr>
            <w:tcW w:w="552" w:type="pct"/>
            <w:vMerge w:val="restart"/>
          </w:tcPr>
          <w:p w14:paraId="695F7E2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Carnell et al (2019) </w:t>
            </w:r>
          </w:p>
        </w:tc>
      </w:tr>
      <w:tr w:rsidR="007904E8" w:rsidRPr="004A34E0" w14:paraId="360BC992" w14:textId="77777777" w:rsidTr="000A2646">
        <w:tc>
          <w:tcPr>
            <w:cnfStyle w:val="001000000000" w:firstRow="0" w:lastRow="0" w:firstColumn="1" w:lastColumn="0" w:oddVBand="0" w:evenVBand="0" w:oddHBand="0" w:evenHBand="0" w:firstRowFirstColumn="0" w:firstRowLastColumn="0" w:lastRowFirstColumn="0" w:lastRowLastColumn="0"/>
            <w:tcW w:w="460" w:type="pct"/>
            <w:vMerge/>
          </w:tcPr>
          <w:p w14:paraId="74524142" w14:textId="77777777" w:rsidR="007904E8" w:rsidRPr="004A34E0" w:rsidRDefault="007904E8" w:rsidP="00666947">
            <w:pPr>
              <w:pStyle w:val="TableTextLeft"/>
            </w:pPr>
          </w:p>
        </w:tc>
        <w:tc>
          <w:tcPr>
            <w:tcW w:w="1139" w:type="pct"/>
          </w:tcPr>
          <w:p w14:paraId="129E81A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Southern Garfish</w:t>
            </w:r>
          </w:p>
        </w:tc>
        <w:tc>
          <w:tcPr>
            <w:tcW w:w="651" w:type="pct"/>
          </w:tcPr>
          <w:p w14:paraId="65DFD2A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$32</w:t>
            </w:r>
          </w:p>
        </w:tc>
        <w:tc>
          <w:tcPr>
            <w:tcW w:w="890" w:type="pct"/>
          </w:tcPr>
          <w:p w14:paraId="56A24B3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$12</w:t>
            </w:r>
          </w:p>
        </w:tc>
        <w:tc>
          <w:tcPr>
            <w:tcW w:w="890" w:type="pct"/>
          </w:tcPr>
          <w:p w14:paraId="2B2BFC9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$2,350</w:t>
            </w:r>
          </w:p>
        </w:tc>
        <w:tc>
          <w:tcPr>
            <w:tcW w:w="418" w:type="pct"/>
            <w:vMerge/>
          </w:tcPr>
          <w:p w14:paraId="5186A3A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552" w:type="pct"/>
            <w:vMerge/>
          </w:tcPr>
          <w:p w14:paraId="3541BD6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214189EF" w14:textId="77777777" w:rsidTr="000A2646">
        <w:trPr>
          <w:trHeight w:val="127"/>
        </w:trPr>
        <w:tc>
          <w:tcPr>
            <w:cnfStyle w:val="001000000000" w:firstRow="0" w:lastRow="0" w:firstColumn="1" w:lastColumn="0" w:oddVBand="0" w:evenVBand="0" w:oddHBand="0" w:evenHBand="0" w:firstRowFirstColumn="0" w:firstRowLastColumn="0" w:lastRowFirstColumn="0" w:lastRowLastColumn="0"/>
            <w:tcW w:w="460" w:type="pct"/>
            <w:vMerge/>
          </w:tcPr>
          <w:p w14:paraId="7D40C5DE" w14:textId="77777777" w:rsidR="007904E8" w:rsidRPr="004A34E0" w:rsidRDefault="007904E8" w:rsidP="00666947">
            <w:pPr>
              <w:pStyle w:val="TableTextLeft"/>
            </w:pPr>
          </w:p>
        </w:tc>
        <w:tc>
          <w:tcPr>
            <w:tcW w:w="1139" w:type="pct"/>
          </w:tcPr>
          <w:p w14:paraId="38F3E21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Snapper</w:t>
            </w:r>
          </w:p>
        </w:tc>
        <w:tc>
          <w:tcPr>
            <w:tcW w:w="651" w:type="pct"/>
          </w:tcPr>
          <w:p w14:paraId="7F3468E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$50</w:t>
            </w:r>
          </w:p>
        </w:tc>
        <w:tc>
          <w:tcPr>
            <w:tcW w:w="890" w:type="pct"/>
          </w:tcPr>
          <w:p w14:paraId="18AA92F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$21</w:t>
            </w:r>
          </w:p>
        </w:tc>
        <w:tc>
          <w:tcPr>
            <w:tcW w:w="890" w:type="pct"/>
          </w:tcPr>
          <w:p w14:paraId="62D49DD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$2,350</w:t>
            </w:r>
          </w:p>
        </w:tc>
        <w:tc>
          <w:tcPr>
            <w:tcW w:w="418" w:type="pct"/>
            <w:vMerge/>
          </w:tcPr>
          <w:p w14:paraId="11B81CF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552" w:type="pct"/>
            <w:vMerge/>
          </w:tcPr>
          <w:p w14:paraId="5F3C241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02D47144" w14:textId="77777777" w:rsidTr="000A2646">
        <w:tc>
          <w:tcPr>
            <w:cnfStyle w:val="001000000000" w:firstRow="0" w:lastRow="0" w:firstColumn="1" w:lastColumn="0" w:oddVBand="0" w:evenVBand="0" w:oddHBand="0" w:evenHBand="0" w:firstRowFirstColumn="0" w:firstRowLastColumn="0" w:lastRowFirstColumn="0" w:lastRowLastColumn="0"/>
            <w:tcW w:w="460" w:type="pct"/>
            <w:vMerge/>
          </w:tcPr>
          <w:p w14:paraId="6A5547CD" w14:textId="77777777" w:rsidR="007904E8" w:rsidRPr="004A34E0" w:rsidRDefault="007904E8" w:rsidP="00666947">
            <w:pPr>
              <w:pStyle w:val="TableTextLeft"/>
            </w:pPr>
          </w:p>
        </w:tc>
        <w:tc>
          <w:tcPr>
            <w:tcW w:w="1139" w:type="pct"/>
          </w:tcPr>
          <w:p w14:paraId="64B0633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Black bream</w:t>
            </w:r>
          </w:p>
        </w:tc>
        <w:tc>
          <w:tcPr>
            <w:tcW w:w="651" w:type="pct"/>
          </w:tcPr>
          <w:p w14:paraId="5DDBAD8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890" w:type="pct"/>
          </w:tcPr>
          <w:p w14:paraId="4F9C8E0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890" w:type="pct"/>
          </w:tcPr>
          <w:p w14:paraId="44024E2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$11,729</w:t>
            </w:r>
          </w:p>
        </w:tc>
        <w:tc>
          <w:tcPr>
            <w:tcW w:w="418" w:type="pct"/>
            <w:vMerge/>
          </w:tcPr>
          <w:p w14:paraId="277E232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552" w:type="pct"/>
            <w:vMerge/>
          </w:tcPr>
          <w:p w14:paraId="2D17BDA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35468667" w14:textId="77777777" w:rsidTr="000A2646">
        <w:tc>
          <w:tcPr>
            <w:cnfStyle w:val="001000000000" w:firstRow="0" w:lastRow="0" w:firstColumn="1" w:lastColumn="0" w:oddVBand="0" w:evenVBand="0" w:oddHBand="0" w:evenHBand="0" w:firstRowFirstColumn="0" w:firstRowLastColumn="0" w:lastRowFirstColumn="0" w:lastRowLastColumn="0"/>
            <w:tcW w:w="1599" w:type="pct"/>
            <w:gridSpan w:val="2"/>
          </w:tcPr>
          <w:p w14:paraId="2B09E1E5" w14:textId="77777777" w:rsidR="007904E8" w:rsidRPr="004A34E0" w:rsidRDefault="007904E8" w:rsidP="00666947">
            <w:pPr>
              <w:pStyle w:val="TableTextLeft"/>
            </w:pPr>
            <w:r w:rsidRPr="004A34E0">
              <w:t>Sub-total</w:t>
            </w:r>
          </w:p>
        </w:tc>
        <w:tc>
          <w:tcPr>
            <w:tcW w:w="651" w:type="pct"/>
          </w:tcPr>
          <w:p w14:paraId="352BDDC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$472</w:t>
            </w:r>
          </w:p>
        </w:tc>
        <w:tc>
          <w:tcPr>
            <w:tcW w:w="890" w:type="pct"/>
          </w:tcPr>
          <w:p w14:paraId="6EE7954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$178</w:t>
            </w:r>
          </w:p>
        </w:tc>
        <w:tc>
          <w:tcPr>
            <w:tcW w:w="890" w:type="pct"/>
          </w:tcPr>
          <w:p w14:paraId="4557706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$37,539</w:t>
            </w:r>
          </w:p>
        </w:tc>
        <w:tc>
          <w:tcPr>
            <w:tcW w:w="418" w:type="pct"/>
            <w:vMerge/>
          </w:tcPr>
          <w:p w14:paraId="4681147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552" w:type="pct"/>
            <w:vMerge/>
          </w:tcPr>
          <w:p w14:paraId="60FBC1C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700B2631" w14:textId="77777777" w:rsidTr="00484CDC">
        <w:tc>
          <w:tcPr>
            <w:cnfStyle w:val="001000000000" w:firstRow="0" w:lastRow="0" w:firstColumn="1" w:lastColumn="0" w:oddVBand="0" w:evenVBand="0" w:oddHBand="0" w:evenHBand="0" w:firstRowFirstColumn="0" w:firstRowLastColumn="0" w:lastRowFirstColumn="0" w:lastRowLastColumn="0"/>
            <w:tcW w:w="1599" w:type="pct"/>
            <w:gridSpan w:val="2"/>
            <w:shd w:val="clear" w:color="auto" w:fill="CCDBEA" w:themeFill="background2"/>
          </w:tcPr>
          <w:p w14:paraId="6D9EE858" w14:textId="77777777" w:rsidR="007904E8" w:rsidRPr="004A34E0" w:rsidRDefault="007904E8" w:rsidP="00666947">
            <w:pPr>
              <w:pStyle w:val="TableTextLeft"/>
            </w:pPr>
            <w:r w:rsidRPr="004A34E0">
              <w:rPr>
                <w:b/>
              </w:rPr>
              <w:t xml:space="preserve">Total resource rent </w:t>
            </w:r>
          </w:p>
        </w:tc>
        <w:tc>
          <w:tcPr>
            <w:tcW w:w="651" w:type="pct"/>
            <w:shd w:val="clear" w:color="auto" w:fill="CCDBEA" w:themeFill="background2"/>
          </w:tcPr>
          <w:p w14:paraId="04446A6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$94</w:t>
            </w:r>
          </w:p>
        </w:tc>
        <w:tc>
          <w:tcPr>
            <w:tcW w:w="890" w:type="pct"/>
            <w:shd w:val="clear" w:color="auto" w:fill="CCDBEA" w:themeFill="background2"/>
          </w:tcPr>
          <w:p w14:paraId="4FB2198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$36</w:t>
            </w:r>
          </w:p>
        </w:tc>
        <w:tc>
          <w:tcPr>
            <w:tcW w:w="890" w:type="pct"/>
            <w:shd w:val="clear" w:color="auto" w:fill="CCDBEA" w:themeFill="background2"/>
          </w:tcPr>
          <w:p w14:paraId="7E8A276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$7,508</w:t>
            </w:r>
          </w:p>
        </w:tc>
        <w:tc>
          <w:tcPr>
            <w:tcW w:w="418" w:type="pct"/>
            <w:vMerge/>
          </w:tcPr>
          <w:p w14:paraId="1516B90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552" w:type="pct"/>
            <w:vMerge/>
          </w:tcPr>
          <w:p w14:paraId="23C5A30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rPr>
            </w:pPr>
          </w:p>
        </w:tc>
      </w:tr>
    </w:tbl>
    <w:p w14:paraId="01C0639A" w14:textId="56979F5E" w:rsidR="000A2646" w:rsidRDefault="007904E8" w:rsidP="000A2646">
      <w:pPr>
        <w:pStyle w:val="BodyText12ptBefore"/>
      </w:pPr>
      <w:proofErr w:type="spellStart"/>
      <w:r w:rsidRPr="004A34E0">
        <w:rPr>
          <w:vertAlign w:val="superscript"/>
        </w:rPr>
        <w:t>a</w:t>
      </w:r>
      <w:proofErr w:type="spellEnd"/>
      <w:r w:rsidRPr="004A34E0">
        <w:rPr>
          <w:vertAlign w:val="superscript"/>
        </w:rPr>
        <w:t xml:space="preserve"> </w:t>
      </w:r>
      <w:r w:rsidRPr="004A34E0">
        <w:t>The Carnell et al (2019) study does not state the year for which the analysis is applicable. Given that the study was undertaken in 2019 it is assumed for the purpose of this GORCAP EEA that it is representative of the ecosystem service provided in that year. The economic valuation figures are uprated for inflation to be in present value terms for 2021.</w:t>
      </w:r>
      <w:r w:rsidR="000A2646">
        <w:br w:type="page"/>
      </w:r>
    </w:p>
    <w:p w14:paraId="6C3C3628" w14:textId="77777777" w:rsidR="000A2646" w:rsidRDefault="007904E8" w:rsidP="000A2646">
      <w:pPr>
        <w:pStyle w:val="Heading4"/>
        <w:numPr>
          <w:ilvl w:val="0"/>
          <w:numId w:val="0"/>
        </w:numPr>
      </w:pPr>
      <w:bookmarkStart w:id="234" w:name="_Toc163547060"/>
      <w:r w:rsidRPr="004A34E0">
        <w:lastRenderedPageBreak/>
        <w:t>Fisheries - wild invertebrates (abalone)</w:t>
      </w:r>
      <w:bookmarkEnd w:id="234"/>
    </w:p>
    <w:p w14:paraId="4CB9B188" w14:textId="20E78092" w:rsidR="007904E8" w:rsidRPr="004A34E0" w:rsidRDefault="007904E8" w:rsidP="000A2646">
      <w:pPr>
        <w:pStyle w:val="BodyText"/>
      </w:pPr>
      <w:r w:rsidRPr="004A34E0">
        <w:t xml:space="preserve">The annual economic value ($AUD) of abalone production within the GORCAP EEA region is estimated to be approximately </w:t>
      </w:r>
      <w:r w:rsidRPr="004A34E0">
        <w:rPr>
          <w:b/>
        </w:rPr>
        <w:t xml:space="preserve">$320,000 per year </w:t>
      </w:r>
      <w:r w:rsidRPr="004A34E0">
        <w:t xml:space="preserve">(with an assumed resource rent of 20 per cent applied), based on values from </w:t>
      </w:r>
      <w:r w:rsidRPr="004A34E0">
        <w:rPr>
          <w:rFonts w:eastAsia="Calibri"/>
        </w:rPr>
        <w:t>the VFA (2019) commercial fish production statistics.</w:t>
      </w:r>
    </w:p>
    <w:p w14:paraId="0ADC9D28" w14:textId="77777777" w:rsidR="007904E8" w:rsidRPr="004A34E0" w:rsidRDefault="007904E8" w:rsidP="007904E8">
      <w:pPr>
        <w:pStyle w:val="BodyText12ptBefore"/>
      </w:pPr>
      <w:r w:rsidRPr="004A34E0">
        <w:t xml:space="preserve">Table 49 summarises the uncertainty associated with these results and shows that whilst the market value of fish is well documented, the monetary estimates rely on the underlying estimates of physical provision and therefore reflect the high uncertainty associated with this. The estimate of resource rent is also highly uncertain. </w:t>
      </w:r>
    </w:p>
    <w:p w14:paraId="4C85BD7B" w14:textId="77777777" w:rsidR="007904E8" w:rsidRPr="004A34E0" w:rsidRDefault="007904E8" w:rsidP="00484CDC">
      <w:pPr>
        <w:pStyle w:val="Caption"/>
      </w:pPr>
      <w:r w:rsidRPr="004A34E0">
        <w:t>Table 49. Uncertainty assessment - monetary value of biomass - food</w:t>
      </w:r>
    </w:p>
    <w:tbl>
      <w:tblPr>
        <w:tblStyle w:val="TableGrid"/>
        <w:tblW w:w="5000" w:type="pct"/>
        <w:tblLook w:val="04A0" w:firstRow="1" w:lastRow="0" w:firstColumn="1" w:lastColumn="0" w:noHBand="0" w:noVBand="1"/>
      </w:tblPr>
      <w:tblGrid>
        <w:gridCol w:w="1360"/>
        <w:gridCol w:w="3146"/>
        <w:gridCol w:w="4428"/>
        <w:gridCol w:w="704"/>
      </w:tblGrid>
      <w:tr w:rsidR="007904E8" w:rsidRPr="004A34E0" w14:paraId="5D0D0DB7" w14:textId="77777777" w:rsidTr="003D0D3F">
        <w:trPr>
          <w:cnfStyle w:val="100000000000" w:firstRow="1" w:lastRow="0" w:firstColumn="0" w:lastColumn="0" w:oddVBand="0" w:evenVBand="0" w:oddHBand="0"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672" w:type="pct"/>
          </w:tcPr>
          <w:p w14:paraId="6D7681D5" w14:textId="77777777" w:rsidR="007904E8" w:rsidRPr="004A34E0" w:rsidRDefault="007904E8" w:rsidP="00666947">
            <w:pPr>
              <w:pStyle w:val="TableTextLeft"/>
            </w:pPr>
          </w:p>
        </w:tc>
        <w:tc>
          <w:tcPr>
            <w:tcW w:w="3980" w:type="pct"/>
            <w:gridSpan w:val="2"/>
          </w:tcPr>
          <w:p w14:paraId="765FC954"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Uncertainty in…</w:t>
            </w:r>
          </w:p>
        </w:tc>
        <w:tc>
          <w:tcPr>
            <w:tcW w:w="348" w:type="pct"/>
          </w:tcPr>
          <w:p w14:paraId="53BB8C95"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rPr>
                <w:b/>
              </w:rPr>
            </w:pPr>
          </w:p>
        </w:tc>
      </w:tr>
      <w:tr w:rsidR="007904E8" w:rsidRPr="004A34E0" w14:paraId="784960EB" w14:textId="77777777" w:rsidTr="003D0D3F">
        <w:trPr>
          <w:trHeight w:val="247"/>
        </w:trPr>
        <w:tc>
          <w:tcPr>
            <w:cnfStyle w:val="001000000000" w:firstRow="0" w:lastRow="0" w:firstColumn="1" w:lastColumn="0" w:oddVBand="0" w:evenVBand="0" w:oddHBand="0" w:evenHBand="0" w:firstRowFirstColumn="0" w:firstRowLastColumn="0" w:lastRowFirstColumn="0" w:lastRowLastColumn="0"/>
            <w:tcW w:w="672" w:type="pct"/>
            <w:tcBorders>
              <w:top w:val="nil"/>
            </w:tcBorders>
            <w:shd w:val="clear" w:color="auto" w:fill="004C97" w:themeFill="accent1"/>
          </w:tcPr>
          <w:p w14:paraId="58D3FA4C" w14:textId="77777777" w:rsidR="007904E8" w:rsidRPr="003D0D3F" w:rsidRDefault="007904E8" w:rsidP="00666947">
            <w:pPr>
              <w:pStyle w:val="TableTextLeft"/>
              <w:rPr>
                <w:color w:val="FFFFFF" w:themeColor="background1"/>
              </w:rPr>
            </w:pPr>
          </w:p>
        </w:tc>
        <w:tc>
          <w:tcPr>
            <w:tcW w:w="1658" w:type="pct"/>
            <w:tcBorders>
              <w:top w:val="nil"/>
            </w:tcBorders>
            <w:shd w:val="clear" w:color="auto" w:fill="004C97" w:themeFill="accent1"/>
          </w:tcPr>
          <w:p w14:paraId="57362720"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3D0D3F">
              <w:rPr>
                <w:b/>
                <w:color w:val="FFFFFF" w:themeColor="background1"/>
              </w:rPr>
              <w:t xml:space="preserve">Evidence </w:t>
            </w:r>
          </w:p>
        </w:tc>
        <w:tc>
          <w:tcPr>
            <w:tcW w:w="2323" w:type="pct"/>
            <w:tcBorders>
              <w:top w:val="nil"/>
            </w:tcBorders>
            <w:shd w:val="clear" w:color="auto" w:fill="004C97" w:themeFill="accent1"/>
          </w:tcPr>
          <w:p w14:paraId="5387D795"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3D0D3F">
              <w:rPr>
                <w:b/>
                <w:color w:val="FFFFFF" w:themeColor="background1"/>
              </w:rPr>
              <w:t>Assumptions</w:t>
            </w:r>
          </w:p>
        </w:tc>
        <w:tc>
          <w:tcPr>
            <w:tcW w:w="348" w:type="pct"/>
            <w:tcBorders>
              <w:top w:val="nil"/>
            </w:tcBorders>
            <w:shd w:val="clear" w:color="auto" w:fill="004C97" w:themeFill="accent1"/>
          </w:tcPr>
          <w:p w14:paraId="1D664A9E"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r w:rsidRPr="003D0D3F">
              <w:rPr>
                <w:b/>
                <w:color w:val="FFFFFF" w:themeColor="background1"/>
              </w:rPr>
              <w:t>Total</w:t>
            </w:r>
          </w:p>
        </w:tc>
      </w:tr>
      <w:tr w:rsidR="007904E8" w:rsidRPr="004A34E0" w14:paraId="15682246" w14:textId="77777777" w:rsidTr="000A2646">
        <w:trPr>
          <w:trHeight w:val="75"/>
        </w:trPr>
        <w:tc>
          <w:tcPr>
            <w:cnfStyle w:val="001000000000" w:firstRow="0" w:lastRow="0" w:firstColumn="1" w:lastColumn="0" w:oddVBand="0" w:evenVBand="0" w:oddHBand="0" w:evenHBand="0" w:firstRowFirstColumn="0" w:firstRowLastColumn="0" w:lastRowFirstColumn="0" w:lastRowLastColumn="0"/>
            <w:tcW w:w="672" w:type="pct"/>
          </w:tcPr>
          <w:p w14:paraId="32180930" w14:textId="77777777" w:rsidR="007904E8" w:rsidRPr="004A34E0" w:rsidRDefault="007904E8" w:rsidP="00666947">
            <w:pPr>
              <w:pStyle w:val="TableTextLeft"/>
              <w:rPr>
                <w:b/>
              </w:rPr>
            </w:pPr>
            <w:r w:rsidRPr="004A34E0">
              <w:rPr>
                <w:b/>
              </w:rPr>
              <w:t>Explanation</w:t>
            </w:r>
          </w:p>
        </w:tc>
        <w:tc>
          <w:tcPr>
            <w:tcW w:w="1658" w:type="pct"/>
          </w:tcPr>
          <w:p w14:paraId="5F254CFA"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As per physical provision, there is no evidence on the actual area of productive farmland or the agricultural output and value specifically for the GORCAP region within this study.</w:t>
            </w:r>
          </w:p>
          <w:p w14:paraId="35070B28"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 xml:space="preserve">As per physical provision, there is one key source of evidence on the contribution of wetland habitats to economic enhancement in south-eastern Australia and the complexity and location specificity of the interaction makes these estimates inherently uncertain. </w:t>
            </w:r>
          </w:p>
          <w:p w14:paraId="6A43CC6E"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 xml:space="preserve">The evidence on the market value of food is well documented and expected to be robust. </w:t>
            </w:r>
          </w:p>
        </w:tc>
        <w:tc>
          <w:tcPr>
            <w:tcW w:w="2323" w:type="pct"/>
          </w:tcPr>
          <w:p w14:paraId="46067C11"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 xml:space="preserve">As per physical provision, it is assumed that a proportion of </w:t>
            </w:r>
            <w:r w:rsidRPr="004A34E0">
              <w:rPr>
                <w:i/>
              </w:rPr>
              <w:t>all</w:t>
            </w:r>
            <w:r w:rsidRPr="004A34E0">
              <w:t xml:space="preserve"> the agricultural production that occurs within the SA4 areas is representative of that occurring within the GORCAP region, whereas in reality, the mix of agriculture occurring within the GORCAP region is likely different to that occurring across the whole SA4 region.</w:t>
            </w:r>
          </w:p>
          <w:p w14:paraId="01D2656E"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 xml:space="preserve">As per physical provision it is assumed that the economic enhancement estimates are representative of the ecological interactions that exist within the GORCAP EEA in 2019 and that the large variation in estimates across the two studies is due to them focusing on different stages of the fish stock life cycle. </w:t>
            </w:r>
          </w:p>
          <w:p w14:paraId="7F89EAD9"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An estimated 20 per cent of the GVA value is taken as the estimate of resource rent.</w:t>
            </w:r>
          </w:p>
          <w:p w14:paraId="69038862"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 xml:space="preserve">The monetary values are presented in 2021 terms, uprating the original estimates for inflation. </w:t>
            </w:r>
          </w:p>
        </w:tc>
        <w:tc>
          <w:tcPr>
            <w:tcW w:w="348" w:type="pct"/>
          </w:tcPr>
          <w:p w14:paraId="47940A9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High</w:t>
            </w:r>
          </w:p>
        </w:tc>
      </w:tr>
      <w:tr w:rsidR="007904E8" w:rsidRPr="004A34E0" w14:paraId="6465800C" w14:textId="77777777" w:rsidTr="00484CDC">
        <w:trPr>
          <w:trHeight w:val="194"/>
        </w:trPr>
        <w:tc>
          <w:tcPr>
            <w:cnfStyle w:val="001000000000" w:firstRow="0" w:lastRow="0" w:firstColumn="1" w:lastColumn="0" w:oddVBand="0" w:evenVBand="0" w:oddHBand="0" w:evenHBand="0" w:firstRowFirstColumn="0" w:firstRowLastColumn="0" w:lastRowFirstColumn="0" w:lastRowLastColumn="0"/>
            <w:tcW w:w="672" w:type="pct"/>
            <w:shd w:val="clear" w:color="auto" w:fill="CCDBEA" w:themeFill="background2"/>
          </w:tcPr>
          <w:p w14:paraId="56F786DC" w14:textId="77777777" w:rsidR="007904E8" w:rsidRPr="004A34E0" w:rsidRDefault="007904E8" w:rsidP="00666947">
            <w:pPr>
              <w:pStyle w:val="TableTextLeft"/>
              <w:rPr>
                <w:b/>
              </w:rPr>
            </w:pPr>
            <w:r w:rsidRPr="004A34E0">
              <w:rPr>
                <w:b/>
              </w:rPr>
              <w:t xml:space="preserve">Rating </w:t>
            </w:r>
          </w:p>
        </w:tc>
        <w:tc>
          <w:tcPr>
            <w:tcW w:w="1658" w:type="pct"/>
            <w:shd w:val="clear" w:color="auto" w:fill="CCDBEA" w:themeFill="background2"/>
          </w:tcPr>
          <w:p w14:paraId="70FD7EE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w:t>
            </w:r>
          </w:p>
        </w:tc>
        <w:tc>
          <w:tcPr>
            <w:tcW w:w="2323" w:type="pct"/>
            <w:shd w:val="clear" w:color="auto" w:fill="CCDBEA" w:themeFill="background2"/>
          </w:tcPr>
          <w:p w14:paraId="47FB8EE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w:t>
            </w:r>
          </w:p>
        </w:tc>
        <w:tc>
          <w:tcPr>
            <w:tcW w:w="348" w:type="pct"/>
            <w:shd w:val="clear" w:color="auto" w:fill="CCDBEA" w:themeFill="background2"/>
          </w:tcPr>
          <w:p w14:paraId="18A7474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6</w:t>
            </w:r>
          </w:p>
        </w:tc>
      </w:tr>
    </w:tbl>
    <w:p w14:paraId="624FE0C3" w14:textId="77777777" w:rsidR="007904E8" w:rsidRPr="004A34E0" w:rsidRDefault="007904E8" w:rsidP="00A2745D">
      <w:pPr>
        <w:pStyle w:val="AlphaHeading4"/>
      </w:pPr>
      <w:r w:rsidRPr="004A34E0">
        <w:t xml:space="preserve">Supply and use </w:t>
      </w:r>
    </w:p>
    <w:p w14:paraId="2D6E87F6" w14:textId="77777777" w:rsidR="007904E8" w:rsidRPr="004A34E0" w:rsidRDefault="007904E8" w:rsidP="007904E8">
      <w:pPr>
        <w:pStyle w:val="BodyText"/>
      </w:pPr>
      <w:r w:rsidRPr="004A34E0">
        <w:t xml:space="preserve">The enhancement of fish stock biomass that is supported by seagrass (marine), mangrove and saltmarsh (coastal margin) habitats delivers direct benefits to the fishing industry (in the case of recreational fishing these benefits are to households and this would be captured in recreational and tourism analysis) who are therefore deemed to be the users of this ecosystem service. Indirect benefits occur to the wholesale industry, downstream businesses and consumers. </w:t>
      </w:r>
    </w:p>
    <w:p w14:paraId="39B81CD7" w14:textId="77777777" w:rsidR="003D0D3F" w:rsidRDefault="003D0D3F" w:rsidP="007904E8">
      <w:pPr>
        <w:pStyle w:val="BodyText"/>
        <w:rPr>
          <w:rFonts w:eastAsia="Calibri"/>
          <w:b/>
        </w:rPr>
        <w:sectPr w:rsidR="003D0D3F" w:rsidSect="00E52A9A">
          <w:headerReference w:type="even" r:id="rId196"/>
          <w:headerReference w:type="default" r:id="rId197"/>
          <w:footerReference w:type="even" r:id="rId198"/>
          <w:footerReference w:type="default" r:id="rId199"/>
          <w:pgSz w:w="11906" w:h="16838" w:code="9"/>
          <w:pgMar w:top="1134" w:right="1134" w:bottom="1134" w:left="1134" w:header="283" w:footer="283" w:gutter="0"/>
          <w:cols w:space="284"/>
          <w:docGrid w:linePitch="360"/>
        </w:sectPr>
      </w:pPr>
    </w:p>
    <w:p w14:paraId="0462AA28" w14:textId="4D951BF0" w:rsidR="007904E8" w:rsidRPr="004A34E0" w:rsidRDefault="007904E8" w:rsidP="00484CDC">
      <w:pPr>
        <w:pStyle w:val="Caption"/>
        <w:rPr>
          <w:rFonts w:eastAsia="Calibri"/>
        </w:rPr>
      </w:pPr>
      <w:r w:rsidRPr="004A34E0">
        <w:rPr>
          <w:rFonts w:eastAsia="Calibri"/>
        </w:rPr>
        <w:lastRenderedPageBreak/>
        <w:t xml:space="preserve">Table 50. Supply and use </w:t>
      </w:r>
      <w:r w:rsidRPr="00484CDC">
        <w:rPr>
          <w:rFonts w:eastAsia="Calibri"/>
        </w:rPr>
        <w:t>table</w:t>
      </w:r>
      <w:r w:rsidRPr="004A34E0">
        <w:rPr>
          <w:rFonts w:eastAsia="Calibri"/>
        </w:rPr>
        <w:t xml:space="preserve"> for</w:t>
      </w:r>
      <w:r w:rsidR="000A2646">
        <w:rPr>
          <w:rFonts w:eastAsia="Calibri"/>
        </w:rPr>
        <w:t xml:space="preserve"> </w:t>
      </w:r>
      <w:r w:rsidRPr="004A34E0">
        <w:rPr>
          <w:rFonts w:eastAsia="Calibri"/>
        </w:rPr>
        <w:t>biomass for food from the GORCAP EEA region in 2019</w:t>
      </w:r>
    </w:p>
    <w:tbl>
      <w:tblPr>
        <w:tblStyle w:val="TableGrid"/>
        <w:tblW w:w="5000" w:type="pct"/>
        <w:tblLook w:val="04A0" w:firstRow="1" w:lastRow="0" w:firstColumn="1" w:lastColumn="0" w:noHBand="0" w:noVBand="1"/>
      </w:tblPr>
      <w:tblGrid>
        <w:gridCol w:w="1356"/>
        <w:gridCol w:w="1148"/>
        <w:gridCol w:w="1448"/>
        <w:gridCol w:w="1571"/>
        <w:gridCol w:w="671"/>
        <w:gridCol w:w="1224"/>
        <w:gridCol w:w="1104"/>
        <w:gridCol w:w="1107"/>
        <w:gridCol w:w="1509"/>
        <w:gridCol w:w="1104"/>
        <w:gridCol w:w="1104"/>
        <w:gridCol w:w="1224"/>
      </w:tblGrid>
      <w:tr w:rsidR="007904E8" w:rsidRPr="004A34E0" w14:paraId="5CA03AE3" w14:textId="77777777" w:rsidTr="003D0D3F">
        <w:trPr>
          <w:cnfStyle w:val="100000000000" w:firstRow="1" w:lastRow="0" w:firstColumn="0" w:lastColumn="0" w:oddVBand="0" w:evenVBand="0" w:oddHBand="0" w:evenHBand="0" w:firstRowFirstColumn="0" w:firstRowLastColumn="0" w:lastRowFirstColumn="0" w:lastRowLastColumn="0"/>
          <w:trHeight w:val="218"/>
        </w:trPr>
        <w:tc>
          <w:tcPr>
            <w:cnfStyle w:val="001000000000" w:firstRow="0" w:lastRow="0" w:firstColumn="1" w:lastColumn="0" w:oddVBand="0" w:evenVBand="0" w:oddHBand="0" w:evenHBand="0" w:firstRowFirstColumn="0" w:firstRowLastColumn="0" w:lastRowFirstColumn="0" w:lastRowLastColumn="0"/>
            <w:tcW w:w="465" w:type="pct"/>
          </w:tcPr>
          <w:p w14:paraId="59006295" w14:textId="77777777" w:rsidR="007904E8" w:rsidRPr="004A34E0" w:rsidRDefault="007904E8" w:rsidP="00666947">
            <w:pPr>
              <w:pStyle w:val="TableTextLeft"/>
              <w:keepNext w:val="0"/>
              <w:rPr>
                <w:rFonts w:eastAsia="Calibri"/>
              </w:rPr>
            </w:pPr>
          </w:p>
        </w:tc>
        <w:tc>
          <w:tcPr>
            <w:tcW w:w="394" w:type="pct"/>
          </w:tcPr>
          <w:p w14:paraId="7ED2DD8B" w14:textId="77777777" w:rsidR="007904E8" w:rsidRPr="004A34E0" w:rsidRDefault="007904E8" w:rsidP="00666947">
            <w:pPr>
              <w:pStyle w:val="TableTextLeft"/>
              <w:keepNext w:val="0"/>
              <w:cnfStyle w:val="100000000000" w:firstRow="1" w:lastRow="0" w:firstColumn="0" w:lastColumn="0" w:oddVBand="0" w:evenVBand="0" w:oddHBand="0" w:evenHBand="0" w:firstRowFirstColumn="0" w:firstRowLastColumn="0" w:lastRowFirstColumn="0" w:lastRowLastColumn="0"/>
              <w:rPr>
                <w:rFonts w:eastAsia="Calibri"/>
              </w:rPr>
            </w:pPr>
          </w:p>
        </w:tc>
        <w:tc>
          <w:tcPr>
            <w:tcW w:w="497" w:type="pct"/>
          </w:tcPr>
          <w:p w14:paraId="7A8A2184" w14:textId="77777777" w:rsidR="007904E8" w:rsidRPr="004A34E0" w:rsidRDefault="007904E8" w:rsidP="00666947">
            <w:pPr>
              <w:pStyle w:val="TableTextLeft"/>
              <w:keepNext w:val="0"/>
              <w:cnfStyle w:val="100000000000" w:firstRow="1" w:lastRow="0" w:firstColumn="0" w:lastColumn="0" w:oddVBand="0" w:evenVBand="0" w:oddHBand="0" w:evenHBand="0" w:firstRowFirstColumn="0" w:firstRowLastColumn="0" w:lastRowFirstColumn="0" w:lastRowLastColumn="0"/>
              <w:rPr>
                <w:rFonts w:eastAsia="Calibri"/>
              </w:rPr>
            </w:pPr>
            <w:r w:rsidRPr="004A34E0">
              <w:rPr>
                <w:rFonts w:eastAsia="Calibri"/>
                <w:b/>
              </w:rPr>
              <w:t>Metric</w:t>
            </w:r>
          </w:p>
        </w:tc>
        <w:tc>
          <w:tcPr>
            <w:tcW w:w="539" w:type="pct"/>
            <w:vMerge w:val="restart"/>
          </w:tcPr>
          <w:p w14:paraId="2034C741" w14:textId="77777777" w:rsidR="007904E8" w:rsidRPr="004A34E0" w:rsidRDefault="007904E8" w:rsidP="00666947">
            <w:pPr>
              <w:pStyle w:val="TableTextLeft"/>
              <w:keepNext w:val="0"/>
              <w:cnfStyle w:val="100000000000" w:firstRow="1" w:lastRow="0" w:firstColumn="0" w:lastColumn="0" w:oddVBand="0" w:evenVBand="0" w:oddHBand="0" w:evenHBand="0" w:firstRowFirstColumn="0" w:firstRowLastColumn="0" w:lastRowFirstColumn="0" w:lastRowLastColumn="0"/>
              <w:rPr>
                <w:rFonts w:eastAsia="Calibri"/>
              </w:rPr>
            </w:pPr>
            <w:proofErr w:type="spellStart"/>
            <w:r w:rsidRPr="004A34E0">
              <w:rPr>
                <w:rFonts w:eastAsia="Calibri"/>
                <w:b/>
              </w:rPr>
              <w:t>H’hold</w:t>
            </w:r>
            <w:proofErr w:type="spellEnd"/>
          </w:p>
        </w:tc>
        <w:tc>
          <w:tcPr>
            <w:tcW w:w="230" w:type="pct"/>
            <w:vMerge w:val="restart"/>
          </w:tcPr>
          <w:p w14:paraId="23CCDDA9" w14:textId="77777777" w:rsidR="007904E8" w:rsidRPr="004A34E0" w:rsidRDefault="007904E8" w:rsidP="00666947">
            <w:pPr>
              <w:pStyle w:val="TableTextLeft"/>
              <w:keepNext w:val="0"/>
              <w:cnfStyle w:val="100000000000" w:firstRow="1" w:lastRow="0" w:firstColumn="0" w:lastColumn="0" w:oddVBand="0" w:evenVBand="0" w:oddHBand="0" w:evenHBand="0" w:firstRowFirstColumn="0" w:firstRowLastColumn="0" w:lastRowFirstColumn="0" w:lastRowLastColumn="0"/>
              <w:rPr>
                <w:rFonts w:eastAsia="Calibri"/>
              </w:rPr>
            </w:pPr>
            <w:r w:rsidRPr="004A34E0">
              <w:rPr>
                <w:rFonts w:eastAsia="Calibri"/>
                <w:b/>
              </w:rPr>
              <w:t>Gov.</w:t>
            </w:r>
          </w:p>
        </w:tc>
        <w:tc>
          <w:tcPr>
            <w:tcW w:w="420" w:type="pct"/>
            <w:vMerge w:val="restart"/>
          </w:tcPr>
          <w:p w14:paraId="05605618" w14:textId="77777777" w:rsidR="007904E8" w:rsidRPr="004A34E0" w:rsidRDefault="007904E8" w:rsidP="00666947">
            <w:pPr>
              <w:pStyle w:val="TableTextLeft"/>
              <w:keepNext w:val="0"/>
              <w:cnfStyle w:val="100000000000" w:firstRow="1" w:lastRow="0" w:firstColumn="0" w:lastColumn="0" w:oddVBand="0" w:evenVBand="0" w:oddHBand="0" w:evenHBand="0" w:firstRowFirstColumn="0" w:firstRowLastColumn="0" w:lastRowFirstColumn="0" w:lastRowLastColumn="0"/>
              <w:rPr>
                <w:rFonts w:eastAsia="Calibri"/>
              </w:rPr>
            </w:pPr>
            <w:r w:rsidRPr="004A34E0">
              <w:rPr>
                <w:rFonts w:eastAsia="Calibri"/>
                <w:b/>
              </w:rPr>
              <w:t>Ind.</w:t>
            </w:r>
          </w:p>
        </w:tc>
        <w:tc>
          <w:tcPr>
            <w:tcW w:w="2455" w:type="pct"/>
            <w:gridSpan w:val="6"/>
            <w:tcBorders>
              <w:bottom w:val="single" w:sz="4" w:space="0" w:color="FFFFFF" w:themeColor="background1"/>
            </w:tcBorders>
          </w:tcPr>
          <w:p w14:paraId="5BD384F3" w14:textId="77777777" w:rsidR="007904E8" w:rsidRPr="004A34E0" w:rsidRDefault="007904E8" w:rsidP="00666947">
            <w:pPr>
              <w:pStyle w:val="TableTextLeft"/>
              <w:keepNext w:val="0"/>
              <w:cnfStyle w:val="100000000000" w:firstRow="1" w:lastRow="0" w:firstColumn="0" w:lastColumn="0" w:oddVBand="0" w:evenVBand="0" w:oddHBand="0" w:evenHBand="0" w:firstRowFirstColumn="0" w:firstRowLastColumn="0" w:lastRowFirstColumn="0" w:lastRowLastColumn="0"/>
              <w:rPr>
                <w:rFonts w:eastAsia="Calibri"/>
                <w:b/>
              </w:rPr>
            </w:pPr>
            <w:r w:rsidRPr="004A34E0">
              <w:rPr>
                <w:rFonts w:eastAsia="Calibri"/>
                <w:b/>
              </w:rPr>
              <w:t>Ecosystem</w:t>
            </w:r>
          </w:p>
        </w:tc>
      </w:tr>
      <w:tr w:rsidR="003D0D3F" w:rsidRPr="004A34E0" w14:paraId="43E9EE78" w14:textId="77777777" w:rsidTr="003D0D3F">
        <w:trPr>
          <w:trHeight w:val="218"/>
        </w:trPr>
        <w:tc>
          <w:tcPr>
            <w:cnfStyle w:val="001000000000" w:firstRow="0" w:lastRow="0" w:firstColumn="1" w:lastColumn="0" w:oddVBand="0" w:evenVBand="0" w:oddHBand="0" w:evenHBand="0" w:firstRowFirstColumn="0" w:firstRowLastColumn="0" w:lastRowFirstColumn="0" w:lastRowLastColumn="0"/>
            <w:tcW w:w="465" w:type="pct"/>
            <w:tcBorders>
              <w:top w:val="nil"/>
              <w:bottom w:val="nil"/>
            </w:tcBorders>
            <w:shd w:val="clear" w:color="auto" w:fill="004C97" w:themeFill="accent1"/>
          </w:tcPr>
          <w:p w14:paraId="0A0003CA" w14:textId="77777777" w:rsidR="007904E8" w:rsidRPr="003D0D3F" w:rsidRDefault="007904E8" w:rsidP="00666947">
            <w:pPr>
              <w:pStyle w:val="TableTextLeft"/>
              <w:rPr>
                <w:rFonts w:eastAsia="Calibri"/>
                <w:color w:val="FFFFFF" w:themeColor="background1"/>
              </w:rPr>
            </w:pPr>
          </w:p>
        </w:tc>
        <w:tc>
          <w:tcPr>
            <w:tcW w:w="394" w:type="pct"/>
            <w:tcBorders>
              <w:top w:val="nil"/>
              <w:bottom w:val="nil"/>
            </w:tcBorders>
            <w:shd w:val="clear" w:color="auto" w:fill="004C97" w:themeFill="accent1"/>
          </w:tcPr>
          <w:p w14:paraId="3D9E1062"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p>
        </w:tc>
        <w:tc>
          <w:tcPr>
            <w:tcW w:w="497" w:type="pct"/>
            <w:tcBorders>
              <w:top w:val="nil"/>
              <w:bottom w:val="nil"/>
            </w:tcBorders>
            <w:shd w:val="clear" w:color="auto" w:fill="004C97" w:themeFill="accent1"/>
          </w:tcPr>
          <w:p w14:paraId="73E75BB0"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p>
        </w:tc>
        <w:tc>
          <w:tcPr>
            <w:tcW w:w="539" w:type="pct"/>
            <w:vMerge/>
            <w:shd w:val="clear" w:color="auto" w:fill="004C97" w:themeFill="accent1"/>
          </w:tcPr>
          <w:p w14:paraId="0DB551D9"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p>
        </w:tc>
        <w:tc>
          <w:tcPr>
            <w:tcW w:w="230" w:type="pct"/>
            <w:vMerge/>
            <w:shd w:val="clear" w:color="auto" w:fill="004C97" w:themeFill="accent1"/>
          </w:tcPr>
          <w:p w14:paraId="00119C52"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p>
        </w:tc>
        <w:tc>
          <w:tcPr>
            <w:tcW w:w="420" w:type="pct"/>
            <w:vMerge/>
            <w:shd w:val="clear" w:color="auto" w:fill="004C97" w:themeFill="accent1"/>
          </w:tcPr>
          <w:p w14:paraId="3EA6A8E4"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p>
        </w:tc>
        <w:tc>
          <w:tcPr>
            <w:tcW w:w="759" w:type="pct"/>
            <w:gridSpan w:val="2"/>
            <w:tcBorders>
              <w:top w:val="single" w:sz="4" w:space="0" w:color="FFFFFF" w:themeColor="background1"/>
              <w:bottom w:val="single" w:sz="4" w:space="0" w:color="FFFFFF" w:themeColor="background1"/>
            </w:tcBorders>
            <w:shd w:val="clear" w:color="auto" w:fill="004C97" w:themeFill="accent1"/>
          </w:tcPr>
          <w:p w14:paraId="1AAA0807"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r w:rsidRPr="003D0D3F">
              <w:rPr>
                <w:rFonts w:eastAsia="Calibri"/>
                <w:color w:val="FFFFFF" w:themeColor="background1"/>
              </w:rPr>
              <w:t>Marine</w:t>
            </w:r>
          </w:p>
        </w:tc>
        <w:tc>
          <w:tcPr>
            <w:tcW w:w="897" w:type="pct"/>
            <w:gridSpan w:val="2"/>
            <w:tcBorders>
              <w:top w:val="single" w:sz="4" w:space="0" w:color="FFFFFF" w:themeColor="background1"/>
              <w:bottom w:val="single" w:sz="4" w:space="0" w:color="FFFFFF" w:themeColor="background1"/>
            </w:tcBorders>
            <w:shd w:val="clear" w:color="auto" w:fill="004C97" w:themeFill="accent1"/>
          </w:tcPr>
          <w:p w14:paraId="0802A374"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r w:rsidRPr="003D0D3F">
              <w:rPr>
                <w:rFonts w:eastAsia="Calibri"/>
                <w:color w:val="FFFFFF" w:themeColor="background1"/>
              </w:rPr>
              <w:t>Coastal margin</w:t>
            </w:r>
          </w:p>
        </w:tc>
        <w:tc>
          <w:tcPr>
            <w:tcW w:w="800" w:type="pct"/>
            <w:gridSpan w:val="2"/>
            <w:tcBorders>
              <w:top w:val="single" w:sz="4" w:space="0" w:color="FFFFFF" w:themeColor="background1"/>
              <w:bottom w:val="single" w:sz="4" w:space="0" w:color="FFFFFF" w:themeColor="background1"/>
            </w:tcBorders>
            <w:shd w:val="clear" w:color="auto" w:fill="004C97" w:themeFill="accent1"/>
          </w:tcPr>
          <w:p w14:paraId="68454160"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r w:rsidRPr="003D0D3F">
              <w:rPr>
                <w:rFonts w:eastAsia="Calibri"/>
                <w:color w:val="FFFFFF" w:themeColor="background1"/>
              </w:rPr>
              <w:t>Farmland</w:t>
            </w:r>
          </w:p>
        </w:tc>
      </w:tr>
      <w:tr w:rsidR="003D0D3F" w:rsidRPr="004A34E0" w14:paraId="0BE61B23" w14:textId="77777777" w:rsidTr="003D0D3F">
        <w:trPr>
          <w:trHeight w:val="371"/>
        </w:trPr>
        <w:tc>
          <w:tcPr>
            <w:cnfStyle w:val="001000000000" w:firstRow="0" w:lastRow="0" w:firstColumn="1" w:lastColumn="0" w:oddVBand="0" w:evenVBand="0" w:oddHBand="0" w:evenHBand="0" w:firstRowFirstColumn="0" w:firstRowLastColumn="0" w:lastRowFirstColumn="0" w:lastRowLastColumn="0"/>
            <w:tcW w:w="465" w:type="pct"/>
            <w:tcBorders>
              <w:top w:val="nil"/>
            </w:tcBorders>
            <w:shd w:val="clear" w:color="auto" w:fill="004C97" w:themeFill="accent1"/>
          </w:tcPr>
          <w:p w14:paraId="006E4F55" w14:textId="77777777" w:rsidR="007904E8" w:rsidRPr="003D0D3F" w:rsidRDefault="007904E8" w:rsidP="00666947">
            <w:pPr>
              <w:pStyle w:val="TableTextLeft"/>
              <w:rPr>
                <w:rFonts w:eastAsia="Calibri"/>
                <w:color w:val="FFFFFF" w:themeColor="background1"/>
              </w:rPr>
            </w:pPr>
          </w:p>
        </w:tc>
        <w:tc>
          <w:tcPr>
            <w:tcW w:w="394" w:type="pct"/>
            <w:tcBorders>
              <w:top w:val="nil"/>
            </w:tcBorders>
            <w:shd w:val="clear" w:color="auto" w:fill="004C97" w:themeFill="accent1"/>
          </w:tcPr>
          <w:p w14:paraId="22E62C46"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p>
        </w:tc>
        <w:tc>
          <w:tcPr>
            <w:tcW w:w="497" w:type="pct"/>
            <w:tcBorders>
              <w:top w:val="nil"/>
            </w:tcBorders>
            <w:shd w:val="clear" w:color="auto" w:fill="004C97" w:themeFill="accent1"/>
          </w:tcPr>
          <w:p w14:paraId="733D3C57"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p>
        </w:tc>
        <w:tc>
          <w:tcPr>
            <w:tcW w:w="539" w:type="pct"/>
            <w:vMerge/>
            <w:shd w:val="clear" w:color="auto" w:fill="004C97" w:themeFill="accent1"/>
          </w:tcPr>
          <w:p w14:paraId="0F40C2D1"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p>
        </w:tc>
        <w:tc>
          <w:tcPr>
            <w:tcW w:w="230" w:type="pct"/>
            <w:vMerge/>
            <w:shd w:val="clear" w:color="auto" w:fill="004C97" w:themeFill="accent1"/>
          </w:tcPr>
          <w:p w14:paraId="427E88B1"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p>
        </w:tc>
        <w:tc>
          <w:tcPr>
            <w:tcW w:w="420" w:type="pct"/>
            <w:vMerge/>
            <w:shd w:val="clear" w:color="auto" w:fill="004C97" w:themeFill="accent1"/>
          </w:tcPr>
          <w:p w14:paraId="0B4ED40F"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p>
        </w:tc>
        <w:tc>
          <w:tcPr>
            <w:tcW w:w="379" w:type="pct"/>
            <w:tcBorders>
              <w:top w:val="single" w:sz="4" w:space="0" w:color="FFFFFF" w:themeColor="background1"/>
            </w:tcBorders>
            <w:shd w:val="clear" w:color="auto" w:fill="004C97" w:themeFill="accent1"/>
          </w:tcPr>
          <w:p w14:paraId="6A29EA2F"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r w:rsidRPr="003D0D3F">
              <w:rPr>
                <w:rFonts w:eastAsia="Calibri"/>
                <w:i/>
                <w:color w:val="FFFFFF" w:themeColor="background1"/>
              </w:rPr>
              <w:t>Crown</w:t>
            </w:r>
          </w:p>
        </w:tc>
        <w:tc>
          <w:tcPr>
            <w:tcW w:w="380" w:type="pct"/>
            <w:tcBorders>
              <w:top w:val="single" w:sz="4" w:space="0" w:color="FFFFFF" w:themeColor="background1"/>
            </w:tcBorders>
            <w:shd w:val="clear" w:color="auto" w:fill="004C97" w:themeFill="accent1"/>
          </w:tcPr>
          <w:p w14:paraId="650A09C1"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r w:rsidRPr="003D0D3F">
              <w:rPr>
                <w:rFonts w:eastAsia="Calibri"/>
                <w:i/>
                <w:color w:val="FFFFFF" w:themeColor="background1"/>
              </w:rPr>
              <w:t>Non-Crown</w:t>
            </w:r>
          </w:p>
        </w:tc>
        <w:tc>
          <w:tcPr>
            <w:tcW w:w="518" w:type="pct"/>
            <w:tcBorders>
              <w:top w:val="single" w:sz="4" w:space="0" w:color="FFFFFF" w:themeColor="background1"/>
            </w:tcBorders>
            <w:shd w:val="clear" w:color="auto" w:fill="004C97" w:themeFill="accent1"/>
          </w:tcPr>
          <w:p w14:paraId="4D25148B"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r w:rsidRPr="003D0D3F">
              <w:rPr>
                <w:rFonts w:eastAsia="Calibri"/>
                <w:i/>
                <w:color w:val="FFFFFF" w:themeColor="background1"/>
              </w:rPr>
              <w:t>Crown</w:t>
            </w:r>
          </w:p>
        </w:tc>
        <w:tc>
          <w:tcPr>
            <w:tcW w:w="379" w:type="pct"/>
            <w:tcBorders>
              <w:top w:val="single" w:sz="4" w:space="0" w:color="FFFFFF" w:themeColor="background1"/>
            </w:tcBorders>
            <w:shd w:val="clear" w:color="auto" w:fill="004C97" w:themeFill="accent1"/>
          </w:tcPr>
          <w:p w14:paraId="2291F3C3"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r w:rsidRPr="003D0D3F">
              <w:rPr>
                <w:rFonts w:eastAsia="Calibri"/>
                <w:i/>
                <w:color w:val="FFFFFF" w:themeColor="background1"/>
              </w:rPr>
              <w:t>Non-Crown</w:t>
            </w:r>
          </w:p>
        </w:tc>
        <w:tc>
          <w:tcPr>
            <w:tcW w:w="379" w:type="pct"/>
            <w:tcBorders>
              <w:top w:val="single" w:sz="4" w:space="0" w:color="FFFFFF" w:themeColor="background1"/>
            </w:tcBorders>
            <w:shd w:val="clear" w:color="auto" w:fill="004C97" w:themeFill="accent1"/>
          </w:tcPr>
          <w:p w14:paraId="54413C75"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r w:rsidRPr="003D0D3F">
              <w:rPr>
                <w:rFonts w:eastAsia="Calibri"/>
                <w:i/>
                <w:color w:val="FFFFFF" w:themeColor="background1"/>
              </w:rPr>
              <w:t>Crown</w:t>
            </w:r>
          </w:p>
        </w:tc>
        <w:tc>
          <w:tcPr>
            <w:tcW w:w="421" w:type="pct"/>
            <w:tcBorders>
              <w:top w:val="single" w:sz="4" w:space="0" w:color="FFFFFF" w:themeColor="background1"/>
            </w:tcBorders>
            <w:shd w:val="clear" w:color="auto" w:fill="004C97" w:themeFill="accent1"/>
          </w:tcPr>
          <w:p w14:paraId="65B92C51"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i/>
                <w:color w:val="FFFFFF" w:themeColor="background1"/>
              </w:rPr>
            </w:pPr>
            <w:r w:rsidRPr="003D0D3F">
              <w:rPr>
                <w:rFonts w:eastAsia="Calibri"/>
                <w:i/>
                <w:color w:val="FFFFFF" w:themeColor="background1"/>
              </w:rPr>
              <w:t>Non-Crown</w:t>
            </w:r>
          </w:p>
        </w:tc>
      </w:tr>
      <w:tr w:rsidR="007904E8" w:rsidRPr="004A34E0" w14:paraId="3716F297" w14:textId="77777777" w:rsidTr="003D0D3F">
        <w:trPr>
          <w:trHeight w:val="90"/>
        </w:trPr>
        <w:tc>
          <w:tcPr>
            <w:cnfStyle w:val="001000000000" w:firstRow="0" w:lastRow="0" w:firstColumn="1" w:lastColumn="0" w:oddVBand="0" w:evenVBand="0" w:oddHBand="0" w:evenHBand="0" w:firstRowFirstColumn="0" w:firstRowLastColumn="0" w:lastRowFirstColumn="0" w:lastRowLastColumn="0"/>
            <w:tcW w:w="465" w:type="pct"/>
            <w:vMerge w:val="restart"/>
          </w:tcPr>
          <w:p w14:paraId="15ABBCEC" w14:textId="77777777" w:rsidR="007904E8" w:rsidRPr="004A34E0" w:rsidRDefault="007904E8" w:rsidP="00666947">
            <w:pPr>
              <w:pStyle w:val="TableTextLeft"/>
              <w:rPr>
                <w:rFonts w:eastAsia="Calibri"/>
              </w:rPr>
            </w:pPr>
            <w:r w:rsidRPr="004A34E0">
              <w:rPr>
                <w:rFonts w:eastAsia="Calibri"/>
              </w:rPr>
              <w:t>Biomass - Food</w:t>
            </w:r>
          </w:p>
        </w:tc>
        <w:tc>
          <w:tcPr>
            <w:tcW w:w="394" w:type="pct"/>
            <w:vMerge w:val="restart"/>
          </w:tcPr>
          <w:p w14:paraId="787B6DD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Supply</w:t>
            </w:r>
          </w:p>
        </w:tc>
        <w:tc>
          <w:tcPr>
            <w:tcW w:w="497" w:type="pct"/>
          </w:tcPr>
          <w:p w14:paraId="3231D59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vertAlign w:val="superscript"/>
              </w:rPr>
            </w:pPr>
            <w:r w:rsidRPr="004A34E0">
              <w:rPr>
                <w:rFonts w:eastAsia="Calibri"/>
              </w:rPr>
              <w:t>Kg / yr</w:t>
            </w:r>
          </w:p>
        </w:tc>
        <w:tc>
          <w:tcPr>
            <w:tcW w:w="539" w:type="pct"/>
          </w:tcPr>
          <w:p w14:paraId="3CDB6E0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230" w:type="pct"/>
          </w:tcPr>
          <w:p w14:paraId="4917CAA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420" w:type="pct"/>
          </w:tcPr>
          <w:p w14:paraId="30C6E5B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379" w:type="pct"/>
          </w:tcPr>
          <w:p w14:paraId="5966ED3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0.3m</w:t>
            </w:r>
          </w:p>
        </w:tc>
        <w:tc>
          <w:tcPr>
            <w:tcW w:w="380" w:type="pct"/>
          </w:tcPr>
          <w:p w14:paraId="5CA7A4C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518" w:type="pct"/>
          </w:tcPr>
          <w:p w14:paraId="266A71C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i/>
              </w:rPr>
              <w:t>Negligible</w:t>
            </w:r>
          </w:p>
        </w:tc>
        <w:tc>
          <w:tcPr>
            <w:tcW w:w="379" w:type="pct"/>
          </w:tcPr>
          <w:p w14:paraId="5C9B3A8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379" w:type="pct"/>
          </w:tcPr>
          <w:p w14:paraId="4A20399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421" w:type="pct"/>
          </w:tcPr>
          <w:p w14:paraId="514DF75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28.2m</w:t>
            </w:r>
          </w:p>
        </w:tc>
      </w:tr>
      <w:tr w:rsidR="007904E8" w:rsidRPr="004A34E0" w14:paraId="58EFF716" w14:textId="77777777" w:rsidTr="003D0D3F">
        <w:trPr>
          <w:trHeight w:val="218"/>
        </w:trPr>
        <w:tc>
          <w:tcPr>
            <w:cnfStyle w:val="001000000000" w:firstRow="0" w:lastRow="0" w:firstColumn="1" w:lastColumn="0" w:oddVBand="0" w:evenVBand="0" w:oddHBand="0" w:evenHBand="0" w:firstRowFirstColumn="0" w:firstRowLastColumn="0" w:lastRowFirstColumn="0" w:lastRowLastColumn="0"/>
            <w:tcW w:w="465" w:type="pct"/>
            <w:vMerge/>
          </w:tcPr>
          <w:p w14:paraId="06655BDB" w14:textId="77777777" w:rsidR="007904E8" w:rsidRPr="004A34E0" w:rsidRDefault="007904E8" w:rsidP="00666947">
            <w:pPr>
              <w:pStyle w:val="TableTextLeft"/>
              <w:rPr>
                <w:rFonts w:eastAsia="Calibri"/>
              </w:rPr>
            </w:pPr>
          </w:p>
        </w:tc>
        <w:tc>
          <w:tcPr>
            <w:tcW w:w="394" w:type="pct"/>
            <w:vMerge/>
          </w:tcPr>
          <w:p w14:paraId="7981A19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497" w:type="pct"/>
          </w:tcPr>
          <w:p w14:paraId="7D21378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Livestock / yr</w:t>
            </w:r>
          </w:p>
        </w:tc>
        <w:tc>
          <w:tcPr>
            <w:tcW w:w="539" w:type="pct"/>
          </w:tcPr>
          <w:p w14:paraId="7E5C4B3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230" w:type="pct"/>
          </w:tcPr>
          <w:p w14:paraId="35BEBC6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420" w:type="pct"/>
          </w:tcPr>
          <w:p w14:paraId="714F58A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379" w:type="pct"/>
          </w:tcPr>
          <w:p w14:paraId="0C09855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380" w:type="pct"/>
          </w:tcPr>
          <w:p w14:paraId="644E3AB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518" w:type="pct"/>
          </w:tcPr>
          <w:p w14:paraId="282E867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379" w:type="pct"/>
          </w:tcPr>
          <w:p w14:paraId="1BE89DB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379" w:type="pct"/>
          </w:tcPr>
          <w:p w14:paraId="45F6D78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421" w:type="pct"/>
          </w:tcPr>
          <w:p w14:paraId="29B67D4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0.2m</w:t>
            </w:r>
          </w:p>
        </w:tc>
      </w:tr>
      <w:tr w:rsidR="007904E8" w:rsidRPr="004A34E0" w14:paraId="2C84D543" w14:textId="77777777" w:rsidTr="003D0D3F">
        <w:trPr>
          <w:trHeight w:val="227"/>
        </w:trPr>
        <w:tc>
          <w:tcPr>
            <w:cnfStyle w:val="001000000000" w:firstRow="0" w:lastRow="0" w:firstColumn="1" w:lastColumn="0" w:oddVBand="0" w:evenVBand="0" w:oddHBand="0" w:evenHBand="0" w:firstRowFirstColumn="0" w:firstRowLastColumn="0" w:lastRowFirstColumn="0" w:lastRowLastColumn="0"/>
            <w:tcW w:w="465" w:type="pct"/>
            <w:vMerge/>
          </w:tcPr>
          <w:p w14:paraId="08E6E3FB" w14:textId="77777777" w:rsidR="007904E8" w:rsidRPr="004A34E0" w:rsidRDefault="007904E8" w:rsidP="00666947">
            <w:pPr>
              <w:pStyle w:val="TableTextLeft"/>
              <w:rPr>
                <w:rFonts w:eastAsia="Calibri"/>
              </w:rPr>
            </w:pPr>
          </w:p>
        </w:tc>
        <w:tc>
          <w:tcPr>
            <w:tcW w:w="394" w:type="pct"/>
            <w:vMerge w:val="restart"/>
          </w:tcPr>
          <w:p w14:paraId="1CC4D79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Use</w:t>
            </w:r>
          </w:p>
        </w:tc>
        <w:tc>
          <w:tcPr>
            <w:tcW w:w="497" w:type="pct"/>
          </w:tcPr>
          <w:p w14:paraId="4690B48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Kg / yr</w:t>
            </w:r>
          </w:p>
        </w:tc>
        <w:tc>
          <w:tcPr>
            <w:tcW w:w="539" w:type="pct"/>
          </w:tcPr>
          <w:p w14:paraId="386A304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230" w:type="pct"/>
          </w:tcPr>
          <w:p w14:paraId="5CCAE51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420" w:type="pct"/>
          </w:tcPr>
          <w:p w14:paraId="6EC3804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28.5m</w:t>
            </w:r>
          </w:p>
        </w:tc>
        <w:tc>
          <w:tcPr>
            <w:tcW w:w="379" w:type="pct"/>
          </w:tcPr>
          <w:p w14:paraId="5D1C938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380" w:type="pct"/>
          </w:tcPr>
          <w:p w14:paraId="2C54B8B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518" w:type="pct"/>
          </w:tcPr>
          <w:p w14:paraId="493F75C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i/>
              </w:rPr>
            </w:pPr>
          </w:p>
        </w:tc>
        <w:tc>
          <w:tcPr>
            <w:tcW w:w="379" w:type="pct"/>
          </w:tcPr>
          <w:p w14:paraId="22958A8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379" w:type="pct"/>
          </w:tcPr>
          <w:p w14:paraId="5DF09BA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421" w:type="pct"/>
          </w:tcPr>
          <w:p w14:paraId="72907FD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r>
      <w:tr w:rsidR="007904E8" w:rsidRPr="004A34E0" w14:paraId="2917CFEA" w14:textId="77777777" w:rsidTr="003D0D3F">
        <w:trPr>
          <w:trHeight w:val="227"/>
        </w:trPr>
        <w:tc>
          <w:tcPr>
            <w:cnfStyle w:val="001000000000" w:firstRow="0" w:lastRow="0" w:firstColumn="1" w:lastColumn="0" w:oddVBand="0" w:evenVBand="0" w:oddHBand="0" w:evenHBand="0" w:firstRowFirstColumn="0" w:firstRowLastColumn="0" w:lastRowFirstColumn="0" w:lastRowLastColumn="0"/>
            <w:tcW w:w="465" w:type="pct"/>
            <w:vMerge/>
          </w:tcPr>
          <w:p w14:paraId="7EF63EE2" w14:textId="77777777" w:rsidR="007904E8" w:rsidRPr="004A34E0" w:rsidRDefault="007904E8" w:rsidP="00666947">
            <w:pPr>
              <w:pStyle w:val="TableTextLeft"/>
              <w:rPr>
                <w:rFonts w:eastAsia="Calibri"/>
              </w:rPr>
            </w:pPr>
          </w:p>
        </w:tc>
        <w:tc>
          <w:tcPr>
            <w:tcW w:w="394" w:type="pct"/>
            <w:vMerge/>
          </w:tcPr>
          <w:p w14:paraId="47D7523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497" w:type="pct"/>
          </w:tcPr>
          <w:p w14:paraId="2A7B155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Livestock / yr</w:t>
            </w:r>
          </w:p>
        </w:tc>
        <w:tc>
          <w:tcPr>
            <w:tcW w:w="539" w:type="pct"/>
          </w:tcPr>
          <w:p w14:paraId="4EEDF43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230" w:type="pct"/>
          </w:tcPr>
          <w:p w14:paraId="19BE740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420" w:type="pct"/>
          </w:tcPr>
          <w:p w14:paraId="3A7674D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0.2m</w:t>
            </w:r>
          </w:p>
        </w:tc>
        <w:tc>
          <w:tcPr>
            <w:tcW w:w="379" w:type="pct"/>
          </w:tcPr>
          <w:p w14:paraId="6D6DCB8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380" w:type="pct"/>
          </w:tcPr>
          <w:p w14:paraId="2824D47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518" w:type="pct"/>
          </w:tcPr>
          <w:p w14:paraId="27F72FC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i/>
              </w:rPr>
            </w:pPr>
          </w:p>
        </w:tc>
        <w:tc>
          <w:tcPr>
            <w:tcW w:w="379" w:type="pct"/>
          </w:tcPr>
          <w:p w14:paraId="50F16DC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379" w:type="pct"/>
          </w:tcPr>
          <w:p w14:paraId="590DBF9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421" w:type="pct"/>
          </w:tcPr>
          <w:p w14:paraId="7F7AE7B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r>
      <w:tr w:rsidR="007904E8" w:rsidRPr="004A34E0" w14:paraId="65052A4C" w14:textId="77777777" w:rsidTr="003D0D3F">
        <w:trPr>
          <w:trHeight w:val="362"/>
        </w:trPr>
        <w:tc>
          <w:tcPr>
            <w:cnfStyle w:val="001000000000" w:firstRow="0" w:lastRow="0" w:firstColumn="1" w:lastColumn="0" w:oddVBand="0" w:evenVBand="0" w:oddHBand="0" w:evenHBand="0" w:firstRowFirstColumn="0" w:firstRowLastColumn="0" w:lastRowFirstColumn="0" w:lastRowLastColumn="0"/>
            <w:tcW w:w="465" w:type="pct"/>
            <w:vMerge w:val="restart"/>
          </w:tcPr>
          <w:p w14:paraId="119010AA" w14:textId="77777777" w:rsidR="007904E8" w:rsidRPr="004A34E0" w:rsidRDefault="007904E8" w:rsidP="00666947">
            <w:pPr>
              <w:pStyle w:val="TableTextLeft"/>
              <w:rPr>
                <w:rFonts w:eastAsia="Calibri"/>
              </w:rPr>
            </w:pPr>
            <w:r w:rsidRPr="004A34E0">
              <w:rPr>
                <w:rFonts w:eastAsia="Calibri"/>
              </w:rPr>
              <w:t>Biomass - Food</w:t>
            </w:r>
          </w:p>
        </w:tc>
        <w:tc>
          <w:tcPr>
            <w:tcW w:w="394" w:type="pct"/>
          </w:tcPr>
          <w:p w14:paraId="5EDBF64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Supply</w:t>
            </w:r>
          </w:p>
        </w:tc>
        <w:tc>
          <w:tcPr>
            <w:tcW w:w="497" w:type="pct"/>
          </w:tcPr>
          <w:p w14:paraId="3783647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 AUD (2021) / yr</w:t>
            </w:r>
          </w:p>
        </w:tc>
        <w:tc>
          <w:tcPr>
            <w:tcW w:w="539" w:type="pct"/>
          </w:tcPr>
          <w:p w14:paraId="46B3352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230" w:type="pct"/>
          </w:tcPr>
          <w:p w14:paraId="640AEAE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420" w:type="pct"/>
          </w:tcPr>
          <w:p w14:paraId="11E2F35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379" w:type="pct"/>
          </w:tcPr>
          <w:p w14:paraId="4A9F274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$0.3m</w:t>
            </w:r>
          </w:p>
        </w:tc>
        <w:tc>
          <w:tcPr>
            <w:tcW w:w="380" w:type="pct"/>
          </w:tcPr>
          <w:p w14:paraId="56B1B4B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518" w:type="pct"/>
          </w:tcPr>
          <w:p w14:paraId="7A6FA57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i/>
              </w:rPr>
            </w:pPr>
            <w:r w:rsidRPr="004A34E0">
              <w:rPr>
                <w:rFonts w:eastAsia="Calibri"/>
                <w:i/>
              </w:rPr>
              <w:t>Negligible</w:t>
            </w:r>
          </w:p>
        </w:tc>
        <w:tc>
          <w:tcPr>
            <w:tcW w:w="379" w:type="pct"/>
          </w:tcPr>
          <w:p w14:paraId="282C2BF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379" w:type="pct"/>
          </w:tcPr>
          <w:p w14:paraId="419F52E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421" w:type="pct"/>
          </w:tcPr>
          <w:p w14:paraId="183C869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$11.4m</w:t>
            </w:r>
          </w:p>
        </w:tc>
      </w:tr>
      <w:tr w:rsidR="007904E8" w:rsidRPr="004A34E0" w14:paraId="6CE578CA" w14:textId="77777777" w:rsidTr="003D0D3F">
        <w:trPr>
          <w:trHeight w:val="379"/>
        </w:trPr>
        <w:tc>
          <w:tcPr>
            <w:cnfStyle w:val="001000000000" w:firstRow="0" w:lastRow="0" w:firstColumn="1" w:lastColumn="0" w:oddVBand="0" w:evenVBand="0" w:oddHBand="0" w:evenHBand="0" w:firstRowFirstColumn="0" w:firstRowLastColumn="0" w:lastRowFirstColumn="0" w:lastRowLastColumn="0"/>
            <w:tcW w:w="465" w:type="pct"/>
            <w:vMerge/>
          </w:tcPr>
          <w:p w14:paraId="123489B7" w14:textId="77777777" w:rsidR="007904E8" w:rsidRPr="004A34E0" w:rsidRDefault="007904E8" w:rsidP="00666947">
            <w:pPr>
              <w:pStyle w:val="TableTextLeft"/>
              <w:rPr>
                <w:rFonts w:eastAsia="Calibri"/>
              </w:rPr>
            </w:pPr>
          </w:p>
        </w:tc>
        <w:tc>
          <w:tcPr>
            <w:tcW w:w="394" w:type="pct"/>
          </w:tcPr>
          <w:p w14:paraId="0493FEB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Use</w:t>
            </w:r>
          </w:p>
        </w:tc>
        <w:tc>
          <w:tcPr>
            <w:tcW w:w="497" w:type="pct"/>
          </w:tcPr>
          <w:p w14:paraId="3CA0303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 AUD (2021) / yr</w:t>
            </w:r>
          </w:p>
        </w:tc>
        <w:tc>
          <w:tcPr>
            <w:tcW w:w="539" w:type="pct"/>
          </w:tcPr>
          <w:p w14:paraId="68657CA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230" w:type="pct"/>
          </w:tcPr>
          <w:p w14:paraId="186AE22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420" w:type="pct"/>
          </w:tcPr>
          <w:p w14:paraId="577234A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$11.7m</w:t>
            </w:r>
          </w:p>
        </w:tc>
        <w:tc>
          <w:tcPr>
            <w:tcW w:w="379" w:type="pct"/>
          </w:tcPr>
          <w:p w14:paraId="535ABFA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380" w:type="pct"/>
          </w:tcPr>
          <w:p w14:paraId="5B76A94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518" w:type="pct"/>
          </w:tcPr>
          <w:p w14:paraId="7249EE0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i/>
              </w:rPr>
            </w:pPr>
          </w:p>
        </w:tc>
        <w:tc>
          <w:tcPr>
            <w:tcW w:w="379" w:type="pct"/>
          </w:tcPr>
          <w:p w14:paraId="193E44F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379" w:type="pct"/>
          </w:tcPr>
          <w:p w14:paraId="04E85BE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421" w:type="pct"/>
          </w:tcPr>
          <w:p w14:paraId="611B3C4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r>
    </w:tbl>
    <w:p w14:paraId="67372F42" w14:textId="77777777" w:rsidR="003D0D3F" w:rsidRDefault="003D0D3F" w:rsidP="007904E8">
      <w:pPr>
        <w:pStyle w:val="Heading3"/>
        <w:sectPr w:rsidR="003D0D3F" w:rsidSect="00E52A9A">
          <w:pgSz w:w="16838" w:h="11906" w:orient="landscape" w:code="9"/>
          <w:pgMar w:top="1134" w:right="1134" w:bottom="1134" w:left="1134" w:header="283" w:footer="283" w:gutter="0"/>
          <w:cols w:space="284"/>
          <w:docGrid w:linePitch="360"/>
        </w:sectPr>
      </w:pPr>
      <w:bookmarkStart w:id="235" w:name="_Toc98854680"/>
    </w:p>
    <w:p w14:paraId="562A88B1" w14:textId="77777777" w:rsidR="007904E8" w:rsidRPr="004A34E0" w:rsidRDefault="007904E8" w:rsidP="007904E8">
      <w:pPr>
        <w:pStyle w:val="Heading3"/>
      </w:pPr>
      <w:bookmarkStart w:id="236" w:name="_Toc163547061"/>
      <w:r w:rsidRPr="004A34E0">
        <w:lastRenderedPageBreak/>
        <w:t>Global climate regulation</w:t>
      </w:r>
      <w:bookmarkEnd w:id="235"/>
      <w:bookmarkEnd w:id="236"/>
    </w:p>
    <w:p w14:paraId="38CAD028" w14:textId="77777777" w:rsidR="007904E8" w:rsidRPr="00A53539" w:rsidRDefault="007904E8" w:rsidP="000035CB">
      <w:pPr>
        <w:pStyle w:val="AlphaHeading4"/>
        <w:numPr>
          <w:ilvl w:val="0"/>
          <w:numId w:val="52"/>
        </w:numPr>
      </w:pPr>
      <w:r w:rsidRPr="00A2745D">
        <w:t xml:space="preserve">Physical </w:t>
      </w:r>
      <w:r w:rsidRPr="00A53539">
        <w:t>provision of global climate regulation</w:t>
      </w:r>
    </w:p>
    <w:p w14:paraId="57A070E9" w14:textId="77777777" w:rsidR="007904E8" w:rsidRPr="000C410E" w:rsidRDefault="007904E8" w:rsidP="000035CB">
      <w:pPr>
        <w:pStyle w:val="AlphaHeading5"/>
        <w:numPr>
          <w:ilvl w:val="0"/>
          <w:numId w:val="50"/>
        </w:numPr>
        <w:ind w:left="284" w:hanging="284"/>
      </w:pPr>
      <w:r w:rsidRPr="000C410E">
        <w:t>Carbon retention</w:t>
      </w:r>
    </w:p>
    <w:p w14:paraId="41188771" w14:textId="77777777" w:rsidR="007904E8" w:rsidRPr="004A34E0" w:rsidRDefault="007904E8" w:rsidP="007904E8">
      <w:pPr>
        <w:pStyle w:val="BodyText12ptBefore"/>
      </w:pPr>
      <w:r w:rsidRPr="004A34E0">
        <w:t>Analysis of the carbon mapping across land and marine ecosystem assets in the GORCAP EEA region estimates a total stock of 35.5 million tonnes of carbon dioxide equivalent (tCO2e), which is detailed by broad habitat in Table 51 and show in Figure 33.</w:t>
      </w:r>
    </w:p>
    <w:p w14:paraId="6510C9FF" w14:textId="77777777" w:rsidR="007904E8" w:rsidRPr="004A34E0" w:rsidRDefault="007904E8" w:rsidP="00484CDC">
      <w:pPr>
        <w:pStyle w:val="Caption"/>
      </w:pPr>
      <w:r w:rsidRPr="004A34E0">
        <w:t>Table 51. Estimated carbon stock (tCO2e) from ecosystems within GOR in 2019</w:t>
      </w:r>
    </w:p>
    <w:tbl>
      <w:tblPr>
        <w:tblStyle w:val="TableGrid"/>
        <w:tblW w:w="5000" w:type="pct"/>
        <w:tblLook w:val="04A0" w:firstRow="1" w:lastRow="0" w:firstColumn="1" w:lastColumn="0" w:noHBand="0" w:noVBand="1"/>
      </w:tblPr>
      <w:tblGrid>
        <w:gridCol w:w="2675"/>
        <w:gridCol w:w="2076"/>
        <w:gridCol w:w="2076"/>
        <w:gridCol w:w="937"/>
        <w:gridCol w:w="1874"/>
      </w:tblGrid>
      <w:tr w:rsidR="007904E8" w:rsidRPr="004A34E0" w14:paraId="179FC143" w14:textId="77777777" w:rsidTr="000A26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7" w:type="pct"/>
          </w:tcPr>
          <w:p w14:paraId="4B47A552" w14:textId="77777777" w:rsidR="007904E8" w:rsidRPr="004A34E0" w:rsidRDefault="007904E8" w:rsidP="007904E8">
            <w:pPr>
              <w:pStyle w:val="TableTextLeft"/>
              <w:keepNext w:val="0"/>
            </w:pPr>
            <w:r w:rsidRPr="004A34E0">
              <w:t>Broad habitat</w:t>
            </w:r>
          </w:p>
        </w:tc>
        <w:tc>
          <w:tcPr>
            <w:tcW w:w="1077" w:type="pct"/>
          </w:tcPr>
          <w:p w14:paraId="169E244A"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pPr>
            <w:r w:rsidRPr="004A34E0">
              <w:t>Estimated total carbon stock (Tonnes)</w:t>
            </w:r>
          </w:p>
        </w:tc>
        <w:tc>
          <w:tcPr>
            <w:tcW w:w="1077" w:type="pct"/>
          </w:tcPr>
          <w:p w14:paraId="4BE2FB21"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pPr>
            <w:r w:rsidRPr="004A34E0">
              <w:t>Estimated total CO</w:t>
            </w:r>
            <w:r w:rsidRPr="004A34E0">
              <w:rPr>
                <w:vertAlign w:val="subscript"/>
              </w:rPr>
              <w:t>2</w:t>
            </w:r>
            <w:r w:rsidRPr="004A34E0">
              <w:t>e stock (Tonnes)</w:t>
            </w:r>
          </w:p>
        </w:tc>
        <w:tc>
          <w:tcPr>
            <w:tcW w:w="486" w:type="pct"/>
          </w:tcPr>
          <w:p w14:paraId="5DC90F6E"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pPr>
            <w:r w:rsidRPr="004A34E0">
              <w:t>Year</w:t>
            </w:r>
          </w:p>
        </w:tc>
        <w:tc>
          <w:tcPr>
            <w:tcW w:w="972" w:type="pct"/>
          </w:tcPr>
          <w:p w14:paraId="0561E520"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pPr>
            <w:r w:rsidRPr="004A34E0">
              <w:t>Source</w:t>
            </w:r>
          </w:p>
        </w:tc>
      </w:tr>
      <w:tr w:rsidR="007904E8" w:rsidRPr="004A34E0" w14:paraId="08923E29" w14:textId="77777777" w:rsidTr="000A2646">
        <w:tc>
          <w:tcPr>
            <w:cnfStyle w:val="001000000000" w:firstRow="0" w:lastRow="0" w:firstColumn="1" w:lastColumn="0" w:oddVBand="0" w:evenVBand="0" w:oddHBand="0" w:evenHBand="0" w:firstRowFirstColumn="0" w:firstRowLastColumn="0" w:lastRowFirstColumn="0" w:lastRowLastColumn="0"/>
            <w:tcW w:w="1387" w:type="pct"/>
          </w:tcPr>
          <w:p w14:paraId="66C5E980" w14:textId="77777777" w:rsidR="007904E8" w:rsidRPr="004A34E0" w:rsidRDefault="007904E8" w:rsidP="00666947">
            <w:pPr>
              <w:pStyle w:val="TableTextLeft"/>
            </w:pPr>
            <w:r w:rsidRPr="004A34E0">
              <w:t>Grassland</w:t>
            </w:r>
          </w:p>
        </w:tc>
        <w:tc>
          <w:tcPr>
            <w:tcW w:w="1077" w:type="pct"/>
          </w:tcPr>
          <w:p w14:paraId="519BBC4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55,563</w:t>
            </w:r>
          </w:p>
        </w:tc>
        <w:tc>
          <w:tcPr>
            <w:tcW w:w="1077" w:type="pct"/>
          </w:tcPr>
          <w:p w14:paraId="5E91BA8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203,582</w:t>
            </w:r>
          </w:p>
        </w:tc>
        <w:tc>
          <w:tcPr>
            <w:tcW w:w="486" w:type="pct"/>
            <w:vMerge w:val="restart"/>
          </w:tcPr>
          <w:p w14:paraId="17AE316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2019</w:t>
            </w:r>
          </w:p>
        </w:tc>
        <w:tc>
          <w:tcPr>
            <w:tcW w:w="972" w:type="pct"/>
            <w:vMerge w:val="restart"/>
          </w:tcPr>
          <w:p w14:paraId="10AAEEA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DISER (2021)</w:t>
            </w:r>
          </w:p>
        </w:tc>
      </w:tr>
      <w:tr w:rsidR="007904E8" w:rsidRPr="004A34E0" w14:paraId="309928BE" w14:textId="77777777" w:rsidTr="000A2646">
        <w:tc>
          <w:tcPr>
            <w:cnfStyle w:val="001000000000" w:firstRow="0" w:lastRow="0" w:firstColumn="1" w:lastColumn="0" w:oddVBand="0" w:evenVBand="0" w:oddHBand="0" w:evenHBand="0" w:firstRowFirstColumn="0" w:firstRowLastColumn="0" w:lastRowFirstColumn="0" w:lastRowLastColumn="0"/>
            <w:tcW w:w="1387" w:type="pct"/>
          </w:tcPr>
          <w:p w14:paraId="6D6754ED" w14:textId="77777777" w:rsidR="007904E8" w:rsidRPr="004A34E0" w:rsidRDefault="007904E8" w:rsidP="00666947">
            <w:pPr>
              <w:pStyle w:val="TableTextLeft"/>
            </w:pPr>
            <w:r w:rsidRPr="004A34E0">
              <w:t>Shrubland</w:t>
            </w:r>
          </w:p>
        </w:tc>
        <w:tc>
          <w:tcPr>
            <w:tcW w:w="1077" w:type="pct"/>
          </w:tcPr>
          <w:p w14:paraId="3032047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2,242,839</w:t>
            </w:r>
          </w:p>
        </w:tc>
        <w:tc>
          <w:tcPr>
            <w:tcW w:w="1077" w:type="pct"/>
          </w:tcPr>
          <w:p w14:paraId="09E2AA3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8,217,764</w:t>
            </w:r>
          </w:p>
        </w:tc>
        <w:tc>
          <w:tcPr>
            <w:tcW w:w="486" w:type="pct"/>
            <w:vMerge/>
          </w:tcPr>
          <w:p w14:paraId="57A9D1E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972" w:type="pct"/>
            <w:vMerge/>
          </w:tcPr>
          <w:p w14:paraId="28E692C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4F1FAE83" w14:textId="77777777" w:rsidTr="000A2646">
        <w:tc>
          <w:tcPr>
            <w:cnfStyle w:val="001000000000" w:firstRow="0" w:lastRow="0" w:firstColumn="1" w:lastColumn="0" w:oddVBand="0" w:evenVBand="0" w:oddHBand="0" w:evenHBand="0" w:firstRowFirstColumn="0" w:firstRowLastColumn="0" w:lastRowFirstColumn="0" w:lastRowLastColumn="0"/>
            <w:tcW w:w="1387" w:type="pct"/>
          </w:tcPr>
          <w:p w14:paraId="7EBCDC0F" w14:textId="77777777" w:rsidR="007904E8" w:rsidRPr="004A34E0" w:rsidRDefault="007904E8" w:rsidP="00666947">
            <w:pPr>
              <w:pStyle w:val="TableTextLeft"/>
            </w:pPr>
            <w:r w:rsidRPr="004A34E0">
              <w:t>Forest / woodland</w:t>
            </w:r>
          </w:p>
        </w:tc>
        <w:tc>
          <w:tcPr>
            <w:tcW w:w="1077" w:type="pct"/>
          </w:tcPr>
          <w:p w14:paraId="2E531FE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6,538,446</w:t>
            </w:r>
          </w:p>
        </w:tc>
        <w:tc>
          <w:tcPr>
            <w:tcW w:w="1077" w:type="pct"/>
          </w:tcPr>
          <w:p w14:paraId="45FB2BC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23,956,866</w:t>
            </w:r>
          </w:p>
        </w:tc>
        <w:tc>
          <w:tcPr>
            <w:tcW w:w="486" w:type="pct"/>
            <w:vMerge/>
          </w:tcPr>
          <w:p w14:paraId="4FCBECE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972" w:type="pct"/>
            <w:vMerge/>
          </w:tcPr>
          <w:p w14:paraId="5D4C31C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5891BA51" w14:textId="77777777" w:rsidTr="000A2646">
        <w:tc>
          <w:tcPr>
            <w:cnfStyle w:val="001000000000" w:firstRow="0" w:lastRow="0" w:firstColumn="1" w:lastColumn="0" w:oddVBand="0" w:evenVBand="0" w:oddHBand="0" w:evenHBand="0" w:firstRowFirstColumn="0" w:firstRowLastColumn="0" w:lastRowFirstColumn="0" w:lastRowLastColumn="0"/>
            <w:tcW w:w="1387" w:type="pct"/>
          </w:tcPr>
          <w:p w14:paraId="0D76A90A" w14:textId="77777777" w:rsidR="007904E8" w:rsidRPr="004A34E0" w:rsidRDefault="007904E8" w:rsidP="00666947">
            <w:pPr>
              <w:pStyle w:val="TableTextLeft"/>
            </w:pPr>
            <w:r w:rsidRPr="004A34E0">
              <w:t>Farmland</w:t>
            </w:r>
          </w:p>
        </w:tc>
        <w:tc>
          <w:tcPr>
            <w:tcW w:w="1077" w:type="pct"/>
          </w:tcPr>
          <w:p w14:paraId="1C3FA91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263,259</w:t>
            </w:r>
          </w:p>
        </w:tc>
        <w:tc>
          <w:tcPr>
            <w:tcW w:w="1077" w:type="pct"/>
          </w:tcPr>
          <w:p w14:paraId="5147BE7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964,579</w:t>
            </w:r>
          </w:p>
        </w:tc>
        <w:tc>
          <w:tcPr>
            <w:tcW w:w="486" w:type="pct"/>
            <w:vMerge/>
          </w:tcPr>
          <w:p w14:paraId="48638C0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972" w:type="pct"/>
            <w:vMerge/>
          </w:tcPr>
          <w:p w14:paraId="2E00322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67432EB7" w14:textId="77777777" w:rsidTr="000A2646">
        <w:tc>
          <w:tcPr>
            <w:cnfStyle w:val="001000000000" w:firstRow="0" w:lastRow="0" w:firstColumn="1" w:lastColumn="0" w:oddVBand="0" w:evenVBand="0" w:oddHBand="0" w:evenHBand="0" w:firstRowFirstColumn="0" w:firstRowLastColumn="0" w:lastRowFirstColumn="0" w:lastRowLastColumn="0"/>
            <w:tcW w:w="1387" w:type="pct"/>
          </w:tcPr>
          <w:p w14:paraId="69A5AAB0" w14:textId="77777777" w:rsidR="007904E8" w:rsidRPr="004A34E0" w:rsidRDefault="007904E8" w:rsidP="00666947">
            <w:pPr>
              <w:pStyle w:val="TableTextLeft"/>
            </w:pPr>
            <w:r w:rsidRPr="004A34E0">
              <w:t>Freshwater and wetland</w:t>
            </w:r>
          </w:p>
        </w:tc>
        <w:tc>
          <w:tcPr>
            <w:tcW w:w="1077" w:type="pct"/>
          </w:tcPr>
          <w:p w14:paraId="1392060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172,870</w:t>
            </w:r>
          </w:p>
        </w:tc>
        <w:tc>
          <w:tcPr>
            <w:tcW w:w="1077" w:type="pct"/>
          </w:tcPr>
          <w:p w14:paraId="63FEA13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633,397</w:t>
            </w:r>
          </w:p>
        </w:tc>
        <w:tc>
          <w:tcPr>
            <w:tcW w:w="486" w:type="pct"/>
            <w:vMerge/>
          </w:tcPr>
          <w:p w14:paraId="3A7CD22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972" w:type="pct"/>
            <w:vMerge/>
          </w:tcPr>
          <w:p w14:paraId="61968A4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1D6D6010" w14:textId="77777777" w:rsidTr="000A2646">
        <w:tc>
          <w:tcPr>
            <w:cnfStyle w:val="001000000000" w:firstRow="0" w:lastRow="0" w:firstColumn="1" w:lastColumn="0" w:oddVBand="0" w:evenVBand="0" w:oddHBand="0" w:evenHBand="0" w:firstRowFirstColumn="0" w:firstRowLastColumn="0" w:lastRowFirstColumn="0" w:lastRowLastColumn="0"/>
            <w:tcW w:w="1387" w:type="pct"/>
          </w:tcPr>
          <w:p w14:paraId="1763FE6C" w14:textId="77777777" w:rsidR="007904E8" w:rsidRPr="004A34E0" w:rsidRDefault="007904E8" w:rsidP="00666947">
            <w:pPr>
              <w:pStyle w:val="TableTextLeft"/>
            </w:pPr>
            <w:r w:rsidRPr="004A34E0">
              <w:t>Urban</w:t>
            </w:r>
          </w:p>
        </w:tc>
        <w:tc>
          <w:tcPr>
            <w:tcW w:w="1077" w:type="pct"/>
          </w:tcPr>
          <w:p w14:paraId="722423D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99,087</w:t>
            </w:r>
          </w:p>
        </w:tc>
        <w:tc>
          <w:tcPr>
            <w:tcW w:w="1077" w:type="pct"/>
          </w:tcPr>
          <w:p w14:paraId="6F7FC83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363,056</w:t>
            </w:r>
          </w:p>
        </w:tc>
        <w:tc>
          <w:tcPr>
            <w:tcW w:w="486" w:type="pct"/>
            <w:vMerge/>
          </w:tcPr>
          <w:p w14:paraId="142FFEF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972" w:type="pct"/>
            <w:vMerge/>
          </w:tcPr>
          <w:p w14:paraId="1054B9E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358FB8E2" w14:textId="77777777" w:rsidTr="000A2646">
        <w:tc>
          <w:tcPr>
            <w:cnfStyle w:val="001000000000" w:firstRow="0" w:lastRow="0" w:firstColumn="1" w:lastColumn="0" w:oddVBand="0" w:evenVBand="0" w:oddHBand="0" w:evenHBand="0" w:firstRowFirstColumn="0" w:firstRowLastColumn="0" w:lastRowFirstColumn="0" w:lastRowLastColumn="0"/>
            <w:tcW w:w="1387" w:type="pct"/>
          </w:tcPr>
          <w:p w14:paraId="080B0AAD" w14:textId="77777777" w:rsidR="007904E8" w:rsidRPr="004A34E0" w:rsidRDefault="007904E8" w:rsidP="00666947">
            <w:pPr>
              <w:pStyle w:val="TableTextLeft"/>
            </w:pPr>
            <w:r w:rsidRPr="004A34E0">
              <w:t>Coastal margins</w:t>
            </w:r>
          </w:p>
        </w:tc>
        <w:tc>
          <w:tcPr>
            <w:tcW w:w="1077" w:type="pct"/>
          </w:tcPr>
          <w:p w14:paraId="2AA53F8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92,625</w:t>
            </w:r>
          </w:p>
        </w:tc>
        <w:tc>
          <w:tcPr>
            <w:tcW w:w="1077" w:type="pct"/>
          </w:tcPr>
          <w:p w14:paraId="2083E09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339,377</w:t>
            </w:r>
          </w:p>
        </w:tc>
        <w:tc>
          <w:tcPr>
            <w:tcW w:w="486" w:type="pct"/>
            <w:vMerge/>
          </w:tcPr>
          <w:p w14:paraId="7E4C991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972" w:type="pct"/>
            <w:vMerge/>
          </w:tcPr>
          <w:p w14:paraId="5B99C7B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3F540AAE" w14:textId="77777777" w:rsidTr="000A2646">
        <w:tc>
          <w:tcPr>
            <w:cnfStyle w:val="001000000000" w:firstRow="0" w:lastRow="0" w:firstColumn="1" w:lastColumn="0" w:oddVBand="0" w:evenVBand="0" w:oddHBand="0" w:evenHBand="0" w:firstRowFirstColumn="0" w:firstRowLastColumn="0" w:lastRowFirstColumn="0" w:lastRowLastColumn="0"/>
            <w:tcW w:w="1387" w:type="pct"/>
          </w:tcPr>
          <w:p w14:paraId="65B4842D" w14:textId="77777777" w:rsidR="007904E8" w:rsidRPr="004A34E0" w:rsidRDefault="007904E8" w:rsidP="00666947">
            <w:pPr>
              <w:pStyle w:val="TableTextLeft"/>
            </w:pPr>
            <w:r w:rsidRPr="004A34E0">
              <w:t>Marine</w:t>
            </w:r>
          </w:p>
        </w:tc>
        <w:tc>
          <w:tcPr>
            <w:tcW w:w="1077" w:type="pct"/>
          </w:tcPr>
          <w:p w14:paraId="593F968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210,475</w:t>
            </w:r>
          </w:p>
        </w:tc>
        <w:tc>
          <w:tcPr>
            <w:tcW w:w="1077" w:type="pct"/>
          </w:tcPr>
          <w:p w14:paraId="777E8D4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771,179</w:t>
            </w:r>
          </w:p>
        </w:tc>
        <w:tc>
          <w:tcPr>
            <w:tcW w:w="486" w:type="pct"/>
            <w:vMerge/>
          </w:tcPr>
          <w:p w14:paraId="4CFE237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972" w:type="pct"/>
          </w:tcPr>
          <w:p w14:paraId="4CA3B49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Carnell et al (2019)</w:t>
            </w:r>
          </w:p>
        </w:tc>
      </w:tr>
      <w:tr w:rsidR="007904E8" w:rsidRPr="004A34E0" w14:paraId="31496C30" w14:textId="77777777" w:rsidTr="00484CDC">
        <w:tc>
          <w:tcPr>
            <w:cnfStyle w:val="001000000000" w:firstRow="0" w:lastRow="0" w:firstColumn="1" w:lastColumn="0" w:oddVBand="0" w:evenVBand="0" w:oddHBand="0" w:evenHBand="0" w:firstRowFirstColumn="0" w:firstRowLastColumn="0" w:lastRowFirstColumn="0" w:lastRowLastColumn="0"/>
            <w:tcW w:w="1387" w:type="pct"/>
            <w:shd w:val="clear" w:color="auto" w:fill="CCDBEA" w:themeFill="background2"/>
          </w:tcPr>
          <w:p w14:paraId="162A786D" w14:textId="77777777" w:rsidR="007904E8" w:rsidRPr="004A34E0" w:rsidRDefault="007904E8" w:rsidP="00666947">
            <w:pPr>
              <w:pStyle w:val="TableTextLeft"/>
            </w:pPr>
            <w:r w:rsidRPr="004A34E0">
              <w:rPr>
                <w:b/>
              </w:rPr>
              <w:t>Total</w:t>
            </w:r>
          </w:p>
        </w:tc>
        <w:tc>
          <w:tcPr>
            <w:tcW w:w="1077" w:type="pct"/>
            <w:shd w:val="clear" w:color="auto" w:fill="CCDBEA" w:themeFill="background2"/>
          </w:tcPr>
          <w:p w14:paraId="765A9E7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9,675,164</w:t>
            </w:r>
          </w:p>
        </w:tc>
        <w:tc>
          <w:tcPr>
            <w:tcW w:w="1077" w:type="pct"/>
            <w:shd w:val="clear" w:color="auto" w:fill="CCDBEA" w:themeFill="background2"/>
          </w:tcPr>
          <w:p w14:paraId="0D7D8C1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rPr>
            </w:pPr>
            <w:r w:rsidRPr="004A34E0">
              <w:rPr>
                <w:b/>
              </w:rPr>
              <w:t>35,449,799</w:t>
            </w:r>
          </w:p>
        </w:tc>
        <w:tc>
          <w:tcPr>
            <w:tcW w:w="486" w:type="pct"/>
            <w:vMerge/>
          </w:tcPr>
          <w:p w14:paraId="247491B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972" w:type="pct"/>
          </w:tcPr>
          <w:p w14:paraId="270621B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bl>
    <w:p w14:paraId="68C83212" w14:textId="77777777" w:rsidR="007904E8" w:rsidRPr="004A34E0" w:rsidRDefault="007904E8" w:rsidP="007904E8">
      <w:pPr>
        <w:pStyle w:val="BodyText"/>
        <w:sectPr w:rsidR="007904E8" w:rsidRPr="004A34E0" w:rsidSect="00E52A9A">
          <w:pgSz w:w="11906" w:h="16838" w:code="9"/>
          <w:pgMar w:top="1134" w:right="1134" w:bottom="1134" w:left="1134" w:header="283" w:footer="283" w:gutter="0"/>
          <w:cols w:space="284"/>
          <w:docGrid w:linePitch="360"/>
        </w:sectPr>
      </w:pPr>
    </w:p>
    <w:p w14:paraId="6335C510" w14:textId="77777777" w:rsidR="007904E8" w:rsidRPr="004A34E0" w:rsidRDefault="007904E8" w:rsidP="00BA21B4">
      <w:pPr>
        <w:pStyle w:val="Caption"/>
      </w:pPr>
      <w:r w:rsidRPr="004A34E0">
        <w:lastRenderedPageBreak/>
        <w:t>Figure 33. Carbon retention distribution across the GORCAP EEA region in 2019 (DISER, 2021)</w:t>
      </w:r>
    </w:p>
    <w:p w14:paraId="20D5DF91" w14:textId="77777777" w:rsidR="007904E8" w:rsidRPr="004A34E0" w:rsidRDefault="007904E8" w:rsidP="007904E8">
      <w:pPr>
        <w:pStyle w:val="BodyText"/>
        <w:sectPr w:rsidR="007904E8" w:rsidRPr="004A34E0" w:rsidSect="00E52A9A">
          <w:headerReference w:type="even" r:id="rId200"/>
          <w:headerReference w:type="default" r:id="rId201"/>
          <w:footerReference w:type="even" r:id="rId202"/>
          <w:footerReference w:type="default" r:id="rId203"/>
          <w:pgSz w:w="23811" w:h="16838" w:orient="landscape" w:code="8"/>
          <w:pgMar w:top="1134" w:right="1134" w:bottom="1134" w:left="1134" w:header="283" w:footer="283" w:gutter="0"/>
          <w:cols w:space="284"/>
          <w:docGrid w:linePitch="360"/>
        </w:sectPr>
      </w:pPr>
      <w:r w:rsidRPr="004A34E0">
        <w:rPr>
          <w:noProof/>
        </w:rPr>
        <mc:AlternateContent>
          <mc:Choice Requires="wps">
            <w:drawing>
              <wp:anchor distT="45720" distB="45720" distL="114300" distR="114300" simplePos="0" relativeHeight="251658322" behindDoc="0" locked="0" layoutInCell="1" allowOverlap="1" wp14:anchorId="062C295F" wp14:editId="72FA2D55">
                <wp:simplePos x="0" y="0"/>
                <wp:positionH relativeFrom="column">
                  <wp:posOffset>769242</wp:posOffset>
                </wp:positionH>
                <wp:positionV relativeFrom="paragraph">
                  <wp:posOffset>2936200</wp:posOffset>
                </wp:positionV>
                <wp:extent cx="1581150" cy="1404620"/>
                <wp:effectExtent l="0" t="0" r="6350" b="3810"/>
                <wp:wrapNone/>
                <wp:docPr id="823" name="Text Box 8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1404620"/>
                        </a:xfrm>
                        <a:prstGeom prst="rect">
                          <a:avLst/>
                        </a:prstGeom>
                        <a:solidFill>
                          <a:schemeClr val="bg1"/>
                        </a:solidFill>
                        <a:ln w="9525">
                          <a:noFill/>
                          <a:miter lim="800000"/>
                          <a:headEnd/>
                          <a:tailEnd/>
                        </a:ln>
                      </wps:spPr>
                      <wps:txbx>
                        <w:txbxContent>
                          <w:p w14:paraId="11E9FE03" w14:textId="77777777" w:rsidR="007904E8" w:rsidRPr="00165BAD" w:rsidRDefault="007904E8" w:rsidP="007904E8">
                            <w:pPr>
                              <w:rPr>
                                <w:b/>
                                <w:bCs/>
                                <w:sz w:val="24"/>
                                <w:szCs w:val="24"/>
                              </w:rPr>
                            </w:pPr>
                            <w:r w:rsidRPr="00165BAD">
                              <w:rPr>
                                <w:b/>
                                <w:bCs/>
                                <w:sz w:val="24"/>
                                <w:szCs w:val="24"/>
                              </w:rPr>
                              <w:t>GORCAP EEA area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62C295F" id="Text Box 823" o:spid="_x0000_s1076" type="#_x0000_t202" style="position:absolute;margin-left:60.55pt;margin-top:231.2pt;width:124.5pt;height:110.6pt;z-index:25165832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" fillcolor="white [3212]" stroked="f">
                <v:textbox style="mso-fit-shape-to-text:t">
                  <w:txbxContent>
                    <w:p w14:paraId="11E9FE03" w14:textId="77777777" w:rsidR="007904E8" w:rsidRPr="00165BAD" w:rsidRDefault="007904E8" w:rsidP="007904E8">
                      <w:pPr>
                        <w:rPr>
                          <w:b/>
                          <w:bCs/>
                          <w:sz w:val="24"/>
                          <w:szCs w:val="24"/>
                        </w:rPr>
                      </w:pPr>
                      <w:r w:rsidRPr="00165BAD">
                        <w:rPr>
                          <w:b/>
                          <w:bCs/>
                          <w:sz w:val="24"/>
                          <w:szCs w:val="24"/>
                        </w:rPr>
                        <w:t>GORCAP EEA area</w:t>
                      </w:r>
                    </w:p>
                  </w:txbxContent>
                </v:textbox>
              </v:shape>
            </w:pict>
          </mc:Fallback>
        </mc:AlternateContent>
      </w:r>
      <w:r w:rsidRPr="004A34E0">
        <w:rPr>
          <w:noProof/>
        </w:rPr>
        <w:drawing>
          <wp:anchor distT="0" distB="0" distL="114300" distR="114300" simplePos="0" relativeHeight="251658331" behindDoc="1" locked="0" layoutInCell="1" allowOverlap="1" wp14:anchorId="7C5B6B9B" wp14:editId="159DA773">
            <wp:simplePos x="0" y="0"/>
            <wp:positionH relativeFrom="column">
              <wp:posOffset>-2540</wp:posOffset>
            </wp:positionH>
            <wp:positionV relativeFrom="paragraph">
              <wp:posOffset>5080</wp:posOffset>
            </wp:positionV>
            <wp:extent cx="13289280" cy="6525895"/>
            <wp:effectExtent l="0" t="0" r="0" b="1905"/>
            <wp:wrapNone/>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316"/>
                    <pic:cNvPicPr/>
                  </pic:nvPicPr>
                  <pic:blipFill>
                    <a:blip r:embed="rId204" cstate="email">
                      <a:extLst>
                        <a:ext uri="{28A0092B-C50C-407E-A947-70E740481C1C}">
                          <a14:useLocalDpi xmlns:a14="http://schemas.microsoft.com/office/drawing/2010/main"/>
                        </a:ext>
                      </a:extLst>
                    </a:blip>
                    <a:stretch>
                      <a:fillRect/>
                    </a:stretch>
                  </pic:blipFill>
                  <pic:spPr>
                    <a:xfrm>
                      <a:off x="0" y="0"/>
                      <a:ext cx="13289280" cy="6525895"/>
                    </a:xfrm>
                    <a:prstGeom prst="rect">
                      <a:avLst/>
                    </a:prstGeom>
                  </pic:spPr>
                </pic:pic>
              </a:graphicData>
            </a:graphic>
            <wp14:sizeRelH relativeFrom="page">
              <wp14:pctWidth>0</wp14:pctWidth>
            </wp14:sizeRelH>
            <wp14:sizeRelV relativeFrom="page">
              <wp14:pctHeight>0</wp14:pctHeight>
            </wp14:sizeRelV>
          </wp:anchor>
        </w:drawing>
      </w:r>
    </w:p>
    <w:p w14:paraId="47EE6E9B" w14:textId="77777777" w:rsidR="007904E8" w:rsidRPr="004A34E0" w:rsidRDefault="007904E8" w:rsidP="00AD40F5">
      <w:pPr>
        <w:pStyle w:val="AlphaHeading5"/>
      </w:pPr>
      <w:r w:rsidRPr="004A34E0">
        <w:lastRenderedPageBreak/>
        <w:t xml:space="preserve">Carbon </w:t>
      </w:r>
      <w:r w:rsidRPr="007E025F">
        <w:t>sequestration</w:t>
      </w:r>
    </w:p>
    <w:p w14:paraId="2115FB3D" w14:textId="77777777" w:rsidR="007904E8" w:rsidRPr="004A34E0" w:rsidRDefault="007904E8" w:rsidP="007904E8">
      <w:pPr>
        <w:pStyle w:val="BodyText12ptBefore"/>
      </w:pPr>
      <w:r w:rsidRPr="004A34E0">
        <w:t>Analysis of the freshwater, inland wetland, coastal margins and forest of the GORCAP EEA region estimates that 133,204 tonnes of carbon dioxide equivalent (tCO2e) is sequestered per year by these habitats across 37,931 ha (which is about 20 per cent of the total 199,307 ha) in 2019. This provides a partial estimate of the role of the GORCAP EEA habitats in regulating the global climate. Table 52 details the estimated carbon sequestration from sub-set ecosystems within the GORCAP EEA area.</w:t>
      </w:r>
    </w:p>
    <w:p w14:paraId="63541F36" w14:textId="77777777" w:rsidR="007904E8" w:rsidRPr="004A34E0" w:rsidRDefault="007904E8" w:rsidP="00484CDC">
      <w:pPr>
        <w:pStyle w:val="Caption"/>
      </w:pPr>
      <w:r w:rsidRPr="004A34E0">
        <w:t>Table 52. Estimated carbon sequestration (tCO2e) from sub-set of ecosystems within GOR in 2019</w:t>
      </w:r>
    </w:p>
    <w:tbl>
      <w:tblPr>
        <w:tblStyle w:val="TableGrid"/>
        <w:tblW w:w="5000" w:type="pct"/>
        <w:tblLook w:val="04A0" w:firstRow="1" w:lastRow="0" w:firstColumn="1" w:lastColumn="0" w:noHBand="0" w:noVBand="1"/>
      </w:tblPr>
      <w:tblGrid>
        <w:gridCol w:w="1160"/>
        <w:gridCol w:w="1180"/>
        <w:gridCol w:w="1085"/>
        <w:gridCol w:w="1137"/>
        <w:gridCol w:w="1477"/>
        <w:gridCol w:w="1477"/>
        <w:gridCol w:w="772"/>
        <w:gridCol w:w="1350"/>
      </w:tblGrid>
      <w:tr w:rsidR="007904E8" w:rsidRPr="004A34E0" w14:paraId="6ABABA67" w14:textId="77777777" w:rsidTr="007E02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7" w:type="pct"/>
            <w:gridSpan w:val="3"/>
          </w:tcPr>
          <w:p w14:paraId="4888C5FE" w14:textId="77777777" w:rsidR="007904E8" w:rsidRPr="004A34E0" w:rsidRDefault="007904E8" w:rsidP="007904E8">
            <w:pPr>
              <w:pStyle w:val="TableTextLeft"/>
              <w:keepNext w:val="0"/>
              <w:rPr>
                <w:highlight w:val="yellow"/>
              </w:rPr>
            </w:pPr>
          </w:p>
        </w:tc>
        <w:tc>
          <w:tcPr>
            <w:tcW w:w="590" w:type="pct"/>
          </w:tcPr>
          <w:p w14:paraId="4220774B"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rPr>
                <w:highlight w:val="yellow"/>
              </w:rPr>
            </w:pPr>
            <w:r w:rsidRPr="004A34E0">
              <w:rPr>
                <w:b/>
              </w:rPr>
              <w:t>Estimated area in GORCAP EEA (ha)</w:t>
            </w:r>
          </w:p>
        </w:tc>
        <w:tc>
          <w:tcPr>
            <w:tcW w:w="766" w:type="pct"/>
          </w:tcPr>
          <w:p w14:paraId="728D3FCD"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rPr>
                <w:highlight w:val="yellow"/>
              </w:rPr>
            </w:pPr>
            <w:r w:rsidRPr="004A34E0">
              <w:rPr>
                <w:b/>
              </w:rPr>
              <w:t>Estimated marginal carbon sequestration (tCO2e / ha)</w:t>
            </w:r>
          </w:p>
        </w:tc>
        <w:tc>
          <w:tcPr>
            <w:tcW w:w="766" w:type="pct"/>
          </w:tcPr>
          <w:p w14:paraId="2FD58739"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rPr>
                <w:highlight w:val="yellow"/>
              </w:rPr>
            </w:pPr>
            <w:r w:rsidRPr="004A34E0">
              <w:rPr>
                <w:b/>
              </w:rPr>
              <w:t>Estimated total annual carbon sequestration (tCO2e)</w:t>
            </w:r>
          </w:p>
        </w:tc>
        <w:tc>
          <w:tcPr>
            <w:tcW w:w="400" w:type="pct"/>
          </w:tcPr>
          <w:p w14:paraId="2DB150FA"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pPr>
            <w:r w:rsidRPr="004A34E0">
              <w:rPr>
                <w:b/>
              </w:rPr>
              <w:t>Year</w:t>
            </w:r>
          </w:p>
        </w:tc>
        <w:tc>
          <w:tcPr>
            <w:tcW w:w="700" w:type="pct"/>
          </w:tcPr>
          <w:p w14:paraId="067C544D"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rPr>
                <w:b/>
              </w:rPr>
            </w:pPr>
            <w:r w:rsidRPr="004A34E0">
              <w:rPr>
                <w:b/>
              </w:rPr>
              <w:t>Source</w:t>
            </w:r>
          </w:p>
        </w:tc>
      </w:tr>
      <w:tr w:rsidR="00963D65" w:rsidRPr="004A34E0" w14:paraId="0B47D483" w14:textId="77777777" w:rsidTr="007E025F">
        <w:tc>
          <w:tcPr>
            <w:cnfStyle w:val="001000000000" w:firstRow="0" w:lastRow="0" w:firstColumn="1" w:lastColumn="0" w:oddVBand="0" w:evenVBand="0" w:oddHBand="0" w:evenHBand="0" w:firstRowFirstColumn="0" w:firstRowLastColumn="0" w:lastRowFirstColumn="0" w:lastRowLastColumn="0"/>
            <w:tcW w:w="602" w:type="pct"/>
            <w:vMerge w:val="restart"/>
          </w:tcPr>
          <w:p w14:paraId="188DF69C" w14:textId="77777777" w:rsidR="007904E8" w:rsidRPr="004A34E0" w:rsidRDefault="007904E8" w:rsidP="00666947">
            <w:pPr>
              <w:pStyle w:val="TableTextLeft"/>
            </w:pPr>
            <w:r w:rsidRPr="004A34E0">
              <w:t>Ecosystem</w:t>
            </w:r>
          </w:p>
        </w:tc>
        <w:tc>
          <w:tcPr>
            <w:tcW w:w="612" w:type="pct"/>
          </w:tcPr>
          <w:p w14:paraId="193A757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A34E0">
              <w:t>Freshwater and (inland) wetland</w:t>
            </w:r>
          </w:p>
        </w:tc>
        <w:tc>
          <w:tcPr>
            <w:tcW w:w="563" w:type="pct"/>
          </w:tcPr>
          <w:p w14:paraId="72B867C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p>
        </w:tc>
        <w:tc>
          <w:tcPr>
            <w:tcW w:w="590" w:type="pct"/>
          </w:tcPr>
          <w:p w14:paraId="27726DE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A34E0">
              <w:t>1,063</w:t>
            </w:r>
          </w:p>
        </w:tc>
        <w:tc>
          <w:tcPr>
            <w:tcW w:w="766" w:type="pct"/>
          </w:tcPr>
          <w:p w14:paraId="6BEEEF5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A34E0">
              <w:t>6.93</w:t>
            </w:r>
          </w:p>
        </w:tc>
        <w:tc>
          <w:tcPr>
            <w:tcW w:w="766" w:type="pct"/>
          </w:tcPr>
          <w:p w14:paraId="4860ADD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A34E0">
              <w:t>7,367</w:t>
            </w:r>
          </w:p>
        </w:tc>
        <w:tc>
          <w:tcPr>
            <w:tcW w:w="400" w:type="pct"/>
            <w:vMerge w:val="restart"/>
          </w:tcPr>
          <w:p w14:paraId="3FF973F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2015 - 2019</w:t>
            </w:r>
            <w:r w:rsidRPr="004A34E0">
              <w:rPr>
                <w:vertAlign w:val="superscript"/>
              </w:rPr>
              <w:t>a</w:t>
            </w:r>
            <w:r w:rsidRPr="004A34E0">
              <w:t>, 2019</w:t>
            </w:r>
          </w:p>
        </w:tc>
        <w:tc>
          <w:tcPr>
            <w:tcW w:w="700" w:type="pct"/>
            <w:vMerge w:val="restart"/>
          </w:tcPr>
          <w:p w14:paraId="5FE264F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DELWP (2020), Carnell et al (2015, 2019), Young et al (forthcoming)</w:t>
            </w:r>
          </w:p>
        </w:tc>
      </w:tr>
      <w:tr w:rsidR="00963D65" w:rsidRPr="004A34E0" w14:paraId="66353281" w14:textId="77777777" w:rsidTr="007E025F">
        <w:tc>
          <w:tcPr>
            <w:cnfStyle w:val="001000000000" w:firstRow="0" w:lastRow="0" w:firstColumn="1" w:lastColumn="0" w:oddVBand="0" w:evenVBand="0" w:oddHBand="0" w:evenHBand="0" w:firstRowFirstColumn="0" w:firstRowLastColumn="0" w:lastRowFirstColumn="0" w:lastRowLastColumn="0"/>
            <w:tcW w:w="602" w:type="pct"/>
            <w:vMerge/>
          </w:tcPr>
          <w:p w14:paraId="5DB06055" w14:textId="77777777" w:rsidR="007904E8" w:rsidRPr="004A34E0" w:rsidRDefault="007904E8" w:rsidP="00666947">
            <w:pPr>
              <w:pStyle w:val="TableTextLeft"/>
              <w:rPr>
                <w:highlight w:val="yellow"/>
              </w:rPr>
            </w:pPr>
          </w:p>
        </w:tc>
        <w:tc>
          <w:tcPr>
            <w:tcW w:w="612" w:type="pct"/>
            <w:vMerge w:val="restart"/>
          </w:tcPr>
          <w:p w14:paraId="526C864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A34E0">
              <w:t>Coastal margins</w:t>
            </w:r>
          </w:p>
        </w:tc>
        <w:tc>
          <w:tcPr>
            <w:tcW w:w="563" w:type="pct"/>
          </w:tcPr>
          <w:p w14:paraId="2869279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A34E0">
              <w:t>Seagrass</w:t>
            </w:r>
          </w:p>
        </w:tc>
        <w:tc>
          <w:tcPr>
            <w:tcW w:w="590" w:type="pct"/>
          </w:tcPr>
          <w:p w14:paraId="6521A49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A34E0">
              <w:t>1,130</w:t>
            </w:r>
          </w:p>
        </w:tc>
        <w:tc>
          <w:tcPr>
            <w:tcW w:w="766" w:type="pct"/>
          </w:tcPr>
          <w:p w14:paraId="56B4775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A34E0">
              <w:t>0.85</w:t>
            </w:r>
          </w:p>
        </w:tc>
        <w:tc>
          <w:tcPr>
            <w:tcW w:w="766" w:type="pct"/>
          </w:tcPr>
          <w:p w14:paraId="64543FA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A34E0">
              <w:t>961</w:t>
            </w:r>
          </w:p>
        </w:tc>
        <w:tc>
          <w:tcPr>
            <w:tcW w:w="400" w:type="pct"/>
            <w:vMerge/>
          </w:tcPr>
          <w:p w14:paraId="0F1B59E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700" w:type="pct"/>
            <w:vMerge/>
          </w:tcPr>
          <w:p w14:paraId="2754405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963D65" w:rsidRPr="004A34E0" w14:paraId="4B622F1A" w14:textId="77777777" w:rsidTr="007E025F">
        <w:tc>
          <w:tcPr>
            <w:cnfStyle w:val="001000000000" w:firstRow="0" w:lastRow="0" w:firstColumn="1" w:lastColumn="0" w:oddVBand="0" w:evenVBand="0" w:oddHBand="0" w:evenHBand="0" w:firstRowFirstColumn="0" w:firstRowLastColumn="0" w:lastRowFirstColumn="0" w:lastRowLastColumn="0"/>
            <w:tcW w:w="602" w:type="pct"/>
            <w:vMerge/>
          </w:tcPr>
          <w:p w14:paraId="21DF6418" w14:textId="77777777" w:rsidR="007904E8" w:rsidRPr="004A34E0" w:rsidRDefault="007904E8" w:rsidP="00666947">
            <w:pPr>
              <w:pStyle w:val="TableTextLeft"/>
              <w:rPr>
                <w:highlight w:val="yellow"/>
              </w:rPr>
            </w:pPr>
          </w:p>
        </w:tc>
        <w:tc>
          <w:tcPr>
            <w:tcW w:w="612" w:type="pct"/>
            <w:vMerge/>
          </w:tcPr>
          <w:p w14:paraId="120FAF6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p>
        </w:tc>
        <w:tc>
          <w:tcPr>
            <w:tcW w:w="563" w:type="pct"/>
          </w:tcPr>
          <w:p w14:paraId="7EC8F59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A34E0">
              <w:t>Saltmarsh</w:t>
            </w:r>
          </w:p>
        </w:tc>
        <w:tc>
          <w:tcPr>
            <w:tcW w:w="590" w:type="pct"/>
          </w:tcPr>
          <w:p w14:paraId="7E8235E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A34E0">
              <w:t>75</w:t>
            </w:r>
          </w:p>
        </w:tc>
        <w:tc>
          <w:tcPr>
            <w:tcW w:w="766" w:type="pct"/>
          </w:tcPr>
          <w:p w14:paraId="645C05B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A34E0">
              <w:t>0.82</w:t>
            </w:r>
          </w:p>
        </w:tc>
        <w:tc>
          <w:tcPr>
            <w:tcW w:w="766" w:type="pct"/>
          </w:tcPr>
          <w:p w14:paraId="3954FD8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A34E0">
              <w:t>62</w:t>
            </w:r>
          </w:p>
        </w:tc>
        <w:tc>
          <w:tcPr>
            <w:tcW w:w="400" w:type="pct"/>
            <w:vMerge/>
          </w:tcPr>
          <w:p w14:paraId="0C8DE92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700" w:type="pct"/>
            <w:vMerge/>
          </w:tcPr>
          <w:p w14:paraId="3B37166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963D65" w:rsidRPr="004A34E0" w14:paraId="67F9DA57" w14:textId="77777777" w:rsidTr="007E025F">
        <w:tc>
          <w:tcPr>
            <w:cnfStyle w:val="001000000000" w:firstRow="0" w:lastRow="0" w:firstColumn="1" w:lastColumn="0" w:oddVBand="0" w:evenVBand="0" w:oddHBand="0" w:evenHBand="0" w:firstRowFirstColumn="0" w:firstRowLastColumn="0" w:lastRowFirstColumn="0" w:lastRowLastColumn="0"/>
            <w:tcW w:w="602" w:type="pct"/>
            <w:vMerge/>
          </w:tcPr>
          <w:p w14:paraId="10B5C433" w14:textId="77777777" w:rsidR="007904E8" w:rsidRPr="004A34E0" w:rsidRDefault="007904E8" w:rsidP="00666947">
            <w:pPr>
              <w:pStyle w:val="TableTextLeft"/>
              <w:rPr>
                <w:highlight w:val="yellow"/>
              </w:rPr>
            </w:pPr>
          </w:p>
        </w:tc>
        <w:tc>
          <w:tcPr>
            <w:tcW w:w="612" w:type="pct"/>
            <w:vMerge/>
          </w:tcPr>
          <w:p w14:paraId="2834A48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p>
        </w:tc>
        <w:tc>
          <w:tcPr>
            <w:tcW w:w="563" w:type="pct"/>
          </w:tcPr>
          <w:p w14:paraId="0697C9C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A34E0">
              <w:t>Mangrove</w:t>
            </w:r>
          </w:p>
        </w:tc>
        <w:tc>
          <w:tcPr>
            <w:tcW w:w="590" w:type="pct"/>
          </w:tcPr>
          <w:p w14:paraId="082378E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A34E0">
              <w:t>4</w:t>
            </w:r>
          </w:p>
        </w:tc>
        <w:tc>
          <w:tcPr>
            <w:tcW w:w="766" w:type="pct"/>
          </w:tcPr>
          <w:p w14:paraId="53E231E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A34E0">
              <w:t>2.19</w:t>
            </w:r>
          </w:p>
        </w:tc>
        <w:tc>
          <w:tcPr>
            <w:tcW w:w="766" w:type="pct"/>
          </w:tcPr>
          <w:p w14:paraId="27A21C2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A34E0">
              <w:t>9</w:t>
            </w:r>
          </w:p>
        </w:tc>
        <w:tc>
          <w:tcPr>
            <w:tcW w:w="400" w:type="pct"/>
            <w:vMerge/>
          </w:tcPr>
          <w:p w14:paraId="111FC45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700" w:type="pct"/>
            <w:vMerge/>
          </w:tcPr>
          <w:p w14:paraId="0ABBF6D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963D65" w:rsidRPr="004A34E0" w14:paraId="168EA114" w14:textId="77777777" w:rsidTr="007E025F">
        <w:tc>
          <w:tcPr>
            <w:cnfStyle w:val="001000000000" w:firstRow="0" w:lastRow="0" w:firstColumn="1" w:lastColumn="0" w:oddVBand="0" w:evenVBand="0" w:oddHBand="0" w:evenHBand="0" w:firstRowFirstColumn="0" w:firstRowLastColumn="0" w:lastRowFirstColumn="0" w:lastRowLastColumn="0"/>
            <w:tcW w:w="602" w:type="pct"/>
            <w:vMerge/>
          </w:tcPr>
          <w:p w14:paraId="773A30F1" w14:textId="77777777" w:rsidR="007904E8" w:rsidRPr="004A34E0" w:rsidRDefault="007904E8" w:rsidP="00666947">
            <w:pPr>
              <w:pStyle w:val="TableTextLeft"/>
              <w:rPr>
                <w:highlight w:val="yellow"/>
              </w:rPr>
            </w:pPr>
          </w:p>
        </w:tc>
        <w:tc>
          <w:tcPr>
            <w:tcW w:w="612" w:type="pct"/>
          </w:tcPr>
          <w:p w14:paraId="0E7478A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A34E0">
              <w:t>Forest </w:t>
            </w:r>
          </w:p>
        </w:tc>
        <w:tc>
          <w:tcPr>
            <w:tcW w:w="563" w:type="pct"/>
          </w:tcPr>
          <w:p w14:paraId="25445B5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p>
        </w:tc>
        <w:tc>
          <w:tcPr>
            <w:tcW w:w="590" w:type="pct"/>
          </w:tcPr>
          <w:p w14:paraId="4A70911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A34E0">
              <w:t>35,659</w:t>
            </w:r>
          </w:p>
        </w:tc>
        <w:tc>
          <w:tcPr>
            <w:tcW w:w="766" w:type="pct"/>
          </w:tcPr>
          <w:p w14:paraId="5B7BD91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A34E0">
              <w:t>3.5</w:t>
            </w:r>
          </w:p>
        </w:tc>
        <w:tc>
          <w:tcPr>
            <w:tcW w:w="766" w:type="pct"/>
          </w:tcPr>
          <w:p w14:paraId="3943C26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A34E0">
              <w:t>124,807</w:t>
            </w:r>
          </w:p>
        </w:tc>
        <w:tc>
          <w:tcPr>
            <w:tcW w:w="400" w:type="pct"/>
            <w:vMerge/>
          </w:tcPr>
          <w:p w14:paraId="7786106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700" w:type="pct"/>
            <w:vMerge/>
          </w:tcPr>
          <w:p w14:paraId="6D31477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263C9386" w14:textId="77777777" w:rsidTr="00484CDC">
        <w:tc>
          <w:tcPr>
            <w:cnfStyle w:val="001000000000" w:firstRow="0" w:lastRow="0" w:firstColumn="1" w:lastColumn="0" w:oddVBand="0" w:evenVBand="0" w:oddHBand="0" w:evenHBand="0" w:firstRowFirstColumn="0" w:firstRowLastColumn="0" w:lastRowFirstColumn="0" w:lastRowLastColumn="0"/>
            <w:tcW w:w="602" w:type="pct"/>
            <w:shd w:val="clear" w:color="auto" w:fill="CCDBEA" w:themeFill="background2"/>
          </w:tcPr>
          <w:p w14:paraId="78C64CCF" w14:textId="77777777" w:rsidR="007904E8" w:rsidRPr="00484CDC" w:rsidRDefault="007904E8" w:rsidP="00666947">
            <w:pPr>
              <w:pStyle w:val="TableTextLeft"/>
              <w:rPr>
                <w:b/>
                <w:bCs/>
                <w:highlight w:val="yellow"/>
              </w:rPr>
            </w:pPr>
            <w:r w:rsidRPr="00484CDC">
              <w:rPr>
                <w:b/>
                <w:bCs/>
              </w:rPr>
              <w:t>Total</w:t>
            </w:r>
          </w:p>
        </w:tc>
        <w:tc>
          <w:tcPr>
            <w:tcW w:w="612" w:type="pct"/>
            <w:shd w:val="clear" w:color="auto" w:fill="CCDBEA" w:themeFill="background2"/>
          </w:tcPr>
          <w:p w14:paraId="6A7DAB84"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bCs/>
                <w:highlight w:val="yellow"/>
              </w:rPr>
            </w:pPr>
          </w:p>
        </w:tc>
        <w:tc>
          <w:tcPr>
            <w:tcW w:w="563" w:type="pct"/>
            <w:shd w:val="clear" w:color="auto" w:fill="CCDBEA" w:themeFill="background2"/>
          </w:tcPr>
          <w:p w14:paraId="7229CCC7"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bCs/>
                <w:highlight w:val="yellow"/>
              </w:rPr>
            </w:pPr>
          </w:p>
        </w:tc>
        <w:tc>
          <w:tcPr>
            <w:tcW w:w="590" w:type="pct"/>
            <w:shd w:val="clear" w:color="auto" w:fill="CCDBEA" w:themeFill="background2"/>
          </w:tcPr>
          <w:p w14:paraId="48A1E8BA"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bCs/>
                <w:highlight w:val="yellow"/>
              </w:rPr>
            </w:pPr>
            <w:r w:rsidRPr="00484CDC">
              <w:rPr>
                <w:b/>
                <w:bCs/>
              </w:rPr>
              <w:t>37,931</w:t>
            </w:r>
          </w:p>
        </w:tc>
        <w:tc>
          <w:tcPr>
            <w:tcW w:w="766" w:type="pct"/>
            <w:shd w:val="clear" w:color="auto" w:fill="CCDBEA" w:themeFill="background2"/>
          </w:tcPr>
          <w:p w14:paraId="0669F9EC"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bCs/>
                <w:highlight w:val="yellow"/>
              </w:rPr>
            </w:pPr>
            <w:r w:rsidRPr="00484CDC">
              <w:rPr>
                <w:b/>
                <w:bCs/>
              </w:rPr>
              <w:t>-</w:t>
            </w:r>
          </w:p>
        </w:tc>
        <w:tc>
          <w:tcPr>
            <w:tcW w:w="766" w:type="pct"/>
            <w:shd w:val="clear" w:color="auto" w:fill="CCDBEA" w:themeFill="background2"/>
          </w:tcPr>
          <w:p w14:paraId="2AA577C0" w14:textId="77777777" w:rsidR="007904E8" w:rsidRPr="00484CDC"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bCs/>
                <w:highlight w:val="yellow"/>
              </w:rPr>
            </w:pPr>
            <w:r w:rsidRPr="00484CDC">
              <w:rPr>
                <w:b/>
                <w:bCs/>
              </w:rPr>
              <w:t>133,204</w:t>
            </w:r>
          </w:p>
        </w:tc>
        <w:tc>
          <w:tcPr>
            <w:tcW w:w="400" w:type="pct"/>
            <w:vMerge/>
          </w:tcPr>
          <w:p w14:paraId="28EFD04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700" w:type="pct"/>
            <w:vMerge/>
          </w:tcPr>
          <w:p w14:paraId="1314F66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rPr>
            </w:pPr>
          </w:p>
        </w:tc>
      </w:tr>
    </w:tbl>
    <w:p w14:paraId="40C46C0E" w14:textId="77777777" w:rsidR="007904E8" w:rsidRPr="004A34E0" w:rsidRDefault="007904E8" w:rsidP="00484CDC">
      <w:pPr>
        <w:pStyle w:val="NoteHeading"/>
        <w:rPr>
          <w:vertAlign w:val="superscript"/>
        </w:rPr>
      </w:pPr>
      <w:proofErr w:type="spellStart"/>
      <w:r w:rsidRPr="004A34E0">
        <w:rPr>
          <w:vertAlign w:val="superscript"/>
        </w:rPr>
        <w:t>a</w:t>
      </w:r>
      <w:proofErr w:type="spellEnd"/>
      <w:r w:rsidRPr="004A34E0">
        <w:rPr>
          <w:vertAlign w:val="superscript"/>
        </w:rPr>
        <w:t xml:space="preserve"> </w:t>
      </w:r>
      <w:r w:rsidRPr="004A34E0">
        <w:t xml:space="preserve">The study team assumes that the relationship between habitats and carbon sequestration to be relatively stable over this period (2015 to 2019) and therefore that the 2015 estimates provides a suitable representation of this ecological relationship in 2019. </w:t>
      </w:r>
    </w:p>
    <w:p w14:paraId="4A7225C9" w14:textId="77777777" w:rsidR="007904E8" w:rsidRPr="004A34E0" w:rsidRDefault="007904E8" w:rsidP="007904E8">
      <w:pPr>
        <w:pStyle w:val="BodyText"/>
      </w:pPr>
      <w:r w:rsidRPr="004A34E0">
        <w:t>Table 53 summarises the uncertainty associated with these results and shows that the estimates of global climate regulation are considered to be of medium uncertainty because of the low resolution of the information that is used to estimate carbon retention. The sequestration the estimates are based on a range of sources (i.e., there’s a fairly broad evidence base) for these ecosystems and it is reasonable to assume that the average rates estimates from the literature are representative of the GORCAP EEA region.</w:t>
      </w:r>
    </w:p>
    <w:p w14:paraId="1BA2CAB1" w14:textId="77777777" w:rsidR="00CA2CCD" w:rsidRDefault="00CA2CCD" w:rsidP="00484CDC">
      <w:pPr>
        <w:pStyle w:val="Caption"/>
      </w:pPr>
      <w:r>
        <w:br w:type="page"/>
      </w:r>
    </w:p>
    <w:p w14:paraId="18205B8D" w14:textId="43A13CB5" w:rsidR="007904E8" w:rsidRPr="004A34E0" w:rsidRDefault="007904E8" w:rsidP="00484CDC">
      <w:pPr>
        <w:pStyle w:val="Caption"/>
      </w:pPr>
      <w:r w:rsidRPr="004A34E0">
        <w:lastRenderedPageBreak/>
        <w:t>Table 53. Uncertainty assessment - physical quantity of global climate regulation</w:t>
      </w:r>
    </w:p>
    <w:tbl>
      <w:tblPr>
        <w:tblStyle w:val="TableGrid"/>
        <w:tblW w:w="5000" w:type="pct"/>
        <w:tblLook w:val="04A0" w:firstRow="1" w:lastRow="0" w:firstColumn="1" w:lastColumn="0" w:noHBand="0" w:noVBand="1"/>
      </w:tblPr>
      <w:tblGrid>
        <w:gridCol w:w="1360"/>
        <w:gridCol w:w="4502"/>
        <w:gridCol w:w="2838"/>
        <w:gridCol w:w="938"/>
      </w:tblGrid>
      <w:tr w:rsidR="007904E8" w:rsidRPr="004A34E0" w14:paraId="4C579A8C" w14:textId="77777777" w:rsidTr="003D0D3F">
        <w:trPr>
          <w:cnfStyle w:val="100000000000" w:firstRow="1" w:lastRow="0" w:firstColumn="0" w:lastColumn="0" w:oddVBand="0" w:evenVBand="0" w:oddHBand="0"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672" w:type="pct"/>
          </w:tcPr>
          <w:p w14:paraId="360A157E" w14:textId="77777777" w:rsidR="007904E8" w:rsidRPr="004A34E0" w:rsidRDefault="007904E8" w:rsidP="00666947">
            <w:pPr>
              <w:pStyle w:val="TableTextLeft"/>
            </w:pPr>
          </w:p>
        </w:tc>
        <w:tc>
          <w:tcPr>
            <w:tcW w:w="3865" w:type="pct"/>
            <w:gridSpan w:val="2"/>
          </w:tcPr>
          <w:p w14:paraId="3BE7562B"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Uncertainty in…</w:t>
            </w:r>
          </w:p>
        </w:tc>
        <w:tc>
          <w:tcPr>
            <w:tcW w:w="463" w:type="pct"/>
          </w:tcPr>
          <w:p w14:paraId="34E18FD4"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rPr>
                <w:b/>
              </w:rPr>
            </w:pPr>
          </w:p>
        </w:tc>
      </w:tr>
      <w:tr w:rsidR="007904E8" w:rsidRPr="004A34E0" w14:paraId="65BB21E5" w14:textId="77777777" w:rsidTr="003D0D3F">
        <w:trPr>
          <w:trHeight w:val="247"/>
        </w:trPr>
        <w:tc>
          <w:tcPr>
            <w:cnfStyle w:val="001000000000" w:firstRow="0" w:lastRow="0" w:firstColumn="1" w:lastColumn="0" w:oddVBand="0" w:evenVBand="0" w:oddHBand="0" w:evenHBand="0" w:firstRowFirstColumn="0" w:firstRowLastColumn="0" w:lastRowFirstColumn="0" w:lastRowLastColumn="0"/>
            <w:tcW w:w="672" w:type="pct"/>
            <w:tcBorders>
              <w:top w:val="nil"/>
            </w:tcBorders>
            <w:shd w:val="clear" w:color="auto" w:fill="004C97" w:themeFill="accent1"/>
          </w:tcPr>
          <w:p w14:paraId="57D0C13A" w14:textId="77777777" w:rsidR="007904E8" w:rsidRPr="003D0D3F" w:rsidRDefault="007904E8" w:rsidP="00666947">
            <w:pPr>
              <w:pStyle w:val="TableTextLeft"/>
              <w:rPr>
                <w:color w:val="FFFFFF" w:themeColor="background1"/>
              </w:rPr>
            </w:pPr>
          </w:p>
        </w:tc>
        <w:tc>
          <w:tcPr>
            <w:tcW w:w="2364" w:type="pct"/>
            <w:tcBorders>
              <w:top w:val="nil"/>
            </w:tcBorders>
            <w:shd w:val="clear" w:color="auto" w:fill="004C97" w:themeFill="accent1"/>
          </w:tcPr>
          <w:p w14:paraId="7E91BC23"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3D0D3F">
              <w:rPr>
                <w:b/>
                <w:color w:val="FFFFFF" w:themeColor="background1"/>
              </w:rPr>
              <w:t xml:space="preserve">Evidence </w:t>
            </w:r>
          </w:p>
        </w:tc>
        <w:tc>
          <w:tcPr>
            <w:tcW w:w="1500" w:type="pct"/>
            <w:tcBorders>
              <w:top w:val="nil"/>
            </w:tcBorders>
            <w:shd w:val="clear" w:color="auto" w:fill="004C97" w:themeFill="accent1"/>
          </w:tcPr>
          <w:p w14:paraId="37EB8466"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3D0D3F">
              <w:rPr>
                <w:b/>
                <w:color w:val="FFFFFF" w:themeColor="background1"/>
              </w:rPr>
              <w:t>Assumptions</w:t>
            </w:r>
          </w:p>
        </w:tc>
        <w:tc>
          <w:tcPr>
            <w:tcW w:w="463" w:type="pct"/>
            <w:tcBorders>
              <w:top w:val="nil"/>
            </w:tcBorders>
            <w:shd w:val="clear" w:color="auto" w:fill="004C97" w:themeFill="accent1"/>
          </w:tcPr>
          <w:p w14:paraId="6143164B"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r w:rsidRPr="003D0D3F">
              <w:rPr>
                <w:b/>
                <w:color w:val="FFFFFF" w:themeColor="background1"/>
              </w:rPr>
              <w:t>Total</w:t>
            </w:r>
          </w:p>
        </w:tc>
      </w:tr>
      <w:tr w:rsidR="007904E8" w:rsidRPr="004A34E0" w14:paraId="22433410" w14:textId="77777777" w:rsidTr="007E025F">
        <w:trPr>
          <w:trHeight w:val="75"/>
        </w:trPr>
        <w:tc>
          <w:tcPr>
            <w:cnfStyle w:val="001000000000" w:firstRow="0" w:lastRow="0" w:firstColumn="1" w:lastColumn="0" w:oddVBand="0" w:evenVBand="0" w:oddHBand="0" w:evenHBand="0" w:firstRowFirstColumn="0" w:firstRowLastColumn="0" w:lastRowFirstColumn="0" w:lastRowLastColumn="0"/>
            <w:tcW w:w="672" w:type="pct"/>
          </w:tcPr>
          <w:p w14:paraId="5710488C" w14:textId="77777777" w:rsidR="007904E8" w:rsidRPr="004A34E0" w:rsidRDefault="007904E8" w:rsidP="00666947">
            <w:pPr>
              <w:pStyle w:val="TableTextLeft"/>
              <w:rPr>
                <w:b/>
              </w:rPr>
            </w:pPr>
            <w:r w:rsidRPr="004A34E0">
              <w:rPr>
                <w:b/>
              </w:rPr>
              <w:t>Explanation</w:t>
            </w:r>
          </w:p>
        </w:tc>
        <w:tc>
          <w:tcPr>
            <w:tcW w:w="2364" w:type="pct"/>
          </w:tcPr>
          <w:p w14:paraId="26BC1474"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It was not possible to obtain estimates of carbon sequestration across the GORCAP EEA region (DISER has the capability to produce this information).</w:t>
            </w:r>
          </w:p>
          <w:p w14:paraId="186967B5"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Estimates of carbon sequestration do exist for Victoria for a sub-set of habitats from a range of Victoria specific sources.</w:t>
            </w:r>
          </w:p>
          <w:p w14:paraId="1EBC3BC2"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Estimates of carbon retention are from DISER using Full Carbon Accounting Model (</w:t>
            </w:r>
            <w:proofErr w:type="spellStart"/>
            <w:r w:rsidRPr="004A34E0">
              <w:t>FullCAM</w:t>
            </w:r>
            <w:proofErr w:type="spellEnd"/>
            <w:r w:rsidRPr="004A34E0">
              <w:t xml:space="preserve">) which is used to compile Australia’s national greenhouse gas inventory system for the land sector, as well as estimates of blue carbon that were published as part of the Mapping Ocean Wealth Australia work. These are relatively low resolution estimates as the analysis is developed at national level. </w:t>
            </w:r>
          </w:p>
        </w:tc>
        <w:tc>
          <w:tcPr>
            <w:tcW w:w="1500" w:type="pct"/>
          </w:tcPr>
          <w:p w14:paraId="364D5360"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The sequestration rate of the ecosystems assessed is assumed to be consistent with the average rates estimated for these ecosystems in Victoria from the literature.</w:t>
            </w:r>
          </w:p>
        </w:tc>
        <w:tc>
          <w:tcPr>
            <w:tcW w:w="463" w:type="pct"/>
          </w:tcPr>
          <w:p w14:paraId="4F8451C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Medium</w:t>
            </w:r>
          </w:p>
        </w:tc>
      </w:tr>
      <w:tr w:rsidR="007904E8" w:rsidRPr="004A34E0" w14:paraId="3A791BB4" w14:textId="77777777" w:rsidTr="00484CDC">
        <w:trPr>
          <w:trHeight w:val="194"/>
        </w:trPr>
        <w:tc>
          <w:tcPr>
            <w:cnfStyle w:val="001000000000" w:firstRow="0" w:lastRow="0" w:firstColumn="1" w:lastColumn="0" w:oddVBand="0" w:evenVBand="0" w:oddHBand="0" w:evenHBand="0" w:firstRowFirstColumn="0" w:firstRowLastColumn="0" w:lastRowFirstColumn="0" w:lastRowLastColumn="0"/>
            <w:tcW w:w="672" w:type="pct"/>
            <w:shd w:val="clear" w:color="auto" w:fill="CCDBEA" w:themeFill="background2"/>
          </w:tcPr>
          <w:p w14:paraId="073116B1" w14:textId="77777777" w:rsidR="007904E8" w:rsidRPr="004A34E0" w:rsidRDefault="007904E8" w:rsidP="00666947">
            <w:pPr>
              <w:pStyle w:val="TableTextLeft"/>
              <w:rPr>
                <w:b/>
              </w:rPr>
            </w:pPr>
            <w:r w:rsidRPr="004A34E0">
              <w:rPr>
                <w:b/>
              </w:rPr>
              <w:t xml:space="preserve">Rating </w:t>
            </w:r>
          </w:p>
        </w:tc>
        <w:tc>
          <w:tcPr>
            <w:tcW w:w="2364" w:type="pct"/>
            <w:shd w:val="clear" w:color="auto" w:fill="CCDBEA" w:themeFill="background2"/>
          </w:tcPr>
          <w:p w14:paraId="014045B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w:t>
            </w:r>
          </w:p>
        </w:tc>
        <w:tc>
          <w:tcPr>
            <w:tcW w:w="1500" w:type="pct"/>
            <w:shd w:val="clear" w:color="auto" w:fill="CCDBEA" w:themeFill="background2"/>
          </w:tcPr>
          <w:p w14:paraId="19BF46E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w:t>
            </w:r>
          </w:p>
        </w:tc>
        <w:tc>
          <w:tcPr>
            <w:tcW w:w="463" w:type="pct"/>
            <w:shd w:val="clear" w:color="auto" w:fill="CCDBEA" w:themeFill="background2"/>
          </w:tcPr>
          <w:p w14:paraId="5A1032C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4</w:t>
            </w:r>
          </w:p>
        </w:tc>
      </w:tr>
    </w:tbl>
    <w:p w14:paraId="588B671D" w14:textId="77777777" w:rsidR="007904E8" w:rsidRPr="007E025F" w:rsidRDefault="007904E8" w:rsidP="00A2745D">
      <w:pPr>
        <w:pStyle w:val="AlphaHeading4"/>
      </w:pPr>
      <w:r w:rsidRPr="007E025F">
        <w:t>Monetary value of global climate regulation</w:t>
      </w:r>
    </w:p>
    <w:p w14:paraId="76FFA996" w14:textId="77777777" w:rsidR="007904E8" w:rsidRPr="007E025F" w:rsidRDefault="007904E8" w:rsidP="000035CB">
      <w:pPr>
        <w:pStyle w:val="AlphaHeading5"/>
        <w:numPr>
          <w:ilvl w:val="0"/>
          <w:numId w:val="35"/>
        </w:numPr>
      </w:pPr>
      <w:r w:rsidRPr="007E025F">
        <w:t xml:space="preserve">Carbon retention </w:t>
      </w:r>
    </w:p>
    <w:p w14:paraId="1CA2485D" w14:textId="77777777" w:rsidR="00CA2CCD" w:rsidRDefault="007904E8" w:rsidP="007904E8">
      <w:pPr>
        <w:pStyle w:val="BodyText12ptBefore"/>
        <w:sectPr w:rsidR="00CA2CCD" w:rsidSect="00E52A9A">
          <w:headerReference w:type="even" r:id="rId205"/>
          <w:headerReference w:type="default" r:id="rId206"/>
          <w:footerReference w:type="even" r:id="rId207"/>
          <w:footerReference w:type="default" r:id="rId208"/>
          <w:pgSz w:w="11906" w:h="16838" w:code="9"/>
          <w:pgMar w:top="1134" w:right="1134" w:bottom="1134" w:left="1134" w:header="283" w:footer="283" w:gutter="0"/>
          <w:cols w:space="284"/>
          <w:docGrid w:linePitch="360"/>
        </w:sectPr>
      </w:pPr>
      <w:r w:rsidRPr="004A34E0">
        <w:t>Applying the unit (per tonne CO</w:t>
      </w:r>
      <w:r w:rsidRPr="004A34E0">
        <w:rPr>
          <w:vertAlign w:val="subscript"/>
        </w:rPr>
        <w:t>2</w:t>
      </w:r>
      <w:r w:rsidRPr="004A34E0">
        <w:t xml:space="preserve">e) dollar values for social cost of carbon and market price/replacement cost to the total stock of carbon and annualising this over 100 years at 4 per cent discount rate, results in a range of monetary estimate for the carbon sequestered by the ecosystems within the GORCAP EEA in 2019 of $63 million a year (market price/replacement cost) to $183 million a year (social cost of carbon), as shown in Table 54. </w:t>
      </w:r>
    </w:p>
    <w:p w14:paraId="7D2C6980" w14:textId="77777777" w:rsidR="007904E8" w:rsidRPr="004A34E0" w:rsidRDefault="007904E8" w:rsidP="00484CDC">
      <w:pPr>
        <w:pStyle w:val="Caption"/>
      </w:pPr>
      <w:r w:rsidRPr="004A34E0">
        <w:lastRenderedPageBreak/>
        <w:t>Table 54. Estimated monetary value ($, 2021) of carbon stock of ecosystems within GOR in 2019</w:t>
      </w:r>
    </w:p>
    <w:tbl>
      <w:tblPr>
        <w:tblStyle w:val="TableGrid"/>
        <w:tblW w:w="5000" w:type="pct"/>
        <w:tblLook w:val="04A0" w:firstRow="1" w:lastRow="0" w:firstColumn="1" w:lastColumn="0" w:noHBand="0" w:noVBand="1"/>
      </w:tblPr>
      <w:tblGrid>
        <w:gridCol w:w="3442"/>
        <w:gridCol w:w="2841"/>
        <w:gridCol w:w="2433"/>
        <w:gridCol w:w="2433"/>
        <w:gridCol w:w="1215"/>
        <w:gridCol w:w="2206"/>
      </w:tblGrid>
      <w:tr w:rsidR="007904E8" w:rsidRPr="004A34E0" w14:paraId="59820AF7" w14:textId="77777777" w:rsidTr="003D0D3F">
        <w:trPr>
          <w:cnfStyle w:val="100000000000" w:firstRow="1" w:lastRow="0" w:firstColumn="0" w:lastColumn="0" w:oddVBand="0" w:evenVBand="0" w:oddHBand="0" w:evenHBand="0" w:firstRowFirstColumn="0" w:firstRowLastColumn="0" w:lastRowFirstColumn="0" w:lastRowLastColumn="0"/>
          <w:trHeight w:val="66"/>
        </w:trPr>
        <w:tc>
          <w:tcPr>
            <w:cnfStyle w:val="001000000000" w:firstRow="0" w:lastRow="0" w:firstColumn="1" w:lastColumn="0" w:oddVBand="0" w:evenVBand="0" w:oddHBand="0" w:evenHBand="0" w:firstRowFirstColumn="0" w:firstRowLastColumn="0" w:lastRowFirstColumn="0" w:lastRowLastColumn="0"/>
            <w:tcW w:w="1181" w:type="pct"/>
            <w:vMerge w:val="restart"/>
          </w:tcPr>
          <w:p w14:paraId="2204F51D" w14:textId="77777777" w:rsidR="007904E8" w:rsidRPr="004A34E0" w:rsidRDefault="007904E8" w:rsidP="00666947">
            <w:pPr>
              <w:pStyle w:val="TableTextLeft"/>
              <w:keepNext w:val="0"/>
            </w:pPr>
            <w:r w:rsidRPr="004A34E0">
              <w:rPr>
                <w:b/>
              </w:rPr>
              <w:t>Broad habitat</w:t>
            </w:r>
          </w:p>
        </w:tc>
        <w:tc>
          <w:tcPr>
            <w:tcW w:w="975" w:type="pct"/>
            <w:vMerge w:val="restart"/>
          </w:tcPr>
          <w:p w14:paraId="333C10D5" w14:textId="77777777" w:rsidR="007904E8" w:rsidRPr="004A34E0" w:rsidRDefault="007904E8" w:rsidP="00666947">
            <w:pPr>
              <w:pStyle w:val="TableTextLeft"/>
              <w:keepNext w:val="0"/>
              <w:cnfStyle w:val="100000000000" w:firstRow="1" w:lastRow="0" w:firstColumn="0" w:lastColumn="0" w:oddVBand="0" w:evenVBand="0" w:oddHBand="0" w:evenHBand="0" w:firstRowFirstColumn="0" w:firstRowLastColumn="0" w:lastRowFirstColumn="0" w:lastRowLastColumn="0"/>
            </w:pPr>
            <w:r w:rsidRPr="004A34E0">
              <w:rPr>
                <w:b/>
              </w:rPr>
              <w:t>Annualised estimated total CO2e stock (Tonnes/year)</w:t>
            </w:r>
          </w:p>
        </w:tc>
        <w:tc>
          <w:tcPr>
            <w:tcW w:w="1670" w:type="pct"/>
            <w:gridSpan w:val="2"/>
            <w:tcBorders>
              <w:bottom w:val="single" w:sz="4" w:space="0" w:color="FFFFFF" w:themeColor="background1"/>
            </w:tcBorders>
          </w:tcPr>
          <w:p w14:paraId="225E972B" w14:textId="77777777" w:rsidR="007904E8" w:rsidRPr="004A34E0" w:rsidRDefault="007904E8" w:rsidP="00666947">
            <w:pPr>
              <w:pStyle w:val="TableTextLeft"/>
              <w:keepNext w:val="0"/>
              <w:cnfStyle w:val="100000000000" w:firstRow="1" w:lastRow="0" w:firstColumn="0" w:lastColumn="0" w:oddVBand="0" w:evenVBand="0" w:oddHBand="0" w:evenHBand="0" w:firstRowFirstColumn="0" w:firstRowLastColumn="0" w:lastRowFirstColumn="0" w:lastRowLastColumn="0"/>
            </w:pPr>
            <w:r w:rsidRPr="004A34E0">
              <w:rPr>
                <w:b/>
              </w:rPr>
              <w:t xml:space="preserve">Annual estimated monetary value ($m) </w:t>
            </w:r>
          </w:p>
        </w:tc>
        <w:tc>
          <w:tcPr>
            <w:tcW w:w="417" w:type="pct"/>
            <w:vMerge w:val="restart"/>
          </w:tcPr>
          <w:p w14:paraId="21DA13A8" w14:textId="77777777" w:rsidR="007904E8" w:rsidRPr="004A34E0" w:rsidRDefault="007904E8" w:rsidP="00666947">
            <w:pPr>
              <w:pStyle w:val="TableTextLeft"/>
              <w:keepNext w:val="0"/>
              <w:cnfStyle w:val="100000000000" w:firstRow="1" w:lastRow="0" w:firstColumn="0" w:lastColumn="0" w:oddVBand="0" w:evenVBand="0" w:oddHBand="0" w:evenHBand="0" w:firstRowFirstColumn="0" w:firstRowLastColumn="0" w:lastRowFirstColumn="0" w:lastRowLastColumn="0"/>
            </w:pPr>
            <w:r w:rsidRPr="004A34E0">
              <w:rPr>
                <w:b/>
              </w:rPr>
              <w:t>Year</w:t>
            </w:r>
          </w:p>
        </w:tc>
        <w:tc>
          <w:tcPr>
            <w:tcW w:w="757" w:type="pct"/>
            <w:vMerge w:val="restart"/>
          </w:tcPr>
          <w:p w14:paraId="4630CF00" w14:textId="77777777" w:rsidR="007904E8" w:rsidRPr="004A34E0" w:rsidRDefault="007904E8" w:rsidP="00666947">
            <w:pPr>
              <w:pStyle w:val="TableTextLeft"/>
              <w:keepNext w:val="0"/>
              <w:cnfStyle w:val="100000000000" w:firstRow="1" w:lastRow="0" w:firstColumn="0" w:lastColumn="0" w:oddVBand="0" w:evenVBand="0" w:oddHBand="0" w:evenHBand="0" w:firstRowFirstColumn="0" w:firstRowLastColumn="0" w:lastRowFirstColumn="0" w:lastRowLastColumn="0"/>
              <w:rPr>
                <w:b/>
              </w:rPr>
            </w:pPr>
            <w:r w:rsidRPr="004A34E0">
              <w:rPr>
                <w:b/>
              </w:rPr>
              <w:t>Source</w:t>
            </w:r>
          </w:p>
        </w:tc>
      </w:tr>
      <w:tr w:rsidR="007904E8" w:rsidRPr="004A34E0" w14:paraId="5989B0F7" w14:textId="77777777" w:rsidTr="003D0D3F">
        <w:trPr>
          <w:trHeight w:val="66"/>
        </w:trPr>
        <w:tc>
          <w:tcPr>
            <w:cnfStyle w:val="001000000000" w:firstRow="0" w:lastRow="0" w:firstColumn="1" w:lastColumn="0" w:oddVBand="0" w:evenVBand="0" w:oddHBand="0" w:evenHBand="0" w:firstRowFirstColumn="0" w:firstRowLastColumn="0" w:lastRowFirstColumn="0" w:lastRowLastColumn="0"/>
            <w:tcW w:w="1181" w:type="pct"/>
            <w:vMerge/>
          </w:tcPr>
          <w:p w14:paraId="6CEB8902" w14:textId="77777777" w:rsidR="007904E8" w:rsidRPr="004A34E0" w:rsidRDefault="007904E8" w:rsidP="00666947">
            <w:pPr>
              <w:pStyle w:val="TableTextLeft"/>
              <w:rPr>
                <w:b/>
              </w:rPr>
            </w:pPr>
          </w:p>
        </w:tc>
        <w:tc>
          <w:tcPr>
            <w:tcW w:w="975" w:type="pct"/>
            <w:vMerge/>
          </w:tcPr>
          <w:p w14:paraId="22F4056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835" w:type="pct"/>
            <w:tcBorders>
              <w:top w:val="single" w:sz="4" w:space="0" w:color="FFFFFF" w:themeColor="background1"/>
            </w:tcBorders>
            <w:shd w:val="clear" w:color="auto" w:fill="004C97" w:themeFill="accent1"/>
          </w:tcPr>
          <w:p w14:paraId="06809EBC"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3D0D3F">
              <w:rPr>
                <w:color w:val="FFFFFF" w:themeColor="background1"/>
              </w:rPr>
              <w:t>Market price</w:t>
            </w:r>
          </w:p>
        </w:tc>
        <w:tc>
          <w:tcPr>
            <w:tcW w:w="835" w:type="pct"/>
            <w:tcBorders>
              <w:top w:val="single" w:sz="4" w:space="0" w:color="FFFFFF" w:themeColor="background1"/>
            </w:tcBorders>
            <w:shd w:val="clear" w:color="auto" w:fill="004C97" w:themeFill="accent1"/>
          </w:tcPr>
          <w:p w14:paraId="0F564301"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3D0D3F">
              <w:rPr>
                <w:color w:val="FFFFFF" w:themeColor="background1"/>
              </w:rPr>
              <w:t>Social cost of carbon</w:t>
            </w:r>
          </w:p>
        </w:tc>
        <w:tc>
          <w:tcPr>
            <w:tcW w:w="417" w:type="pct"/>
            <w:vMerge/>
          </w:tcPr>
          <w:p w14:paraId="7B55336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757" w:type="pct"/>
            <w:vMerge/>
          </w:tcPr>
          <w:p w14:paraId="0EA1356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rPr>
            </w:pPr>
          </w:p>
        </w:tc>
      </w:tr>
      <w:tr w:rsidR="007904E8" w:rsidRPr="004A34E0" w14:paraId="6221A08D" w14:textId="77777777" w:rsidTr="007E025F">
        <w:trPr>
          <w:trHeight w:val="163"/>
        </w:trPr>
        <w:tc>
          <w:tcPr>
            <w:cnfStyle w:val="001000000000" w:firstRow="0" w:lastRow="0" w:firstColumn="1" w:lastColumn="0" w:oddVBand="0" w:evenVBand="0" w:oddHBand="0" w:evenHBand="0" w:firstRowFirstColumn="0" w:firstRowLastColumn="0" w:lastRowFirstColumn="0" w:lastRowLastColumn="0"/>
            <w:tcW w:w="1181" w:type="pct"/>
          </w:tcPr>
          <w:p w14:paraId="1256CEB2" w14:textId="77777777" w:rsidR="007904E8" w:rsidRPr="004A34E0" w:rsidRDefault="007904E8" w:rsidP="00666947">
            <w:pPr>
              <w:pStyle w:val="TableTextLeft"/>
            </w:pPr>
            <w:r w:rsidRPr="004A34E0">
              <w:t>Grassland</w:t>
            </w:r>
          </w:p>
        </w:tc>
        <w:tc>
          <w:tcPr>
            <w:tcW w:w="975" w:type="pct"/>
          </w:tcPr>
          <w:p w14:paraId="274449C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8,308</w:t>
            </w:r>
          </w:p>
        </w:tc>
        <w:tc>
          <w:tcPr>
            <w:tcW w:w="835" w:type="pct"/>
          </w:tcPr>
          <w:p w14:paraId="01CEF2D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$0.4m</w:t>
            </w:r>
          </w:p>
        </w:tc>
        <w:tc>
          <w:tcPr>
            <w:tcW w:w="835" w:type="pct"/>
          </w:tcPr>
          <w:p w14:paraId="7B48027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$1.0m</w:t>
            </w:r>
          </w:p>
        </w:tc>
        <w:tc>
          <w:tcPr>
            <w:tcW w:w="417" w:type="pct"/>
            <w:vMerge w:val="restart"/>
          </w:tcPr>
          <w:p w14:paraId="14947F6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2019</w:t>
            </w:r>
          </w:p>
        </w:tc>
        <w:tc>
          <w:tcPr>
            <w:tcW w:w="757" w:type="pct"/>
            <w:vMerge w:val="restart"/>
          </w:tcPr>
          <w:p w14:paraId="1FE97FD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World Bank Carbon Pricing Dashboard; US government (2016) and Hope (2006)</w:t>
            </w:r>
          </w:p>
          <w:p w14:paraId="5BDA55F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7D1C1D75" w14:textId="77777777" w:rsidTr="007E025F">
        <w:trPr>
          <w:trHeight w:val="163"/>
        </w:trPr>
        <w:tc>
          <w:tcPr>
            <w:cnfStyle w:val="001000000000" w:firstRow="0" w:lastRow="0" w:firstColumn="1" w:lastColumn="0" w:oddVBand="0" w:evenVBand="0" w:oddHBand="0" w:evenHBand="0" w:firstRowFirstColumn="0" w:firstRowLastColumn="0" w:lastRowFirstColumn="0" w:lastRowLastColumn="0"/>
            <w:tcW w:w="1181" w:type="pct"/>
          </w:tcPr>
          <w:p w14:paraId="3F1932AA" w14:textId="77777777" w:rsidR="007904E8" w:rsidRPr="004A34E0" w:rsidRDefault="007904E8" w:rsidP="00666947">
            <w:pPr>
              <w:pStyle w:val="TableTextLeft"/>
            </w:pPr>
            <w:r w:rsidRPr="004A34E0">
              <w:t>Shrubland</w:t>
            </w:r>
          </w:p>
        </w:tc>
        <w:tc>
          <w:tcPr>
            <w:tcW w:w="975" w:type="pct"/>
          </w:tcPr>
          <w:p w14:paraId="44B97DB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335,350</w:t>
            </w:r>
          </w:p>
        </w:tc>
        <w:tc>
          <w:tcPr>
            <w:tcW w:w="835" w:type="pct"/>
          </w:tcPr>
          <w:p w14:paraId="1B19E7F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$14.7m</w:t>
            </w:r>
          </w:p>
        </w:tc>
        <w:tc>
          <w:tcPr>
            <w:tcW w:w="835" w:type="pct"/>
          </w:tcPr>
          <w:p w14:paraId="4BE5F2C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$42.4m</w:t>
            </w:r>
          </w:p>
        </w:tc>
        <w:tc>
          <w:tcPr>
            <w:tcW w:w="417" w:type="pct"/>
            <w:vMerge/>
          </w:tcPr>
          <w:p w14:paraId="4F9FD7F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757" w:type="pct"/>
            <w:vMerge/>
          </w:tcPr>
          <w:p w14:paraId="422E165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573E2C12" w14:textId="77777777" w:rsidTr="007E025F">
        <w:trPr>
          <w:trHeight w:val="163"/>
        </w:trPr>
        <w:tc>
          <w:tcPr>
            <w:cnfStyle w:val="001000000000" w:firstRow="0" w:lastRow="0" w:firstColumn="1" w:lastColumn="0" w:oddVBand="0" w:evenVBand="0" w:oddHBand="0" w:evenHBand="0" w:firstRowFirstColumn="0" w:firstRowLastColumn="0" w:lastRowFirstColumn="0" w:lastRowLastColumn="0"/>
            <w:tcW w:w="1181" w:type="pct"/>
          </w:tcPr>
          <w:p w14:paraId="3AA31C7F" w14:textId="77777777" w:rsidR="007904E8" w:rsidRPr="004A34E0" w:rsidRDefault="007904E8" w:rsidP="00666947">
            <w:pPr>
              <w:pStyle w:val="TableTextLeft"/>
            </w:pPr>
            <w:r w:rsidRPr="004A34E0">
              <w:t>Forest / woodland</w:t>
            </w:r>
          </w:p>
        </w:tc>
        <w:tc>
          <w:tcPr>
            <w:tcW w:w="975" w:type="pct"/>
          </w:tcPr>
          <w:p w14:paraId="1E890BE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977,632</w:t>
            </w:r>
          </w:p>
        </w:tc>
        <w:tc>
          <w:tcPr>
            <w:tcW w:w="835" w:type="pct"/>
          </w:tcPr>
          <w:p w14:paraId="0A99851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$42.7m</w:t>
            </w:r>
          </w:p>
        </w:tc>
        <w:tc>
          <w:tcPr>
            <w:tcW w:w="835" w:type="pct"/>
          </w:tcPr>
          <w:p w14:paraId="3E94833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$123.5m</w:t>
            </w:r>
          </w:p>
        </w:tc>
        <w:tc>
          <w:tcPr>
            <w:tcW w:w="417" w:type="pct"/>
            <w:vMerge/>
          </w:tcPr>
          <w:p w14:paraId="627B0BC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757" w:type="pct"/>
            <w:vMerge/>
          </w:tcPr>
          <w:p w14:paraId="2580BF7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5626EB67" w14:textId="77777777" w:rsidTr="007E025F">
        <w:trPr>
          <w:trHeight w:val="163"/>
        </w:trPr>
        <w:tc>
          <w:tcPr>
            <w:cnfStyle w:val="001000000000" w:firstRow="0" w:lastRow="0" w:firstColumn="1" w:lastColumn="0" w:oddVBand="0" w:evenVBand="0" w:oddHBand="0" w:evenHBand="0" w:firstRowFirstColumn="0" w:firstRowLastColumn="0" w:lastRowFirstColumn="0" w:lastRowLastColumn="0"/>
            <w:tcW w:w="1181" w:type="pct"/>
          </w:tcPr>
          <w:p w14:paraId="072D8157" w14:textId="77777777" w:rsidR="007904E8" w:rsidRPr="004A34E0" w:rsidRDefault="007904E8" w:rsidP="00666947">
            <w:pPr>
              <w:pStyle w:val="TableTextLeft"/>
            </w:pPr>
            <w:r w:rsidRPr="004A34E0">
              <w:t>Farmland</w:t>
            </w:r>
          </w:p>
        </w:tc>
        <w:tc>
          <w:tcPr>
            <w:tcW w:w="975" w:type="pct"/>
          </w:tcPr>
          <w:p w14:paraId="77C78F1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39,363</w:t>
            </w:r>
          </w:p>
        </w:tc>
        <w:tc>
          <w:tcPr>
            <w:tcW w:w="835" w:type="pct"/>
          </w:tcPr>
          <w:p w14:paraId="3DC85C5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$1.7m</w:t>
            </w:r>
          </w:p>
        </w:tc>
        <w:tc>
          <w:tcPr>
            <w:tcW w:w="835" w:type="pct"/>
          </w:tcPr>
          <w:p w14:paraId="4A8A3A8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$5.0m</w:t>
            </w:r>
          </w:p>
        </w:tc>
        <w:tc>
          <w:tcPr>
            <w:tcW w:w="417" w:type="pct"/>
            <w:vMerge/>
          </w:tcPr>
          <w:p w14:paraId="33F3781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757" w:type="pct"/>
            <w:vMerge/>
          </w:tcPr>
          <w:p w14:paraId="1E524B7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608B0FE5" w14:textId="77777777" w:rsidTr="007E025F">
        <w:trPr>
          <w:trHeight w:val="163"/>
        </w:trPr>
        <w:tc>
          <w:tcPr>
            <w:cnfStyle w:val="001000000000" w:firstRow="0" w:lastRow="0" w:firstColumn="1" w:lastColumn="0" w:oddVBand="0" w:evenVBand="0" w:oddHBand="0" w:evenHBand="0" w:firstRowFirstColumn="0" w:firstRowLastColumn="0" w:lastRowFirstColumn="0" w:lastRowLastColumn="0"/>
            <w:tcW w:w="1181" w:type="pct"/>
          </w:tcPr>
          <w:p w14:paraId="2E21A4F6" w14:textId="77777777" w:rsidR="007904E8" w:rsidRPr="004A34E0" w:rsidRDefault="007904E8" w:rsidP="00666947">
            <w:pPr>
              <w:pStyle w:val="TableTextLeft"/>
            </w:pPr>
            <w:r w:rsidRPr="004A34E0">
              <w:t>Freshwater and wetland</w:t>
            </w:r>
          </w:p>
        </w:tc>
        <w:tc>
          <w:tcPr>
            <w:tcW w:w="975" w:type="pct"/>
          </w:tcPr>
          <w:p w14:paraId="5BC2435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25,848</w:t>
            </w:r>
          </w:p>
        </w:tc>
        <w:tc>
          <w:tcPr>
            <w:tcW w:w="835" w:type="pct"/>
          </w:tcPr>
          <w:p w14:paraId="469E2F8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$1.1m</w:t>
            </w:r>
          </w:p>
        </w:tc>
        <w:tc>
          <w:tcPr>
            <w:tcW w:w="835" w:type="pct"/>
          </w:tcPr>
          <w:p w14:paraId="3D914BF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$3.3m</w:t>
            </w:r>
          </w:p>
        </w:tc>
        <w:tc>
          <w:tcPr>
            <w:tcW w:w="417" w:type="pct"/>
            <w:vMerge/>
          </w:tcPr>
          <w:p w14:paraId="0A1C365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757" w:type="pct"/>
            <w:vMerge/>
          </w:tcPr>
          <w:p w14:paraId="775DB23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23047BAA" w14:textId="77777777" w:rsidTr="007E025F">
        <w:trPr>
          <w:trHeight w:val="163"/>
        </w:trPr>
        <w:tc>
          <w:tcPr>
            <w:cnfStyle w:val="001000000000" w:firstRow="0" w:lastRow="0" w:firstColumn="1" w:lastColumn="0" w:oddVBand="0" w:evenVBand="0" w:oddHBand="0" w:evenHBand="0" w:firstRowFirstColumn="0" w:firstRowLastColumn="0" w:lastRowFirstColumn="0" w:lastRowLastColumn="0"/>
            <w:tcW w:w="1181" w:type="pct"/>
          </w:tcPr>
          <w:p w14:paraId="51EDA047" w14:textId="77777777" w:rsidR="007904E8" w:rsidRPr="004A34E0" w:rsidRDefault="007904E8" w:rsidP="00666947">
            <w:pPr>
              <w:pStyle w:val="TableTextLeft"/>
            </w:pPr>
            <w:r w:rsidRPr="004A34E0">
              <w:t>Urban</w:t>
            </w:r>
          </w:p>
        </w:tc>
        <w:tc>
          <w:tcPr>
            <w:tcW w:w="975" w:type="pct"/>
          </w:tcPr>
          <w:p w14:paraId="242AA6B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14,816</w:t>
            </w:r>
          </w:p>
        </w:tc>
        <w:tc>
          <w:tcPr>
            <w:tcW w:w="835" w:type="pct"/>
          </w:tcPr>
          <w:p w14:paraId="1349F1E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$0.6m</w:t>
            </w:r>
          </w:p>
        </w:tc>
        <w:tc>
          <w:tcPr>
            <w:tcW w:w="835" w:type="pct"/>
          </w:tcPr>
          <w:p w14:paraId="16D0F7D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$1.9m</w:t>
            </w:r>
          </w:p>
        </w:tc>
        <w:tc>
          <w:tcPr>
            <w:tcW w:w="417" w:type="pct"/>
            <w:vMerge/>
          </w:tcPr>
          <w:p w14:paraId="69C0C84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757" w:type="pct"/>
            <w:vMerge/>
          </w:tcPr>
          <w:p w14:paraId="23D0F99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083D68BD" w14:textId="77777777" w:rsidTr="007E025F">
        <w:trPr>
          <w:trHeight w:val="163"/>
        </w:trPr>
        <w:tc>
          <w:tcPr>
            <w:cnfStyle w:val="001000000000" w:firstRow="0" w:lastRow="0" w:firstColumn="1" w:lastColumn="0" w:oddVBand="0" w:evenVBand="0" w:oddHBand="0" w:evenHBand="0" w:firstRowFirstColumn="0" w:firstRowLastColumn="0" w:lastRowFirstColumn="0" w:lastRowLastColumn="0"/>
            <w:tcW w:w="1181" w:type="pct"/>
          </w:tcPr>
          <w:p w14:paraId="7E08DFC0" w14:textId="77777777" w:rsidR="007904E8" w:rsidRPr="004A34E0" w:rsidRDefault="007904E8" w:rsidP="00666947">
            <w:pPr>
              <w:pStyle w:val="TableTextLeft"/>
            </w:pPr>
            <w:r w:rsidRPr="004A34E0">
              <w:t>Coastal margins</w:t>
            </w:r>
          </w:p>
        </w:tc>
        <w:tc>
          <w:tcPr>
            <w:tcW w:w="975" w:type="pct"/>
          </w:tcPr>
          <w:p w14:paraId="357CD56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13,849</w:t>
            </w:r>
          </w:p>
        </w:tc>
        <w:tc>
          <w:tcPr>
            <w:tcW w:w="835" w:type="pct"/>
          </w:tcPr>
          <w:p w14:paraId="111334E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$0.6m</w:t>
            </w:r>
          </w:p>
        </w:tc>
        <w:tc>
          <w:tcPr>
            <w:tcW w:w="835" w:type="pct"/>
          </w:tcPr>
          <w:p w14:paraId="28E2022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$1.8m</w:t>
            </w:r>
          </w:p>
        </w:tc>
        <w:tc>
          <w:tcPr>
            <w:tcW w:w="417" w:type="pct"/>
            <w:vMerge/>
          </w:tcPr>
          <w:p w14:paraId="017A33E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757" w:type="pct"/>
            <w:vMerge/>
          </w:tcPr>
          <w:p w14:paraId="4826815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5F896DE2" w14:textId="77777777" w:rsidTr="007E025F">
        <w:trPr>
          <w:trHeight w:val="163"/>
        </w:trPr>
        <w:tc>
          <w:tcPr>
            <w:cnfStyle w:val="001000000000" w:firstRow="0" w:lastRow="0" w:firstColumn="1" w:lastColumn="0" w:oddVBand="0" w:evenVBand="0" w:oddHBand="0" w:evenHBand="0" w:firstRowFirstColumn="0" w:firstRowLastColumn="0" w:lastRowFirstColumn="0" w:lastRowLastColumn="0"/>
            <w:tcW w:w="1181" w:type="pct"/>
          </w:tcPr>
          <w:p w14:paraId="36E7D016" w14:textId="77777777" w:rsidR="007904E8" w:rsidRPr="004A34E0" w:rsidRDefault="007904E8" w:rsidP="00666947">
            <w:pPr>
              <w:pStyle w:val="TableTextLeft"/>
            </w:pPr>
            <w:r w:rsidRPr="004A34E0">
              <w:t>Marine</w:t>
            </w:r>
          </w:p>
        </w:tc>
        <w:tc>
          <w:tcPr>
            <w:tcW w:w="975" w:type="pct"/>
          </w:tcPr>
          <w:p w14:paraId="7626A30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31,470</w:t>
            </w:r>
          </w:p>
        </w:tc>
        <w:tc>
          <w:tcPr>
            <w:tcW w:w="835" w:type="pct"/>
          </w:tcPr>
          <w:p w14:paraId="4348FE8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$1.4m</w:t>
            </w:r>
          </w:p>
        </w:tc>
        <w:tc>
          <w:tcPr>
            <w:tcW w:w="835" w:type="pct"/>
          </w:tcPr>
          <w:p w14:paraId="6258BFA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$4.0m</w:t>
            </w:r>
          </w:p>
        </w:tc>
        <w:tc>
          <w:tcPr>
            <w:tcW w:w="417" w:type="pct"/>
            <w:vMerge/>
          </w:tcPr>
          <w:p w14:paraId="01BC6DB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757" w:type="pct"/>
            <w:vMerge/>
          </w:tcPr>
          <w:p w14:paraId="34CAB4D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5B082239" w14:textId="77777777" w:rsidTr="00484CDC">
        <w:trPr>
          <w:trHeight w:val="163"/>
        </w:trPr>
        <w:tc>
          <w:tcPr>
            <w:cnfStyle w:val="001000000000" w:firstRow="0" w:lastRow="0" w:firstColumn="1" w:lastColumn="0" w:oddVBand="0" w:evenVBand="0" w:oddHBand="0" w:evenHBand="0" w:firstRowFirstColumn="0" w:firstRowLastColumn="0" w:lastRowFirstColumn="0" w:lastRowLastColumn="0"/>
            <w:tcW w:w="1181" w:type="pct"/>
            <w:shd w:val="clear" w:color="auto" w:fill="CCDBEA" w:themeFill="background2"/>
          </w:tcPr>
          <w:p w14:paraId="364961A7" w14:textId="77777777" w:rsidR="007904E8" w:rsidRPr="004A34E0" w:rsidRDefault="007904E8" w:rsidP="00666947">
            <w:pPr>
              <w:pStyle w:val="TableTextLeft"/>
            </w:pPr>
            <w:r w:rsidRPr="004A34E0">
              <w:rPr>
                <w:b/>
              </w:rPr>
              <w:t>Total</w:t>
            </w:r>
          </w:p>
        </w:tc>
        <w:tc>
          <w:tcPr>
            <w:tcW w:w="975" w:type="pct"/>
            <w:shd w:val="clear" w:color="auto" w:fill="CCDBEA" w:themeFill="background2"/>
          </w:tcPr>
          <w:p w14:paraId="3834026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1,446,635</w:t>
            </w:r>
          </w:p>
        </w:tc>
        <w:tc>
          <w:tcPr>
            <w:tcW w:w="835" w:type="pct"/>
            <w:shd w:val="clear" w:color="auto" w:fill="CCDBEA" w:themeFill="background2"/>
          </w:tcPr>
          <w:p w14:paraId="3E4C44B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$63.2m</w:t>
            </w:r>
          </w:p>
        </w:tc>
        <w:tc>
          <w:tcPr>
            <w:tcW w:w="835" w:type="pct"/>
            <w:shd w:val="clear" w:color="auto" w:fill="CCDBEA" w:themeFill="background2"/>
          </w:tcPr>
          <w:p w14:paraId="0EF4F58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rPr>
            </w:pPr>
            <w:r w:rsidRPr="004A34E0">
              <w:rPr>
                <w:b/>
              </w:rPr>
              <w:t>$182.8m</w:t>
            </w:r>
          </w:p>
        </w:tc>
        <w:tc>
          <w:tcPr>
            <w:tcW w:w="417" w:type="pct"/>
            <w:vMerge/>
          </w:tcPr>
          <w:p w14:paraId="667BF5B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757" w:type="pct"/>
            <w:vMerge/>
          </w:tcPr>
          <w:p w14:paraId="3C8F284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bl>
    <w:p w14:paraId="2F70FCE2" w14:textId="77777777" w:rsidR="00CA2CCD" w:rsidRDefault="00CA2CCD" w:rsidP="00AD40F5">
      <w:pPr>
        <w:pStyle w:val="AlphaHeading5"/>
        <w:sectPr w:rsidR="00CA2CCD" w:rsidSect="00E52A9A">
          <w:pgSz w:w="16838" w:h="11906" w:orient="landscape" w:code="9"/>
          <w:pgMar w:top="1134" w:right="1134" w:bottom="1134" w:left="1134" w:header="283" w:footer="283" w:gutter="0"/>
          <w:cols w:space="284"/>
          <w:docGrid w:linePitch="360"/>
        </w:sectPr>
      </w:pPr>
    </w:p>
    <w:p w14:paraId="7A2730E7" w14:textId="50A19915" w:rsidR="007904E8" w:rsidRPr="004A34E0" w:rsidRDefault="007904E8" w:rsidP="00AD40F5">
      <w:pPr>
        <w:pStyle w:val="AlphaHeading5"/>
      </w:pPr>
      <w:r w:rsidRPr="004A34E0">
        <w:lastRenderedPageBreak/>
        <w:t>Carbon sequestration</w:t>
      </w:r>
    </w:p>
    <w:p w14:paraId="4C8C105E" w14:textId="77777777" w:rsidR="007904E8" w:rsidRPr="004A34E0" w:rsidRDefault="007904E8" w:rsidP="007904E8">
      <w:pPr>
        <w:pStyle w:val="BodyText12ptBefore"/>
      </w:pPr>
      <w:r w:rsidRPr="006510A4">
        <w:t>Applying the unit (per tonne CO</w:t>
      </w:r>
      <w:r w:rsidRPr="006510A4">
        <w:rPr>
          <w:vertAlign w:val="subscript"/>
        </w:rPr>
        <w:t>2</w:t>
      </w:r>
      <w:r w:rsidRPr="006510A4">
        <w:t>e) dollar values for social cost of carbon and market price/replacement cost results in a range of monetary estimate for the carbon sequestered by the ecosystems within the GORCAP EEA in 2019 of $5.8 million a year (market price/replacement cost) to $16.8 million a year (social cost of carbon), as shown in Table 55.</w:t>
      </w:r>
      <w:r w:rsidRPr="004A34E0">
        <w:t xml:space="preserve"> </w:t>
      </w:r>
    </w:p>
    <w:p w14:paraId="10127A45" w14:textId="77777777" w:rsidR="007904E8" w:rsidRPr="004A34E0" w:rsidRDefault="007904E8" w:rsidP="00484CDC">
      <w:pPr>
        <w:pStyle w:val="Caption"/>
      </w:pPr>
      <w:r w:rsidRPr="004A34E0">
        <w:t>Table 55. Estimated monetary value ($, 2021) of carbon sequestration from sub-set of ecosystems within GOR in 2019</w:t>
      </w:r>
    </w:p>
    <w:tbl>
      <w:tblPr>
        <w:tblStyle w:val="TableGrid"/>
        <w:tblW w:w="14570" w:type="dxa"/>
        <w:tblInd w:w="-5" w:type="dxa"/>
        <w:tblBorders>
          <w:top w:val="none" w:sz="0" w:space="0" w:color="auto"/>
          <w:bottom w:val="none" w:sz="0" w:space="0" w:color="auto"/>
          <w:insideH w:val="none" w:sz="0" w:space="0" w:color="auto"/>
        </w:tblBorders>
        <w:tblLook w:val="04A0" w:firstRow="1" w:lastRow="0" w:firstColumn="1" w:lastColumn="0" w:noHBand="0" w:noVBand="1"/>
      </w:tblPr>
      <w:tblGrid>
        <w:gridCol w:w="1206"/>
        <w:gridCol w:w="1568"/>
        <w:gridCol w:w="1127"/>
        <w:gridCol w:w="2216"/>
        <w:gridCol w:w="1801"/>
        <w:gridCol w:w="1950"/>
        <w:gridCol w:w="1477"/>
        <w:gridCol w:w="3225"/>
      </w:tblGrid>
      <w:tr w:rsidR="00CA2CCD" w:rsidRPr="004A34E0" w14:paraId="79879F75" w14:textId="77777777" w:rsidTr="00CA2C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4973B24" w14:textId="77777777" w:rsidR="00CA2CCD" w:rsidRPr="004A34E0" w:rsidRDefault="00CA2CCD" w:rsidP="00666947">
            <w:pPr>
              <w:pStyle w:val="TableTextLeft"/>
            </w:pPr>
          </w:p>
        </w:tc>
        <w:tc>
          <w:tcPr>
            <w:tcW w:w="0" w:type="auto"/>
          </w:tcPr>
          <w:p w14:paraId="68C4C6A4" w14:textId="77777777" w:rsidR="00CA2CCD" w:rsidRPr="004A34E0" w:rsidRDefault="00CA2CCD" w:rsidP="00666947">
            <w:pPr>
              <w:pStyle w:val="TableTextLeft"/>
              <w:cnfStyle w:val="100000000000" w:firstRow="1" w:lastRow="0" w:firstColumn="0" w:lastColumn="0" w:oddVBand="0" w:evenVBand="0" w:oddHBand="0" w:evenHBand="0" w:firstRowFirstColumn="0" w:firstRowLastColumn="0" w:lastRowFirstColumn="0" w:lastRowLastColumn="0"/>
            </w:pPr>
          </w:p>
        </w:tc>
        <w:tc>
          <w:tcPr>
            <w:tcW w:w="0" w:type="auto"/>
          </w:tcPr>
          <w:p w14:paraId="60057770" w14:textId="77777777" w:rsidR="00CA2CCD" w:rsidRPr="004A34E0" w:rsidRDefault="00CA2CCD" w:rsidP="00666947">
            <w:pPr>
              <w:pStyle w:val="TableTextLeft"/>
              <w:cnfStyle w:val="100000000000" w:firstRow="1" w:lastRow="0" w:firstColumn="0" w:lastColumn="0" w:oddVBand="0" w:evenVBand="0" w:oddHBand="0" w:evenHBand="0" w:firstRowFirstColumn="0" w:firstRowLastColumn="0" w:lastRowFirstColumn="0" w:lastRowLastColumn="0"/>
              <w:rPr>
                <w:highlight w:val="yellow"/>
              </w:rPr>
            </w:pPr>
          </w:p>
        </w:tc>
        <w:tc>
          <w:tcPr>
            <w:tcW w:w="0" w:type="auto"/>
          </w:tcPr>
          <w:p w14:paraId="4CC3F92D" w14:textId="72F939B9" w:rsidR="00CA2CCD" w:rsidRPr="004A34E0" w:rsidRDefault="00CA2CCD"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Estimated total annual carbon sequestration (tCO2e)</w:t>
            </w:r>
          </w:p>
        </w:tc>
        <w:tc>
          <w:tcPr>
            <w:tcW w:w="0" w:type="auto"/>
          </w:tcPr>
          <w:p w14:paraId="153B05FF" w14:textId="10A1C2CF" w:rsidR="00CA2CCD" w:rsidRPr="004A34E0" w:rsidRDefault="00CA2CCD"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Estimated monetary value - market price ($m)</w:t>
            </w:r>
          </w:p>
        </w:tc>
        <w:tc>
          <w:tcPr>
            <w:tcW w:w="0" w:type="auto"/>
          </w:tcPr>
          <w:p w14:paraId="1461C887" w14:textId="782665CC" w:rsidR="00CA2CCD" w:rsidRPr="004A34E0" w:rsidRDefault="00CA2CCD"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Estimated monetary value - social cost of carbon ($m)</w:t>
            </w:r>
          </w:p>
        </w:tc>
        <w:tc>
          <w:tcPr>
            <w:tcW w:w="1477" w:type="dxa"/>
          </w:tcPr>
          <w:p w14:paraId="0656A210" w14:textId="30090830" w:rsidR="00CA2CCD" w:rsidRPr="004A34E0" w:rsidRDefault="00CA2CCD"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Year</w:t>
            </w:r>
          </w:p>
        </w:tc>
        <w:tc>
          <w:tcPr>
            <w:tcW w:w="3225" w:type="dxa"/>
          </w:tcPr>
          <w:p w14:paraId="4493EA12" w14:textId="24D7CE67" w:rsidR="00CA2CCD" w:rsidRPr="004A34E0" w:rsidRDefault="00CA2CCD"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Source</w:t>
            </w:r>
          </w:p>
        </w:tc>
      </w:tr>
      <w:tr w:rsidR="00CA2CCD" w:rsidRPr="004A34E0" w14:paraId="275B0CFA" w14:textId="77777777" w:rsidTr="00CA2CCD">
        <w:tc>
          <w:tcPr>
            <w:cnfStyle w:val="001000000000" w:firstRow="0" w:lastRow="0" w:firstColumn="1" w:lastColumn="0" w:oddVBand="0" w:evenVBand="0" w:oddHBand="0" w:evenHBand="0" w:firstRowFirstColumn="0" w:firstRowLastColumn="0" w:lastRowFirstColumn="0" w:lastRowLastColumn="0"/>
            <w:tcW w:w="0" w:type="auto"/>
            <w:vMerge w:val="restart"/>
            <w:tcBorders>
              <w:bottom w:val="single" w:sz="4" w:space="0" w:color="201547" w:themeColor="text2"/>
            </w:tcBorders>
          </w:tcPr>
          <w:p w14:paraId="0B3D3B02" w14:textId="77777777" w:rsidR="007904E8" w:rsidRPr="004A34E0" w:rsidRDefault="007904E8" w:rsidP="00666947">
            <w:pPr>
              <w:pStyle w:val="TableTextLeft"/>
            </w:pPr>
            <w:r w:rsidRPr="004A34E0">
              <w:t>Ecosystem</w:t>
            </w:r>
          </w:p>
        </w:tc>
        <w:tc>
          <w:tcPr>
            <w:tcW w:w="0" w:type="auto"/>
            <w:tcBorders>
              <w:bottom w:val="single" w:sz="4" w:space="0" w:color="201547" w:themeColor="text2"/>
            </w:tcBorders>
          </w:tcPr>
          <w:p w14:paraId="470D643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A34E0">
              <w:t>Freshwater and (inland) wetland</w:t>
            </w:r>
          </w:p>
        </w:tc>
        <w:tc>
          <w:tcPr>
            <w:tcW w:w="0" w:type="auto"/>
            <w:tcBorders>
              <w:bottom w:val="single" w:sz="4" w:space="0" w:color="201547" w:themeColor="text2"/>
            </w:tcBorders>
          </w:tcPr>
          <w:p w14:paraId="67C9629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p>
        </w:tc>
        <w:tc>
          <w:tcPr>
            <w:tcW w:w="0" w:type="auto"/>
            <w:tcBorders>
              <w:bottom w:val="single" w:sz="4" w:space="0" w:color="201547" w:themeColor="text2"/>
            </w:tcBorders>
          </w:tcPr>
          <w:p w14:paraId="33D772C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A34E0">
              <w:t>7,367</w:t>
            </w:r>
          </w:p>
        </w:tc>
        <w:tc>
          <w:tcPr>
            <w:tcW w:w="0" w:type="auto"/>
            <w:tcBorders>
              <w:bottom w:val="single" w:sz="4" w:space="0" w:color="201547" w:themeColor="text2"/>
            </w:tcBorders>
          </w:tcPr>
          <w:p w14:paraId="6B5AF9C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A34E0">
              <w:t xml:space="preserve"> $0.32m</w:t>
            </w:r>
          </w:p>
        </w:tc>
        <w:tc>
          <w:tcPr>
            <w:tcW w:w="0" w:type="auto"/>
            <w:tcBorders>
              <w:bottom w:val="single" w:sz="4" w:space="0" w:color="201547" w:themeColor="text2"/>
            </w:tcBorders>
          </w:tcPr>
          <w:p w14:paraId="1C2E58E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A34E0">
              <w:t xml:space="preserve"> $0.93m</w:t>
            </w:r>
          </w:p>
        </w:tc>
        <w:tc>
          <w:tcPr>
            <w:tcW w:w="1477" w:type="dxa"/>
            <w:vMerge w:val="restart"/>
            <w:tcBorders>
              <w:bottom w:val="single" w:sz="4" w:space="0" w:color="201547" w:themeColor="text2"/>
            </w:tcBorders>
          </w:tcPr>
          <w:p w14:paraId="3915ACE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2015 - 2019</w:t>
            </w:r>
            <w:r w:rsidRPr="004A34E0">
              <w:rPr>
                <w:vertAlign w:val="superscript"/>
              </w:rPr>
              <w:t>a</w:t>
            </w:r>
            <w:r w:rsidRPr="004A34E0">
              <w:t>, 2019, 2006 - 2016</w:t>
            </w:r>
            <w:r w:rsidRPr="004A34E0">
              <w:rPr>
                <w:vertAlign w:val="superscript"/>
              </w:rPr>
              <w:t>b</w:t>
            </w:r>
          </w:p>
        </w:tc>
        <w:tc>
          <w:tcPr>
            <w:tcW w:w="3225" w:type="dxa"/>
            <w:vMerge w:val="restart"/>
            <w:tcBorders>
              <w:bottom w:val="single" w:sz="4" w:space="0" w:color="201547" w:themeColor="text2"/>
            </w:tcBorders>
          </w:tcPr>
          <w:p w14:paraId="0F96CD9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DELWP (2020), Carnell et al (2015, 2019), Young et al (forthcoming); World Bank Carbon Pricing; US government (2016) and Dashboard</w:t>
            </w:r>
          </w:p>
        </w:tc>
      </w:tr>
      <w:tr w:rsidR="00CA2CCD" w:rsidRPr="004A34E0" w14:paraId="0B5FC20C" w14:textId="77777777" w:rsidTr="00CA2CCD">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201547" w:themeColor="text2"/>
              <w:bottom w:val="single" w:sz="4" w:space="0" w:color="201547" w:themeColor="text2"/>
            </w:tcBorders>
          </w:tcPr>
          <w:p w14:paraId="6B0D9FD8" w14:textId="77777777" w:rsidR="007904E8" w:rsidRPr="004A34E0" w:rsidRDefault="007904E8" w:rsidP="00666947">
            <w:pPr>
              <w:pStyle w:val="TableTextLeft"/>
              <w:rPr>
                <w:highlight w:val="yellow"/>
              </w:rPr>
            </w:pPr>
          </w:p>
        </w:tc>
        <w:tc>
          <w:tcPr>
            <w:tcW w:w="0" w:type="auto"/>
            <w:vMerge w:val="restart"/>
            <w:tcBorders>
              <w:top w:val="single" w:sz="4" w:space="0" w:color="201547" w:themeColor="text2"/>
              <w:bottom w:val="single" w:sz="4" w:space="0" w:color="201547" w:themeColor="text2"/>
            </w:tcBorders>
          </w:tcPr>
          <w:p w14:paraId="04BA172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A34E0">
              <w:t>Coastal margins</w:t>
            </w:r>
          </w:p>
        </w:tc>
        <w:tc>
          <w:tcPr>
            <w:tcW w:w="0" w:type="auto"/>
            <w:tcBorders>
              <w:top w:val="single" w:sz="4" w:space="0" w:color="201547" w:themeColor="text2"/>
              <w:bottom w:val="single" w:sz="4" w:space="0" w:color="201547" w:themeColor="text2"/>
            </w:tcBorders>
          </w:tcPr>
          <w:p w14:paraId="7218275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A34E0">
              <w:t>Seagrass</w:t>
            </w:r>
          </w:p>
        </w:tc>
        <w:tc>
          <w:tcPr>
            <w:tcW w:w="0" w:type="auto"/>
            <w:tcBorders>
              <w:top w:val="single" w:sz="4" w:space="0" w:color="201547" w:themeColor="text2"/>
              <w:bottom w:val="single" w:sz="4" w:space="0" w:color="201547" w:themeColor="text2"/>
            </w:tcBorders>
          </w:tcPr>
          <w:p w14:paraId="23A9F01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A34E0">
              <w:t>961</w:t>
            </w:r>
          </w:p>
        </w:tc>
        <w:tc>
          <w:tcPr>
            <w:tcW w:w="0" w:type="auto"/>
            <w:tcBorders>
              <w:top w:val="single" w:sz="4" w:space="0" w:color="201547" w:themeColor="text2"/>
              <w:bottom w:val="single" w:sz="4" w:space="0" w:color="201547" w:themeColor="text2"/>
            </w:tcBorders>
          </w:tcPr>
          <w:p w14:paraId="496CD19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A34E0">
              <w:t xml:space="preserve"> $0.04m</w:t>
            </w:r>
          </w:p>
        </w:tc>
        <w:tc>
          <w:tcPr>
            <w:tcW w:w="0" w:type="auto"/>
            <w:tcBorders>
              <w:top w:val="single" w:sz="4" w:space="0" w:color="201547" w:themeColor="text2"/>
              <w:bottom w:val="single" w:sz="4" w:space="0" w:color="201547" w:themeColor="text2"/>
            </w:tcBorders>
          </w:tcPr>
          <w:p w14:paraId="6EB2486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A34E0">
              <w:t xml:space="preserve"> $0.12m</w:t>
            </w:r>
          </w:p>
        </w:tc>
        <w:tc>
          <w:tcPr>
            <w:tcW w:w="1477" w:type="dxa"/>
            <w:vMerge/>
            <w:tcBorders>
              <w:top w:val="single" w:sz="4" w:space="0" w:color="201547" w:themeColor="text2"/>
              <w:bottom w:val="single" w:sz="4" w:space="0" w:color="201547" w:themeColor="text2"/>
            </w:tcBorders>
          </w:tcPr>
          <w:p w14:paraId="4890857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3225" w:type="dxa"/>
            <w:vMerge/>
            <w:tcBorders>
              <w:top w:val="single" w:sz="4" w:space="0" w:color="201547" w:themeColor="text2"/>
              <w:bottom w:val="single" w:sz="4" w:space="0" w:color="201547" w:themeColor="text2"/>
            </w:tcBorders>
          </w:tcPr>
          <w:p w14:paraId="6B5DDFC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CA2CCD" w:rsidRPr="004A34E0" w14:paraId="110557C7" w14:textId="77777777" w:rsidTr="00CA2CCD">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201547" w:themeColor="text2"/>
              <w:bottom w:val="single" w:sz="4" w:space="0" w:color="201547" w:themeColor="text2"/>
            </w:tcBorders>
          </w:tcPr>
          <w:p w14:paraId="73A40286" w14:textId="77777777" w:rsidR="007904E8" w:rsidRPr="004A34E0" w:rsidRDefault="007904E8" w:rsidP="00666947">
            <w:pPr>
              <w:pStyle w:val="TableTextLeft"/>
              <w:rPr>
                <w:highlight w:val="yellow"/>
              </w:rPr>
            </w:pPr>
          </w:p>
        </w:tc>
        <w:tc>
          <w:tcPr>
            <w:tcW w:w="0" w:type="auto"/>
            <w:vMerge/>
            <w:tcBorders>
              <w:top w:val="single" w:sz="4" w:space="0" w:color="201547" w:themeColor="text2"/>
              <w:bottom w:val="single" w:sz="4" w:space="0" w:color="201547" w:themeColor="text2"/>
            </w:tcBorders>
          </w:tcPr>
          <w:p w14:paraId="7601C96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p>
        </w:tc>
        <w:tc>
          <w:tcPr>
            <w:tcW w:w="0" w:type="auto"/>
            <w:tcBorders>
              <w:top w:val="single" w:sz="4" w:space="0" w:color="201547" w:themeColor="text2"/>
              <w:bottom w:val="single" w:sz="4" w:space="0" w:color="201547" w:themeColor="text2"/>
            </w:tcBorders>
          </w:tcPr>
          <w:p w14:paraId="3D98AF5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A34E0">
              <w:t>Saltmarsh</w:t>
            </w:r>
          </w:p>
        </w:tc>
        <w:tc>
          <w:tcPr>
            <w:tcW w:w="0" w:type="auto"/>
            <w:tcBorders>
              <w:top w:val="single" w:sz="4" w:space="0" w:color="201547" w:themeColor="text2"/>
              <w:bottom w:val="single" w:sz="4" w:space="0" w:color="201547" w:themeColor="text2"/>
            </w:tcBorders>
          </w:tcPr>
          <w:p w14:paraId="258C641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A34E0">
              <w:t>62</w:t>
            </w:r>
          </w:p>
        </w:tc>
        <w:tc>
          <w:tcPr>
            <w:tcW w:w="0" w:type="auto"/>
            <w:tcBorders>
              <w:top w:val="single" w:sz="4" w:space="0" w:color="201547" w:themeColor="text2"/>
              <w:bottom w:val="single" w:sz="4" w:space="0" w:color="201547" w:themeColor="text2"/>
            </w:tcBorders>
          </w:tcPr>
          <w:p w14:paraId="15E9AAD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A34E0">
              <w:t xml:space="preserve"> $0.003m</w:t>
            </w:r>
          </w:p>
        </w:tc>
        <w:tc>
          <w:tcPr>
            <w:tcW w:w="0" w:type="auto"/>
            <w:tcBorders>
              <w:top w:val="single" w:sz="4" w:space="0" w:color="201547" w:themeColor="text2"/>
              <w:bottom w:val="single" w:sz="4" w:space="0" w:color="201547" w:themeColor="text2"/>
            </w:tcBorders>
          </w:tcPr>
          <w:p w14:paraId="404CC39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A34E0">
              <w:t xml:space="preserve"> $0.008m</w:t>
            </w:r>
          </w:p>
        </w:tc>
        <w:tc>
          <w:tcPr>
            <w:tcW w:w="1477" w:type="dxa"/>
            <w:vMerge/>
            <w:tcBorders>
              <w:top w:val="single" w:sz="4" w:space="0" w:color="201547" w:themeColor="text2"/>
              <w:bottom w:val="single" w:sz="4" w:space="0" w:color="201547" w:themeColor="text2"/>
            </w:tcBorders>
          </w:tcPr>
          <w:p w14:paraId="5BF75F0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3225" w:type="dxa"/>
            <w:vMerge/>
            <w:tcBorders>
              <w:top w:val="single" w:sz="4" w:space="0" w:color="201547" w:themeColor="text2"/>
              <w:bottom w:val="single" w:sz="4" w:space="0" w:color="201547" w:themeColor="text2"/>
            </w:tcBorders>
          </w:tcPr>
          <w:p w14:paraId="3C046E3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CA2CCD" w:rsidRPr="004A34E0" w14:paraId="3421C45B" w14:textId="77777777" w:rsidTr="00CA2CCD">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201547" w:themeColor="text2"/>
              <w:bottom w:val="single" w:sz="4" w:space="0" w:color="201547" w:themeColor="text2"/>
            </w:tcBorders>
          </w:tcPr>
          <w:p w14:paraId="15052352" w14:textId="77777777" w:rsidR="007904E8" w:rsidRPr="004A34E0" w:rsidRDefault="007904E8" w:rsidP="00666947">
            <w:pPr>
              <w:pStyle w:val="TableTextLeft"/>
              <w:rPr>
                <w:highlight w:val="yellow"/>
              </w:rPr>
            </w:pPr>
          </w:p>
        </w:tc>
        <w:tc>
          <w:tcPr>
            <w:tcW w:w="0" w:type="auto"/>
            <w:vMerge/>
            <w:tcBorders>
              <w:top w:val="single" w:sz="4" w:space="0" w:color="201547" w:themeColor="text2"/>
              <w:bottom w:val="single" w:sz="4" w:space="0" w:color="201547" w:themeColor="text2"/>
            </w:tcBorders>
          </w:tcPr>
          <w:p w14:paraId="0128B2D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p>
        </w:tc>
        <w:tc>
          <w:tcPr>
            <w:tcW w:w="0" w:type="auto"/>
            <w:tcBorders>
              <w:top w:val="single" w:sz="4" w:space="0" w:color="201547" w:themeColor="text2"/>
              <w:bottom w:val="single" w:sz="4" w:space="0" w:color="201547" w:themeColor="text2"/>
            </w:tcBorders>
          </w:tcPr>
          <w:p w14:paraId="1161C8D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A34E0">
              <w:t>Mangrove</w:t>
            </w:r>
          </w:p>
        </w:tc>
        <w:tc>
          <w:tcPr>
            <w:tcW w:w="0" w:type="auto"/>
            <w:tcBorders>
              <w:top w:val="single" w:sz="4" w:space="0" w:color="201547" w:themeColor="text2"/>
              <w:bottom w:val="single" w:sz="4" w:space="0" w:color="201547" w:themeColor="text2"/>
            </w:tcBorders>
          </w:tcPr>
          <w:p w14:paraId="6F626E5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A34E0">
              <w:t>9</w:t>
            </w:r>
          </w:p>
        </w:tc>
        <w:tc>
          <w:tcPr>
            <w:tcW w:w="0" w:type="auto"/>
            <w:tcBorders>
              <w:top w:val="single" w:sz="4" w:space="0" w:color="201547" w:themeColor="text2"/>
              <w:bottom w:val="single" w:sz="4" w:space="0" w:color="201547" w:themeColor="text2"/>
            </w:tcBorders>
          </w:tcPr>
          <w:p w14:paraId="2E2FF89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A34E0">
              <w:rPr>
                <w:i/>
              </w:rPr>
              <w:t xml:space="preserve">Negligible </w:t>
            </w:r>
          </w:p>
        </w:tc>
        <w:tc>
          <w:tcPr>
            <w:tcW w:w="0" w:type="auto"/>
            <w:tcBorders>
              <w:top w:val="single" w:sz="4" w:space="0" w:color="201547" w:themeColor="text2"/>
              <w:bottom w:val="single" w:sz="4" w:space="0" w:color="201547" w:themeColor="text2"/>
            </w:tcBorders>
          </w:tcPr>
          <w:p w14:paraId="0160167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i/>
              </w:rPr>
            </w:pPr>
            <w:r w:rsidRPr="004A34E0">
              <w:rPr>
                <w:i/>
              </w:rPr>
              <w:t>Negligible</w:t>
            </w:r>
          </w:p>
        </w:tc>
        <w:tc>
          <w:tcPr>
            <w:tcW w:w="1477" w:type="dxa"/>
            <w:vMerge/>
            <w:tcBorders>
              <w:top w:val="single" w:sz="4" w:space="0" w:color="201547" w:themeColor="text2"/>
              <w:bottom w:val="single" w:sz="4" w:space="0" w:color="201547" w:themeColor="text2"/>
            </w:tcBorders>
          </w:tcPr>
          <w:p w14:paraId="5E4A9EC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3225" w:type="dxa"/>
            <w:vMerge/>
            <w:tcBorders>
              <w:top w:val="single" w:sz="4" w:space="0" w:color="201547" w:themeColor="text2"/>
              <w:bottom w:val="single" w:sz="4" w:space="0" w:color="201547" w:themeColor="text2"/>
            </w:tcBorders>
          </w:tcPr>
          <w:p w14:paraId="6FB955E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CA2CCD" w:rsidRPr="004A34E0" w14:paraId="08A1FECD" w14:textId="77777777" w:rsidTr="00CA2CCD">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201547" w:themeColor="text2"/>
              <w:bottom w:val="single" w:sz="4" w:space="0" w:color="201547" w:themeColor="text2"/>
            </w:tcBorders>
          </w:tcPr>
          <w:p w14:paraId="0E76A284" w14:textId="77777777" w:rsidR="007904E8" w:rsidRPr="004A34E0" w:rsidRDefault="007904E8" w:rsidP="00666947">
            <w:pPr>
              <w:pStyle w:val="TableTextLeft"/>
              <w:rPr>
                <w:highlight w:val="yellow"/>
              </w:rPr>
            </w:pPr>
          </w:p>
        </w:tc>
        <w:tc>
          <w:tcPr>
            <w:tcW w:w="0" w:type="auto"/>
            <w:tcBorders>
              <w:top w:val="single" w:sz="4" w:space="0" w:color="201547" w:themeColor="text2"/>
              <w:bottom w:val="single" w:sz="4" w:space="0" w:color="201547" w:themeColor="text2"/>
            </w:tcBorders>
          </w:tcPr>
          <w:p w14:paraId="7845520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A34E0">
              <w:t>Forest </w:t>
            </w:r>
          </w:p>
        </w:tc>
        <w:tc>
          <w:tcPr>
            <w:tcW w:w="0" w:type="auto"/>
            <w:tcBorders>
              <w:top w:val="single" w:sz="4" w:space="0" w:color="201547" w:themeColor="text2"/>
              <w:bottom w:val="single" w:sz="4" w:space="0" w:color="201547" w:themeColor="text2"/>
            </w:tcBorders>
          </w:tcPr>
          <w:p w14:paraId="1669D47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p>
        </w:tc>
        <w:tc>
          <w:tcPr>
            <w:tcW w:w="0" w:type="auto"/>
            <w:tcBorders>
              <w:top w:val="single" w:sz="4" w:space="0" w:color="201547" w:themeColor="text2"/>
              <w:bottom w:val="single" w:sz="4" w:space="0" w:color="201547" w:themeColor="text2"/>
            </w:tcBorders>
          </w:tcPr>
          <w:p w14:paraId="7508393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A34E0">
              <w:t>124,807</w:t>
            </w:r>
          </w:p>
        </w:tc>
        <w:tc>
          <w:tcPr>
            <w:tcW w:w="0" w:type="auto"/>
            <w:tcBorders>
              <w:top w:val="single" w:sz="4" w:space="0" w:color="201547" w:themeColor="text2"/>
              <w:bottom w:val="single" w:sz="4" w:space="0" w:color="201547" w:themeColor="text2"/>
            </w:tcBorders>
          </w:tcPr>
          <w:p w14:paraId="57889D7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A34E0">
              <w:t xml:space="preserve"> $5.45m</w:t>
            </w:r>
          </w:p>
        </w:tc>
        <w:tc>
          <w:tcPr>
            <w:tcW w:w="0" w:type="auto"/>
            <w:tcBorders>
              <w:top w:val="single" w:sz="4" w:space="0" w:color="201547" w:themeColor="text2"/>
              <w:bottom w:val="single" w:sz="4" w:space="0" w:color="201547" w:themeColor="text2"/>
            </w:tcBorders>
          </w:tcPr>
          <w:p w14:paraId="2F0EDDC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A34E0">
              <w:t xml:space="preserve"> $15.77m</w:t>
            </w:r>
          </w:p>
        </w:tc>
        <w:tc>
          <w:tcPr>
            <w:tcW w:w="1477" w:type="dxa"/>
            <w:vMerge/>
            <w:tcBorders>
              <w:top w:val="single" w:sz="4" w:space="0" w:color="201547" w:themeColor="text2"/>
              <w:bottom w:val="single" w:sz="4" w:space="0" w:color="201547" w:themeColor="text2"/>
            </w:tcBorders>
          </w:tcPr>
          <w:p w14:paraId="685F614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3225" w:type="dxa"/>
            <w:vMerge/>
            <w:tcBorders>
              <w:top w:val="single" w:sz="4" w:space="0" w:color="201547" w:themeColor="text2"/>
              <w:bottom w:val="single" w:sz="4" w:space="0" w:color="201547" w:themeColor="text2"/>
            </w:tcBorders>
          </w:tcPr>
          <w:p w14:paraId="2E22D06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CA2CCD" w:rsidRPr="004A34E0" w14:paraId="24A1C416" w14:textId="77777777" w:rsidTr="00CA2CC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201547" w:themeColor="text2"/>
              <w:bottom w:val="single" w:sz="4" w:space="0" w:color="201547" w:themeColor="text2"/>
            </w:tcBorders>
            <w:shd w:val="clear" w:color="auto" w:fill="CCDBEA" w:themeFill="background2"/>
          </w:tcPr>
          <w:p w14:paraId="49B8A9DB" w14:textId="77777777" w:rsidR="007904E8" w:rsidRPr="004A34E0" w:rsidRDefault="007904E8" w:rsidP="00666947">
            <w:pPr>
              <w:pStyle w:val="TableTextLeft"/>
              <w:rPr>
                <w:highlight w:val="yellow"/>
              </w:rPr>
            </w:pPr>
            <w:r w:rsidRPr="004A34E0">
              <w:t>Total</w:t>
            </w:r>
          </w:p>
        </w:tc>
        <w:tc>
          <w:tcPr>
            <w:tcW w:w="0" w:type="auto"/>
            <w:tcBorders>
              <w:top w:val="single" w:sz="4" w:space="0" w:color="201547" w:themeColor="text2"/>
              <w:bottom w:val="single" w:sz="4" w:space="0" w:color="201547" w:themeColor="text2"/>
            </w:tcBorders>
            <w:shd w:val="clear" w:color="auto" w:fill="CCDBEA" w:themeFill="background2"/>
          </w:tcPr>
          <w:p w14:paraId="4C5916E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p>
        </w:tc>
        <w:tc>
          <w:tcPr>
            <w:tcW w:w="0" w:type="auto"/>
            <w:tcBorders>
              <w:top w:val="single" w:sz="4" w:space="0" w:color="201547" w:themeColor="text2"/>
              <w:bottom w:val="single" w:sz="4" w:space="0" w:color="201547" w:themeColor="text2"/>
            </w:tcBorders>
            <w:shd w:val="clear" w:color="auto" w:fill="CCDBEA" w:themeFill="background2"/>
          </w:tcPr>
          <w:p w14:paraId="10D0FF7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p>
        </w:tc>
        <w:tc>
          <w:tcPr>
            <w:tcW w:w="0" w:type="auto"/>
            <w:tcBorders>
              <w:top w:val="single" w:sz="4" w:space="0" w:color="201547" w:themeColor="text2"/>
              <w:bottom w:val="single" w:sz="4" w:space="0" w:color="201547" w:themeColor="text2"/>
            </w:tcBorders>
            <w:shd w:val="clear" w:color="auto" w:fill="CCDBEA" w:themeFill="background2"/>
          </w:tcPr>
          <w:p w14:paraId="3CE5B77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A34E0">
              <w:rPr>
                <w:b/>
              </w:rPr>
              <w:t>133,204</w:t>
            </w:r>
          </w:p>
        </w:tc>
        <w:tc>
          <w:tcPr>
            <w:tcW w:w="0" w:type="auto"/>
            <w:tcBorders>
              <w:top w:val="single" w:sz="4" w:space="0" w:color="201547" w:themeColor="text2"/>
              <w:bottom w:val="single" w:sz="4" w:space="0" w:color="201547" w:themeColor="text2"/>
            </w:tcBorders>
            <w:shd w:val="clear" w:color="auto" w:fill="CCDBEA" w:themeFill="background2"/>
          </w:tcPr>
          <w:p w14:paraId="53BB7F3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A34E0">
              <w:rPr>
                <w:b/>
              </w:rPr>
              <w:t xml:space="preserve"> $5.82m</w:t>
            </w:r>
          </w:p>
        </w:tc>
        <w:tc>
          <w:tcPr>
            <w:tcW w:w="0" w:type="auto"/>
            <w:tcBorders>
              <w:top w:val="single" w:sz="4" w:space="0" w:color="201547" w:themeColor="text2"/>
              <w:bottom w:val="single" w:sz="4" w:space="0" w:color="201547" w:themeColor="text2"/>
            </w:tcBorders>
            <w:shd w:val="clear" w:color="auto" w:fill="CCDBEA" w:themeFill="background2"/>
          </w:tcPr>
          <w:p w14:paraId="5B0CED1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A34E0">
              <w:rPr>
                <w:b/>
              </w:rPr>
              <w:t xml:space="preserve"> $16.83m</w:t>
            </w:r>
          </w:p>
        </w:tc>
        <w:tc>
          <w:tcPr>
            <w:tcW w:w="1477" w:type="dxa"/>
            <w:vMerge/>
            <w:tcBorders>
              <w:top w:val="single" w:sz="4" w:space="0" w:color="201547" w:themeColor="text2"/>
              <w:bottom w:val="single" w:sz="4" w:space="0" w:color="201547" w:themeColor="text2"/>
            </w:tcBorders>
          </w:tcPr>
          <w:p w14:paraId="19EFC84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3225" w:type="dxa"/>
            <w:vMerge/>
            <w:tcBorders>
              <w:top w:val="single" w:sz="4" w:space="0" w:color="201547" w:themeColor="text2"/>
              <w:bottom w:val="single" w:sz="4" w:space="0" w:color="201547" w:themeColor="text2"/>
            </w:tcBorders>
          </w:tcPr>
          <w:p w14:paraId="1EE3CFA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rPr>
            </w:pPr>
          </w:p>
        </w:tc>
      </w:tr>
    </w:tbl>
    <w:p w14:paraId="3DEC63D7" w14:textId="77777777" w:rsidR="007904E8" w:rsidRPr="004A34E0" w:rsidRDefault="007904E8" w:rsidP="00484CDC">
      <w:pPr>
        <w:pStyle w:val="NoteHeading"/>
        <w:rPr>
          <w:vertAlign w:val="superscript"/>
        </w:rPr>
      </w:pPr>
      <w:proofErr w:type="spellStart"/>
      <w:r w:rsidRPr="004A34E0">
        <w:rPr>
          <w:vertAlign w:val="superscript"/>
        </w:rPr>
        <w:t>a</w:t>
      </w:r>
      <w:proofErr w:type="spellEnd"/>
      <w:r w:rsidRPr="004A34E0">
        <w:rPr>
          <w:vertAlign w:val="superscript"/>
        </w:rPr>
        <w:t xml:space="preserve"> </w:t>
      </w:r>
      <w:r w:rsidRPr="004A34E0">
        <w:t xml:space="preserve">The study team assumes that the relationship between habitats and carbon sequestration to be relatively stable over this period (2015 to 2019) and therefore that the 2015 estimates provides a suitable representation of this ecological relationship in 2019. </w:t>
      </w:r>
    </w:p>
    <w:p w14:paraId="30BF1648" w14:textId="77777777" w:rsidR="007904E8" w:rsidRPr="004A34E0" w:rsidRDefault="007904E8" w:rsidP="00484CDC">
      <w:pPr>
        <w:pStyle w:val="NoteHeading"/>
      </w:pPr>
      <w:r w:rsidRPr="004A34E0">
        <w:rPr>
          <w:vertAlign w:val="superscript"/>
        </w:rPr>
        <w:t>b</w:t>
      </w:r>
      <w:r w:rsidRPr="004A34E0">
        <w:t xml:space="preserve"> These economic valuation figures are uprated for inflation to be in present value terms for 2021.  </w:t>
      </w:r>
    </w:p>
    <w:p w14:paraId="38A65345" w14:textId="77777777" w:rsidR="00CA2CCD" w:rsidRDefault="00CA2CCD" w:rsidP="007904E8">
      <w:pPr>
        <w:pStyle w:val="BodyText"/>
        <w:sectPr w:rsidR="00CA2CCD" w:rsidSect="00E52A9A">
          <w:pgSz w:w="16838" w:h="11906" w:orient="landscape" w:code="9"/>
          <w:pgMar w:top="1134" w:right="1134" w:bottom="1134" w:left="1134" w:header="283" w:footer="283" w:gutter="0"/>
          <w:cols w:space="284"/>
          <w:docGrid w:linePitch="360"/>
        </w:sectPr>
      </w:pPr>
    </w:p>
    <w:p w14:paraId="2DC6A691" w14:textId="77777777" w:rsidR="007904E8" w:rsidRPr="004A34E0" w:rsidRDefault="007904E8" w:rsidP="007904E8">
      <w:pPr>
        <w:pStyle w:val="BodyText"/>
      </w:pPr>
      <w:r w:rsidRPr="004A34E0">
        <w:lastRenderedPageBreak/>
        <w:t xml:space="preserve">Table 56 summarises the uncertainty associated with these results and shows that there is significant uncertainty associated with the valuation of carbon in the absence of an explicit price for carbon in Australia. There are limitations to both social cost of carbon and market prices/replacement cost estimates. </w:t>
      </w:r>
    </w:p>
    <w:p w14:paraId="38F0DD6C" w14:textId="77777777" w:rsidR="007904E8" w:rsidRPr="004A34E0" w:rsidRDefault="007904E8" w:rsidP="00484CDC">
      <w:pPr>
        <w:pStyle w:val="Caption"/>
      </w:pPr>
      <w:r w:rsidRPr="004A34E0">
        <w:t>Table 56. Uncertainty assessment - monetary value of global climate regulation</w:t>
      </w:r>
    </w:p>
    <w:tbl>
      <w:tblPr>
        <w:tblStyle w:val="TableGrid"/>
        <w:tblW w:w="5000" w:type="pct"/>
        <w:tblLook w:val="04A0" w:firstRow="1" w:lastRow="0" w:firstColumn="1" w:lastColumn="0" w:noHBand="0" w:noVBand="1"/>
      </w:tblPr>
      <w:tblGrid>
        <w:gridCol w:w="1360"/>
        <w:gridCol w:w="3854"/>
        <w:gridCol w:w="3718"/>
        <w:gridCol w:w="706"/>
      </w:tblGrid>
      <w:tr w:rsidR="007904E8" w:rsidRPr="004A34E0" w14:paraId="3944D392" w14:textId="77777777" w:rsidTr="003D0D3F">
        <w:trPr>
          <w:cnfStyle w:val="100000000000" w:firstRow="1" w:lastRow="0" w:firstColumn="0" w:lastColumn="0" w:oddVBand="0" w:evenVBand="0" w:oddHBand="0"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672" w:type="pct"/>
          </w:tcPr>
          <w:p w14:paraId="2BF9B9F3" w14:textId="77777777" w:rsidR="007904E8" w:rsidRPr="004A34E0" w:rsidRDefault="007904E8" w:rsidP="00666947">
            <w:pPr>
              <w:pStyle w:val="TableTextLeft"/>
            </w:pPr>
          </w:p>
        </w:tc>
        <w:tc>
          <w:tcPr>
            <w:tcW w:w="3951" w:type="pct"/>
            <w:gridSpan w:val="2"/>
          </w:tcPr>
          <w:p w14:paraId="265F7A64"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Uncertainty in…</w:t>
            </w:r>
          </w:p>
        </w:tc>
        <w:tc>
          <w:tcPr>
            <w:tcW w:w="377" w:type="pct"/>
          </w:tcPr>
          <w:p w14:paraId="37E7235F"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rPr>
                <w:b/>
              </w:rPr>
            </w:pPr>
          </w:p>
        </w:tc>
      </w:tr>
      <w:tr w:rsidR="007904E8" w:rsidRPr="004A34E0" w14:paraId="4F2FDA8F" w14:textId="77777777" w:rsidTr="003D0D3F">
        <w:trPr>
          <w:trHeight w:val="247"/>
        </w:trPr>
        <w:tc>
          <w:tcPr>
            <w:cnfStyle w:val="001000000000" w:firstRow="0" w:lastRow="0" w:firstColumn="1" w:lastColumn="0" w:oddVBand="0" w:evenVBand="0" w:oddHBand="0" w:evenHBand="0" w:firstRowFirstColumn="0" w:firstRowLastColumn="0" w:lastRowFirstColumn="0" w:lastRowLastColumn="0"/>
            <w:tcW w:w="672" w:type="pct"/>
            <w:tcBorders>
              <w:top w:val="nil"/>
            </w:tcBorders>
            <w:shd w:val="clear" w:color="auto" w:fill="004C97" w:themeFill="accent1"/>
          </w:tcPr>
          <w:p w14:paraId="20755CA3" w14:textId="77777777" w:rsidR="007904E8" w:rsidRPr="003D0D3F" w:rsidRDefault="007904E8" w:rsidP="00666947">
            <w:pPr>
              <w:pStyle w:val="TableTextLeft"/>
              <w:rPr>
                <w:color w:val="FFFFFF" w:themeColor="background1"/>
              </w:rPr>
            </w:pPr>
          </w:p>
        </w:tc>
        <w:tc>
          <w:tcPr>
            <w:tcW w:w="2011" w:type="pct"/>
            <w:tcBorders>
              <w:top w:val="nil"/>
            </w:tcBorders>
            <w:shd w:val="clear" w:color="auto" w:fill="004C97" w:themeFill="accent1"/>
          </w:tcPr>
          <w:p w14:paraId="516F8F76"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3D0D3F">
              <w:rPr>
                <w:b/>
                <w:color w:val="FFFFFF" w:themeColor="background1"/>
              </w:rPr>
              <w:t xml:space="preserve">Evidence </w:t>
            </w:r>
          </w:p>
        </w:tc>
        <w:tc>
          <w:tcPr>
            <w:tcW w:w="1940" w:type="pct"/>
            <w:tcBorders>
              <w:top w:val="nil"/>
            </w:tcBorders>
            <w:shd w:val="clear" w:color="auto" w:fill="004C97" w:themeFill="accent1"/>
          </w:tcPr>
          <w:p w14:paraId="3FDF8F30"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3D0D3F">
              <w:rPr>
                <w:b/>
                <w:color w:val="FFFFFF" w:themeColor="background1"/>
              </w:rPr>
              <w:t>Assumptions</w:t>
            </w:r>
          </w:p>
        </w:tc>
        <w:tc>
          <w:tcPr>
            <w:tcW w:w="377" w:type="pct"/>
            <w:tcBorders>
              <w:top w:val="nil"/>
            </w:tcBorders>
            <w:shd w:val="clear" w:color="auto" w:fill="004C97" w:themeFill="accent1"/>
          </w:tcPr>
          <w:p w14:paraId="7E84FECC"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r w:rsidRPr="003D0D3F">
              <w:rPr>
                <w:b/>
                <w:color w:val="FFFFFF" w:themeColor="background1"/>
              </w:rPr>
              <w:t>Total</w:t>
            </w:r>
          </w:p>
        </w:tc>
      </w:tr>
      <w:tr w:rsidR="007904E8" w:rsidRPr="004A34E0" w14:paraId="1DA4EF9A" w14:textId="77777777" w:rsidTr="007E025F">
        <w:trPr>
          <w:trHeight w:val="75"/>
        </w:trPr>
        <w:tc>
          <w:tcPr>
            <w:cnfStyle w:val="001000000000" w:firstRow="0" w:lastRow="0" w:firstColumn="1" w:lastColumn="0" w:oddVBand="0" w:evenVBand="0" w:oddHBand="0" w:evenHBand="0" w:firstRowFirstColumn="0" w:firstRowLastColumn="0" w:lastRowFirstColumn="0" w:lastRowLastColumn="0"/>
            <w:tcW w:w="672" w:type="pct"/>
          </w:tcPr>
          <w:p w14:paraId="79E082ED" w14:textId="77777777" w:rsidR="007904E8" w:rsidRPr="004A34E0" w:rsidRDefault="007904E8" w:rsidP="00666947">
            <w:pPr>
              <w:pStyle w:val="TableTextLeft"/>
              <w:rPr>
                <w:b/>
              </w:rPr>
            </w:pPr>
            <w:r w:rsidRPr="004A34E0">
              <w:rPr>
                <w:b/>
              </w:rPr>
              <w:t>Explanation</w:t>
            </w:r>
          </w:p>
        </w:tc>
        <w:tc>
          <w:tcPr>
            <w:tcW w:w="2011" w:type="pct"/>
          </w:tcPr>
          <w:p w14:paraId="350BBC47"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 xml:space="preserve">There are a range of prices for carbon. Market pricing of carbon can be reflective of the institutional setup (including the underpinning regulatory framework) of the market, rather than the “true” value that would exist in a well-functioning market. Prices based on the carbon mitigation that is necessary to meet a defined target are based on market principles related to marginal abatement cost curves, but these can also be uncertain.   </w:t>
            </w:r>
          </w:p>
          <w:p w14:paraId="1E42C524"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 xml:space="preserve">Estimating the social cost of carbon requires modelling future scenarios which is inherently uncertain. </w:t>
            </w:r>
          </w:p>
        </w:tc>
        <w:tc>
          <w:tcPr>
            <w:tcW w:w="1940" w:type="pct"/>
          </w:tcPr>
          <w:p w14:paraId="0291A549"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 xml:space="preserve">It is assumed that the global carbon values, both social cost of carbon and market price/replacement cost estimates are relevant in the GORCAP EEA context. In the absence of an explicit carbon price in Australia this is deemed to be appropriate. </w:t>
            </w:r>
          </w:p>
        </w:tc>
        <w:tc>
          <w:tcPr>
            <w:tcW w:w="377" w:type="pct"/>
          </w:tcPr>
          <w:p w14:paraId="287EA5A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High </w:t>
            </w:r>
          </w:p>
        </w:tc>
      </w:tr>
      <w:tr w:rsidR="007904E8" w:rsidRPr="004A34E0" w14:paraId="449AADB8" w14:textId="77777777" w:rsidTr="00484CDC">
        <w:trPr>
          <w:trHeight w:val="194"/>
        </w:trPr>
        <w:tc>
          <w:tcPr>
            <w:cnfStyle w:val="001000000000" w:firstRow="0" w:lastRow="0" w:firstColumn="1" w:lastColumn="0" w:oddVBand="0" w:evenVBand="0" w:oddHBand="0" w:evenHBand="0" w:firstRowFirstColumn="0" w:firstRowLastColumn="0" w:lastRowFirstColumn="0" w:lastRowLastColumn="0"/>
            <w:tcW w:w="672" w:type="pct"/>
            <w:shd w:val="clear" w:color="auto" w:fill="CCDBEA" w:themeFill="background2"/>
          </w:tcPr>
          <w:p w14:paraId="5B88B6D1" w14:textId="77777777" w:rsidR="007904E8" w:rsidRPr="004A34E0" w:rsidRDefault="007904E8" w:rsidP="00666947">
            <w:pPr>
              <w:pStyle w:val="TableTextLeft"/>
              <w:rPr>
                <w:b/>
              </w:rPr>
            </w:pPr>
            <w:r w:rsidRPr="004A34E0">
              <w:rPr>
                <w:b/>
              </w:rPr>
              <w:t xml:space="preserve">Rating </w:t>
            </w:r>
          </w:p>
        </w:tc>
        <w:tc>
          <w:tcPr>
            <w:tcW w:w="2011" w:type="pct"/>
            <w:shd w:val="clear" w:color="auto" w:fill="CCDBEA" w:themeFill="background2"/>
          </w:tcPr>
          <w:p w14:paraId="26DA61E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w:t>
            </w:r>
          </w:p>
        </w:tc>
        <w:tc>
          <w:tcPr>
            <w:tcW w:w="1940" w:type="pct"/>
            <w:shd w:val="clear" w:color="auto" w:fill="CCDBEA" w:themeFill="background2"/>
          </w:tcPr>
          <w:p w14:paraId="22EA4C3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w:t>
            </w:r>
          </w:p>
        </w:tc>
        <w:tc>
          <w:tcPr>
            <w:tcW w:w="377" w:type="pct"/>
            <w:shd w:val="clear" w:color="auto" w:fill="CCDBEA" w:themeFill="background2"/>
          </w:tcPr>
          <w:p w14:paraId="117B5C9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9</w:t>
            </w:r>
          </w:p>
        </w:tc>
      </w:tr>
    </w:tbl>
    <w:p w14:paraId="1B765756" w14:textId="77777777" w:rsidR="007904E8" w:rsidRPr="004A34E0" w:rsidRDefault="007904E8" w:rsidP="00A2745D">
      <w:pPr>
        <w:pStyle w:val="AlphaHeading4"/>
      </w:pPr>
      <w:r w:rsidRPr="004A34E0">
        <w:t xml:space="preserve">Supply and use </w:t>
      </w:r>
    </w:p>
    <w:p w14:paraId="26012E20" w14:textId="77777777" w:rsidR="007904E8" w:rsidRPr="004A34E0" w:rsidRDefault="007904E8" w:rsidP="007904E8">
      <w:pPr>
        <w:pStyle w:val="BodyText"/>
      </w:pPr>
      <w:r w:rsidRPr="004A34E0">
        <w:t xml:space="preserve">The users of the global climate regulating ecosystem service provided by GOR ecosystem assets is the global community who benefits from the reduced impact of climate change and the Victorian/Australian households, businesses and government who benefit from the reduced cost of meeting the countries climate change targets (relative to a “no natural capital” measurement baseline). The supply and use table is populated for carbon retention only as this is comprehensive covering all ecosystems (as opposed to carbon sequestration which only covers three broad ecosystems), see Table 57. </w:t>
      </w:r>
    </w:p>
    <w:p w14:paraId="165337BA" w14:textId="77777777" w:rsidR="007904E8" w:rsidRPr="004A34E0" w:rsidRDefault="007904E8" w:rsidP="007904E8">
      <w:pPr>
        <w:pStyle w:val="BodyText"/>
        <w:sectPr w:rsidR="007904E8" w:rsidRPr="004A34E0" w:rsidSect="00E52A9A">
          <w:pgSz w:w="11906" w:h="16838" w:code="9"/>
          <w:pgMar w:top="1134" w:right="1134" w:bottom="1134" w:left="1134" w:header="283" w:footer="283" w:gutter="0"/>
          <w:cols w:space="284"/>
          <w:docGrid w:linePitch="360"/>
        </w:sectPr>
      </w:pPr>
    </w:p>
    <w:p w14:paraId="118D9398" w14:textId="77777777" w:rsidR="007904E8" w:rsidRPr="004A34E0" w:rsidRDefault="007904E8" w:rsidP="00484CDC">
      <w:pPr>
        <w:pStyle w:val="Caption"/>
        <w:rPr>
          <w:rFonts w:eastAsia="Calibri"/>
        </w:rPr>
      </w:pPr>
      <w:r w:rsidRPr="004A34E0">
        <w:rPr>
          <w:rFonts w:eastAsia="Calibri"/>
        </w:rPr>
        <w:lastRenderedPageBreak/>
        <w:t>Table 57. Supply and use table for global climate regulation (carbon retention) from the GORCAP EEA ecosystems in 2019</w:t>
      </w:r>
    </w:p>
    <w:tbl>
      <w:tblPr>
        <w:tblStyle w:val="TableGrid"/>
        <w:tblW w:w="5000" w:type="pct"/>
        <w:tblLook w:val="04A0" w:firstRow="1" w:lastRow="0" w:firstColumn="1" w:lastColumn="0" w:noHBand="0" w:noVBand="1"/>
      </w:tblPr>
      <w:tblGrid>
        <w:gridCol w:w="1485"/>
        <w:gridCol w:w="108"/>
        <w:gridCol w:w="935"/>
        <w:gridCol w:w="1784"/>
        <w:gridCol w:w="1486"/>
        <w:gridCol w:w="1486"/>
        <w:gridCol w:w="1327"/>
        <w:gridCol w:w="1616"/>
        <w:gridCol w:w="1616"/>
        <w:gridCol w:w="1616"/>
        <w:gridCol w:w="1616"/>
        <w:gridCol w:w="1616"/>
        <w:gridCol w:w="1616"/>
        <w:gridCol w:w="1616"/>
        <w:gridCol w:w="1620"/>
      </w:tblGrid>
      <w:tr w:rsidR="003D0D3F" w:rsidRPr="004A34E0" w14:paraId="74B5ABDE" w14:textId="77777777" w:rsidTr="003D0D3F">
        <w:trPr>
          <w:cnfStyle w:val="100000000000" w:firstRow="1" w:lastRow="0" w:firstColumn="0" w:lastColumn="0" w:oddVBand="0" w:evenVBand="0" w:oddHBand="0"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370" w:type="pct"/>
            <w:gridSpan w:val="2"/>
            <w:shd w:val="clear" w:color="auto" w:fill="auto"/>
          </w:tcPr>
          <w:p w14:paraId="37268C35" w14:textId="77777777" w:rsidR="007904E8" w:rsidRPr="004A34E0" w:rsidRDefault="007904E8" w:rsidP="00666947">
            <w:pPr>
              <w:pStyle w:val="TableTextLeft"/>
              <w:keepNext w:val="0"/>
              <w:rPr>
                <w:rFonts w:eastAsia="Calibri"/>
              </w:rPr>
            </w:pPr>
          </w:p>
        </w:tc>
        <w:tc>
          <w:tcPr>
            <w:tcW w:w="217" w:type="pct"/>
            <w:shd w:val="clear" w:color="auto" w:fill="auto"/>
          </w:tcPr>
          <w:p w14:paraId="5CDD90EA" w14:textId="77777777" w:rsidR="007904E8" w:rsidRPr="004A34E0" w:rsidRDefault="007904E8" w:rsidP="00666947">
            <w:pPr>
              <w:pStyle w:val="TableTextLeft"/>
              <w:keepNext w:val="0"/>
              <w:cnfStyle w:val="100000000000" w:firstRow="1" w:lastRow="0" w:firstColumn="0" w:lastColumn="0" w:oddVBand="0" w:evenVBand="0" w:oddHBand="0" w:evenHBand="0" w:firstRowFirstColumn="0" w:firstRowLastColumn="0" w:lastRowFirstColumn="0" w:lastRowLastColumn="0"/>
              <w:rPr>
                <w:rFonts w:eastAsia="Calibri"/>
              </w:rPr>
            </w:pPr>
          </w:p>
        </w:tc>
        <w:tc>
          <w:tcPr>
            <w:tcW w:w="414" w:type="pct"/>
            <w:vMerge w:val="restart"/>
          </w:tcPr>
          <w:p w14:paraId="3B0D3BAC" w14:textId="77777777" w:rsidR="007904E8" w:rsidRPr="004A34E0" w:rsidRDefault="007904E8" w:rsidP="00666947">
            <w:pPr>
              <w:pStyle w:val="TableTextLeft"/>
              <w:keepNext w:val="0"/>
              <w:cnfStyle w:val="100000000000" w:firstRow="1" w:lastRow="0" w:firstColumn="0" w:lastColumn="0" w:oddVBand="0" w:evenVBand="0" w:oddHBand="0" w:evenHBand="0" w:firstRowFirstColumn="0" w:firstRowLastColumn="0" w:lastRowFirstColumn="0" w:lastRowLastColumn="0"/>
              <w:rPr>
                <w:rFonts w:eastAsia="Calibri"/>
              </w:rPr>
            </w:pPr>
            <w:r w:rsidRPr="004A34E0">
              <w:rPr>
                <w:rFonts w:eastAsia="Calibri"/>
                <w:b/>
              </w:rPr>
              <w:t>Metric</w:t>
            </w:r>
          </w:p>
        </w:tc>
        <w:tc>
          <w:tcPr>
            <w:tcW w:w="345" w:type="pct"/>
            <w:vMerge w:val="restart"/>
          </w:tcPr>
          <w:p w14:paraId="05B70716" w14:textId="77777777" w:rsidR="007904E8" w:rsidRPr="003D0D3F" w:rsidRDefault="007904E8" w:rsidP="00666947">
            <w:pPr>
              <w:pStyle w:val="TableTextLeft"/>
              <w:keepNext w:val="0"/>
              <w:cnfStyle w:val="100000000000" w:firstRow="1" w:lastRow="0" w:firstColumn="0" w:lastColumn="0" w:oddVBand="0" w:evenVBand="0" w:oddHBand="0" w:evenHBand="0" w:firstRowFirstColumn="0" w:firstRowLastColumn="0" w:lastRowFirstColumn="0" w:lastRowLastColumn="0"/>
              <w:rPr>
                <w:rFonts w:eastAsia="Calibri"/>
                <w:color w:val="FFFFFF" w:themeColor="background1"/>
              </w:rPr>
            </w:pPr>
            <w:r w:rsidRPr="003D0D3F">
              <w:rPr>
                <w:rFonts w:eastAsia="Calibri"/>
                <w:b/>
                <w:color w:val="FFFFFF" w:themeColor="background1"/>
              </w:rPr>
              <w:t>Household</w:t>
            </w:r>
          </w:p>
        </w:tc>
        <w:tc>
          <w:tcPr>
            <w:tcW w:w="345" w:type="pct"/>
            <w:vMerge w:val="restart"/>
          </w:tcPr>
          <w:p w14:paraId="5997830C" w14:textId="77777777" w:rsidR="007904E8" w:rsidRPr="003D0D3F" w:rsidRDefault="007904E8" w:rsidP="00666947">
            <w:pPr>
              <w:pStyle w:val="TableTextLeft"/>
              <w:keepNext w:val="0"/>
              <w:cnfStyle w:val="100000000000" w:firstRow="1" w:lastRow="0" w:firstColumn="0" w:lastColumn="0" w:oddVBand="0" w:evenVBand="0" w:oddHBand="0" w:evenHBand="0" w:firstRowFirstColumn="0" w:firstRowLastColumn="0" w:lastRowFirstColumn="0" w:lastRowLastColumn="0"/>
              <w:rPr>
                <w:rFonts w:eastAsia="Calibri"/>
                <w:color w:val="FFFFFF" w:themeColor="background1"/>
              </w:rPr>
            </w:pPr>
            <w:r w:rsidRPr="003D0D3F">
              <w:rPr>
                <w:rFonts w:eastAsia="Calibri"/>
                <w:b/>
                <w:color w:val="FFFFFF" w:themeColor="background1"/>
              </w:rPr>
              <w:t>Government</w:t>
            </w:r>
          </w:p>
        </w:tc>
        <w:tc>
          <w:tcPr>
            <w:tcW w:w="308" w:type="pct"/>
            <w:vMerge w:val="restart"/>
          </w:tcPr>
          <w:p w14:paraId="248B5C12" w14:textId="77777777" w:rsidR="007904E8" w:rsidRPr="003D0D3F" w:rsidRDefault="007904E8" w:rsidP="00666947">
            <w:pPr>
              <w:pStyle w:val="TableTextLeft"/>
              <w:keepNext w:val="0"/>
              <w:cnfStyle w:val="100000000000" w:firstRow="1" w:lastRow="0" w:firstColumn="0" w:lastColumn="0" w:oddVBand="0" w:evenVBand="0" w:oddHBand="0" w:evenHBand="0" w:firstRowFirstColumn="0" w:firstRowLastColumn="0" w:lastRowFirstColumn="0" w:lastRowLastColumn="0"/>
              <w:rPr>
                <w:rFonts w:eastAsia="Calibri"/>
                <w:color w:val="FFFFFF" w:themeColor="background1"/>
              </w:rPr>
            </w:pPr>
            <w:r w:rsidRPr="003D0D3F">
              <w:rPr>
                <w:rFonts w:eastAsia="Calibri"/>
                <w:b/>
                <w:color w:val="FFFFFF" w:themeColor="background1"/>
              </w:rPr>
              <w:t>Industry</w:t>
            </w:r>
          </w:p>
        </w:tc>
        <w:tc>
          <w:tcPr>
            <w:tcW w:w="3002" w:type="pct"/>
            <w:gridSpan w:val="8"/>
            <w:tcBorders>
              <w:bottom w:val="single" w:sz="4" w:space="0" w:color="FFFFFF" w:themeColor="background1"/>
            </w:tcBorders>
          </w:tcPr>
          <w:p w14:paraId="1157E9EC" w14:textId="77777777" w:rsidR="007904E8" w:rsidRPr="003D0D3F" w:rsidRDefault="007904E8" w:rsidP="00666947">
            <w:pPr>
              <w:pStyle w:val="TableTextLeft"/>
              <w:keepNext w:val="0"/>
              <w:cnfStyle w:val="100000000000" w:firstRow="1" w:lastRow="0" w:firstColumn="0" w:lastColumn="0" w:oddVBand="0" w:evenVBand="0" w:oddHBand="0" w:evenHBand="0" w:firstRowFirstColumn="0" w:firstRowLastColumn="0" w:lastRowFirstColumn="0" w:lastRowLastColumn="0"/>
              <w:rPr>
                <w:rFonts w:eastAsia="Calibri"/>
                <w:b/>
                <w:color w:val="FFFFFF" w:themeColor="background1"/>
              </w:rPr>
            </w:pPr>
            <w:r w:rsidRPr="003D0D3F">
              <w:rPr>
                <w:rFonts w:eastAsia="Calibri"/>
                <w:b/>
                <w:color w:val="FFFFFF" w:themeColor="background1"/>
              </w:rPr>
              <w:t>Ecosystem</w:t>
            </w:r>
          </w:p>
        </w:tc>
      </w:tr>
      <w:tr w:rsidR="003D0D3F" w:rsidRPr="004A34E0" w14:paraId="46E21A19" w14:textId="77777777" w:rsidTr="003D0D3F">
        <w:trPr>
          <w:trHeight w:val="266"/>
        </w:trPr>
        <w:tc>
          <w:tcPr>
            <w:cnfStyle w:val="001000000000" w:firstRow="0" w:lastRow="0" w:firstColumn="1" w:lastColumn="0" w:oddVBand="0" w:evenVBand="0" w:oddHBand="0" w:evenHBand="0" w:firstRowFirstColumn="0" w:firstRowLastColumn="0" w:lastRowFirstColumn="0" w:lastRowLastColumn="0"/>
            <w:tcW w:w="370" w:type="pct"/>
            <w:gridSpan w:val="2"/>
            <w:tcBorders>
              <w:top w:val="nil"/>
            </w:tcBorders>
            <w:shd w:val="clear" w:color="auto" w:fill="auto"/>
          </w:tcPr>
          <w:p w14:paraId="788F5922" w14:textId="77777777" w:rsidR="007904E8" w:rsidRPr="004A34E0" w:rsidRDefault="007904E8" w:rsidP="00666947">
            <w:pPr>
              <w:pStyle w:val="TableTextLeft"/>
              <w:rPr>
                <w:rFonts w:eastAsia="Calibri"/>
              </w:rPr>
            </w:pPr>
          </w:p>
        </w:tc>
        <w:tc>
          <w:tcPr>
            <w:tcW w:w="217" w:type="pct"/>
            <w:tcBorders>
              <w:top w:val="nil"/>
            </w:tcBorders>
            <w:shd w:val="clear" w:color="auto" w:fill="auto"/>
          </w:tcPr>
          <w:p w14:paraId="2E5B665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414" w:type="pct"/>
            <w:vMerge/>
          </w:tcPr>
          <w:p w14:paraId="0372BEC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345" w:type="pct"/>
            <w:vMerge/>
            <w:shd w:val="clear" w:color="auto" w:fill="004C97" w:themeFill="accent1"/>
          </w:tcPr>
          <w:p w14:paraId="640C91BB"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p>
        </w:tc>
        <w:tc>
          <w:tcPr>
            <w:tcW w:w="345" w:type="pct"/>
            <w:vMerge/>
            <w:shd w:val="clear" w:color="auto" w:fill="004C97" w:themeFill="accent1"/>
          </w:tcPr>
          <w:p w14:paraId="513FA5CC"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p>
        </w:tc>
        <w:tc>
          <w:tcPr>
            <w:tcW w:w="308" w:type="pct"/>
            <w:vMerge/>
            <w:shd w:val="clear" w:color="auto" w:fill="004C97" w:themeFill="accent1"/>
          </w:tcPr>
          <w:p w14:paraId="11C86E69"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p>
        </w:tc>
        <w:tc>
          <w:tcPr>
            <w:tcW w:w="375" w:type="pct"/>
            <w:tcBorders>
              <w:top w:val="single" w:sz="4" w:space="0" w:color="FFFFFF" w:themeColor="background1"/>
            </w:tcBorders>
            <w:shd w:val="clear" w:color="auto" w:fill="004C97" w:themeFill="accent1"/>
          </w:tcPr>
          <w:p w14:paraId="514069D1"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r w:rsidRPr="003D0D3F">
              <w:rPr>
                <w:color w:val="FFFFFF" w:themeColor="background1"/>
              </w:rPr>
              <w:t>Grassland</w:t>
            </w:r>
          </w:p>
        </w:tc>
        <w:tc>
          <w:tcPr>
            <w:tcW w:w="375" w:type="pct"/>
            <w:tcBorders>
              <w:top w:val="single" w:sz="4" w:space="0" w:color="FFFFFF" w:themeColor="background1"/>
            </w:tcBorders>
            <w:shd w:val="clear" w:color="auto" w:fill="004C97" w:themeFill="accent1"/>
          </w:tcPr>
          <w:p w14:paraId="2F284F31"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r w:rsidRPr="003D0D3F">
              <w:rPr>
                <w:rFonts w:eastAsia="Calibri"/>
                <w:color w:val="FFFFFF" w:themeColor="background1"/>
              </w:rPr>
              <w:t>Shrubland</w:t>
            </w:r>
          </w:p>
        </w:tc>
        <w:tc>
          <w:tcPr>
            <w:tcW w:w="375" w:type="pct"/>
            <w:tcBorders>
              <w:top w:val="single" w:sz="4" w:space="0" w:color="FFFFFF" w:themeColor="background1"/>
            </w:tcBorders>
            <w:shd w:val="clear" w:color="auto" w:fill="004C97" w:themeFill="accent1"/>
          </w:tcPr>
          <w:p w14:paraId="3872E397"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r w:rsidRPr="003D0D3F">
              <w:rPr>
                <w:rFonts w:eastAsia="Calibri"/>
                <w:color w:val="FFFFFF" w:themeColor="background1"/>
              </w:rPr>
              <w:t>Forest / woodland</w:t>
            </w:r>
          </w:p>
        </w:tc>
        <w:tc>
          <w:tcPr>
            <w:tcW w:w="375" w:type="pct"/>
            <w:tcBorders>
              <w:top w:val="single" w:sz="4" w:space="0" w:color="FFFFFF" w:themeColor="background1"/>
            </w:tcBorders>
            <w:shd w:val="clear" w:color="auto" w:fill="004C97" w:themeFill="accent1"/>
          </w:tcPr>
          <w:p w14:paraId="2A91FB10"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r w:rsidRPr="003D0D3F">
              <w:rPr>
                <w:rFonts w:eastAsia="Calibri"/>
                <w:color w:val="FFFFFF" w:themeColor="background1"/>
              </w:rPr>
              <w:t>Farmland</w:t>
            </w:r>
          </w:p>
        </w:tc>
        <w:tc>
          <w:tcPr>
            <w:tcW w:w="375" w:type="pct"/>
            <w:tcBorders>
              <w:top w:val="single" w:sz="4" w:space="0" w:color="FFFFFF" w:themeColor="background1"/>
            </w:tcBorders>
            <w:shd w:val="clear" w:color="auto" w:fill="004C97" w:themeFill="accent1"/>
          </w:tcPr>
          <w:p w14:paraId="3D595B2C"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r w:rsidRPr="003D0D3F">
              <w:rPr>
                <w:rFonts w:eastAsia="Calibri"/>
                <w:color w:val="FFFFFF" w:themeColor="background1"/>
              </w:rPr>
              <w:t>Freshwater and wetland</w:t>
            </w:r>
          </w:p>
        </w:tc>
        <w:tc>
          <w:tcPr>
            <w:tcW w:w="375" w:type="pct"/>
            <w:tcBorders>
              <w:top w:val="single" w:sz="4" w:space="0" w:color="FFFFFF" w:themeColor="background1"/>
            </w:tcBorders>
            <w:shd w:val="clear" w:color="auto" w:fill="004C97" w:themeFill="accent1"/>
          </w:tcPr>
          <w:p w14:paraId="280B6FF7"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r w:rsidRPr="003D0D3F">
              <w:rPr>
                <w:rFonts w:eastAsia="Calibri"/>
                <w:color w:val="FFFFFF" w:themeColor="background1"/>
              </w:rPr>
              <w:t>Urban</w:t>
            </w:r>
          </w:p>
        </w:tc>
        <w:tc>
          <w:tcPr>
            <w:tcW w:w="375" w:type="pct"/>
            <w:tcBorders>
              <w:top w:val="single" w:sz="4" w:space="0" w:color="FFFFFF" w:themeColor="background1"/>
            </w:tcBorders>
            <w:shd w:val="clear" w:color="auto" w:fill="004C97" w:themeFill="accent1"/>
          </w:tcPr>
          <w:p w14:paraId="59D32D6C"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r w:rsidRPr="003D0D3F">
              <w:rPr>
                <w:rFonts w:eastAsia="Calibri"/>
                <w:color w:val="FFFFFF" w:themeColor="background1"/>
              </w:rPr>
              <w:t>Coastal margins</w:t>
            </w:r>
          </w:p>
        </w:tc>
        <w:tc>
          <w:tcPr>
            <w:tcW w:w="375" w:type="pct"/>
            <w:tcBorders>
              <w:top w:val="single" w:sz="4" w:space="0" w:color="FFFFFF" w:themeColor="background1"/>
            </w:tcBorders>
            <w:shd w:val="clear" w:color="auto" w:fill="004C97" w:themeFill="accent1"/>
          </w:tcPr>
          <w:p w14:paraId="15826825" w14:textId="77777777" w:rsidR="007904E8" w:rsidRPr="003D0D3F"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r w:rsidRPr="003D0D3F">
              <w:rPr>
                <w:rFonts w:eastAsia="Calibri"/>
                <w:color w:val="FFFFFF" w:themeColor="background1"/>
              </w:rPr>
              <w:t>Marine</w:t>
            </w:r>
          </w:p>
        </w:tc>
      </w:tr>
      <w:tr w:rsidR="007904E8" w:rsidRPr="004A34E0" w14:paraId="46307A67" w14:textId="77777777" w:rsidTr="003D0D3F">
        <w:trPr>
          <w:trHeight w:val="266"/>
        </w:trPr>
        <w:tc>
          <w:tcPr>
            <w:cnfStyle w:val="001000000000" w:firstRow="0" w:lastRow="0" w:firstColumn="1" w:lastColumn="0" w:oddVBand="0" w:evenVBand="0" w:oddHBand="0" w:evenHBand="0" w:firstRowFirstColumn="0" w:firstRowLastColumn="0" w:lastRowFirstColumn="0" w:lastRowLastColumn="0"/>
            <w:tcW w:w="345" w:type="pct"/>
            <w:vMerge w:val="restart"/>
          </w:tcPr>
          <w:p w14:paraId="6B1015EF" w14:textId="77777777" w:rsidR="007904E8" w:rsidRPr="004A34E0" w:rsidRDefault="007904E8" w:rsidP="00666947">
            <w:pPr>
              <w:pStyle w:val="TableTextLeft"/>
              <w:rPr>
                <w:rFonts w:eastAsia="Calibri"/>
              </w:rPr>
            </w:pPr>
            <w:r w:rsidRPr="004A34E0">
              <w:rPr>
                <w:rFonts w:eastAsia="Calibri"/>
              </w:rPr>
              <w:t>Global climate regulation</w:t>
            </w:r>
          </w:p>
        </w:tc>
        <w:tc>
          <w:tcPr>
            <w:tcW w:w="241" w:type="pct"/>
            <w:gridSpan w:val="2"/>
          </w:tcPr>
          <w:p w14:paraId="63265E6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Supply</w:t>
            </w:r>
          </w:p>
        </w:tc>
        <w:tc>
          <w:tcPr>
            <w:tcW w:w="414" w:type="pct"/>
          </w:tcPr>
          <w:p w14:paraId="52002A2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vertAlign w:val="superscript"/>
              </w:rPr>
            </w:pPr>
            <w:r w:rsidRPr="004A34E0">
              <w:rPr>
                <w:rFonts w:eastAsia="Calibri"/>
              </w:rPr>
              <w:t>tCO</w:t>
            </w:r>
            <w:r w:rsidRPr="004A34E0">
              <w:rPr>
                <w:rFonts w:eastAsia="Calibri"/>
                <w:vertAlign w:val="subscript"/>
              </w:rPr>
              <w:t>2</w:t>
            </w:r>
            <w:r w:rsidRPr="004A34E0">
              <w:rPr>
                <w:rFonts w:eastAsia="Calibri"/>
              </w:rPr>
              <w:t>e / yr</w:t>
            </w:r>
          </w:p>
        </w:tc>
        <w:tc>
          <w:tcPr>
            <w:tcW w:w="345" w:type="pct"/>
          </w:tcPr>
          <w:p w14:paraId="6B5EBFE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highlight w:val="yellow"/>
              </w:rPr>
            </w:pPr>
          </w:p>
        </w:tc>
        <w:tc>
          <w:tcPr>
            <w:tcW w:w="345" w:type="pct"/>
          </w:tcPr>
          <w:p w14:paraId="2CF4428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highlight w:val="yellow"/>
              </w:rPr>
            </w:pPr>
          </w:p>
        </w:tc>
        <w:tc>
          <w:tcPr>
            <w:tcW w:w="308" w:type="pct"/>
          </w:tcPr>
          <w:p w14:paraId="31A81D0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highlight w:val="yellow"/>
              </w:rPr>
            </w:pPr>
          </w:p>
        </w:tc>
        <w:tc>
          <w:tcPr>
            <w:tcW w:w="375" w:type="pct"/>
          </w:tcPr>
          <w:p w14:paraId="196DE73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8,000</w:t>
            </w:r>
          </w:p>
        </w:tc>
        <w:tc>
          <w:tcPr>
            <w:tcW w:w="375" w:type="pct"/>
          </w:tcPr>
          <w:p w14:paraId="284CDF4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335,000</w:t>
            </w:r>
          </w:p>
        </w:tc>
        <w:tc>
          <w:tcPr>
            <w:tcW w:w="375" w:type="pct"/>
          </w:tcPr>
          <w:p w14:paraId="281DC77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978,000</w:t>
            </w:r>
          </w:p>
        </w:tc>
        <w:tc>
          <w:tcPr>
            <w:tcW w:w="375" w:type="pct"/>
          </w:tcPr>
          <w:p w14:paraId="197AB81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39,000</w:t>
            </w:r>
          </w:p>
        </w:tc>
        <w:tc>
          <w:tcPr>
            <w:tcW w:w="375" w:type="pct"/>
          </w:tcPr>
          <w:p w14:paraId="13F50E3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26,000</w:t>
            </w:r>
          </w:p>
        </w:tc>
        <w:tc>
          <w:tcPr>
            <w:tcW w:w="375" w:type="pct"/>
          </w:tcPr>
          <w:p w14:paraId="3B3029B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15,000</w:t>
            </w:r>
          </w:p>
        </w:tc>
        <w:tc>
          <w:tcPr>
            <w:tcW w:w="375" w:type="pct"/>
          </w:tcPr>
          <w:p w14:paraId="41BDB02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14,000</w:t>
            </w:r>
          </w:p>
        </w:tc>
        <w:tc>
          <w:tcPr>
            <w:tcW w:w="375" w:type="pct"/>
          </w:tcPr>
          <w:p w14:paraId="251C352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31,000</w:t>
            </w:r>
          </w:p>
        </w:tc>
      </w:tr>
      <w:tr w:rsidR="007904E8" w:rsidRPr="004A34E0" w14:paraId="513BA4F6" w14:textId="77777777" w:rsidTr="003D0D3F">
        <w:trPr>
          <w:trHeight w:val="277"/>
        </w:trPr>
        <w:tc>
          <w:tcPr>
            <w:cnfStyle w:val="001000000000" w:firstRow="0" w:lastRow="0" w:firstColumn="1" w:lastColumn="0" w:oddVBand="0" w:evenVBand="0" w:oddHBand="0" w:evenHBand="0" w:firstRowFirstColumn="0" w:firstRowLastColumn="0" w:lastRowFirstColumn="0" w:lastRowLastColumn="0"/>
            <w:tcW w:w="345" w:type="pct"/>
            <w:vMerge/>
          </w:tcPr>
          <w:p w14:paraId="4CD49BB5" w14:textId="77777777" w:rsidR="007904E8" w:rsidRPr="004A34E0" w:rsidRDefault="007904E8" w:rsidP="00666947">
            <w:pPr>
              <w:pStyle w:val="TableTextLeft"/>
              <w:rPr>
                <w:rFonts w:eastAsia="Calibri"/>
              </w:rPr>
            </w:pPr>
          </w:p>
        </w:tc>
        <w:tc>
          <w:tcPr>
            <w:tcW w:w="241" w:type="pct"/>
            <w:gridSpan w:val="2"/>
          </w:tcPr>
          <w:p w14:paraId="136643E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Use</w:t>
            </w:r>
          </w:p>
        </w:tc>
        <w:tc>
          <w:tcPr>
            <w:tcW w:w="414" w:type="pct"/>
          </w:tcPr>
          <w:p w14:paraId="5546A90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tCO</w:t>
            </w:r>
            <w:r w:rsidRPr="004A34E0">
              <w:rPr>
                <w:rFonts w:eastAsia="Calibri"/>
                <w:vertAlign w:val="subscript"/>
              </w:rPr>
              <w:t>2</w:t>
            </w:r>
            <w:r w:rsidRPr="004A34E0">
              <w:rPr>
                <w:rFonts w:eastAsia="Calibri"/>
              </w:rPr>
              <w:t>e / yr</w:t>
            </w:r>
          </w:p>
        </w:tc>
        <w:tc>
          <w:tcPr>
            <w:tcW w:w="345" w:type="pct"/>
          </w:tcPr>
          <w:p w14:paraId="12CFB51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1,447,000</w:t>
            </w:r>
          </w:p>
        </w:tc>
        <w:tc>
          <w:tcPr>
            <w:tcW w:w="345" w:type="pct"/>
          </w:tcPr>
          <w:p w14:paraId="4563A9C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308" w:type="pct"/>
          </w:tcPr>
          <w:p w14:paraId="1B75BA8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375" w:type="pct"/>
          </w:tcPr>
          <w:p w14:paraId="0E82529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375" w:type="pct"/>
          </w:tcPr>
          <w:p w14:paraId="38A8555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highlight w:val="yellow"/>
              </w:rPr>
            </w:pPr>
          </w:p>
        </w:tc>
        <w:tc>
          <w:tcPr>
            <w:tcW w:w="375" w:type="pct"/>
          </w:tcPr>
          <w:p w14:paraId="2CDF7BB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highlight w:val="yellow"/>
              </w:rPr>
            </w:pPr>
          </w:p>
        </w:tc>
        <w:tc>
          <w:tcPr>
            <w:tcW w:w="375" w:type="pct"/>
          </w:tcPr>
          <w:p w14:paraId="149A1EC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highlight w:val="yellow"/>
              </w:rPr>
            </w:pPr>
          </w:p>
        </w:tc>
        <w:tc>
          <w:tcPr>
            <w:tcW w:w="375" w:type="pct"/>
          </w:tcPr>
          <w:p w14:paraId="779AB4F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highlight w:val="yellow"/>
              </w:rPr>
            </w:pPr>
          </w:p>
        </w:tc>
        <w:tc>
          <w:tcPr>
            <w:tcW w:w="375" w:type="pct"/>
          </w:tcPr>
          <w:p w14:paraId="051C71C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highlight w:val="yellow"/>
              </w:rPr>
            </w:pPr>
          </w:p>
        </w:tc>
        <w:tc>
          <w:tcPr>
            <w:tcW w:w="375" w:type="pct"/>
          </w:tcPr>
          <w:p w14:paraId="2F46567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highlight w:val="yellow"/>
              </w:rPr>
            </w:pPr>
          </w:p>
        </w:tc>
        <w:tc>
          <w:tcPr>
            <w:tcW w:w="375" w:type="pct"/>
          </w:tcPr>
          <w:p w14:paraId="38708F7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highlight w:val="yellow"/>
              </w:rPr>
            </w:pPr>
          </w:p>
        </w:tc>
      </w:tr>
      <w:tr w:rsidR="007904E8" w:rsidRPr="004A34E0" w14:paraId="1F2CB66F" w14:textId="77777777" w:rsidTr="003D0D3F">
        <w:trPr>
          <w:trHeight w:val="441"/>
        </w:trPr>
        <w:tc>
          <w:tcPr>
            <w:cnfStyle w:val="001000000000" w:firstRow="0" w:lastRow="0" w:firstColumn="1" w:lastColumn="0" w:oddVBand="0" w:evenVBand="0" w:oddHBand="0" w:evenHBand="0" w:firstRowFirstColumn="0" w:firstRowLastColumn="0" w:lastRowFirstColumn="0" w:lastRowLastColumn="0"/>
            <w:tcW w:w="345" w:type="pct"/>
            <w:vMerge w:val="restart"/>
          </w:tcPr>
          <w:p w14:paraId="78345312" w14:textId="77777777" w:rsidR="007904E8" w:rsidRPr="004A34E0" w:rsidRDefault="007904E8" w:rsidP="00666947">
            <w:pPr>
              <w:pStyle w:val="TableTextLeft"/>
              <w:rPr>
                <w:rFonts w:eastAsia="Calibri"/>
              </w:rPr>
            </w:pPr>
            <w:r w:rsidRPr="004A34E0">
              <w:rPr>
                <w:rFonts w:eastAsia="Calibri"/>
              </w:rPr>
              <w:t>Global climate regulation</w:t>
            </w:r>
          </w:p>
        </w:tc>
        <w:tc>
          <w:tcPr>
            <w:tcW w:w="241" w:type="pct"/>
            <w:gridSpan w:val="2"/>
          </w:tcPr>
          <w:p w14:paraId="0A63D45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Supply</w:t>
            </w:r>
          </w:p>
        </w:tc>
        <w:tc>
          <w:tcPr>
            <w:tcW w:w="414" w:type="pct"/>
          </w:tcPr>
          <w:p w14:paraId="32D6291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$AUD (2021) / yr</w:t>
            </w:r>
          </w:p>
        </w:tc>
        <w:tc>
          <w:tcPr>
            <w:tcW w:w="345" w:type="pct"/>
          </w:tcPr>
          <w:p w14:paraId="5CF2E0C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highlight w:val="yellow"/>
              </w:rPr>
            </w:pPr>
          </w:p>
        </w:tc>
        <w:tc>
          <w:tcPr>
            <w:tcW w:w="345" w:type="pct"/>
          </w:tcPr>
          <w:p w14:paraId="6CA6C79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highlight w:val="yellow"/>
              </w:rPr>
            </w:pPr>
          </w:p>
        </w:tc>
        <w:tc>
          <w:tcPr>
            <w:tcW w:w="308" w:type="pct"/>
          </w:tcPr>
          <w:p w14:paraId="5544427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highlight w:val="yellow"/>
              </w:rPr>
            </w:pPr>
          </w:p>
        </w:tc>
        <w:tc>
          <w:tcPr>
            <w:tcW w:w="375" w:type="pct"/>
          </w:tcPr>
          <w:p w14:paraId="36B6180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$0.4m to $1.0m</w:t>
            </w:r>
          </w:p>
        </w:tc>
        <w:tc>
          <w:tcPr>
            <w:tcW w:w="375" w:type="pct"/>
          </w:tcPr>
          <w:p w14:paraId="02C3E39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$15m to $42m</w:t>
            </w:r>
          </w:p>
        </w:tc>
        <w:tc>
          <w:tcPr>
            <w:tcW w:w="375" w:type="pct"/>
          </w:tcPr>
          <w:p w14:paraId="2FFEC9A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$43m to $124m</w:t>
            </w:r>
          </w:p>
        </w:tc>
        <w:tc>
          <w:tcPr>
            <w:tcW w:w="375" w:type="pct"/>
          </w:tcPr>
          <w:p w14:paraId="5C8C106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$1.7m to $5.0m</w:t>
            </w:r>
          </w:p>
        </w:tc>
        <w:tc>
          <w:tcPr>
            <w:tcW w:w="375" w:type="pct"/>
          </w:tcPr>
          <w:p w14:paraId="045DF10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$1.1m to $3.3m</w:t>
            </w:r>
          </w:p>
        </w:tc>
        <w:tc>
          <w:tcPr>
            <w:tcW w:w="375" w:type="pct"/>
          </w:tcPr>
          <w:p w14:paraId="22F4301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$0.6m to $1.9m</w:t>
            </w:r>
          </w:p>
        </w:tc>
        <w:tc>
          <w:tcPr>
            <w:tcW w:w="375" w:type="pct"/>
          </w:tcPr>
          <w:p w14:paraId="0CE5FC6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$0.6m to $1.8m</w:t>
            </w:r>
          </w:p>
        </w:tc>
        <w:tc>
          <w:tcPr>
            <w:tcW w:w="375" w:type="pct"/>
          </w:tcPr>
          <w:p w14:paraId="6E110D0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$1.4m to $4.0m</w:t>
            </w:r>
          </w:p>
        </w:tc>
      </w:tr>
      <w:tr w:rsidR="007904E8" w:rsidRPr="004A34E0" w14:paraId="126E5041" w14:textId="77777777" w:rsidTr="003D0D3F">
        <w:trPr>
          <w:trHeight w:val="462"/>
        </w:trPr>
        <w:tc>
          <w:tcPr>
            <w:cnfStyle w:val="001000000000" w:firstRow="0" w:lastRow="0" w:firstColumn="1" w:lastColumn="0" w:oddVBand="0" w:evenVBand="0" w:oddHBand="0" w:evenHBand="0" w:firstRowFirstColumn="0" w:firstRowLastColumn="0" w:lastRowFirstColumn="0" w:lastRowLastColumn="0"/>
            <w:tcW w:w="345" w:type="pct"/>
            <w:vMerge/>
          </w:tcPr>
          <w:p w14:paraId="115F7680" w14:textId="77777777" w:rsidR="007904E8" w:rsidRPr="004A34E0" w:rsidRDefault="007904E8" w:rsidP="00666947">
            <w:pPr>
              <w:pStyle w:val="TableTextLeft"/>
              <w:rPr>
                <w:rFonts w:eastAsia="Calibri"/>
              </w:rPr>
            </w:pPr>
          </w:p>
        </w:tc>
        <w:tc>
          <w:tcPr>
            <w:tcW w:w="241" w:type="pct"/>
            <w:gridSpan w:val="2"/>
          </w:tcPr>
          <w:p w14:paraId="1651CC7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Use</w:t>
            </w:r>
          </w:p>
        </w:tc>
        <w:tc>
          <w:tcPr>
            <w:tcW w:w="414" w:type="pct"/>
          </w:tcPr>
          <w:p w14:paraId="5B1EB5E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$AUD (2021) / yr</w:t>
            </w:r>
          </w:p>
        </w:tc>
        <w:tc>
          <w:tcPr>
            <w:tcW w:w="345" w:type="pct"/>
          </w:tcPr>
          <w:p w14:paraId="4434EDE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$63m to $183m</w:t>
            </w:r>
          </w:p>
        </w:tc>
        <w:tc>
          <w:tcPr>
            <w:tcW w:w="345" w:type="pct"/>
          </w:tcPr>
          <w:p w14:paraId="3D979D5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308" w:type="pct"/>
          </w:tcPr>
          <w:p w14:paraId="7C7C1E6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375" w:type="pct"/>
          </w:tcPr>
          <w:p w14:paraId="40A7ECD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375" w:type="pct"/>
          </w:tcPr>
          <w:p w14:paraId="0535418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highlight w:val="yellow"/>
              </w:rPr>
            </w:pPr>
          </w:p>
        </w:tc>
        <w:tc>
          <w:tcPr>
            <w:tcW w:w="375" w:type="pct"/>
          </w:tcPr>
          <w:p w14:paraId="671FC0F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highlight w:val="yellow"/>
              </w:rPr>
            </w:pPr>
          </w:p>
        </w:tc>
        <w:tc>
          <w:tcPr>
            <w:tcW w:w="375" w:type="pct"/>
          </w:tcPr>
          <w:p w14:paraId="4839C2C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highlight w:val="yellow"/>
              </w:rPr>
            </w:pPr>
          </w:p>
        </w:tc>
        <w:tc>
          <w:tcPr>
            <w:tcW w:w="375" w:type="pct"/>
          </w:tcPr>
          <w:p w14:paraId="6AF2355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highlight w:val="yellow"/>
              </w:rPr>
            </w:pPr>
          </w:p>
        </w:tc>
        <w:tc>
          <w:tcPr>
            <w:tcW w:w="375" w:type="pct"/>
          </w:tcPr>
          <w:p w14:paraId="68F53DC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highlight w:val="yellow"/>
              </w:rPr>
            </w:pPr>
          </w:p>
        </w:tc>
        <w:tc>
          <w:tcPr>
            <w:tcW w:w="375" w:type="pct"/>
          </w:tcPr>
          <w:p w14:paraId="234F8F7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highlight w:val="yellow"/>
              </w:rPr>
            </w:pPr>
          </w:p>
        </w:tc>
        <w:tc>
          <w:tcPr>
            <w:tcW w:w="375" w:type="pct"/>
          </w:tcPr>
          <w:p w14:paraId="3E3F034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highlight w:val="yellow"/>
              </w:rPr>
            </w:pPr>
          </w:p>
        </w:tc>
      </w:tr>
    </w:tbl>
    <w:p w14:paraId="2D0998B1" w14:textId="77777777" w:rsidR="007904E8" w:rsidRPr="004A34E0" w:rsidRDefault="007904E8" w:rsidP="007904E8">
      <w:pPr>
        <w:pStyle w:val="Heading3"/>
        <w:sectPr w:rsidR="007904E8" w:rsidRPr="004A34E0" w:rsidSect="00E52A9A">
          <w:headerReference w:type="even" r:id="rId209"/>
          <w:headerReference w:type="default" r:id="rId210"/>
          <w:footerReference w:type="even" r:id="rId211"/>
          <w:footerReference w:type="default" r:id="rId212"/>
          <w:pgSz w:w="23811" w:h="16838" w:orient="landscape" w:code="8"/>
          <w:pgMar w:top="1134" w:right="1134" w:bottom="1134" w:left="1134" w:header="283" w:footer="283" w:gutter="0"/>
          <w:cols w:space="284"/>
          <w:docGrid w:linePitch="360"/>
        </w:sectPr>
      </w:pPr>
    </w:p>
    <w:p w14:paraId="6433984A" w14:textId="77777777" w:rsidR="007904E8" w:rsidRPr="004A34E0" w:rsidRDefault="007904E8" w:rsidP="007904E8">
      <w:pPr>
        <w:pStyle w:val="Heading3"/>
      </w:pPr>
      <w:bookmarkStart w:id="237" w:name="_Toc98854681"/>
      <w:bookmarkStart w:id="238" w:name="_Toc163547062"/>
      <w:r w:rsidRPr="004A34E0">
        <w:lastRenderedPageBreak/>
        <w:t>Recreation and tourism</w:t>
      </w:r>
      <w:bookmarkEnd w:id="237"/>
      <w:bookmarkEnd w:id="238"/>
    </w:p>
    <w:p w14:paraId="2A662E7E" w14:textId="77777777" w:rsidR="007904E8" w:rsidRPr="007B2FCE" w:rsidRDefault="007904E8" w:rsidP="000035CB">
      <w:pPr>
        <w:pStyle w:val="AlphaHeading4"/>
        <w:numPr>
          <w:ilvl w:val="0"/>
          <w:numId w:val="53"/>
        </w:numPr>
      </w:pPr>
      <w:r w:rsidRPr="007B2FCE">
        <w:t>Physical provision of recreation and tourism</w:t>
      </w:r>
    </w:p>
    <w:p w14:paraId="2D1268EC" w14:textId="77777777" w:rsidR="007904E8" w:rsidRPr="004A34E0" w:rsidRDefault="007904E8" w:rsidP="007904E8">
      <w:pPr>
        <w:pStyle w:val="BodyText"/>
      </w:pPr>
      <w:r w:rsidRPr="004A34E0">
        <w:t xml:space="preserve">Table 58 provides recreational and tourism participation estimates to the Great Ocean Road Tourism Region for 2019 from DJPR (2020a). It shows both total visits to the GOR Tourism Region of 6.8 million per year in 2019 and the estimated number of those visits that can be attributed specifically to the existence of ecosystems of 4.9 million per year based on an assumption that 72 per cent of visitors come specifically to experience the natural environment (TRA, 2013) and these visitors would be lost in the absence of the ecosystem assets in the GORCAP EEA region. </w:t>
      </w:r>
    </w:p>
    <w:p w14:paraId="364FF4B6" w14:textId="77777777" w:rsidR="007904E8" w:rsidRPr="004A34E0" w:rsidRDefault="007904E8" w:rsidP="007904E8">
      <w:pPr>
        <w:pStyle w:val="BodyText"/>
        <w:rPr>
          <w:b/>
        </w:rPr>
      </w:pPr>
      <w:r w:rsidRPr="004A34E0">
        <w:rPr>
          <w:b/>
        </w:rPr>
        <w:t xml:space="preserve">Table 58. Recreational and tourism participation to GOR Tourism Region for 2019 </w:t>
      </w:r>
    </w:p>
    <w:tbl>
      <w:tblPr>
        <w:tblStyle w:val="TableGrid"/>
        <w:tblW w:w="5000" w:type="pct"/>
        <w:tblLook w:val="04A0" w:firstRow="1" w:lastRow="0" w:firstColumn="1" w:lastColumn="0" w:noHBand="0" w:noVBand="1"/>
      </w:tblPr>
      <w:tblGrid>
        <w:gridCol w:w="1473"/>
        <w:gridCol w:w="1876"/>
        <w:gridCol w:w="2812"/>
        <w:gridCol w:w="1338"/>
        <w:gridCol w:w="813"/>
        <w:gridCol w:w="1326"/>
      </w:tblGrid>
      <w:tr w:rsidR="007904E8" w:rsidRPr="004A34E0" w14:paraId="4EFD8F9D" w14:textId="77777777" w:rsidTr="007E025F">
        <w:trPr>
          <w:cnfStyle w:val="100000000000" w:firstRow="1" w:lastRow="0" w:firstColumn="0" w:lastColumn="0" w:oddVBand="0" w:evenVBand="0" w:oddHBand="0" w:evenHBand="0" w:firstRowFirstColumn="0" w:firstRowLastColumn="0" w:lastRowFirstColumn="0" w:lastRowLastColumn="0"/>
          <w:trHeight w:val="206"/>
        </w:trPr>
        <w:tc>
          <w:tcPr>
            <w:cnfStyle w:val="001000000000" w:firstRow="0" w:lastRow="0" w:firstColumn="1" w:lastColumn="0" w:oddVBand="0" w:evenVBand="0" w:oddHBand="0" w:evenHBand="0" w:firstRowFirstColumn="0" w:firstRowLastColumn="0" w:lastRowFirstColumn="0" w:lastRowLastColumn="0"/>
            <w:tcW w:w="1737" w:type="pct"/>
            <w:gridSpan w:val="2"/>
          </w:tcPr>
          <w:p w14:paraId="221EC426" w14:textId="77777777" w:rsidR="007904E8" w:rsidRPr="004A34E0" w:rsidRDefault="007904E8" w:rsidP="00666947">
            <w:pPr>
              <w:pStyle w:val="TableTextLeft"/>
            </w:pPr>
            <w:r w:rsidRPr="004A34E0">
              <w:rPr>
                <w:b/>
              </w:rPr>
              <w:t>Type</w:t>
            </w:r>
          </w:p>
        </w:tc>
        <w:tc>
          <w:tcPr>
            <w:tcW w:w="1459" w:type="pct"/>
          </w:tcPr>
          <w:p w14:paraId="1157A413"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p>
        </w:tc>
        <w:tc>
          <w:tcPr>
            <w:tcW w:w="694" w:type="pct"/>
          </w:tcPr>
          <w:p w14:paraId="6A3E1E34"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Number</w:t>
            </w:r>
          </w:p>
        </w:tc>
        <w:tc>
          <w:tcPr>
            <w:tcW w:w="422" w:type="pct"/>
          </w:tcPr>
          <w:p w14:paraId="6C199EA9"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Year</w:t>
            </w:r>
          </w:p>
        </w:tc>
        <w:tc>
          <w:tcPr>
            <w:tcW w:w="688" w:type="pct"/>
          </w:tcPr>
          <w:p w14:paraId="2DE89735"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rPr>
                <w:b/>
              </w:rPr>
            </w:pPr>
            <w:r w:rsidRPr="004A34E0">
              <w:rPr>
                <w:b/>
              </w:rPr>
              <w:t>Source</w:t>
            </w:r>
          </w:p>
        </w:tc>
      </w:tr>
      <w:tr w:rsidR="007904E8" w:rsidRPr="004A34E0" w14:paraId="0F4547B0" w14:textId="77777777" w:rsidTr="007E025F">
        <w:trPr>
          <w:trHeight w:val="220"/>
        </w:trPr>
        <w:tc>
          <w:tcPr>
            <w:cnfStyle w:val="001000000000" w:firstRow="0" w:lastRow="0" w:firstColumn="1" w:lastColumn="0" w:oddVBand="0" w:evenVBand="0" w:oddHBand="0" w:evenHBand="0" w:firstRowFirstColumn="0" w:firstRowLastColumn="0" w:lastRowFirstColumn="0" w:lastRowLastColumn="0"/>
            <w:tcW w:w="764" w:type="pct"/>
            <w:vMerge w:val="restart"/>
          </w:tcPr>
          <w:p w14:paraId="707B5F30" w14:textId="77777777" w:rsidR="007904E8" w:rsidRPr="004A34E0" w:rsidRDefault="007904E8" w:rsidP="00666947">
            <w:pPr>
              <w:pStyle w:val="TableTextLeft"/>
            </w:pPr>
            <w:r w:rsidRPr="004A34E0">
              <w:t>Total</w:t>
            </w:r>
          </w:p>
        </w:tc>
        <w:tc>
          <w:tcPr>
            <w:tcW w:w="972" w:type="pct"/>
          </w:tcPr>
          <w:p w14:paraId="47FF968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Domestic</w:t>
            </w:r>
          </w:p>
        </w:tc>
        <w:tc>
          <w:tcPr>
            <w:tcW w:w="1459" w:type="pct"/>
          </w:tcPr>
          <w:p w14:paraId="333E3D5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Daytrip visitors (000’s)</w:t>
            </w:r>
          </w:p>
        </w:tc>
        <w:tc>
          <w:tcPr>
            <w:tcW w:w="694" w:type="pct"/>
          </w:tcPr>
          <w:p w14:paraId="75C30D7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3,877</w:t>
            </w:r>
          </w:p>
        </w:tc>
        <w:tc>
          <w:tcPr>
            <w:tcW w:w="422" w:type="pct"/>
            <w:vMerge w:val="restart"/>
          </w:tcPr>
          <w:p w14:paraId="56E85B2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2019</w:t>
            </w:r>
          </w:p>
        </w:tc>
        <w:tc>
          <w:tcPr>
            <w:tcW w:w="688" w:type="pct"/>
            <w:vMerge w:val="restart"/>
          </w:tcPr>
          <w:p w14:paraId="2AFEE28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DJPR (2020a)</w:t>
            </w:r>
          </w:p>
        </w:tc>
      </w:tr>
      <w:tr w:rsidR="007904E8" w:rsidRPr="004A34E0" w14:paraId="245C395D" w14:textId="77777777" w:rsidTr="007E025F">
        <w:trPr>
          <w:trHeight w:val="220"/>
        </w:trPr>
        <w:tc>
          <w:tcPr>
            <w:cnfStyle w:val="001000000000" w:firstRow="0" w:lastRow="0" w:firstColumn="1" w:lastColumn="0" w:oddVBand="0" w:evenVBand="0" w:oddHBand="0" w:evenHBand="0" w:firstRowFirstColumn="0" w:firstRowLastColumn="0" w:lastRowFirstColumn="0" w:lastRowLastColumn="0"/>
            <w:tcW w:w="764" w:type="pct"/>
            <w:vMerge/>
          </w:tcPr>
          <w:p w14:paraId="6FDBDAF7" w14:textId="77777777" w:rsidR="007904E8" w:rsidRPr="004A34E0" w:rsidRDefault="007904E8" w:rsidP="00666947">
            <w:pPr>
              <w:pStyle w:val="TableTextLeft"/>
            </w:pPr>
          </w:p>
        </w:tc>
        <w:tc>
          <w:tcPr>
            <w:tcW w:w="972" w:type="pct"/>
          </w:tcPr>
          <w:p w14:paraId="606C202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459" w:type="pct"/>
          </w:tcPr>
          <w:p w14:paraId="2F19692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Overnight visitors (000's)</w:t>
            </w:r>
          </w:p>
        </w:tc>
        <w:tc>
          <w:tcPr>
            <w:tcW w:w="694" w:type="pct"/>
          </w:tcPr>
          <w:p w14:paraId="7CE2FA5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2,715</w:t>
            </w:r>
          </w:p>
        </w:tc>
        <w:tc>
          <w:tcPr>
            <w:tcW w:w="422" w:type="pct"/>
            <w:vMerge/>
          </w:tcPr>
          <w:p w14:paraId="2AAAD64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688" w:type="pct"/>
            <w:vMerge/>
          </w:tcPr>
          <w:p w14:paraId="76EAAF8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18263DA0" w14:textId="77777777" w:rsidTr="007E025F">
        <w:trPr>
          <w:trHeight w:val="206"/>
        </w:trPr>
        <w:tc>
          <w:tcPr>
            <w:cnfStyle w:val="001000000000" w:firstRow="0" w:lastRow="0" w:firstColumn="1" w:lastColumn="0" w:oddVBand="0" w:evenVBand="0" w:oddHBand="0" w:evenHBand="0" w:firstRowFirstColumn="0" w:firstRowLastColumn="0" w:lastRowFirstColumn="0" w:lastRowLastColumn="0"/>
            <w:tcW w:w="764" w:type="pct"/>
            <w:vMerge/>
          </w:tcPr>
          <w:p w14:paraId="01117989" w14:textId="77777777" w:rsidR="007904E8" w:rsidRPr="004A34E0" w:rsidRDefault="007904E8" w:rsidP="00666947">
            <w:pPr>
              <w:pStyle w:val="TableTextLeft"/>
            </w:pPr>
          </w:p>
        </w:tc>
        <w:tc>
          <w:tcPr>
            <w:tcW w:w="972" w:type="pct"/>
          </w:tcPr>
          <w:p w14:paraId="16701A9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International</w:t>
            </w:r>
          </w:p>
        </w:tc>
        <w:tc>
          <w:tcPr>
            <w:tcW w:w="1459" w:type="pct"/>
          </w:tcPr>
          <w:p w14:paraId="65B8F7E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Overnight visitors (000's)</w:t>
            </w:r>
          </w:p>
        </w:tc>
        <w:tc>
          <w:tcPr>
            <w:tcW w:w="694" w:type="pct"/>
          </w:tcPr>
          <w:p w14:paraId="040C727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244</w:t>
            </w:r>
          </w:p>
        </w:tc>
        <w:tc>
          <w:tcPr>
            <w:tcW w:w="422" w:type="pct"/>
            <w:vMerge/>
          </w:tcPr>
          <w:p w14:paraId="6C8F165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688" w:type="pct"/>
            <w:vMerge/>
          </w:tcPr>
          <w:p w14:paraId="4858F7C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0D20E500" w14:textId="77777777" w:rsidTr="007E025F">
        <w:trPr>
          <w:trHeight w:val="234"/>
        </w:trPr>
        <w:tc>
          <w:tcPr>
            <w:cnfStyle w:val="001000000000" w:firstRow="0" w:lastRow="0" w:firstColumn="1" w:lastColumn="0" w:oddVBand="0" w:evenVBand="0" w:oddHBand="0" w:evenHBand="0" w:firstRowFirstColumn="0" w:firstRowLastColumn="0" w:lastRowFirstColumn="0" w:lastRowLastColumn="0"/>
            <w:tcW w:w="764" w:type="pct"/>
            <w:vMerge/>
          </w:tcPr>
          <w:p w14:paraId="0E16DCAC" w14:textId="77777777" w:rsidR="007904E8" w:rsidRPr="004A34E0" w:rsidRDefault="007904E8" w:rsidP="00666947">
            <w:pPr>
              <w:pStyle w:val="TableTextLeft"/>
            </w:pPr>
          </w:p>
        </w:tc>
        <w:tc>
          <w:tcPr>
            <w:tcW w:w="2431" w:type="pct"/>
            <w:gridSpan w:val="2"/>
          </w:tcPr>
          <w:p w14:paraId="1E1C792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Total visitors (‘000)</w:t>
            </w:r>
          </w:p>
        </w:tc>
        <w:tc>
          <w:tcPr>
            <w:tcW w:w="694" w:type="pct"/>
          </w:tcPr>
          <w:p w14:paraId="45603EE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6,836</w:t>
            </w:r>
          </w:p>
        </w:tc>
        <w:tc>
          <w:tcPr>
            <w:tcW w:w="422" w:type="pct"/>
            <w:vMerge/>
          </w:tcPr>
          <w:p w14:paraId="185B1D0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688" w:type="pct"/>
            <w:vMerge/>
          </w:tcPr>
          <w:p w14:paraId="7A759D4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rPr>
            </w:pPr>
          </w:p>
        </w:tc>
      </w:tr>
      <w:tr w:rsidR="007904E8" w:rsidRPr="004A34E0" w14:paraId="707C6326" w14:textId="77777777" w:rsidTr="007E025F">
        <w:trPr>
          <w:trHeight w:val="220"/>
        </w:trPr>
        <w:tc>
          <w:tcPr>
            <w:cnfStyle w:val="001000000000" w:firstRow="0" w:lastRow="0" w:firstColumn="1" w:lastColumn="0" w:oddVBand="0" w:evenVBand="0" w:oddHBand="0" w:evenHBand="0" w:firstRowFirstColumn="0" w:firstRowLastColumn="0" w:lastRowFirstColumn="0" w:lastRowLastColumn="0"/>
            <w:tcW w:w="764" w:type="pct"/>
            <w:vMerge w:val="restart"/>
          </w:tcPr>
          <w:p w14:paraId="41FDE9DF" w14:textId="77777777" w:rsidR="007904E8" w:rsidRPr="004A34E0" w:rsidRDefault="007904E8" w:rsidP="00270081">
            <w:pPr>
              <w:pStyle w:val="TableTextLeft"/>
            </w:pPr>
            <w:r w:rsidRPr="004A34E0">
              <w:t>Attributable to ecosystems</w:t>
            </w:r>
          </w:p>
        </w:tc>
        <w:tc>
          <w:tcPr>
            <w:tcW w:w="972" w:type="pct"/>
          </w:tcPr>
          <w:p w14:paraId="4501E4A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Domestic</w:t>
            </w:r>
          </w:p>
        </w:tc>
        <w:tc>
          <w:tcPr>
            <w:tcW w:w="1459" w:type="pct"/>
          </w:tcPr>
          <w:p w14:paraId="74AECAC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Daytrip visitors (000’s)</w:t>
            </w:r>
          </w:p>
        </w:tc>
        <w:tc>
          <w:tcPr>
            <w:tcW w:w="694" w:type="pct"/>
          </w:tcPr>
          <w:p w14:paraId="70A6909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2,791</w:t>
            </w:r>
          </w:p>
        </w:tc>
        <w:tc>
          <w:tcPr>
            <w:tcW w:w="422" w:type="pct"/>
            <w:vMerge w:val="restart"/>
          </w:tcPr>
          <w:p w14:paraId="41057ED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2013 - 2019</w:t>
            </w:r>
            <w:r w:rsidRPr="004A34E0">
              <w:rPr>
                <w:vertAlign w:val="superscript"/>
              </w:rPr>
              <w:t>a</w:t>
            </w:r>
          </w:p>
        </w:tc>
        <w:tc>
          <w:tcPr>
            <w:tcW w:w="688" w:type="pct"/>
            <w:vMerge w:val="restart"/>
          </w:tcPr>
          <w:p w14:paraId="0AE0E34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DJPR (2020a) and TRA (2013) </w:t>
            </w:r>
          </w:p>
        </w:tc>
      </w:tr>
      <w:tr w:rsidR="007904E8" w:rsidRPr="004A34E0" w14:paraId="61F1AC8C" w14:textId="77777777" w:rsidTr="007E025F">
        <w:trPr>
          <w:trHeight w:val="220"/>
        </w:trPr>
        <w:tc>
          <w:tcPr>
            <w:cnfStyle w:val="001000000000" w:firstRow="0" w:lastRow="0" w:firstColumn="1" w:lastColumn="0" w:oddVBand="0" w:evenVBand="0" w:oddHBand="0" w:evenHBand="0" w:firstRowFirstColumn="0" w:firstRowLastColumn="0" w:lastRowFirstColumn="0" w:lastRowLastColumn="0"/>
            <w:tcW w:w="764" w:type="pct"/>
            <w:vMerge/>
          </w:tcPr>
          <w:p w14:paraId="6EF49DC4" w14:textId="77777777" w:rsidR="007904E8" w:rsidRPr="004A34E0" w:rsidRDefault="007904E8" w:rsidP="00666947">
            <w:pPr>
              <w:pStyle w:val="TableTextLeft"/>
            </w:pPr>
          </w:p>
        </w:tc>
        <w:tc>
          <w:tcPr>
            <w:tcW w:w="972" w:type="pct"/>
          </w:tcPr>
          <w:p w14:paraId="395556D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459" w:type="pct"/>
          </w:tcPr>
          <w:p w14:paraId="19F28DC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Overnight visitors (000's)</w:t>
            </w:r>
          </w:p>
        </w:tc>
        <w:tc>
          <w:tcPr>
            <w:tcW w:w="694" w:type="pct"/>
          </w:tcPr>
          <w:p w14:paraId="093663F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1,955</w:t>
            </w:r>
          </w:p>
        </w:tc>
        <w:tc>
          <w:tcPr>
            <w:tcW w:w="422" w:type="pct"/>
            <w:vMerge/>
          </w:tcPr>
          <w:p w14:paraId="06A6A01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688" w:type="pct"/>
            <w:vMerge/>
          </w:tcPr>
          <w:p w14:paraId="4157D77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53479512" w14:textId="77777777" w:rsidTr="007E025F">
        <w:trPr>
          <w:trHeight w:val="206"/>
        </w:trPr>
        <w:tc>
          <w:tcPr>
            <w:cnfStyle w:val="001000000000" w:firstRow="0" w:lastRow="0" w:firstColumn="1" w:lastColumn="0" w:oddVBand="0" w:evenVBand="0" w:oddHBand="0" w:evenHBand="0" w:firstRowFirstColumn="0" w:firstRowLastColumn="0" w:lastRowFirstColumn="0" w:lastRowLastColumn="0"/>
            <w:tcW w:w="764" w:type="pct"/>
            <w:vMerge/>
          </w:tcPr>
          <w:p w14:paraId="0F75592B" w14:textId="77777777" w:rsidR="007904E8" w:rsidRPr="004A34E0" w:rsidRDefault="007904E8" w:rsidP="00666947">
            <w:pPr>
              <w:pStyle w:val="TableTextLeft"/>
            </w:pPr>
          </w:p>
        </w:tc>
        <w:tc>
          <w:tcPr>
            <w:tcW w:w="972" w:type="pct"/>
          </w:tcPr>
          <w:p w14:paraId="23EA861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International</w:t>
            </w:r>
          </w:p>
        </w:tc>
        <w:tc>
          <w:tcPr>
            <w:tcW w:w="1459" w:type="pct"/>
          </w:tcPr>
          <w:p w14:paraId="7726CE0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Overnight visitors (000's)</w:t>
            </w:r>
          </w:p>
        </w:tc>
        <w:tc>
          <w:tcPr>
            <w:tcW w:w="694" w:type="pct"/>
          </w:tcPr>
          <w:p w14:paraId="26BC0E0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176</w:t>
            </w:r>
          </w:p>
        </w:tc>
        <w:tc>
          <w:tcPr>
            <w:tcW w:w="422" w:type="pct"/>
            <w:vMerge/>
          </w:tcPr>
          <w:p w14:paraId="1772469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688" w:type="pct"/>
            <w:vMerge/>
          </w:tcPr>
          <w:p w14:paraId="160B870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7152CCBA" w14:textId="77777777" w:rsidTr="007E025F">
        <w:trPr>
          <w:trHeight w:val="234"/>
        </w:trPr>
        <w:tc>
          <w:tcPr>
            <w:cnfStyle w:val="001000000000" w:firstRow="0" w:lastRow="0" w:firstColumn="1" w:lastColumn="0" w:oddVBand="0" w:evenVBand="0" w:oddHBand="0" w:evenHBand="0" w:firstRowFirstColumn="0" w:firstRowLastColumn="0" w:lastRowFirstColumn="0" w:lastRowLastColumn="0"/>
            <w:tcW w:w="764" w:type="pct"/>
            <w:vMerge/>
          </w:tcPr>
          <w:p w14:paraId="7C2EAD99" w14:textId="77777777" w:rsidR="007904E8" w:rsidRPr="004A34E0" w:rsidRDefault="007904E8" w:rsidP="00666947">
            <w:pPr>
              <w:pStyle w:val="TableTextLeft"/>
            </w:pPr>
          </w:p>
        </w:tc>
        <w:tc>
          <w:tcPr>
            <w:tcW w:w="2431" w:type="pct"/>
            <w:gridSpan w:val="2"/>
          </w:tcPr>
          <w:p w14:paraId="25C6D38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Total visitors (‘000)</w:t>
            </w:r>
          </w:p>
        </w:tc>
        <w:tc>
          <w:tcPr>
            <w:tcW w:w="694" w:type="pct"/>
          </w:tcPr>
          <w:p w14:paraId="57AD88C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4,922</w:t>
            </w:r>
          </w:p>
        </w:tc>
        <w:tc>
          <w:tcPr>
            <w:tcW w:w="422" w:type="pct"/>
            <w:vMerge/>
          </w:tcPr>
          <w:p w14:paraId="376536F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688" w:type="pct"/>
            <w:vMerge/>
          </w:tcPr>
          <w:p w14:paraId="40FAD1E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rPr>
            </w:pPr>
          </w:p>
        </w:tc>
      </w:tr>
    </w:tbl>
    <w:p w14:paraId="545A9F1D" w14:textId="77777777" w:rsidR="007904E8" w:rsidRPr="004A34E0" w:rsidRDefault="007904E8" w:rsidP="007E025F">
      <w:pPr>
        <w:pStyle w:val="BodyText12ptBefore"/>
        <w:rPr>
          <w:vertAlign w:val="superscript"/>
        </w:rPr>
      </w:pPr>
      <w:proofErr w:type="spellStart"/>
      <w:r w:rsidRPr="004A34E0">
        <w:rPr>
          <w:vertAlign w:val="superscript"/>
        </w:rPr>
        <w:t>a</w:t>
      </w:r>
      <w:proofErr w:type="spellEnd"/>
      <w:r w:rsidRPr="004A34E0">
        <w:t xml:space="preserve"> The study team assumes that societal recreational habits / preferences to be relatively stable over the period 2013 to 2019 and therefore that the 2013 estimates of the proportion of visits that are attributable to the natural environment is a suitable representation for 2019.</w:t>
      </w:r>
    </w:p>
    <w:p w14:paraId="3396F7D9" w14:textId="77777777" w:rsidR="007904E8" w:rsidRPr="004A34E0" w:rsidRDefault="007904E8" w:rsidP="007904E8">
      <w:pPr>
        <w:pStyle w:val="BodyText"/>
      </w:pPr>
      <w:r w:rsidRPr="004A34E0">
        <w:t>Table 59 shows the estimate of total visitors that can be attributed to the existence of ecosystems to be 4.9 million per year in 2019 based on Deloitte Access Economics (2020) analysis at sub-region (based on SA2’s which includes the Glenelg LGA).</w:t>
      </w:r>
    </w:p>
    <w:p w14:paraId="41AF1148" w14:textId="77777777" w:rsidR="007904E8" w:rsidRPr="004A34E0" w:rsidRDefault="007904E8" w:rsidP="007904E8">
      <w:pPr>
        <w:pStyle w:val="BodyText"/>
      </w:pPr>
      <w:r w:rsidRPr="004A34E0">
        <w:t xml:space="preserve">Table 60 shows the estimate of total visitors that can be attributed to the existence of ecosystems to be </w:t>
      </w:r>
      <w:r w:rsidRPr="004A34E0">
        <w:rPr>
          <w:b/>
        </w:rPr>
        <w:t>3.9 million per year in 2019</w:t>
      </w:r>
      <w:r w:rsidRPr="004A34E0">
        <w:t xml:space="preserve"> based on TRA’s LGA Profiles 2019 which aligns more closely to the GORCAP EEA region than the DJPR (2020) or Deloitte Access Economics (2020) approaches. It also shows the distribution of visits by domestic daytrip, domestic overnight and international across the LGA’s within the GORCAP EEA region (see Figure 34). </w:t>
      </w:r>
    </w:p>
    <w:p w14:paraId="7436BBA3" w14:textId="77777777" w:rsidR="007904E8" w:rsidRPr="004A34E0" w:rsidRDefault="007904E8" w:rsidP="007904E8">
      <w:pPr>
        <w:pStyle w:val="BodyText"/>
      </w:pPr>
      <w:r w:rsidRPr="004A34E0">
        <w:t>Because the LGA’s</w:t>
      </w:r>
      <w:r w:rsidRPr="004A34E0">
        <w:rPr>
          <w:vertAlign w:val="superscript"/>
        </w:rPr>
        <w:footnoteReference w:id="70"/>
      </w:r>
      <w:r w:rsidRPr="004A34E0">
        <w:t xml:space="preserve"> cover a larger area than the boundary of the GORCAP EEA it is unclear the proportion of total visits to the LGA’s that are attributable to the GORCAP EEA region (i.e., the LGA profile data from TRA information includes visits to areas to the north and west of the GORCAP EEA boundary). However, the expectation is that this figure is a suitable representation of the number of visits taken to the GORCAP EEA region given the Parks Victoria data (see Table 61) estimates 2.2 million visits to the Twelve Apostles alone in 2019 and the TRA estimates for Corangamite LGA are significantly lower than this (513,000 in 2019), as a result no adjustment is made to these estimates. Figure 35 shows visitation by month to the Twelve Apostles from 2015 to 2021.</w:t>
      </w:r>
    </w:p>
    <w:p w14:paraId="72C95D2A" w14:textId="77777777" w:rsidR="007904E8" w:rsidRPr="004A34E0" w:rsidRDefault="007904E8" w:rsidP="007904E8">
      <w:pPr>
        <w:pStyle w:val="BodyText"/>
      </w:pPr>
      <w:r w:rsidRPr="004A34E0">
        <w:t>The reason for the large discrepancy between the TRA and Parks Victoria estimates is unclear but following consultation with Parks Victoria on this issue it is possible that the international sample for the TRA estimates do not capture the large number of international visitors to the site via licenced tour operators that are typical for the region.</w:t>
      </w:r>
    </w:p>
    <w:p w14:paraId="32080553" w14:textId="77777777" w:rsidR="007904E8" w:rsidRPr="004A34E0" w:rsidRDefault="007904E8" w:rsidP="007904E8">
      <w:pPr>
        <w:pStyle w:val="BodyText"/>
        <w:sectPr w:rsidR="007904E8" w:rsidRPr="004A34E0" w:rsidSect="00E52A9A">
          <w:headerReference w:type="default" r:id="rId213"/>
          <w:footerReference w:type="even" r:id="rId214"/>
          <w:footerReference w:type="default" r:id="rId215"/>
          <w:pgSz w:w="11906" w:h="16838" w:code="9"/>
          <w:pgMar w:top="1134" w:right="1134" w:bottom="1134" w:left="1134" w:header="283" w:footer="283" w:gutter="0"/>
          <w:cols w:space="284"/>
          <w:docGrid w:linePitch="360"/>
        </w:sectPr>
      </w:pPr>
    </w:p>
    <w:p w14:paraId="78C11EBC" w14:textId="77777777" w:rsidR="007904E8" w:rsidRPr="004A34E0" w:rsidRDefault="007904E8" w:rsidP="00270081">
      <w:pPr>
        <w:pStyle w:val="Caption"/>
      </w:pPr>
      <w:r w:rsidRPr="004A34E0">
        <w:lastRenderedPageBreak/>
        <w:t xml:space="preserve">Table 59. Recreational and tourism participation to GOR sub-regions for 2019 </w:t>
      </w:r>
    </w:p>
    <w:tbl>
      <w:tblPr>
        <w:tblStyle w:val="TableGrid"/>
        <w:tblW w:w="5000" w:type="pct"/>
        <w:tblLook w:val="04A0" w:firstRow="1" w:lastRow="0" w:firstColumn="1" w:lastColumn="0" w:noHBand="0" w:noVBand="1"/>
      </w:tblPr>
      <w:tblGrid>
        <w:gridCol w:w="1303"/>
        <w:gridCol w:w="1349"/>
        <w:gridCol w:w="1536"/>
        <w:gridCol w:w="1134"/>
        <w:gridCol w:w="1539"/>
        <w:gridCol w:w="1032"/>
        <w:gridCol w:w="839"/>
        <w:gridCol w:w="1032"/>
        <w:gridCol w:w="1090"/>
        <w:gridCol w:w="997"/>
        <w:gridCol w:w="740"/>
        <w:gridCol w:w="755"/>
        <w:gridCol w:w="1224"/>
      </w:tblGrid>
      <w:tr w:rsidR="003D0D3F" w:rsidRPr="004A34E0" w14:paraId="0390386C" w14:textId="77777777" w:rsidTr="003D0D3F">
        <w:trPr>
          <w:cnfStyle w:val="100000000000" w:firstRow="1" w:lastRow="0" w:firstColumn="0" w:lastColumn="0" w:oddVBand="0" w:evenVBand="0" w:oddHBand="0" w:evenHBand="0" w:firstRowFirstColumn="0" w:firstRowLastColumn="0" w:lastRowFirstColumn="0" w:lastRowLastColumn="0"/>
          <w:trHeight w:val="472"/>
        </w:trPr>
        <w:tc>
          <w:tcPr>
            <w:cnfStyle w:val="001000000000" w:firstRow="0" w:lastRow="0" w:firstColumn="1" w:lastColumn="0" w:oddVBand="0" w:evenVBand="0" w:oddHBand="0" w:evenHBand="0" w:firstRowFirstColumn="0" w:firstRowLastColumn="0" w:lastRowFirstColumn="0" w:lastRowLastColumn="0"/>
            <w:tcW w:w="447" w:type="pct"/>
          </w:tcPr>
          <w:p w14:paraId="59A2F2D6" w14:textId="77777777" w:rsidR="003D0D3F" w:rsidRPr="004A34E0" w:rsidRDefault="003D0D3F" w:rsidP="00666947">
            <w:pPr>
              <w:pStyle w:val="TableTextLeft"/>
            </w:pPr>
          </w:p>
        </w:tc>
        <w:tc>
          <w:tcPr>
            <w:tcW w:w="463" w:type="pct"/>
            <w:noWrap/>
            <w:hideMark/>
          </w:tcPr>
          <w:p w14:paraId="5B4ADCB3" w14:textId="77777777" w:rsidR="003D0D3F" w:rsidRPr="004A34E0" w:rsidRDefault="003D0D3F" w:rsidP="00666947">
            <w:pPr>
              <w:pStyle w:val="TableTextLeft"/>
              <w:cnfStyle w:val="100000000000" w:firstRow="1" w:lastRow="0" w:firstColumn="0" w:lastColumn="0" w:oddVBand="0" w:evenVBand="0" w:oddHBand="0" w:evenHBand="0" w:firstRowFirstColumn="0" w:firstRowLastColumn="0" w:lastRowFirstColumn="0" w:lastRowLastColumn="0"/>
            </w:pPr>
          </w:p>
        </w:tc>
        <w:tc>
          <w:tcPr>
            <w:tcW w:w="527" w:type="pct"/>
            <w:noWrap/>
            <w:hideMark/>
          </w:tcPr>
          <w:p w14:paraId="62019A83" w14:textId="77777777" w:rsidR="003D0D3F" w:rsidRPr="004A34E0" w:rsidRDefault="003D0D3F" w:rsidP="00666947">
            <w:pPr>
              <w:pStyle w:val="TableTextLeft"/>
              <w:cnfStyle w:val="100000000000" w:firstRow="1" w:lastRow="0" w:firstColumn="0" w:lastColumn="0" w:oddVBand="0" w:evenVBand="0" w:oddHBand="0" w:evenHBand="0" w:firstRowFirstColumn="0" w:firstRowLastColumn="0" w:lastRowFirstColumn="0" w:lastRowLastColumn="0"/>
            </w:pPr>
          </w:p>
        </w:tc>
        <w:tc>
          <w:tcPr>
            <w:tcW w:w="389" w:type="pct"/>
            <w:hideMark/>
          </w:tcPr>
          <w:p w14:paraId="72918B79" w14:textId="77777777" w:rsidR="003D0D3F" w:rsidRPr="004A34E0" w:rsidRDefault="003D0D3F"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Lorne-Anglesea</w:t>
            </w:r>
          </w:p>
        </w:tc>
        <w:tc>
          <w:tcPr>
            <w:tcW w:w="528" w:type="pct"/>
            <w:hideMark/>
          </w:tcPr>
          <w:p w14:paraId="54A092C6" w14:textId="77777777" w:rsidR="003D0D3F" w:rsidRPr="004A34E0" w:rsidRDefault="003D0D3F"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Warrnambool</w:t>
            </w:r>
          </w:p>
        </w:tc>
        <w:tc>
          <w:tcPr>
            <w:tcW w:w="354" w:type="pct"/>
            <w:hideMark/>
          </w:tcPr>
          <w:p w14:paraId="2F2B8C79" w14:textId="77777777" w:rsidR="003D0D3F" w:rsidRPr="004A34E0" w:rsidRDefault="003D0D3F"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Torquay</w:t>
            </w:r>
          </w:p>
        </w:tc>
        <w:tc>
          <w:tcPr>
            <w:tcW w:w="288" w:type="pct"/>
            <w:hideMark/>
          </w:tcPr>
          <w:p w14:paraId="34B8CFEE" w14:textId="77777777" w:rsidR="003D0D3F" w:rsidRPr="004A34E0" w:rsidRDefault="003D0D3F"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Otway</w:t>
            </w:r>
          </w:p>
        </w:tc>
        <w:tc>
          <w:tcPr>
            <w:tcW w:w="354" w:type="pct"/>
            <w:hideMark/>
          </w:tcPr>
          <w:p w14:paraId="310DAC5D" w14:textId="77777777" w:rsidR="003D0D3F" w:rsidRPr="004A34E0" w:rsidRDefault="003D0D3F"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Western GOR</w:t>
            </w:r>
          </w:p>
        </w:tc>
        <w:tc>
          <w:tcPr>
            <w:tcW w:w="374" w:type="pct"/>
            <w:hideMark/>
          </w:tcPr>
          <w:p w14:paraId="749A2986" w14:textId="77777777" w:rsidR="003D0D3F" w:rsidRPr="004A34E0" w:rsidRDefault="003D0D3F"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 xml:space="preserve">Northern GOR </w:t>
            </w:r>
          </w:p>
        </w:tc>
        <w:tc>
          <w:tcPr>
            <w:tcW w:w="342" w:type="pct"/>
            <w:hideMark/>
          </w:tcPr>
          <w:p w14:paraId="5937ED4B" w14:textId="77777777" w:rsidR="003D0D3F" w:rsidRPr="004A34E0" w:rsidRDefault="003D0D3F"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Corang. - South</w:t>
            </w:r>
          </w:p>
        </w:tc>
        <w:tc>
          <w:tcPr>
            <w:tcW w:w="254" w:type="pct"/>
          </w:tcPr>
          <w:p w14:paraId="51973A93" w14:textId="77777777" w:rsidR="003D0D3F" w:rsidRPr="004A34E0" w:rsidRDefault="003D0D3F"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Total</w:t>
            </w:r>
          </w:p>
        </w:tc>
        <w:tc>
          <w:tcPr>
            <w:tcW w:w="259" w:type="pct"/>
          </w:tcPr>
          <w:p w14:paraId="31AEFB8F" w14:textId="77777777" w:rsidR="003D0D3F" w:rsidRPr="004A34E0" w:rsidRDefault="003D0D3F"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Year</w:t>
            </w:r>
          </w:p>
        </w:tc>
        <w:tc>
          <w:tcPr>
            <w:tcW w:w="420" w:type="pct"/>
          </w:tcPr>
          <w:p w14:paraId="20F574D8" w14:textId="77777777" w:rsidR="003D0D3F" w:rsidRPr="004A34E0" w:rsidRDefault="003D0D3F" w:rsidP="00666947">
            <w:pPr>
              <w:pStyle w:val="TableTextLeft"/>
              <w:cnfStyle w:val="100000000000" w:firstRow="1" w:lastRow="0" w:firstColumn="0" w:lastColumn="0" w:oddVBand="0" w:evenVBand="0" w:oddHBand="0" w:evenHBand="0" w:firstRowFirstColumn="0" w:firstRowLastColumn="0" w:lastRowFirstColumn="0" w:lastRowLastColumn="0"/>
              <w:rPr>
                <w:b/>
              </w:rPr>
            </w:pPr>
            <w:r w:rsidRPr="004A34E0">
              <w:rPr>
                <w:b/>
              </w:rPr>
              <w:t>Source</w:t>
            </w:r>
          </w:p>
        </w:tc>
      </w:tr>
      <w:tr w:rsidR="003D0D3F" w:rsidRPr="004A34E0" w14:paraId="16311411" w14:textId="77777777" w:rsidTr="003D0D3F">
        <w:trPr>
          <w:trHeight w:val="231"/>
        </w:trPr>
        <w:tc>
          <w:tcPr>
            <w:cnfStyle w:val="001000000000" w:firstRow="0" w:lastRow="0" w:firstColumn="1" w:lastColumn="0" w:oddVBand="0" w:evenVBand="0" w:oddHBand="0" w:evenHBand="0" w:firstRowFirstColumn="0" w:firstRowLastColumn="0" w:lastRowFirstColumn="0" w:lastRowLastColumn="0"/>
            <w:tcW w:w="447" w:type="pct"/>
            <w:vMerge w:val="restart"/>
          </w:tcPr>
          <w:p w14:paraId="4ED13251" w14:textId="77777777" w:rsidR="003D0D3F" w:rsidRPr="004A34E0" w:rsidRDefault="003D0D3F" w:rsidP="00666947">
            <w:pPr>
              <w:pStyle w:val="TableTextLeft"/>
            </w:pPr>
            <w:r w:rsidRPr="004A34E0">
              <w:t>Total</w:t>
            </w:r>
          </w:p>
        </w:tc>
        <w:tc>
          <w:tcPr>
            <w:tcW w:w="463" w:type="pct"/>
            <w:vMerge w:val="restart"/>
            <w:hideMark/>
          </w:tcPr>
          <w:p w14:paraId="4A843846"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Domestic</w:t>
            </w:r>
          </w:p>
        </w:tc>
        <w:tc>
          <w:tcPr>
            <w:tcW w:w="527" w:type="pct"/>
            <w:hideMark/>
          </w:tcPr>
          <w:p w14:paraId="4D6FB004"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Daytrip visitors (000’s)</w:t>
            </w:r>
          </w:p>
        </w:tc>
        <w:tc>
          <w:tcPr>
            <w:tcW w:w="389" w:type="pct"/>
            <w:noWrap/>
            <w:hideMark/>
          </w:tcPr>
          <w:p w14:paraId="50C07A72"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859 </w:t>
            </w:r>
          </w:p>
        </w:tc>
        <w:tc>
          <w:tcPr>
            <w:tcW w:w="528" w:type="pct"/>
            <w:noWrap/>
            <w:hideMark/>
          </w:tcPr>
          <w:p w14:paraId="03263DF6"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715 </w:t>
            </w:r>
          </w:p>
        </w:tc>
        <w:tc>
          <w:tcPr>
            <w:tcW w:w="354" w:type="pct"/>
            <w:noWrap/>
            <w:hideMark/>
          </w:tcPr>
          <w:p w14:paraId="6D23B1F9"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762 </w:t>
            </w:r>
          </w:p>
        </w:tc>
        <w:tc>
          <w:tcPr>
            <w:tcW w:w="288" w:type="pct"/>
            <w:noWrap/>
            <w:hideMark/>
          </w:tcPr>
          <w:p w14:paraId="0D6F92BA"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336 </w:t>
            </w:r>
          </w:p>
        </w:tc>
        <w:tc>
          <w:tcPr>
            <w:tcW w:w="354" w:type="pct"/>
            <w:noWrap/>
            <w:hideMark/>
          </w:tcPr>
          <w:p w14:paraId="0C5C97F4"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399 </w:t>
            </w:r>
          </w:p>
        </w:tc>
        <w:tc>
          <w:tcPr>
            <w:tcW w:w="374" w:type="pct"/>
            <w:noWrap/>
            <w:hideMark/>
          </w:tcPr>
          <w:p w14:paraId="573E2FD3"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415</w:t>
            </w:r>
          </w:p>
        </w:tc>
        <w:tc>
          <w:tcPr>
            <w:tcW w:w="342" w:type="pct"/>
            <w:noWrap/>
            <w:hideMark/>
          </w:tcPr>
          <w:p w14:paraId="07BD96BC"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207</w:t>
            </w:r>
          </w:p>
        </w:tc>
        <w:tc>
          <w:tcPr>
            <w:tcW w:w="254" w:type="pct"/>
          </w:tcPr>
          <w:p w14:paraId="0F4C5F0D"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rPr>
                <w:b/>
              </w:rPr>
            </w:pPr>
            <w:r w:rsidRPr="004A34E0">
              <w:rPr>
                <w:b/>
              </w:rPr>
              <w:t xml:space="preserve">3,693 </w:t>
            </w:r>
          </w:p>
        </w:tc>
        <w:tc>
          <w:tcPr>
            <w:tcW w:w="259" w:type="pct"/>
            <w:vMerge w:val="restart"/>
          </w:tcPr>
          <w:p w14:paraId="7FE72466"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2019</w:t>
            </w:r>
          </w:p>
        </w:tc>
        <w:tc>
          <w:tcPr>
            <w:tcW w:w="420" w:type="pct"/>
            <w:vMerge w:val="restart"/>
          </w:tcPr>
          <w:p w14:paraId="616C6379"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Deloitte Access Economics (2020)</w:t>
            </w:r>
          </w:p>
        </w:tc>
      </w:tr>
      <w:tr w:rsidR="003D0D3F" w:rsidRPr="004A34E0" w14:paraId="5B8496B6" w14:textId="77777777" w:rsidTr="003D0D3F">
        <w:trPr>
          <w:trHeight w:val="231"/>
        </w:trPr>
        <w:tc>
          <w:tcPr>
            <w:cnfStyle w:val="001000000000" w:firstRow="0" w:lastRow="0" w:firstColumn="1" w:lastColumn="0" w:oddVBand="0" w:evenVBand="0" w:oddHBand="0" w:evenHBand="0" w:firstRowFirstColumn="0" w:firstRowLastColumn="0" w:lastRowFirstColumn="0" w:lastRowLastColumn="0"/>
            <w:tcW w:w="447" w:type="pct"/>
            <w:vMerge/>
          </w:tcPr>
          <w:p w14:paraId="73DB945C" w14:textId="77777777" w:rsidR="003D0D3F" w:rsidRPr="004A34E0" w:rsidRDefault="003D0D3F" w:rsidP="00666947">
            <w:pPr>
              <w:pStyle w:val="TableTextLeft"/>
            </w:pPr>
          </w:p>
        </w:tc>
        <w:tc>
          <w:tcPr>
            <w:tcW w:w="463" w:type="pct"/>
            <w:vMerge/>
            <w:hideMark/>
          </w:tcPr>
          <w:p w14:paraId="49D77280"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527" w:type="pct"/>
            <w:hideMark/>
          </w:tcPr>
          <w:p w14:paraId="695073AF"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Overnight visitors (000's)</w:t>
            </w:r>
          </w:p>
        </w:tc>
        <w:tc>
          <w:tcPr>
            <w:tcW w:w="389" w:type="pct"/>
            <w:noWrap/>
            <w:hideMark/>
          </w:tcPr>
          <w:p w14:paraId="4E7302F3"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632 </w:t>
            </w:r>
          </w:p>
        </w:tc>
        <w:tc>
          <w:tcPr>
            <w:tcW w:w="528" w:type="pct"/>
            <w:noWrap/>
            <w:hideMark/>
          </w:tcPr>
          <w:p w14:paraId="2D450037"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492 </w:t>
            </w:r>
          </w:p>
        </w:tc>
        <w:tc>
          <w:tcPr>
            <w:tcW w:w="354" w:type="pct"/>
            <w:noWrap/>
            <w:hideMark/>
          </w:tcPr>
          <w:p w14:paraId="4B2612F3"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484 </w:t>
            </w:r>
          </w:p>
        </w:tc>
        <w:tc>
          <w:tcPr>
            <w:tcW w:w="288" w:type="pct"/>
            <w:noWrap/>
            <w:hideMark/>
          </w:tcPr>
          <w:p w14:paraId="0EB1CD5F"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434 </w:t>
            </w:r>
          </w:p>
        </w:tc>
        <w:tc>
          <w:tcPr>
            <w:tcW w:w="354" w:type="pct"/>
            <w:noWrap/>
            <w:hideMark/>
          </w:tcPr>
          <w:p w14:paraId="562067DD"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398 </w:t>
            </w:r>
          </w:p>
        </w:tc>
        <w:tc>
          <w:tcPr>
            <w:tcW w:w="374" w:type="pct"/>
            <w:noWrap/>
            <w:hideMark/>
          </w:tcPr>
          <w:p w14:paraId="343D6586"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242</w:t>
            </w:r>
          </w:p>
        </w:tc>
        <w:tc>
          <w:tcPr>
            <w:tcW w:w="342" w:type="pct"/>
            <w:noWrap/>
            <w:hideMark/>
          </w:tcPr>
          <w:p w14:paraId="326C9029"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106</w:t>
            </w:r>
          </w:p>
        </w:tc>
        <w:tc>
          <w:tcPr>
            <w:tcW w:w="254" w:type="pct"/>
          </w:tcPr>
          <w:p w14:paraId="09E33D81"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 xml:space="preserve">2,788 </w:t>
            </w:r>
          </w:p>
        </w:tc>
        <w:tc>
          <w:tcPr>
            <w:tcW w:w="259" w:type="pct"/>
            <w:vMerge/>
          </w:tcPr>
          <w:p w14:paraId="6DBB31B6"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420" w:type="pct"/>
            <w:vMerge/>
          </w:tcPr>
          <w:p w14:paraId="416F07A2"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rPr>
                <w:b/>
              </w:rPr>
            </w:pPr>
          </w:p>
        </w:tc>
      </w:tr>
      <w:tr w:rsidR="003D0D3F" w:rsidRPr="004A34E0" w14:paraId="5C31E7CE" w14:textId="77777777" w:rsidTr="003D0D3F">
        <w:trPr>
          <w:trHeight w:val="231"/>
        </w:trPr>
        <w:tc>
          <w:tcPr>
            <w:cnfStyle w:val="001000000000" w:firstRow="0" w:lastRow="0" w:firstColumn="1" w:lastColumn="0" w:oddVBand="0" w:evenVBand="0" w:oddHBand="0" w:evenHBand="0" w:firstRowFirstColumn="0" w:firstRowLastColumn="0" w:lastRowFirstColumn="0" w:lastRowLastColumn="0"/>
            <w:tcW w:w="447" w:type="pct"/>
            <w:vMerge/>
          </w:tcPr>
          <w:p w14:paraId="08969B30" w14:textId="77777777" w:rsidR="003D0D3F" w:rsidRPr="004A34E0" w:rsidRDefault="003D0D3F" w:rsidP="00666947">
            <w:pPr>
              <w:pStyle w:val="TableTextLeft"/>
            </w:pPr>
          </w:p>
        </w:tc>
        <w:tc>
          <w:tcPr>
            <w:tcW w:w="463" w:type="pct"/>
            <w:hideMark/>
          </w:tcPr>
          <w:p w14:paraId="14CC3677"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International</w:t>
            </w:r>
          </w:p>
        </w:tc>
        <w:tc>
          <w:tcPr>
            <w:tcW w:w="527" w:type="pct"/>
            <w:hideMark/>
          </w:tcPr>
          <w:p w14:paraId="79522548"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Overnight visitors (000's)</w:t>
            </w:r>
          </w:p>
        </w:tc>
        <w:tc>
          <w:tcPr>
            <w:tcW w:w="389" w:type="pct"/>
            <w:noWrap/>
            <w:hideMark/>
          </w:tcPr>
          <w:p w14:paraId="5F6D21E2"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34 </w:t>
            </w:r>
          </w:p>
        </w:tc>
        <w:tc>
          <w:tcPr>
            <w:tcW w:w="528" w:type="pct"/>
            <w:noWrap/>
            <w:hideMark/>
          </w:tcPr>
          <w:p w14:paraId="78B9B623"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69 </w:t>
            </w:r>
          </w:p>
        </w:tc>
        <w:tc>
          <w:tcPr>
            <w:tcW w:w="354" w:type="pct"/>
            <w:noWrap/>
            <w:hideMark/>
          </w:tcPr>
          <w:p w14:paraId="078D5128"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19 </w:t>
            </w:r>
          </w:p>
        </w:tc>
        <w:tc>
          <w:tcPr>
            <w:tcW w:w="288" w:type="pct"/>
            <w:noWrap/>
            <w:hideMark/>
          </w:tcPr>
          <w:p w14:paraId="536F297F"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86 </w:t>
            </w:r>
          </w:p>
        </w:tc>
        <w:tc>
          <w:tcPr>
            <w:tcW w:w="354" w:type="pct"/>
            <w:noWrap/>
            <w:hideMark/>
          </w:tcPr>
          <w:p w14:paraId="6A97CF4A"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68 </w:t>
            </w:r>
          </w:p>
        </w:tc>
        <w:tc>
          <w:tcPr>
            <w:tcW w:w="374" w:type="pct"/>
            <w:noWrap/>
            <w:hideMark/>
          </w:tcPr>
          <w:p w14:paraId="5CF84823"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4</w:t>
            </w:r>
          </w:p>
        </w:tc>
        <w:tc>
          <w:tcPr>
            <w:tcW w:w="342" w:type="pct"/>
            <w:noWrap/>
            <w:hideMark/>
          </w:tcPr>
          <w:p w14:paraId="3BF44307"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54</w:t>
            </w:r>
          </w:p>
        </w:tc>
        <w:tc>
          <w:tcPr>
            <w:tcW w:w="254" w:type="pct"/>
          </w:tcPr>
          <w:p w14:paraId="24BC34FE"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 xml:space="preserve">334 </w:t>
            </w:r>
          </w:p>
        </w:tc>
        <w:tc>
          <w:tcPr>
            <w:tcW w:w="259" w:type="pct"/>
            <w:vMerge/>
          </w:tcPr>
          <w:p w14:paraId="6349B8C2"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420" w:type="pct"/>
            <w:vMerge/>
          </w:tcPr>
          <w:p w14:paraId="1E41C511"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rPr>
                <w:b/>
              </w:rPr>
            </w:pPr>
          </w:p>
        </w:tc>
      </w:tr>
      <w:tr w:rsidR="003D0D3F" w:rsidRPr="004A34E0" w14:paraId="48CC3F63" w14:textId="77777777" w:rsidTr="003D0D3F">
        <w:trPr>
          <w:trHeight w:val="70"/>
        </w:trPr>
        <w:tc>
          <w:tcPr>
            <w:cnfStyle w:val="001000000000" w:firstRow="0" w:lastRow="0" w:firstColumn="1" w:lastColumn="0" w:oddVBand="0" w:evenVBand="0" w:oddHBand="0" w:evenHBand="0" w:firstRowFirstColumn="0" w:firstRowLastColumn="0" w:lastRowFirstColumn="0" w:lastRowLastColumn="0"/>
            <w:tcW w:w="447" w:type="pct"/>
            <w:vMerge/>
          </w:tcPr>
          <w:p w14:paraId="0196A062" w14:textId="77777777" w:rsidR="003D0D3F" w:rsidRPr="004A34E0" w:rsidRDefault="003D0D3F" w:rsidP="00666947">
            <w:pPr>
              <w:pStyle w:val="TableTextLeft"/>
            </w:pPr>
          </w:p>
        </w:tc>
        <w:tc>
          <w:tcPr>
            <w:tcW w:w="989" w:type="pct"/>
            <w:gridSpan w:val="2"/>
          </w:tcPr>
          <w:p w14:paraId="0A937B37"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Total visitors (‘000)</w:t>
            </w:r>
          </w:p>
        </w:tc>
        <w:tc>
          <w:tcPr>
            <w:tcW w:w="389" w:type="pct"/>
            <w:noWrap/>
          </w:tcPr>
          <w:p w14:paraId="56EA9584"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1,525</w:t>
            </w:r>
          </w:p>
        </w:tc>
        <w:tc>
          <w:tcPr>
            <w:tcW w:w="528" w:type="pct"/>
            <w:noWrap/>
          </w:tcPr>
          <w:p w14:paraId="0076D890"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1,276</w:t>
            </w:r>
          </w:p>
        </w:tc>
        <w:tc>
          <w:tcPr>
            <w:tcW w:w="354" w:type="pct"/>
            <w:noWrap/>
          </w:tcPr>
          <w:p w14:paraId="6A5EC1CF"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1,265</w:t>
            </w:r>
          </w:p>
        </w:tc>
        <w:tc>
          <w:tcPr>
            <w:tcW w:w="288" w:type="pct"/>
            <w:noWrap/>
          </w:tcPr>
          <w:p w14:paraId="503E1690"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856</w:t>
            </w:r>
          </w:p>
        </w:tc>
        <w:tc>
          <w:tcPr>
            <w:tcW w:w="354" w:type="pct"/>
            <w:noWrap/>
          </w:tcPr>
          <w:p w14:paraId="78F47AFC"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865</w:t>
            </w:r>
          </w:p>
        </w:tc>
        <w:tc>
          <w:tcPr>
            <w:tcW w:w="374" w:type="pct"/>
            <w:noWrap/>
          </w:tcPr>
          <w:p w14:paraId="561F0C3B"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661</w:t>
            </w:r>
          </w:p>
        </w:tc>
        <w:tc>
          <w:tcPr>
            <w:tcW w:w="342" w:type="pct"/>
            <w:noWrap/>
          </w:tcPr>
          <w:p w14:paraId="002528DA"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367</w:t>
            </w:r>
          </w:p>
        </w:tc>
        <w:tc>
          <w:tcPr>
            <w:tcW w:w="254" w:type="pct"/>
          </w:tcPr>
          <w:p w14:paraId="2C9CD883"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6,815</w:t>
            </w:r>
          </w:p>
        </w:tc>
        <w:tc>
          <w:tcPr>
            <w:tcW w:w="259" w:type="pct"/>
            <w:vMerge/>
          </w:tcPr>
          <w:p w14:paraId="182ADE9A"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420" w:type="pct"/>
            <w:vMerge/>
          </w:tcPr>
          <w:p w14:paraId="3FAA86F9"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rPr>
                <w:b/>
              </w:rPr>
            </w:pPr>
          </w:p>
        </w:tc>
      </w:tr>
      <w:tr w:rsidR="003D0D3F" w:rsidRPr="004A34E0" w14:paraId="6766021C" w14:textId="77777777" w:rsidTr="003D0D3F">
        <w:trPr>
          <w:trHeight w:val="231"/>
        </w:trPr>
        <w:tc>
          <w:tcPr>
            <w:cnfStyle w:val="001000000000" w:firstRow="0" w:lastRow="0" w:firstColumn="1" w:lastColumn="0" w:oddVBand="0" w:evenVBand="0" w:oddHBand="0" w:evenHBand="0" w:firstRowFirstColumn="0" w:firstRowLastColumn="0" w:lastRowFirstColumn="0" w:lastRowLastColumn="0"/>
            <w:tcW w:w="447" w:type="pct"/>
            <w:vMerge w:val="restart"/>
            <w:shd w:val="clear" w:color="auto" w:fill="B8E9EC" w:themeFill="accent6"/>
          </w:tcPr>
          <w:p w14:paraId="5EA893DA" w14:textId="77777777" w:rsidR="003D0D3F" w:rsidRPr="004A34E0" w:rsidRDefault="003D0D3F" w:rsidP="00666947">
            <w:pPr>
              <w:pStyle w:val="TableTextLeft"/>
            </w:pPr>
            <w:r w:rsidRPr="004A34E0">
              <w:t>Attributable to ecosystems</w:t>
            </w:r>
          </w:p>
        </w:tc>
        <w:tc>
          <w:tcPr>
            <w:tcW w:w="463" w:type="pct"/>
            <w:vMerge w:val="restart"/>
            <w:shd w:val="clear" w:color="auto" w:fill="B8E9EC" w:themeFill="accent6"/>
            <w:hideMark/>
          </w:tcPr>
          <w:p w14:paraId="043CF8B4"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Domestic</w:t>
            </w:r>
          </w:p>
        </w:tc>
        <w:tc>
          <w:tcPr>
            <w:tcW w:w="527" w:type="pct"/>
            <w:shd w:val="clear" w:color="auto" w:fill="B8E9EC" w:themeFill="accent6"/>
            <w:hideMark/>
          </w:tcPr>
          <w:p w14:paraId="321DB116"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Daytrip visitors (000’s)</w:t>
            </w:r>
          </w:p>
        </w:tc>
        <w:tc>
          <w:tcPr>
            <w:tcW w:w="389" w:type="pct"/>
            <w:shd w:val="clear" w:color="auto" w:fill="B8E9EC" w:themeFill="accent6"/>
            <w:noWrap/>
          </w:tcPr>
          <w:p w14:paraId="381F6C77"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618 </w:t>
            </w:r>
          </w:p>
        </w:tc>
        <w:tc>
          <w:tcPr>
            <w:tcW w:w="528" w:type="pct"/>
            <w:shd w:val="clear" w:color="auto" w:fill="B8E9EC" w:themeFill="accent6"/>
            <w:noWrap/>
          </w:tcPr>
          <w:p w14:paraId="2890D20C"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515 </w:t>
            </w:r>
          </w:p>
        </w:tc>
        <w:tc>
          <w:tcPr>
            <w:tcW w:w="354" w:type="pct"/>
            <w:shd w:val="clear" w:color="auto" w:fill="B8E9EC" w:themeFill="accent6"/>
            <w:noWrap/>
          </w:tcPr>
          <w:p w14:paraId="56D6CE68"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549 </w:t>
            </w:r>
          </w:p>
        </w:tc>
        <w:tc>
          <w:tcPr>
            <w:tcW w:w="288" w:type="pct"/>
            <w:shd w:val="clear" w:color="auto" w:fill="B8E9EC" w:themeFill="accent6"/>
            <w:noWrap/>
          </w:tcPr>
          <w:p w14:paraId="09B94087"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242 </w:t>
            </w:r>
          </w:p>
        </w:tc>
        <w:tc>
          <w:tcPr>
            <w:tcW w:w="354" w:type="pct"/>
            <w:shd w:val="clear" w:color="auto" w:fill="B8E9EC" w:themeFill="accent6"/>
            <w:noWrap/>
          </w:tcPr>
          <w:p w14:paraId="22ED3F3B"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287 </w:t>
            </w:r>
          </w:p>
        </w:tc>
        <w:tc>
          <w:tcPr>
            <w:tcW w:w="374" w:type="pct"/>
            <w:shd w:val="clear" w:color="auto" w:fill="B8E9EC" w:themeFill="accent6"/>
            <w:noWrap/>
          </w:tcPr>
          <w:p w14:paraId="029F7927"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299 </w:t>
            </w:r>
          </w:p>
        </w:tc>
        <w:tc>
          <w:tcPr>
            <w:tcW w:w="342" w:type="pct"/>
            <w:shd w:val="clear" w:color="auto" w:fill="B8E9EC" w:themeFill="accent6"/>
            <w:noWrap/>
          </w:tcPr>
          <w:p w14:paraId="3AF781EB"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149 </w:t>
            </w:r>
          </w:p>
        </w:tc>
        <w:tc>
          <w:tcPr>
            <w:tcW w:w="254" w:type="pct"/>
            <w:shd w:val="clear" w:color="auto" w:fill="B8E9EC" w:themeFill="accent6"/>
          </w:tcPr>
          <w:p w14:paraId="443FE96B"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rPr>
                <w:b/>
              </w:rPr>
            </w:pPr>
            <w:r w:rsidRPr="004A34E0">
              <w:rPr>
                <w:b/>
              </w:rPr>
              <w:t xml:space="preserve">2,659 </w:t>
            </w:r>
          </w:p>
        </w:tc>
        <w:tc>
          <w:tcPr>
            <w:tcW w:w="259" w:type="pct"/>
            <w:vMerge w:val="restart"/>
            <w:shd w:val="clear" w:color="auto" w:fill="B8E9EC" w:themeFill="accent6"/>
          </w:tcPr>
          <w:p w14:paraId="62EA7E91"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2013 - 2019</w:t>
            </w:r>
            <w:r w:rsidRPr="004A34E0">
              <w:rPr>
                <w:vertAlign w:val="superscript"/>
              </w:rPr>
              <w:t>a</w:t>
            </w:r>
          </w:p>
        </w:tc>
        <w:tc>
          <w:tcPr>
            <w:tcW w:w="420" w:type="pct"/>
            <w:vMerge w:val="restart"/>
            <w:shd w:val="clear" w:color="auto" w:fill="B8E9EC" w:themeFill="accent6"/>
          </w:tcPr>
          <w:p w14:paraId="59067291"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Deloitte Access Economics (2020) and TRA (2013) </w:t>
            </w:r>
          </w:p>
        </w:tc>
      </w:tr>
      <w:tr w:rsidR="003D0D3F" w:rsidRPr="004A34E0" w14:paraId="6CF65B68" w14:textId="77777777" w:rsidTr="003D0D3F">
        <w:trPr>
          <w:trHeight w:val="231"/>
        </w:trPr>
        <w:tc>
          <w:tcPr>
            <w:cnfStyle w:val="001000000000" w:firstRow="0" w:lastRow="0" w:firstColumn="1" w:lastColumn="0" w:oddVBand="0" w:evenVBand="0" w:oddHBand="0" w:evenHBand="0" w:firstRowFirstColumn="0" w:firstRowLastColumn="0" w:lastRowFirstColumn="0" w:lastRowLastColumn="0"/>
            <w:tcW w:w="447" w:type="pct"/>
            <w:vMerge/>
            <w:shd w:val="clear" w:color="auto" w:fill="B8E9EC" w:themeFill="accent6"/>
          </w:tcPr>
          <w:p w14:paraId="4F6BD96B" w14:textId="77777777" w:rsidR="003D0D3F" w:rsidRPr="004A34E0" w:rsidRDefault="003D0D3F" w:rsidP="00666947">
            <w:pPr>
              <w:pStyle w:val="TableTextLeft"/>
            </w:pPr>
          </w:p>
        </w:tc>
        <w:tc>
          <w:tcPr>
            <w:tcW w:w="463" w:type="pct"/>
            <w:vMerge/>
            <w:shd w:val="clear" w:color="auto" w:fill="B8E9EC" w:themeFill="accent6"/>
            <w:hideMark/>
          </w:tcPr>
          <w:p w14:paraId="7780B143"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527" w:type="pct"/>
            <w:shd w:val="clear" w:color="auto" w:fill="B8E9EC" w:themeFill="accent6"/>
            <w:hideMark/>
          </w:tcPr>
          <w:p w14:paraId="1F1D5DEA"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Overnight visitors (000's)</w:t>
            </w:r>
          </w:p>
        </w:tc>
        <w:tc>
          <w:tcPr>
            <w:tcW w:w="389" w:type="pct"/>
            <w:shd w:val="clear" w:color="auto" w:fill="B8E9EC" w:themeFill="accent6"/>
            <w:noWrap/>
          </w:tcPr>
          <w:p w14:paraId="44A8962D"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455 </w:t>
            </w:r>
          </w:p>
        </w:tc>
        <w:tc>
          <w:tcPr>
            <w:tcW w:w="528" w:type="pct"/>
            <w:shd w:val="clear" w:color="auto" w:fill="B8E9EC" w:themeFill="accent6"/>
            <w:noWrap/>
          </w:tcPr>
          <w:p w14:paraId="129610B8"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354 </w:t>
            </w:r>
          </w:p>
        </w:tc>
        <w:tc>
          <w:tcPr>
            <w:tcW w:w="354" w:type="pct"/>
            <w:shd w:val="clear" w:color="auto" w:fill="B8E9EC" w:themeFill="accent6"/>
            <w:noWrap/>
          </w:tcPr>
          <w:p w14:paraId="220C2A8D"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348 </w:t>
            </w:r>
          </w:p>
        </w:tc>
        <w:tc>
          <w:tcPr>
            <w:tcW w:w="288" w:type="pct"/>
            <w:shd w:val="clear" w:color="auto" w:fill="B8E9EC" w:themeFill="accent6"/>
            <w:noWrap/>
          </w:tcPr>
          <w:p w14:paraId="47C9368B"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312 </w:t>
            </w:r>
          </w:p>
        </w:tc>
        <w:tc>
          <w:tcPr>
            <w:tcW w:w="354" w:type="pct"/>
            <w:shd w:val="clear" w:color="auto" w:fill="B8E9EC" w:themeFill="accent6"/>
            <w:noWrap/>
          </w:tcPr>
          <w:p w14:paraId="0D3E4BBD"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287 </w:t>
            </w:r>
          </w:p>
        </w:tc>
        <w:tc>
          <w:tcPr>
            <w:tcW w:w="374" w:type="pct"/>
            <w:shd w:val="clear" w:color="auto" w:fill="B8E9EC" w:themeFill="accent6"/>
            <w:noWrap/>
          </w:tcPr>
          <w:p w14:paraId="29EC51F3"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174 </w:t>
            </w:r>
          </w:p>
        </w:tc>
        <w:tc>
          <w:tcPr>
            <w:tcW w:w="342" w:type="pct"/>
            <w:shd w:val="clear" w:color="auto" w:fill="B8E9EC" w:themeFill="accent6"/>
            <w:noWrap/>
          </w:tcPr>
          <w:p w14:paraId="6A10AB45"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76 </w:t>
            </w:r>
          </w:p>
        </w:tc>
        <w:tc>
          <w:tcPr>
            <w:tcW w:w="254" w:type="pct"/>
            <w:shd w:val="clear" w:color="auto" w:fill="B8E9EC" w:themeFill="accent6"/>
          </w:tcPr>
          <w:p w14:paraId="1C8767A9"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 xml:space="preserve">2,007 </w:t>
            </w:r>
          </w:p>
        </w:tc>
        <w:tc>
          <w:tcPr>
            <w:tcW w:w="259" w:type="pct"/>
            <w:vMerge/>
            <w:shd w:val="clear" w:color="auto" w:fill="B8E9EC" w:themeFill="accent6"/>
          </w:tcPr>
          <w:p w14:paraId="11A07FF6"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420" w:type="pct"/>
            <w:vMerge/>
            <w:shd w:val="clear" w:color="auto" w:fill="B8E9EC" w:themeFill="accent6"/>
          </w:tcPr>
          <w:p w14:paraId="5559B15F"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rPr>
                <w:b/>
              </w:rPr>
            </w:pPr>
          </w:p>
        </w:tc>
      </w:tr>
      <w:tr w:rsidR="003D0D3F" w:rsidRPr="004A34E0" w14:paraId="557B08B9" w14:textId="77777777" w:rsidTr="003D0D3F">
        <w:trPr>
          <w:trHeight w:val="231"/>
        </w:trPr>
        <w:tc>
          <w:tcPr>
            <w:cnfStyle w:val="001000000000" w:firstRow="0" w:lastRow="0" w:firstColumn="1" w:lastColumn="0" w:oddVBand="0" w:evenVBand="0" w:oddHBand="0" w:evenHBand="0" w:firstRowFirstColumn="0" w:firstRowLastColumn="0" w:lastRowFirstColumn="0" w:lastRowLastColumn="0"/>
            <w:tcW w:w="447" w:type="pct"/>
            <w:vMerge/>
            <w:shd w:val="clear" w:color="auto" w:fill="B8E9EC" w:themeFill="accent6"/>
          </w:tcPr>
          <w:p w14:paraId="421D9313" w14:textId="77777777" w:rsidR="003D0D3F" w:rsidRPr="004A34E0" w:rsidRDefault="003D0D3F" w:rsidP="00666947">
            <w:pPr>
              <w:pStyle w:val="TableTextLeft"/>
            </w:pPr>
          </w:p>
        </w:tc>
        <w:tc>
          <w:tcPr>
            <w:tcW w:w="463" w:type="pct"/>
            <w:shd w:val="clear" w:color="auto" w:fill="B8E9EC" w:themeFill="accent6"/>
            <w:hideMark/>
          </w:tcPr>
          <w:p w14:paraId="03A02822"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International</w:t>
            </w:r>
          </w:p>
        </w:tc>
        <w:tc>
          <w:tcPr>
            <w:tcW w:w="527" w:type="pct"/>
            <w:shd w:val="clear" w:color="auto" w:fill="B8E9EC" w:themeFill="accent6"/>
            <w:hideMark/>
          </w:tcPr>
          <w:p w14:paraId="323046DE"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Overnight visitors (000's)</w:t>
            </w:r>
          </w:p>
        </w:tc>
        <w:tc>
          <w:tcPr>
            <w:tcW w:w="389" w:type="pct"/>
            <w:shd w:val="clear" w:color="auto" w:fill="B8E9EC" w:themeFill="accent6"/>
            <w:noWrap/>
          </w:tcPr>
          <w:p w14:paraId="011B7411"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24 </w:t>
            </w:r>
          </w:p>
        </w:tc>
        <w:tc>
          <w:tcPr>
            <w:tcW w:w="528" w:type="pct"/>
            <w:shd w:val="clear" w:color="auto" w:fill="B8E9EC" w:themeFill="accent6"/>
            <w:noWrap/>
          </w:tcPr>
          <w:p w14:paraId="1540533F"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50 </w:t>
            </w:r>
          </w:p>
        </w:tc>
        <w:tc>
          <w:tcPr>
            <w:tcW w:w="354" w:type="pct"/>
            <w:shd w:val="clear" w:color="auto" w:fill="B8E9EC" w:themeFill="accent6"/>
            <w:noWrap/>
          </w:tcPr>
          <w:p w14:paraId="5FC64BA9"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14 </w:t>
            </w:r>
          </w:p>
        </w:tc>
        <w:tc>
          <w:tcPr>
            <w:tcW w:w="288" w:type="pct"/>
            <w:shd w:val="clear" w:color="auto" w:fill="B8E9EC" w:themeFill="accent6"/>
            <w:noWrap/>
          </w:tcPr>
          <w:p w14:paraId="55518B71"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62 </w:t>
            </w:r>
          </w:p>
        </w:tc>
        <w:tc>
          <w:tcPr>
            <w:tcW w:w="354" w:type="pct"/>
            <w:shd w:val="clear" w:color="auto" w:fill="B8E9EC" w:themeFill="accent6"/>
            <w:noWrap/>
          </w:tcPr>
          <w:p w14:paraId="345F4591"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49 </w:t>
            </w:r>
          </w:p>
        </w:tc>
        <w:tc>
          <w:tcPr>
            <w:tcW w:w="374" w:type="pct"/>
            <w:shd w:val="clear" w:color="auto" w:fill="B8E9EC" w:themeFill="accent6"/>
            <w:noWrap/>
          </w:tcPr>
          <w:p w14:paraId="45FCAB82"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3 </w:t>
            </w:r>
          </w:p>
        </w:tc>
        <w:tc>
          <w:tcPr>
            <w:tcW w:w="342" w:type="pct"/>
            <w:shd w:val="clear" w:color="auto" w:fill="B8E9EC" w:themeFill="accent6"/>
            <w:noWrap/>
          </w:tcPr>
          <w:p w14:paraId="094C8048"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39 </w:t>
            </w:r>
          </w:p>
        </w:tc>
        <w:tc>
          <w:tcPr>
            <w:tcW w:w="254" w:type="pct"/>
            <w:shd w:val="clear" w:color="auto" w:fill="B8E9EC" w:themeFill="accent6"/>
          </w:tcPr>
          <w:p w14:paraId="56E20CC4"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 xml:space="preserve">240 </w:t>
            </w:r>
          </w:p>
        </w:tc>
        <w:tc>
          <w:tcPr>
            <w:tcW w:w="259" w:type="pct"/>
            <w:vMerge/>
            <w:shd w:val="clear" w:color="auto" w:fill="B8E9EC" w:themeFill="accent6"/>
          </w:tcPr>
          <w:p w14:paraId="3910A766"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420" w:type="pct"/>
            <w:vMerge/>
            <w:shd w:val="clear" w:color="auto" w:fill="B8E9EC" w:themeFill="accent6"/>
          </w:tcPr>
          <w:p w14:paraId="4EF2D8FC"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rPr>
                <w:b/>
              </w:rPr>
            </w:pPr>
          </w:p>
        </w:tc>
      </w:tr>
      <w:tr w:rsidR="003D0D3F" w:rsidRPr="004A34E0" w14:paraId="499B5E4F" w14:textId="77777777" w:rsidTr="003D0D3F">
        <w:trPr>
          <w:trHeight w:val="70"/>
        </w:trPr>
        <w:tc>
          <w:tcPr>
            <w:cnfStyle w:val="001000000000" w:firstRow="0" w:lastRow="0" w:firstColumn="1" w:lastColumn="0" w:oddVBand="0" w:evenVBand="0" w:oddHBand="0" w:evenHBand="0" w:firstRowFirstColumn="0" w:firstRowLastColumn="0" w:lastRowFirstColumn="0" w:lastRowLastColumn="0"/>
            <w:tcW w:w="447" w:type="pct"/>
            <w:vMerge/>
            <w:shd w:val="clear" w:color="auto" w:fill="B8E9EC" w:themeFill="accent6"/>
          </w:tcPr>
          <w:p w14:paraId="6C0A7E7E" w14:textId="77777777" w:rsidR="003D0D3F" w:rsidRPr="004A34E0" w:rsidRDefault="003D0D3F" w:rsidP="00666947">
            <w:pPr>
              <w:pStyle w:val="TableTextLeft"/>
            </w:pPr>
          </w:p>
        </w:tc>
        <w:tc>
          <w:tcPr>
            <w:tcW w:w="989" w:type="pct"/>
            <w:gridSpan w:val="2"/>
            <w:shd w:val="clear" w:color="auto" w:fill="B8E9EC" w:themeFill="accent6"/>
          </w:tcPr>
          <w:p w14:paraId="69A38714"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Total visitors (‘000)</w:t>
            </w:r>
          </w:p>
        </w:tc>
        <w:tc>
          <w:tcPr>
            <w:tcW w:w="389" w:type="pct"/>
            <w:shd w:val="clear" w:color="auto" w:fill="B8E9EC" w:themeFill="accent6"/>
            <w:noWrap/>
          </w:tcPr>
          <w:p w14:paraId="41820C44"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rPr>
                <w:b/>
              </w:rPr>
            </w:pPr>
            <w:r w:rsidRPr="004A34E0">
              <w:t xml:space="preserve"> 1,098 </w:t>
            </w:r>
          </w:p>
        </w:tc>
        <w:tc>
          <w:tcPr>
            <w:tcW w:w="528" w:type="pct"/>
            <w:shd w:val="clear" w:color="auto" w:fill="B8E9EC" w:themeFill="accent6"/>
            <w:noWrap/>
          </w:tcPr>
          <w:p w14:paraId="351D6C2A"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rPr>
                <w:b/>
              </w:rPr>
            </w:pPr>
            <w:r w:rsidRPr="004A34E0">
              <w:t xml:space="preserve"> 919 </w:t>
            </w:r>
          </w:p>
        </w:tc>
        <w:tc>
          <w:tcPr>
            <w:tcW w:w="354" w:type="pct"/>
            <w:shd w:val="clear" w:color="auto" w:fill="B8E9EC" w:themeFill="accent6"/>
            <w:noWrap/>
          </w:tcPr>
          <w:p w14:paraId="44CB4A78"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rPr>
                <w:b/>
              </w:rPr>
            </w:pPr>
            <w:r w:rsidRPr="004A34E0">
              <w:t xml:space="preserve"> 911 </w:t>
            </w:r>
          </w:p>
        </w:tc>
        <w:tc>
          <w:tcPr>
            <w:tcW w:w="288" w:type="pct"/>
            <w:shd w:val="clear" w:color="auto" w:fill="B8E9EC" w:themeFill="accent6"/>
            <w:noWrap/>
          </w:tcPr>
          <w:p w14:paraId="45F4B4CF"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rPr>
                <w:b/>
              </w:rPr>
            </w:pPr>
            <w:r w:rsidRPr="004A34E0">
              <w:t xml:space="preserve"> 616 </w:t>
            </w:r>
          </w:p>
        </w:tc>
        <w:tc>
          <w:tcPr>
            <w:tcW w:w="354" w:type="pct"/>
            <w:shd w:val="clear" w:color="auto" w:fill="B8E9EC" w:themeFill="accent6"/>
            <w:noWrap/>
          </w:tcPr>
          <w:p w14:paraId="57C95385"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rPr>
                <w:b/>
              </w:rPr>
            </w:pPr>
            <w:r w:rsidRPr="004A34E0">
              <w:t xml:space="preserve"> 623 </w:t>
            </w:r>
          </w:p>
        </w:tc>
        <w:tc>
          <w:tcPr>
            <w:tcW w:w="374" w:type="pct"/>
            <w:shd w:val="clear" w:color="auto" w:fill="B8E9EC" w:themeFill="accent6"/>
            <w:noWrap/>
          </w:tcPr>
          <w:p w14:paraId="61960BDA"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rPr>
                <w:b/>
              </w:rPr>
            </w:pPr>
            <w:r w:rsidRPr="004A34E0">
              <w:t xml:space="preserve"> 476 </w:t>
            </w:r>
          </w:p>
        </w:tc>
        <w:tc>
          <w:tcPr>
            <w:tcW w:w="342" w:type="pct"/>
            <w:shd w:val="clear" w:color="auto" w:fill="B8E9EC" w:themeFill="accent6"/>
            <w:noWrap/>
          </w:tcPr>
          <w:p w14:paraId="545191AC"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264 </w:t>
            </w:r>
          </w:p>
        </w:tc>
        <w:tc>
          <w:tcPr>
            <w:tcW w:w="254" w:type="pct"/>
            <w:shd w:val="clear" w:color="auto" w:fill="B8E9EC" w:themeFill="accent6"/>
          </w:tcPr>
          <w:p w14:paraId="584E4767"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4,907</w:t>
            </w:r>
          </w:p>
        </w:tc>
        <w:tc>
          <w:tcPr>
            <w:tcW w:w="259" w:type="pct"/>
            <w:vMerge/>
            <w:shd w:val="clear" w:color="auto" w:fill="B8E9EC" w:themeFill="accent6"/>
          </w:tcPr>
          <w:p w14:paraId="4E16250A"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420" w:type="pct"/>
            <w:vMerge/>
            <w:shd w:val="clear" w:color="auto" w:fill="B8E9EC" w:themeFill="accent6"/>
          </w:tcPr>
          <w:p w14:paraId="4297DCAE" w14:textId="77777777" w:rsidR="003D0D3F" w:rsidRPr="004A34E0" w:rsidRDefault="003D0D3F" w:rsidP="00666947">
            <w:pPr>
              <w:pStyle w:val="TableTextLeft"/>
              <w:cnfStyle w:val="000000000000" w:firstRow="0" w:lastRow="0" w:firstColumn="0" w:lastColumn="0" w:oddVBand="0" w:evenVBand="0" w:oddHBand="0" w:evenHBand="0" w:firstRowFirstColumn="0" w:firstRowLastColumn="0" w:lastRowFirstColumn="0" w:lastRowLastColumn="0"/>
              <w:rPr>
                <w:b/>
              </w:rPr>
            </w:pPr>
          </w:p>
        </w:tc>
      </w:tr>
    </w:tbl>
    <w:p w14:paraId="3F03B926" w14:textId="77777777" w:rsidR="007904E8" w:rsidRPr="004A34E0" w:rsidRDefault="007904E8" w:rsidP="00270081">
      <w:pPr>
        <w:pStyle w:val="Caption"/>
      </w:pPr>
      <w:r w:rsidRPr="004A34E0">
        <w:t xml:space="preserve">Table 60. Recreational and tourism participation to GOR LGA’s for 2019 </w:t>
      </w:r>
    </w:p>
    <w:tbl>
      <w:tblPr>
        <w:tblStyle w:val="TableGrid"/>
        <w:tblW w:w="5000" w:type="pct"/>
        <w:tblLook w:val="04A0" w:firstRow="1" w:lastRow="0" w:firstColumn="1" w:lastColumn="0" w:noHBand="0" w:noVBand="1"/>
      </w:tblPr>
      <w:tblGrid>
        <w:gridCol w:w="1282"/>
        <w:gridCol w:w="1327"/>
        <w:gridCol w:w="1983"/>
        <w:gridCol w:w="1428"/>
        <w:gridCol w:w="1145"/>
        <w:gridCol w:w="1238"/>
        <w:gridCol w:w="1449"/>
        <w:gridCol w:w="1515"/>
        <w:gridCol w:w="889"/>
        <w:gridCol w:w="1157"/>
        <w:gridCol w:w="1157"/>
      </w:tblGrid>
      <w:tr w:rsidR="003D4383" w:rsidRPr="004A34E0" w14:paraId="12C02C7F" w14:textId="77777777" w:rsidTr="003D0D3F">
        <w:trPr>
          <w:cnfStyle w:val="100000000000" w:firstRow="1" w:lastRow="0" w:firstColumn="0" w:lastColumn="0" w:oddVBand="0" w:evenVBand="0" w:oddHBand="0"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440" w:type="pct"/>
          </w:tcPr>
          <w:p w14:paraId="72B78398" w14:textId="77777777" w:rsidR="007904E8" w:rsidRPr="004A34E0" w:rsidRDefault="007904E8" w:rsidP="00666947">
            <w:pPr>
              <w:pStyle w:val="TableTextLeft"/>
            </w:pPr>
          </w:p>
        </w:tc>
        <w:tc>
          <w:tcPr>
            <w:tcW w:w="455" w:type="pct"/>
            <w:noWrap/>
            <w:hideMark/>
          </w:tcPr>
          <w:p w14:paraId="054044A6"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p>
        </w:tc>
        <w:tc>
          <w:tcPr>
            <w:tcW w:w="681" w:type="pct"/>
            <w:noWrap/>
            <w:hideMark/>
          </w:tcPr>
          <w:p w14:paraId="0D965379"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p>
        </w:tc>
        <w:tc>
          <w:tcPr>
            <w:tcW w:w="490" w:type="pct"/>
            <w:noWrap/>
            <w:hideMark/>
          </w:tcPr>
          <w:p w14:paraId="5B0D0127"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Colac Otway</w:t>
            </w:r>
          </w:p>
        </w:tc>
        <w:tc>
          <w:tcPr>
            <w:tcW w:w="393" w:type="pct"/>
            <w:noWrap/>
            <w:hideMark/>
          </w:tcPr>
          <w:p w14:paraId="1CF217DA"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Moyne</w:t>
            </w:r>
          </w:p>
        </w:tc>
        <w:tc>
          <w:tcPr>
            <w:tcW w:w="425" w:type="pct"/>
            <w:noWrap/>
            <w:hideMark/>
          </w:tcPr>
          <w:p w14:paraId="0E89C224"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Surf Coast</w:t>
            </w:r>
          </w:p>
        </w:tc>
        <w:tc>
          <w:tcPr>
            <w:tcW w:w="497" w:type="pct"/>
            <w:noWrap/>
            <w:hideMark/>
          </w:tcPr>
          <w:p w14:paraId="55E99E8B"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Corangamite</w:t>
            </w:r>
          </w:p>
        </w:tc>
        <w:tc>
          <w:tcPr>
            <w:tcW w:w="520" w:type="pct"/>
            <w:noWrap/>
            <w:hideMark/>
          </w:tcPr>
          <w:p w14:paraId="7E740E90"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Warrnambool</w:t>
            </w:r>
          </w:p>
        </w:tc>
        <w:tc>
          <w:tcPr>
            <w:tcW w:w="305" w:type="pct"/>
          </w:tcPr>
          <w:p w14:paraId="455FA2DF"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rPr>
                <w:b/>
              </w:rPr>
            </w:pPr>
            <w:r w:rsidRPr="004A34E0">
              <w:rPr>
                <w:b/>
              </w:rPr>
              <w:t>Total</w:t>
            </w:r>
          </w:p>
          <w:p w14:paraId="00F828E5"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p>
        </w:tc>
        <w:tc>
          <w:tcPr>
            <w:tcW w:w="397" w:type="pct"/>
          </w:tcPr>
          <w:p w14:paraId="4B45918A"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Year</w:t>
            </w:r>
          </w:p>
        </w:tc>
        <w:tc>
          <w:tcPr>
            <w:tcW w:w="397" w:type="pct"/>
          </w:tcPr>
          <w:p w14:paraId="46ED2563"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rPr>
                <w:b/>
              </w:rPr>
            </w:pPr>
            <w:r w:rsidRPr="004A34E0">
              <w:rPr>
                <w:b/>
              </w:rPr>
              <w:t>Source</w:t>
            </w:r>
          </w:p>
        </w:tc>
      </w:tr>
      <w:tr w:rsidR="007904E8" w:rsidRPr="004A34E0" w14:paraId="66C48CD5" w14:textId="77777777" w:rsidTr="003D0D3F">
        <w:trPr>
          <w:trHeight w:val="63"/>
        </w:trPr>
        <w:tc>
          <w:tcPr>
            <w:cnfStyle w:val="001000000000" w:firstRow="0" w:lastRow="0" w:firstColumn="1" w:lastColumn="0" w:oddVBand="0" w:evenVBand="0" w:oddHBand="0" w:evenHBand="0" w:firstRowFirstColumn="0" w:firstRowLastColumn="0" w:lastRowFirstColumn="0" w:lastRowLastColumn="0"/>
            <w:tcW w:w="440" w:type="pct"/>
            <w:vMerge w:val="restart"/>
          </w:tcPr>
          <w:p w14:paraId="7177BC55" w14:textId="77777777" w:rsidR="007904E8" w:rsidRPr="004A34E0" w:rsidRDefault="007904E8" w:rsidP="00666947">
            <w:pPr>
              <w:pStyle w:val="TableTextLeft"/>
            </w:pPr>
            <w:r w:rsidRPr="004A34E0">
              <w:t>Total</w:t>
            </w:r>
          </w:p>
        </w:tc>
        <w:tc>
          <w:tcPr>
            <w:tcW w:w="455" w:type="pct"/>
            <w:hideMark/>
          </w:tcPr>
          <w:p w14:paraId="1980EB9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Domestic</w:t>
            </w:r>
          </w:p>
        </w:tc>
        <w:tc>
          <w:tcPr>
            <w:tcW w:w="681" w:type="pct"/>
            <w:hideMark/>
          </w:tcPr>
          <w:p w14:paraId="01D9AF5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Daytrip visitors (000’s)</w:t>
            </w:r>
          </w:p>
        </w:tc>
        <w:tc>
          <w:tcPr>
            <w:tcW w:w="490" w:type="pct"/>
            <w:noWrap/>
            <w:hideMark/>
          </w:tcPr>
          <w:p w14:paraId="1728165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491 </w:t>
            </w:r>
          </w:p>
        </w:tc>
        <w:tc>
          <w:tcPr>
            <w:tcW w:w="393" w:type="pct"/>
            <w:noWrap/>
            <w:hideMark/>
          </w:tcPr>
          <w:p w14:paraId="77ECCB0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156 </w:t>
            </w:r>
          </w:p>
        </w:tc>
        <w:tc>
          <w:tcPr>
            <w:tcW w:w="425" w:type="pct"/>
            <w:noWrap/>
            <w:hideMark/>
          </w:tcPr>
          <w:p w14:paraId="52351BA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1,479 </w:t>
            </w:r>
          </w:p>
        </w:tc>
        <w:tc>
          <w:tcPr>
            <w:tcW w:w="497" w:type="pct"/>
            <w:noWrap/>
            <w:hideMark/>
          </w:tcPr>
          <w:p w14:paraId="5A73200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299 </w:t>
            </w:r>
          </w:p>
        </w:tc>
        <w:tc>
          <w:tcPr>
            <w:tcW w:w="520" w:type="pct"/>
            <w:noWrap/>
            <w:hideMark/>
          </w:tcPr>
          <w:p w14:paraId="0DA15DA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547 </w:t>
            </w:r>
          </w:p>
        </w:tc>
        <w:tc>
          <w:tcPr>
            <w:tcW w:w="305" w:type="pct"/>
          </w:tcPr>
          <w:p w14:paraId="02929BB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rPr>
            </w:pPr>
            <w:r w:rsidRPr="004A34E0">
              <w:rPr>
                <w:b/>
              </w:rPr>
              <w:t xml:space="preserve"> 2,972 </w:t>
            </w:r>
          </w:p>
        </w:tc>
        <w:tc>
          <w:tcPr>
            <w:tcW w:w="397" w:type="pct"/>
            <w:vMerge w:val="restart"/>
          </w:tcPr>
          <w:p w14:paraId="4D6CC9B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2019</w:t>
            </w:r>
          </w:p>
        </w:tc>
        <w:tc>
          <w:tcPr>
            <w:tcW w:w="397" w:type="pct"/>
            <w:vMerge w:val="restart"/>
          </w:tcPr>
          <w:p w14:paraId="6182821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TRA (2021)</w:t>
            </w:r>
          </w:p>
        </w:tc>
      </w:tr>
      <w:tr w:rsidR="007904E8" w:rsidRPr="004A34E0" w14:paraId="0CC73A16" w14:textId="77777777" w:rsidTr="003D0D3F">
        <w:trPr>
          <w:trHeight w:val="138"/>
        </w:trPr>
        <w:tc>
          <w:tcPr>
            <w:cnfStyle w:val="001000000000" w:firstRow="0" w:lastRow="0" w:firstColumn="1" w:lastColumn="0" w:oddVBand="0" w:evenVBand="0" w:oddHBand="0" w:evenHBand="0" w:firstRowFirstColumn="0" w:firstRowLastColumn="0" w:lastRowFirstColumn="0" w:lastRowLastColumn="0"/>
            <w:tcW w:w="440" w:type="pct"/>
            <w:vMerge/>
          </w:tcPr>
          <w:p w14:paraId="1D5BAC3C" w14:textId="77777777" w:rsidR="007904E8" w:rsidRPr="004A34E0" w:rsidRDefault="007904E8" w:rsidP="00666947">
            <w:pPr>
              <w:pStyle w:val="TableTextLeft"/>
            </w:pPr>
          </w:p>
        </w:tc>
        <w:tc>
          <w:tcPr>
            <w:tcW w:w="455" w:type="pct"/>
            <w:hideMark/>
          </w:tcPr>
          <w:p w14:paraId="60EB400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681" w:type="pct"/>
            <w:hideMark/>
          </w:tcPr>
          <w:p w14:paraId="3C0347C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Overnight visitors (000's)</w:t>
            </w:r>
          </w:p>
        </w:tc>
        <w:tc>
          <w:tcPr>
            <w:tcW w:w="490" w:type="pct"/>
            <w:noWrap/>
            <w:hideMark/>
          </w:tcPr>
          <w:p w14:paraId="64E52F8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449 </w:t>
            </w:r>
          </w:p>
        </w:tc>
        <w:tc>
          <w:tcPr>
            <w:tcW w:w="393" w:type="pct"/>
            <w:noWrap/>
            <w:hideMark/>
          </w:tcPr>
          <w:p w14:paraId="475C20A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205 </w:t>
            </w:r>
          </w:p>
        </w:tc>
        <w:tc>
          <w:tcPr>
            <w:tcW w:w="425" w:type="pct"/>
            <w:noWrap/>
            <w:hideMark/>
          </w:tcPr>
          <w:p w14:paraId="345DC11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1,017 </w:t>
            </w:r>
          </w:p>
        </w:tc>
        <w:tc>
          <w:tcPr>
            <w:tcW w:w="497" w:type="pct"/>
            <w:noWrap/>
            <w:hideMark/>
          </w:tcPr>
          <w:p w14:paraId="0BC59D6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165 </w:t>
            </w:r>
          </w:p>
        </w:tc>
        <w:tc>
          <w:tcPr>
            <w:tcW w:w="520" w:type="pct"/>
            <w:noWrap/>
            <w:hideMark/>
          </w:tcPr>
          <w:p w14:paraId="3734FAB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407 </w:t>
            </w:r>
          </w:p>
        </w:tc>
        <w:tc>
          <w:tcPr>
            <w:tcW w:w="305" w:type="pct"/>
          </w:tcPr>
          <w:p w14:paraId="06825CE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 xml:space="preserve"> 2,243 </w:t>
            </w:r>
          </w:p>
        </w:tc>
        <w:tc>
          <w:tcPr>
            <w:tcW w:w="397" w:type="pct"/>
            <w:vMerge/>
          </w:tcPr>
          <w:p w14:paraId="5233B6E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rPr>
            </w:pPr>
          </w:p>
        </w:tc>
        <w:tc>
          <w:tcPr>
            <w:tcW w:w="397" w:type="pct"/>
            <w:vMerge/>
          </w:tcPr>
          <w:p w14:paraId="24FCAEB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3272E190" w14:textId="77777777" w:rsidTr="003D0D3F">
        <w:trPr>
          <w:trHeight w:val="138"/>
        </w:trPr>
        <w:tc>
          <w:tcPr>
            <w:cnfStyle w:val="001000000000" w:firstRow="0" w:lastRow="0" w:firstColumn="1" w:lastColumn="0" w:oddVBand="0" w:evenVBand="0" w:oddHBand="0" w:evenHBand="0" w:firstRowFirstColumn="0" w:firstRowLastColumn="0" w:lastRowFirstColumn="0" w:lastRowLastColumn="0"/>
            <w:tcW w:w="440" w:type="pct"/>
            <w:vMerge/>
          </w:tcPr>
          <w:p w14:paraId="520C19C9" w14:textId="77777777" w:rsidR="007904E8" w:rsidRPr="004A34E0" w:rsidRDefault="007904E8" w:rsidP="00666947">
            <w:pPr>
              <w:pStyle w:val="TableTextLeft"/>
            </w:pPr>
          </w:p>
        </w:tc>
        <w:tc>
          <w:tcPr>
            <w:tcW w:w="455" w:type="pct"/>
            <w:hideMark/>
          </w:tcPr>
          <w:p w14:paraId="35460BE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International</w:t>
            </w:r>
          </w:p>
        </w:tc>
        <w:tc>
          <w:tcPr>
            <w:tcW w:w="681" w:type="pct"/>
            <w:hideMark/>
          </w:tcPr>
          <w:p w14:paraId="5B43C5F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Overnight visitors (000's)</w:t>
            </w:r>
          </w:p>
        </w:tc>
        <w:tc>
          <w:tcPr>
            <w:tcW w:w="490" w:type="pct"/>
            <w:noWrap/>
            <w:hideMark/>
          </w:tcPr>
          <w:p w14:paraId="520E197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80 </w:t>
            </w:r>
          </w:p>
        </w:tc>
        <w:tc>
          <w:tcPr>
            <w:tcW w:w="393" w:type="pct"/>
            <w:noWrap/>
            <w:hideMark/>
          </w:tcPr>
          <w:p w14:paraId="01F33BA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24 </w:t>
            </w:r>
          </w:p>
        </w:tc>
        <w:tc>
          <w:tcPr>
            <w:tcW w:w="425" w:type="pct"/>
            <w:noWrap/>
            <w:hideMark/>
          </w:tcPr>
          <w:p w14:paraId="6B4343B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50 </w:t>
            </w:r>
          </w:p>
        </w:tc>
        <w:tc>
          <w:tcPr>
            <w:tcW w:w="497" w:type="pct"/>
            <w:noWrap/>
            <w:hideMark/>
          </w:tcPr>
          <w:p w14:paraId="0E898E1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49 </w:t>
            </w:r>
          </w:p>
        </w:tc>
        <w:tc>
          <w:tcPr>
            <w:tcW w:w="520" w:type="pct"/>
            <w:noWrap/>
            <w:hideMark/>
          </w:tcPr>
          <w:p w14:paraId="4E1DB5C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34 </w:t>
            </w:r>
          </w:p>
        </w:tc>
        <w:tc>
          <w:tcPr>
            <w:tcW w:w="305" w:type="pct"/>
          </w:tcPr>
          <w:p w14:paraId="64D3FC9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 xml:space="preserve"> 237 </w:t>
            </w:r>
          </w:p>
        </w:tc>
        <w:tc>
          <w:tcPr>
            <w:tcW w:w="397" w:type="pct"/>
            <w:vMerge/>
          </w:tcPr>
          <w:p w14:paraId="338F2B5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rPr>
            </w:pPr>
          </w:p>
        </w:tc>
        <w:tc>
          <w:tcPr>
            <w:tcW w:w="397" w:type="pct"/>
            <w:vMerge/>
          </w:tcPr>
          <w:p w14:paraId="167F733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904E8" w:rsidRPr="004A34E0" w14:paraId="48194DD1" w14:textId="77777777" w:rsidTr="003D0D3F">
        <w:trPr>
          <w:trHeight w:val="138"/>
        </w:trPr>
        <w:tc>
          <w:tcPr>
            <w:cnfStyle w:val="001000000000" w:firstRow="0" w:lastRow="0" w:firstColumn="1" w:lastColumn="0" w:oddVBand="0" w:evenVBand="0" w:oddHBand="0" w:evenHBand="0" w:firstRowFirstColumn="0" w:firstRowLastColumn="0" w:lastRowFirstColumn="0" w:lastRowLastColumn="0"/>
            <w:tcW w:w="440" w:type="pct"/>
            <w:vMerge/>
          </w:tcPr>
          <w:p w14:paraId="7C442514" w14:textId="77777777" w:rsidR="007904E8" w:rsidRPr="004A34E0" w:rsidRDefault="007904E8" w:rsidP="00666947">
            <w:pPr>
              <w:pStyle w:val="TableTextLeft"/>
            </w:pPr>
          </w:p>
        </w:tc>
        <w:tc>
          <w:tcPr>
            <w:tcW w:w="1136" w:type="pct"/>
            <w:gridSpan w:val="2"/>
            <w:hideMark/>
          </w:tcPr>
          <w:p w14:paraId="5D4F735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i/>
              </w:rPr>
            </w:pPr>
            <w:r w:rsidRPr="004A34E0">
              <w:rPr>
                <w:b/>
              </w:rPr>
              <w:t>Total visitors (‘000)</w:t>
            </w:r>
          </w:p>
        </w:tc>
        <w:tc>
          <w:tcPr>
            <w:tcW w:w="490" w:type="pct"/>
            <w:noWrap/>
          </w:tcPr>
          <w:p w14:paraId="4C07B86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1,020</w:t>
            </w:r>
          </w:p>
        </w:tc>
        <w:tc>
          <w:tcPr>
            <w:tcW w:w="393" w:type="pct"/>
            <w:noWrap/>
          </w:tcPr>
          <w:p w14:paraId="5F3B0AC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385</w:t>
            </w:r>
          </w:p>
        </w:tc>
        <w:tc>
          <w:tcPr>
            <w:tcW w:w="425" w:type="pct"/>
            <w:noWrap/>
          </w:tcPr>
          <w:p w14:paraId="771A7F8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2,546</w:t>
            </w:r>
          </w:p>
        </w:tc>
        <w:tc>
          <w:tcPr>
            <w:tcW w:w="497" w:type="pct"/>
            <w:noWrap/>
          </w:tcPr>
          <w:p w14:paraId="4E9BB0E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513</w:t>
            </w:r>
          </w:p>
        </w:tc>
        <w:tc>
          <w:tcPr>
            <w:tcW w:w="520" w:type="pct"/>
            <w:noWrap/>
          </w:tcPr>
          <w:p w14:paraId="45DDFA1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988</w:t>
            </w:r>
          </w:p>
        </w:tc>
        <w:tc>
          <w:tcPr>
            <w:tcW w:w="305" w:type="pct"/>
          </w:tcPr>
          <w:p w14:paraId="6FCF0C7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 xml:space="preserve"> 5,452</w:t>
            </w:r>
          </w:p>
        </w:tc>
        <w:tc>
          <w:tcPr>
            <w:tcW w:w="397" w:type="pct"/>
            <w:vMerge/>
          </w:tcPr>
          <w:p w14:paraId="751EAE4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rPr>
            </w:pPr>
          </w:p>
        </w:tc>
        <w:tc>
          <w:tcPr>
            <w:tcW w:w="397" w:type="pct"/>
            <w:vMerge/>
          </w:tcPr>
          <w:p w14:paraId="3510299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3D0D3F" w:rsidRPr="004A34E0" w14:paraId="654E3683" w14:textId="77777777" w:rsidTr="003D0D3F">
        <w:trPr>
          <w:trHeight w:val="63"/>
        </w:trPr>
        <w:tc>
          <w:tcPr>
            <w:cnfStyle w:val="001000000000" w:firstRow="0" w:lastRow="0" w:firstColumn="1" w:lastColumn="0" w:oddVBand="0" w:evenVBand="0" w:oddHBand="0" w:evenHBand="0" w:firstRowFirstColumn="0" w:firstRowLastColumn="0" w:lastRowFirstColumn="0" w:lastRowLastColumn="0"/>
            <w:tcW w:w="440" w:type="pct"/>
            <w:vMerge w:val="restart"/>
            <w:shd w:val="clear" w:color="auto" w:fill="B8E9EC" w:themeFill="accent6"/>
          </w:tcPr>
          <w:p w14:paraId="0DCB2657" w14:textId="77777777" w:rsidR="007904E8" w:rsidRPr="004A34E0" w:rsidRDefault="007904E8" w:rsidP="00666947">
            <w:pPr>
              <w:pStyle w:val="TableTextLeft"/>
            </w:pPr>
            <w:r w:rsidRPr="004A34E0">
              <w:lastRenderedPageBreak/>
              <w:t>Attributable to ecosystems</w:t>
            </w:r>
          </w:p>
        </w:tc>
        <w:tc>
          <w:tcPr>
            <w:tcW w:w="455" w:type="pct"/>
            <w:shd w:val="clear" w:color="auto" w:fill="B8E9EC" w:themeFill="accent6"/>
            <w:hideMark/>
          </w:tcPr>
          <w:p w14:paraId="458AA22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Domestic</w:t>
            </w:r>
          </w:p>
        </w:tc>
        <w:tc>
          <w:tcPr>
            <w:tcW w:w="681" w:type="pct"/>
            <w:shd w:val="clear" w:color="auto" w:fill="B8E9EC" w:themeFill="accent6"/>
            <w:hideMark/>
          </w:tcPr>
          <w:p w14:paraId="727BCE7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Daytrip visitors (000’s)</w:t>
            </w:r>
          </w:p>
        </w:tc>
        <w:tc>
          <w:tcPr>
            <w:tcW w:w="490" w:type="pct"/>
            <w:shd w:val="clear" w:color="auto" w:fill="B8E9EC" w:themeFill="accent6"/>
            <w:noWrap/>
          </w:tcPr>
          <w:p w14:paraId="12ACA7B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354 </w:t>
            </w:r>
          </w:p>
        </w:tc>
        <w:tc>
          <w:tcPr>
            <w:tcW w:w="393" w:type="pct"/>
            <w:shd w:val="clear" w:color="auto" w:fill="B8E9EC" w:themeFill="accent6"/>
            <w:noWrap/>
          </w:tcPr>
          <w:p w14:paraId="04A9D98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112 </w:t>
            </w:r>
          </w:p>
        </w:tc>
        <w:tc>
          <w:tcPr>
            <w:tcW w:w="425" w:type="pct"/>
            <w:shd w:val="clear" w:color="auto" w:fill="B8E9EC" w:themeFill="accent6"/>
            <w:noWrap/>
          </w:tcPr>
          <w:p w14:paraId="030B4B5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1,065 </w:t>
            </w:r>
          </w:p>
        </w:tc>
        <w:tc>
          <w:tcPr>
            <w:tcW w:w="497" w:type="pct"/>
            <w:shd w:val="clear" w:color="auto" w:fill="B8E9EC" w:themeFill="accent6"/>
            <w:noWrap/>
          </w:tcPr>
          <w:p w14:paraId="63570C8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215 </w:t>
            </w:r>
          </w:p>
        </w:tc>
        <w:tc>
          <w:tcPr>
            <w:tcW w:w="520" w:type="pct"/>
            <w:shd w:val="clear" w:color="auto" w:fill="B8E9EC" w:themeFill="accent6"/>
            <w:noWrap/>
          </w:tcPr>
          <w:p w14:paraId="1D882D1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394 </w:t>
            </w:r>
          </w:p>
        </w:tc>
        <w:tc>
          <w:tcPr>
            <w:tcW w:w="305" w:type="pct"/>
            <w:shd w:val="clear" w:color="auto" w:fill="B8E9EC" w:themeFill="accent6"/>
          </w:tcPr>
          <w:p w14:paraId="0C360BD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rPr>
            </w:pPr>
            <w:r w:rsidRPr="004A34E0">
              <w:rPr>
                <w:b/>
              </w:rPr>
              <w:t xml:space="preserve"> 2,140 </w:t>
            </w:r>
          </w:p>
        </w:tc>
        <w:tc>
          <w:tcPr>
            <w:tcW w:w="397" w:type="pct"/>
            <w:vMerge w:val="restart"/>
            <w:shd w:val="clear" w:color="auto" w:fill="B8E9EC" w:themeFill="accent6"/>
          </w:tcPr>
          <w:p w14:paraId="1070299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2013 - 2019</w:t>
            </w:r>
            <w:r w:rsidRPr="004A34E0">
              <w:rPr>
                <w:vertAlign w:val="superscript"/>
              </w:rPr>
              <w:t>a</w:t>
            </w:r>
          </w:p>
        </w:tc>
        <w:tc>
          <w:tcPr>
            <w:tcW w:w="397" w:type="pct"/>
            <w:vMerge w:val="restart"/>
            <w:shd w:val="clear" w:color="auto" w:fill="B8E9EC" w:themeFill="accent6"/>
          </w:tcPr>
          <w:p w14:paraId="39F774F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TRA (2013 and 2021)</w:t>
            </w:r>
          </w:p>
        </w:tc>
      </w:tr>
      <w:tr w:rsidR="003D0D3F" w:rsidRPr="004A34E0" w14:paraId="5DCCB5DE" w14:textId="77777777" w:rsidTr="003D0D3F">
        <w:trPr>
          <w:trHeight w:val="138"/>
        </w:trPr>
        <w:tc>
          <w:tcPr>
            <w:cnfStyle w:val="001000000000" w:firstRow="0" w:lastRow="0" w:firstColumn="1" w:lastColumn="0" w:oddVBand="0" w:evenVBand="0" w:oddHBand="0" w:evenHBand="0" w:firstRowFirstColumn="0" w:firstRowLastColumn="0" w:lastRowFirstColumn="0" w:lastRowLastColumn="0"/>
            <w:tcW w:w="440" w:type="pct"/>
            <w:vMerge/>
            <w:shd w:val="clear" w:color="auto" w:fill="B8E9EC" w:themeFill="accent6"/>
          </w:tcPr>
          <w:p w14:paraId="048E2E30" w14:textId="77777777" w:rsidR="007904E8" w:rsidRPr="004A34E0" w:rsidRDefault="007904E8" w:rsidP="00666947">
            <w:pPr>
              <w:pStyle w:val="TableTextLeft"/>
            </w:pPr>
          </w:p>
        </w:tc>
        <w:tc>
          <w:tcPr>
            <w:tcW w:w="455" w:type="pct"/>
            <w:shd w:val="clear" w:color="auto" w:fill="B8E9EC" w:themeFill="accent6"/>
            <w:hideMark/>
          </w:tcPr>
          <w:p w14:paraId="5D8E9EC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681" w:type="pct"/>
            <w:shd w:val="clear" w:color="auto" w:fill="B8E9EC" w:themeFill="accent6"/>
            <w:hideMark/>
          </w:tcPr>
          <w:p w14:paraId="436F4DF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Overnight visitors (000's)</w:t>
            </w:r>
          </w:p>
        </w:tc>
        <w:tc>
          <w:tcPr>
            <w:tcW w:w="490" w:type="pct"/>
            <w:shd w:val="clear" w:color="auto" w:fill="B8E9EC" w:themeFill="accent6"/>
            <w:noWrap/>
          </w:tcPr>
          <w:p w14:paraId="200E72E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323 </w:t>
            </w:r>
          </w:p>
        </w:tc>
        <w:tc>
          <w:tcPr>
            <w:tcW w:w="393" w:type="pct"/>
            <w:shd w:val="clear" w:color="auto" w:fill="B8E9EC" w:themeFill="accent6"/>
            <w:noWrap/>
          </w:tcPr>
          <w:p w14:paraId="655B5CB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148 </w:t>
            </w:r>
          </w:p>
        </w:tc>
        <w:tc>
          <w:tcPr>
            <w:tcW w:w="425" w:type="pct"/>
            <w:shd w:val="clear" w:color="auto" w:fill="B8E9EC" w:themeFill="accent6"/>
            <w:noWrap/>
          </w:tcPr>
          <w:p w14:paraId="7D00ACE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732 </w:t>
            </w:r>
          </w:p>
        </w:tc>
        <w:tc>
          <w:tcPr>
            <w:tcW w:w="497" w:type="pct"/>
            <w:shd w:val="clear" w:color="auto" w:fill="B8E9EC" w:themeFill="accent6"/>
            <w:noWrap/>
          </w:tcPr>
          <w:p w14:paraId="1DF6CEC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119 </w:t>
            </w:r>
          </w:p>
        </w:tc>
        <w:tc>
          <w:tcPr>
            <w:tcW w:w="520" w:type="pct"/>
            <w:shd w:val="clear" w:color="auto" w:fill="B8E9EC" w:themeFill="accent6"/>
            <w:noWrap/>
          </w:tcPr>
          <w:p w14:paraId="2067514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293 </w:t>
            </w:r>
          </w:p>
        </w:tc>
        <w:tc>
          <w:tcPr>
            <w:tcW w:w="305" w:type="pct"/>
            <w:shd w:val="clear" w:color="auto" w:fill="B8E9EC" w:themeFill="accent6"/>
          </w:tcPr>
          <w:p w14:paraId="36A5F85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 xml:space="preserve"> 1,615 </w:t>
            </w:r>
          </w:p>
        </w:tc>
        <w:tc>
          <w:tcPr>
            <w:tcW w:w="397" w:type="pct"/>
            <w:vMerge/>
            <w:shd w:val="clear" w:color="auto" w:fill="B8E9EC" w:themeFill="accent6"/>
          </w:tcPr>
          <w:p w14:paraId="183522D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397" w:type="pct"/>
            <w:vMerge/>
            <w:shd w:val="clear" w:color="auto" w:fill="B8E9EC" w:themeFill="accent6"/>
          </w:tcPr>
          <w:p w14:paraId="4987120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rPr>
            </w:pPr>
          </w:p>
        </w:tc>
      </w:tr>
      <w:tr w:rsidR="003D0D3F" w:rsidRPr="004A34E0" w14:paraId="500B7A59" w14:textId="77777777" w:rsidTr="003D0D3F">
        <w:trPr>
          <w:trHeight w:val="138"/>
        </w:trPr>
        <w:tc>
          <w:tcPr>
            <w:cnfStyle w:val="001000000000" w:firstRow="0" w:lastRow="0" w:firstColumn="1" w:lastColumn="0" w:oddVBand="0" w:evenVBand="0" w:oddHBand="0" w:evenHBand="0" w:firstRowFirstColumn="0" w:firstRowLastColumn="0" w:lastRowFirstColumn="0" w:lastRowLastColumn="0"/>
            <w:tcW w:w="440" w:type="pct"/>
            <w:vMerge/>
            <w:shd w:val="clear" w:color="auto" w:fill="B8E9EC" w:themeFill="accent6"/>
          </w:tcPr>
          <w:p w14:paraId="1169FF7C" w14:textId="77777777" w:rsidR="007904E8" w:rsidRPr="004A34E0" w:rsidRDefault="007904E8" w:rsidP="00666947">
            <w:pPr>
              <w:pStyle w:val="TableTextLeft"/>
            </w:pPr>
          </w:p>
        </w:tc>
        <w:tc>
          <w:tcPr>
            <w:tcW w:w="455" w:type="pct"/>
            <w:shd w:val="clear" w:color="auto" w:fill="B8E9EC" w:themeFill="accent6"/>
            <w:hideMark/>
          </w:tcPr>
          <w:p w14:paraId="2A7AF8D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International</w:t>
            </w:r>
          </w:p>
        </w:tc>
        <w:tc>
          <w:tcPr>
            <w:tcW w:w="681" w:type="pct"/>
            <w:shd w:val="clear" w:color="auto" w:fill="B8E9EC" w:themeFill="accent6"/>
            <w:hideMark/>
          </w:tcPr>
          <w:p w14:paraId="4AA9EE5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Overnight visitors (000's)</w:t>
            </w:r>
          </w:p>
        </w:tc>
        <w:tc>
          <w:tcPr>
            <w:tcW w:w="490" w:type="pct"/>
            <w:shd w:val="clear" w:color="auto" w:fill="B8E9EC" w:themeFill="accent6"/>
            <w:noWrap/>
          </w:tcPr>
          <w:p w14:paraId="7429079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58 </w:t>
            </w:r>
          </w:p>
        </w:tc>
        <w:tc>
          <w:tcPr>
            <w:tcW w:w="393" w:type="pct"/>
            <w:shd w:val="clear" w:color="auto" w:fill="B8E9EC" w:themeFill="accent6"/>
            <w:noWrap/>
          </w:tcPr>
          <w:p w14:paraId="6516494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17 </w:t>
            </w:r>
          </w:p>
        </w:tc>
        <w:tc>
          <w:tcPr>
            <w:tcW w:w="425" w:type="pct"/>
            <w:shd w:val="clear" w:color="auto" w:fill="B8E9EC" w:themeFill="accent6"/>
            <w:noWrap/>
          </w:tcPr>
          <w:p w14:paraId="230740E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36 </w:t>
            </w:r>
          </w:p>
        </w:tc>
        <w:tc>
          <w:tcPr>
            <w:tcW w:w="497" w:type="pct"/>
            <w:shd w:val="clear" w:color="auto" w:fill="B8E9EC" w:themeFill="accent6"/>
            <w:noWrap/>
          </w:tcPr>
          <w:p w14:paraId="6852AD2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35 </w:t>
            </w:r>
          </w:p>
        </w:tc>
        <w:tc>
          <w:tcPr>
            <w:tcW w:w="520" w:type="pct"/>
            <w:shd w:val="clear" w:color="auto" w:fill="B8E9EC" w:themeFill="accent6"/>
            <w:noWrap/>
          </w:tcPr>
          <w:p w14:paraId="46C9579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24 </w:t>
            </w:r>
          </w:p>
        </w:tc>
        <w:tc>
          <w:tcPr>
            <w:tcW w:w="305" w:type="pct"/>
            <w:shd w:val="clear" w:color="auto" w:fill="B8E9EC" w:themeFill="accent6"/>
          </w:tcPr>
          <w:p w14:paraId="3532B61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 xml:space="preserve"> 171 </w:t>
            </w:r>
          </w:p>
        </w:tc>
        <w:tc>
          <w:tcPr>
            <w:tcW w:w="397" w:type="pct"/>
            <w:vMerge/>
            <w:shd w:val="clear" w:color="auto" w:fill="B8E9EC" w:themeFill="accent6"/>
          </w:tcPr>
          <w:p w14:paraId="75816A7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397" w:type="pct"/>
            <w:vMerge/>
            <w:shd w:val="clear" w:color="auto" w:fill="B8E9EC" w:themeFill="accent6"/>
          </w:tcPr>
          <w:p w14:paraId="00DD978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rPr>
            </w:pPr>
          </w:p>
        </w:tc>
      </w:tr>
      <w:tr w:rsidR="003D0D3F" w:rsidRPr="004A34E0" w14:paraId="56D15C11" w14:textId="77777777" w:rsidTr="003D0D3F">
        <w:trPr>
          <w:trHeight w:val="138"/>
        </w:trPr>
        <w:tc>
          <w:tcPr>
            <w:cnfStyle w:val="001000000000" w:firstRow="0" w:lastRow="0" w:firstColumn="1" w:lastColumn="0" w:oddVBand="0" w:evenVBand="0" w:oddHBand="0" w:evenHBand="0" w:firstRowFirstColumn="0" w:firstRowLastColumn="0" w:lastRowFirstColumn="0" w:lastRowLastColumn="0"/>
            <w:tcW w:w="440" w:type="pct"/>
            <w:vMerge/>
            <w:shd w:val="clear" w:color="auto" w:fill="B8E9EC" w:themeFill="accent6"/>
          </w:tcPr>
          <w:p w14:paraId="636193C7" w14:textId="77777777" w:rsidR="007904E8" w:rsidRPr="004A34E0" w:rsidRDefault="007904E8" w:rsidP="00666947">
            <w:pPr>
              <w:pStyle w:val="TableTextLeft"/>
            </w:pPr>
          </w:p>
        </w:tc>
        <w:tc>
          <w:tcPr>
            <w:tcW w:w="1136" w:type="pct"/>
            <w:gridSpan w:val="2"/>
            <w:shd w:val="clear" w:color="auto" w:fill="B8E9EC" w:themeFill="accent6"/>
            <w:hideMark/>
          </w:tcPr>
          <w:p w14:paraId="316F30B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i/>
              </w:rPr>
            </w:pPr>
            <w:r w:rsidRPr="004A34E0">
              <w:rPr>
                <w:b/>
              </w:rPr>
              <w:t>Total visitors (‘000)</w:t>
            </w:r>
          </w:p>
        </w:tc>
        <w:tc>
          <w:tcPr>
            <w:tcW w:w="490" w:type="pct"/>
            <w:shd w:val="clear" w:color="auto" w:fill="B8E9EC" w:themeFill="accent6"/>
            <w:noWrap/>
          </w:tcPr>
          <w:p w14:paraId="11AD3DF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rPr>
            </w:pPr>
            <w:r w:rsidRPr="004A34E0">
              <w:t xml:space="preserve"> 734 </w:t>
            </w:r>
          </w:p>
        </w:tc>
        <w:tc>
          <w:tcPr>
            <w:tcW w:w="393" w:type="pct"/>
            <w:shd w:val="clear" w:color="auto" w:fill="B8E9EC" w:themeFill="accent6"/>
            <w:noWrap/>
          </w:tcPr>
          <w:p w14:paraId="3E2E0F6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rPr>
            </w:pPr>
            <w:r w:rsidRPr="004A34E0">
              <w:t xml:space="preserve"> 277 </w:t>
            </w:r>
          </w:p>
        </w:tc>
        <w:tc>
          <w:tcPr>
            <w:tcW w:w="425" w:type="pct"/>
            <w:shd w:val="clear" w:color="auto" w:fill="B8E9EC" w:themeFill="accent6"/>
            <w:noWrap/>
          </w:tcPr>
          <w:p w14:paraId="0810EB5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rPr>
            </w:pPr>
            <w:r w:rsidRPr="004A34E0">
              <w:t xml:space="preserve"> 1,833 </w:t>
            </w:r>
          </w:p>
        </w:tc>
        <w:tc>
          <w:tcPr>
            <w:tcW w:w="497" w:type="pct"/>
            <w:shd w:val="clear" w:color="auto" w:fill="B8E9EC" w:themeFill="accent6"/>
            <w:noWrap/>
          </w:tcPr>
          <w:p w14:paraId="0C21EA3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rPr>
            </w:pPr>
            <w:r w:rsidRPr="004A34E0">
              <w:t xml:space="preserve"> 369 </w:t>
            </w:r>
          </w:p>
        </w:tc>
        <w:tc>
          <w:tcPr>
            <w:tcW w:w="520" w:type="pct"/>
            <w:shd w:val="clear" w:color="auto" w:fill="B8E9EC" w:themeFill="accent6"/>
            <w:noWrap/>
          </w:tcPr>
          <w:p w14:paraId="0C22DF8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 711 </w:t>
            </w:r>
          </w:p>
        </w:tc>
        <w:tc>
          <w:tcPr>
            <w:tcW w:w="305" w:type="pct"/>
            <w:shd w:val="clear" w:color="auto" w:fill="B8E9EC" w:themeFill="accent6"/>
          </w:tcPr>
          <w:p w14:paraId="30E6039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 xml:space="preserve"> 3,925</w:t>
            </w:r>
          </w:p>
        </w:tc>
        <w:tc>
          <w:tcPr>
            <w:tcW w:w="397" w:type="pct"/>
            <w:vMerge/>
            <w:shd w:val="clear" w:color="auto" w:fill="B8E9EC" w:themeFill="accent6"/>
          </w:tcPr>
          <w:p w14:paraId="03240DD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397" w:type="pct"/>
            <w:vMerge/>
            <w:shd w:val="clear" w:color="auto" w:fill="B8E9EC" w:themeFill="accent6"/>
          </w:tcPr>
          <w:p w14:paraId="19330EF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rPr>
            </w:pPr>
          </w:p>
        </w:tc>
      </w:tr>
    </w:tbl>
    <w:p w14:paraId="38C5D636" w14:textId="77777777" w:rsidR="007904E8" w:rsidRPr="004A34E0" w:rsidRDefault="007904E8" w:rsidP="007904E8">
      <w:pPr>
        <w:pStyle w:val="BodyText"/>
      </w:pPr>
    </w:p>
    <w:p w14:paraId="18B7ADE3" w14:textId="77777777" w:rsidR="007904E8" w:rsidRPr="004A34E0" w:rsidRDefault="007904E8" w:rsidP="007904E8">
      <w:pPr>
        <w:pStyle w:val="BodyText"/>
      </w:pPr>
      <w:proofErr w:type="spellStart"/>
      <w:r w:rsidRPr="004A34E0">
        <w:rPr>
          <w:vertAlign w:val="superscript"/>
        </w:rPr>
        <w:t>a</w:t>
      </w:r>
      <w:proofErr w:type="spellEnd"/>
      <w:r w:rsidRPr="004A34E0">
        <w:rPr>
          <w:vertAlign w:val="superscript"/>
        </w:rPr>
        <w:t xml:space="preserve"> </w:t>
      </w:r>
      <w:r w:rsidRPr="004A34E0">
        <w:t>The study team assumes that societal recreational habits / preferences to be relatively stable over the period 2013 to 2019 and therefore that the 2013 estimates of the proportion of visits that are attributable to the natural environment is a suitable representation for 2019.</w:t>
      </w:r>
    </w:p>
    <w:p w14:paraId="59968FE4" w14:textId="77777777" w:rsidR="007904E8" w:rsidRPr="004A34E0" w:rsidRDefault="007904E8" w:rsidP="00270081">
      <w:pPr>
        <w:pStyle w:val="Caption"/>
      </w:pPr>
      <w:r w:rsidRPr="004A34E0">
        <w:t xml:space="preserve">Table 61. Site specific visitation within GORCAP EEA region in 2019 </w:t>
      </w:r>
    </w:p>
    <w:p w14:paraId="001B010A" w14:textId="77777777" w:rsidR="007904E8" w:rsidRPr="004A34E0" w:rsidRDefault="007904E8" w:rsidP="007904E8">
      <w:pPr>
        <w:pStyle w:val="BodyText"/>
        <w:rPr>
          <w:b/>
        </w:rPr>
      </w:pPr>
    </w:p>
    <w:tbl>
      <w:tblPr>
        <w:tblW w:w="15136" w:type="dxa"/>
        <w:tblLook w:val="04A0" w:firstRow="1" w:lastRow="0" w:firstColumn="1" w:lastColumn="0" w:noHBand="0" w:noVBand="1"/>
      </w:tblPr>
      <w:tblGrid>
        <w:gridCol w:w="5070"/>
        <w:gridCol w:w="2740"/>
        <w:gridCol w:w="2640"/>
        <w:gridCol w:w="2343"/>
        <w:gridCol w:w="2343"/>
      </w:tblGrid>
      <w:tr w:rsidR="007904E8" w:rsidRPr="004A34E0" w14:paraId="19E52230" w14:textId="77777777" w:rsidTr="00666947">
        <w:trPr>
          <w:trHeight w:val="43"/>
        </w:trPr>
        <w:tc>
          <w:tcPr>
            <w:tcW w:w="5070" w:type="dxa"/>
            <w:tcBorders>
              <w:bottom w:val="single" w:sz="8" w:space="0" w:color="00B2A9"/>
            </w:tcBorders>
          </w:tcPr>
          <w:p w14:paraId="27037CA1" w14:textId="77777777" w:rsidR="007904E8" w:rsidRPr="004A34E0" w:rsidRDefault="007904E8" w:rsidP="00666947">
            <w:pPr>
              <w:pStyle w:val="TableTextLeft"/>
            </w:pPr>
          </w:p>
        </w:tc>
        <w:tc>
          <w:tcPr>
            <w:tcW w:w="2740" w:type="dxa"/>
            <w:tcBorders>
              <w:left w:val="single" w:sz="8" w:space="0" w:color="00B2A9"/>
              <w:bottom w:val="single" w:sz="8" w:space="0" w:color="00B2A9"/>
            </w:tcBorders>
          </w:tcPr>
          <w:p w14:paraId="4BD0F578" w14:textId="77777777" w:rsidR="007904E8" w:rsidRPr="004A34E0" w:rsidRDefault="007904E8" w:rsidP="00666947">
            <w:pPr>
              <w:pStyle w:val="TableTextLeft"/>
            </w:pPr>
            <w:r w:rsidRPr="004A34E0">
              <w:rPr>
                <w:b/>
              </w:rPr>
              <w:t>Twelve Apostles</w:t>
            </w:r>
          </w:p>
        </w:tc>
        <w:tc>
          <w:tcPr>
            <w:tcW w:w="2640" w:type="dxa"/>
            <w:tcBorders>
              <w:bottom w:val="single" w:sz="8" w:space="0" w:color="00B2A9"/>
            </w:tcBorders>
          </w:tcPr>
          <w:p w14:paraId="2A65E1AC" w14:textId="77777777" w:rsidR="007904E8" w:rsidRPr="004A34E0" w:rsidRDefault="007904E8" w:rsidP="00666947">
            <w:pPr>
              <w:pStyle w:val="TableTextLeft"/>
            </w:pPr>
            <w:r w:rsidRPr="004A34E0">
              <w:rPr>
                <w:b/>
              </w:rPr>
              <w:t>Loch Ard Gorge</w:t>
            </w:r>
          </w:p>
        </w:tc>
        <w:tc>
          <w:tcPr>
            <w:tcW w:w="2343" w:type="dxa"/>
            <w:tcBorders>
              <w:bottom w:val="single" w:sz="8" w:space="0" w:color="00B2A9"/>
            </w:tcBorders>
          </w:tcPr>
          <w:p w14:paraId="218F5E99" w14:textId="77777777" w:rsidR="007904E8" w:rsidRPr="004A34E0" w:rsidRDefault="007904E8" w:rsidP="00666947">
            <w:pPr>
              <w:pStyle w:val="TableTextLeft"/>
            </w:pPr>
            <w:r w:rsidRPr="004A34E0">
              <w:rPr>
                <w:b/>
              </w:rPr>
              <w:t>Year</w:t>
            </w:r>
          </w:p>
        </w:tc>
        <w:tc>
          <w:tcPr>
            <w:tcW w:w="2343" w:type="dxa"/>
            <w:tcBorders>
              <w:bottom w:val="single" w:sz="8" w:space="0" w:color="00B2A9"/>
            </w:tcBorders>
          </w:tcPr>
          <w:p w14:paraId="142CE8A1" w14:textId="77777777" w:rsidR="007904E8" w:rsidRPr="004A34E0" w:rsidRDefault="007904E8" w:rsidP="00666947">
            <w:pPr>
              <w:pStyle w:val="TableTextLeft"/>
              <w:rPr>
                <w:b/>
              </w:rPr>
            </w:pPr>
            <w:r w:rsidRPr="004A34E0">
              <w:rPr>
                <w:b/>
              </w:rPr>
              <w:t>Source</w:t>
            </w:r>
          </w:p>
        </w:tc>
      </w:tr>
      <w:tr w:rsidR="007904E8" w:rsidRPr="004A34E0" w14:paraId="1CF8C030" w14:textId="77777777" w:rsidTr="00666947">
        <w:trPr>
          <w:trHeight w:val="254"/>
        </w:trPr>
        <w:tc>
          <w:tcPr>
            <w:tcW w:w="5070" w:type="dxa"/>
            <w:tcBorders>
              <w:right w:val="single" w:sz="8" w:space="0" w:color="00B2A9"/>
            </w:tcBorders>
          </w:tcPr>
          <w:p w14:paraId="065D39AC" w14:textId="77777777" w:rsidR="007904E8" w:rsidRPr="004A34E0" w:rsidRDefault="007904E8" w:rsidP="00666947">
            <w:pPr>
              <w:pStyle w:val="TableTextLeft"/>
            </w:pPr>
            <w:r w:rsidRPr="004A34E0">
              <w:t>Total visits (000’s)</w:t>
            </w:r>
          </w:p>
        </w:tc>
        <w:tc>
          <w:tcPr>
            <w:tcW w:w="2740" w:type="dxa"/>
            <w:tcBorders>
              <w:left w:val="single" w:sz="8" w:space="0" w:color="00B2A9"/>
              <w:right w:val="single" w:sz="8" w:space="0" w:color="00B2A9"/>
            </w:tcBorders>
          </w:tcPr>
          <w:p w14:paraId="417A31BC" w14:textId="77777777" w:rsidR="007904E8" w:rsidRPr="004A34E0" w:rsidRDefault="007904E8" w:rsidP="00666947">
            <w:pPr>
              <w:pStyle w:val="TableTextLeft"/>
            </w:pPr>
            <w:r w:rsidRPr="004A34E0">
              <w:t>2,207</w:t>
            </w:r>
          </w:p>
        </w:tc>
        <w:tc>
          <w:tcPr>
            <w:tcW w:w="2640" w:type="dxa"/>
            <w:tcBorders>
              <w:left w:val="single" w:sz="8" w:space="0" w:color="00B2A9"/>
              <w:right w:val="single" w:sz="8" w:space="0" w:color="00B2A9"/>
            </w:tcBorders>
          </w:tcPr>
          <w:p w14:paraId="07D2C042" w14:textId="77777777" w:rsidR="007904E8" w:rsidRPr="004A34E0" w:rsidRDefault="007904E8" w:rsidP="00666947">
            <w:pPr>
              <w:pStyle w:val="TableTextLeft"/>
            </w:pPr>
            <w:r w:rsidRPr="004A34E0">
              <w:t>1,132</w:t>
            </w:r>
          </w:p>
        </w:tc>
        <w:tc>
          <w:tcPr>
            <w:tcW w:w="2343" w:type="dxa"/>
            <w:tcBorders>
              <w:left w:val="single" w:sz="8" w:space="0" w:color="00B2A9"/>
              <w:right w:val="single" w:sz="8" w:space="0" w:color="00B2A9"/>
            </w:tcBorders>
          </w:tcPr>
          <w:p w14:paraId="3B2657FA" w14:textId="77777777" w:rsidR="007904E8" w:rsidRPr="004A34E0" w:rsidRDefault="007904E8" w:rsidP="00666947">
            <w:pPr>
              <w:pStyle w:val="TableTextLeft"/>
            </w:pPr>
            <w:r w:rsidRPr="004A34E0">
              <w:t>2019</w:t>
            </w:r>
          </w:p>
        </w:tc>
        <w:tc>
          <w:tcPr>
            <w:tcW w:w="2343" w:type="dxa"/>
            <w:tcBorders>
              <w:left w:val="single" w:sz="8" w:space="0" w:color="00B2A9"/>
              <w:right w:val="single" w:sz="8" w:space="0" w:color="00B2A9"/>
            </w:tcBorders>
          </w:tcPr>
          <w:p w14:paraId="4909EDE8" w14:textId="77777777" w:rsidR="007904E8" w:rsidRPr="004A34E0" w:rsidRDefault="007904E8" w:rsidP="00666947">
            <w:pPr>
              <w:pStyle w:val="TableTextLeft"/>
            </w:pPr>
            <w:r w:rsidRPr="004A34E0">
              <w:t>Parks Victoria (2021)</w:t>
            </w:r>
          </w:p>
        </w:tc>
      </w:tr>
    </w:tbl>
    <w:p w14:paraId="0DF1C24A" w14:textId="77777777" w:rsidR="007904E8" w:rsidRPr="004A34E0" w:rsidRDefault="007904E8" w:rsidP="007904E8">
      <w:pPr>
        <w:pStyle w:val="BodyText"/>
        <w:rPr>
          <w:b/>
        </w:rPr>
        <w:sectPr w:rsidR="007904E8" w:rsidRPr="004A34E0" w:rsidSect="00E52A9A">
          <w:headerReference w:type="even" r:id="rId216"/>
          <w:headerReference w:type="default" r:id="rId217"/>
          <w:footerReference w:type="even" r:id="rId218"/>
          <w:footerReference w:type="default" r:id="rId219"/>
          <w:pgSz w:w="16838" w:h="11906" w:orient="landscape" w:code="9"/>
          <w:pgMar w:top="1134" w:right="1134" w:bottom="1134" w:left="1134" w:header="283" w:footer="283" w:gutter="0"/>
          <w:cols w:space="284"/>
          <w:docGrid w:linePitch="360"/>
        </w:sectPr>
      </w:pPr>
    </w:p>
    <w:p w14:paraId="0EB743FD" w14:textId="77777777" w:rsidR="007904E8" w:rsidRPr="004A34E0" w:rsidRDefault="007904E8" w:rsidP="00BA21B4">
      <w:pPr>
        <w:pStyle w:val="Caption"/>
      </w:pPr>
      <w:r w:rsidRPr="004A34E0">
        <w:lastRenderedPageBreak/>
        <w:t>Figure 34. Distribution of recreation and tourism visits to ecosystem assets of the GORCAP EEA area in 2019 (TRA, 2013 and 2021)</w:t>
      </w:r>
    </w:p>
    <w:p w14:paraId="27B7EFBE" w14:textId="77777777" w:rsidR="007904E8" w:rsidRPr="004A34E0" w:rsidRDefault="007904E8" w:rsidP="007904E8">
      <w:pPr>
        <w:pStyle w:val="BodyText"/>
        <w:rPr>
          <w:b/>
        </w:rPr>
        <w:sectPr w:rsidR="007904E8" w:rsidRPr="004A34E0" w:rsidSect="00E52A9A">
          <w:headerReference w:type="even" r:id="rId220"/>
          <w:headerReference w:type="default" r:id="rId221"/>
          <w:footerReference w:type="even" r:id="rId222"/>
          <w:footerReference w:type="default" r:id="rId223"/>
          <w:pgSz w:w="23811" w:h="16838" w:orient="landscape" w:code="8"/>
          <w:pgMar w:top="1134" w:right="1134" w:bottom="1134" w:left="1134" w:header="283" w:footer="283" w:gutter="0"/>
          <w:cols w:space="284"/>
          <w:docGrid w:linePitch="360"/>
        </w:sectPr>
      </w:pPr>
      <w:r w:rsidRPr="004A34E0">
        <w:rPr>
          <w:noProof/>
        </w:rPr>
        <mc:AlternateContent>
          <mc:Choice Requires="wps">
            <w:drawing>
              <wp:anchor distT="45720" distB="45720" distL="114300" distR="114300" simplePos="0" relativeHeight="251658323" behindDoc="0" locked="0" layoutInCell="1" allowOverlap="1" wp14:anchorId="4E8BE9AF" wp14:editId="52D6DF25">
                <wp:simplePos x="0" y="0"/>
                <wp:positionH relativeFrom="column">
                  <wp:posOffset>781050</wp:posOffset>
                </wp:positionH>
                <wp:positionV relativeFrom="paragraph">
                  <wp:posOffset>4036060</wp:posOffset>
                </wp:positionV>
                <wp:extent cx="1581150" cy="1404620"/>
                <wp:effectExtent l="0" t="0" r="0" b="3175"/>
                <wp:wrapNone/>
                <wp:docPr id="824" name="Text Box 8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1404620"/>
                        </a:xfrm>
                        <a:prstGeom prst="rect">
                          <a:avLst/>
                        </a:prstGeom>
                        <a:solidFill>
                          <a:schemeClr val="bg1"/>
                        </a:solidFill>
                        <a:ln w="9525">
                          <a:noFill/>
                          <a:miter lim="800000"/>
                          <a:headEnd/>
                          <a:tailEnd/>
                        </a:ln>
                      </wps:spPr>
                      <wps:txbx>
                        <w:txbxContent>
                          <w:p w14:paraId="3513D0A0" w14:textId="77777777" w:rsidR="007904E8" w:rsidRPr="00165BAD" w:rsidRDefault="007904E8" w:rsidP="007904E8">
                            <w:pPr>
                              <w:rPr>
                                <w:b/>
                                <w:bCs/>
                                <w:sz w:val="24"/>
                                <w:szCs w:val="24"/>
                              </w:rPr>
                            </w:pPr>
                            <w:r w:rsidRPr="00165BAD">
                              <w:rPr>
                                <w:b/>
                                <w:bCs/>
                                <w:sz w:val="24"/>
                                <w:szCs w:val="24"/>
                              </w:rPr>
                              <w:t>GORCAP EEA area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E8BE9AF" id="Text Box 824" o:spid="_x0000_s1077" type="#_x0000_t202" style="position:absolute;margin-left:61.5pt;margin-top:317.8pt;width:124.5pt;height:110.6pt;z-index:25165832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" fillcolor="white [3212]" stroked="f">
                <v:textbox style="mso-fit-shape-to-text:t">
                  <w:txbxContent>
                    <w:p w14:paraId="3513D0A0" w14:textId="77777777" w:rsidR="007904E8" w:rsidRPr="00165BAD" w:rsidRDefault="007904E8" w:rsidP="007904E8">
                      <w:pPr>
                        <w:rPr>
                          <w:b/>
                          <w:bCs/>
                          <w:sz w:val="24"/>
                          <w:szCs w:val="24"/>
                        </w:rPr>
                      </w:pPr>
                      <w:r w:rsidRPr="00165BAD">
                        <w:rPr>
                          <w:b/>
                          <w:bCs/>
                          <w:sz w:val="24"/>
                          <w:szCs w:val="24"/>
                        </w:rPr>
                        <w:t>GORCAP EEA area</w:t>
                      </w:r>
                    </w:p>
                  </w:txbxContent>
                </v:textbox>
              </v:shape>
            </w:pict>
          </mc:Fallback>
        </mc:AlternateContent>
      </w:r>
      <w:r w:rsidRPr="004A34E0">
        <w:rPr>
          <w:noProof/>
        </w:rPr>
        <w:drawing>
          <wp:inline distT="0" distB="0" distL="0" distR="0" wp14:anchorId="13F9A0EE" wp14:editId="5098EBDF">
            <wp:extent cx="13236184" cy="6499610"/>
            <wp:effectExtent l="19050" t="19050" r="22860" b="15875"/>
            <wp:docPr id="852" name="Picture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 name="Picture 852"/>
                    <pic:cNvPicPr/>
                  </pic:nvPicPr>
                  <pic:blipFill>
                    <a:blip r:embed="rId224" cstate="email">
                      <a:extLst>
                        <a:ext uri="{28A0092B-C50C-407E-A947-70E740481C1C}">
                          <a14:useLocalDpi xmlns:a14="http://schemas.microsoft.com/office/drawing/2010/main"/>
                        </a:ext>
                      </a:extLst>
                    </a:blip>
                    <a:stretch>
                      <a:fillRect/>
                    </a:stretch>
                  </pic:blipFill>
                  <pic:spPr>
                    <a:xfrm>
                      <a:off x="0" y="0"/>
                      <a:ext cx="13236184" cy="6499610"/>
                    </a:xfrm>
                    <a:prstGeom prst="rect">
                      <a:avLst/>
                    </a:prstGeom>
                    <a:ln>
                      <a:solidFill>
                        <a:schemeClr val="tx1"/>
                      </a:solidFill>
                    </a:ln>
                  </pic:spPr>
                </pic:pic>
              </a:graphicData>
            </a:graphic>
          </wp:inline>
        </w:drawing>
      </w:r>
    </w:p>
    <w:p w14:paraId="567513A7" w14:textId="77777777" w:rsidR="007904E8" w:rsidRPr="004A34E0" w:rsidRDefault="007904E8" w:rsidP="00BA21B4">
      <w:pPr>
        <w:pStyle w:val="Caption"/>
      </w:pPr>
      <w:r w:rsidRPr="004A34E0">
        <w:lastRenderedPageBreak/>
        <w:t>Figure 35. Visitation by month to Twelve Apostles 2015 to 2021 (Parks Victoria, 2021)</w:t>
      </w:r>
    </w:p>
    <w:p w14:paraId="647FE062" w14:textId="77777777" w:rsidR="007904E8" w:rsidRPr="004A34E0" w:rsidRDefault="007904E8" w:rsidP="007904E8">
      <w:pPr>
        <w:pStyle w:val="BodyText"/>
        <w:rPr>
          <w:b/>
        </w:rPr>
      </w:pPr>
      <w:r w:rsidRPr="004A34E0">
        <w:rPr>
          <w:noProof/>
        </w:rPr>
        <w:drawing>
          <wp:inline distT="0" distB="0" distL="0" distR="0" wp14:anchorId="0760E751" wp14:editId="2B96B457">
            <wp:extent cx="6241774" cy="3919855"/>
            <wp:effectExtent l="0" t="0" r="6985" b="4445"/>
            <wp:docPr id="162" name="Chart 162">
              <a:extLst xmlns:a="http://schemas.openxmlformats.org/drawingml/2006/main">
                <a:ext uri="{FF2B5EF4-FFF2-40B4-BE49-F238E27FC236}">
                  <a16:creationId xmlns:a16="http://schemas.microsoft.com/office/drawing/2014/main" id="{DDCE7BE3-71F3-4E5D-A181-4AA5B5D7EB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5"/>
              </a:graphicData>
            </a:graphic>
          </wp:inline>
        </w:drawing>
      </w:r>
    </w:p>
    <w:p w14:paraId="18CFECF7" w14:textId="77777777" w:rsidR="007904E8" w:rsidRPr="004A34E0" w:rsidRDefault="007904E8" w:rsidP="007904E8">
      <w:pPr>
        <w:pStyle w:val="BodyText"/>
        <w:rPr>
          <w:b/>
        </w:rPr>
      </w:pPr>
      <w:r w:rsidRPr="004A34E0">
        <w:t>Estimates of “active” visits are based on the estimates of total visits using the</w:t>
      </w:r>
      <w:r w:rsidRPr="004A34E0">
        <w:rPr>
          <w:b/>
        </w:rPr>
        <w:t xml:space="preserve"> </w:t>
      </w:r>
      <w:r w:rsidRPr="004A34E0">
        <w:t xml:space="preserve">TRA (2021) Local Government Area Profiles 2019 data as this provides a comprehensive data set for the region whilst aligning most closely to the GORCAP EEA boundary. Table 62 shows that an estimated 375,000 active visits to the GORCAP EEA region in 2019. </w:t>
      </w:r>
    </w:p>
    <w:p w14:paraId="7BC27FA4" w14:textId="77777777" w:rsidR="007904E8" w:rsidRPr="004A34E0" w:rsidRDefault="007904E8" w:rsidP="00270081">
      <w:pPr>
        <w:pStyle w:val="Caption"/>
      </w:pPr>
      <w:r w:rsidRPr="004A34E0">
        <w:t xml:space="preserve">Table 62. Estimated “active” visits within GORCAP EEA region in 2019 </w:t>
      </w:r>
    </w:p>
    <w:tbl>
      <w:tblPr>
        <w:tblStyle w:val="TableGrid"/>
        <w:tblW w:w="5000" w:type="pct"/>
        <w:tblLook w:val="04A0" w:firstRow="1" w:lastRow="0" w:firstColumn="1" w:lastColumn="0" w:noHBand="0" w:noVBand="1"/>
      </w:tblPr>
      <w:tblGrid>
        <w:gridCol w:w="6121"/>
        <w:gridCol w:w="1330"/>
        <w:gridCol w:w="933"/>
        <w:gridCol w:w="1255"/>
      </w:tblGrid>
      <w:tr w:rsidR="007904E8" w:rsidRPr="004A34E0" w14:paraId="28B54244" w14:textId="77777777" w:rsidTr="00DC466A">
        <w:trPr>
          <w:cnfStyle w:val="100000000000" w:firstRow="1" w:lastRow="0" w:firstColumn="0" w:lastColumn="0" w:oddVBand="0" w:evenVBand="0" w:oddHBand="0"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3175" w:type="pct"/>
          </w:tcPr>
          <w:p w14:paraId="0FC2CC57" w14:textId="77777777" w:rsidR="007904E8" w:rsidRPr="004A34E0" w:rsidRDefault="007904E8" w:rsidP="00666947">
            <w:pPr>
              <w:pStyle w:val="TableTextLeft"/>
            </w:pPr>
          </w:p>
        </w:tc>
        <w:tc>
          <w:tcPr>
            <w:tcW w:w="690" w:type="pct"/>
          </w:tcPr>
          <w:p w14:paraId="3F25E55F"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Number visits</w:t>
            </w:r>
          </w:p>
        </w:tc>
        <w:tc>
          <w:tcPr>
            <w:tcW w:w="484" w:type="pct"/>
          </w:tcPr>
          <w:p w14:paraId="2BDD3718"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Year</w:t>
            </w:r>
          </w:p>
        </w:tc>
        <w:tc>
          <w:tcPr>
            <w:tcW w:w="651" w:type="pct"/>
          </w:tcPr>
          <w:p w14:paraId="6097556E"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rPr>
                <w:b/>
              </w:rPr>
            </w:pPr>
            <w:r w:rsidRPr="004A34E0">
              <w:rPr>
                <w:b/>
              </w:rPr>
              <w:t>Source</w:t>
            </w:r>
          </w:p>
        </w:tc>
      </w:tr>
      <w:tr w:rsidR="007904E8" w:rsidRPr="004A34E0" w14:paraId="32D2397A" w14:textId="77777777" w:rsidTr="00DC466A">
        <w:trPr>
          <w:trHeight w:val="76"/>
        </w:trPr>
        <w:tc>
          <w:tcPr>
            <w:cnfStyle w:val="001000000000" w:firstRow="0" w:lastRow="0" w:firstColumn="1" w:lastColumn="0" w:oddVBand="0" w:evenVBand="0" w:oddHBand="0" w:evenHBand="0" w:firstRowFirstColumn="0" w:firstRowLastColumn="0" w:lastRowFirstColumn="0" w:lastRowLastColumn="0"/>
            <w:tcW w:w="3175" w:type="pct"/>
          </w:tcPr>
          <w:p w14:paraId="4CBBF45B" w14:textId="77777777" w:rsidR="007904E8" w:rsidRPr="004A34E0" w:rsidRDefault="007904E8" w:rsidP="00666947">
            <w:pPr>
              <w:pStyle w:val="TableTextLeft"/>
            </w:pPr>
            <w:r w:rsidRPr="004A34E0">
              <w:t>Total domestic visitors where primary engagement with ecosystems (‘000)</w:t>
            </w:r>
          </w:p>
        </w:tc>
        <w:tc>
          <w:tcPr>
            <w:tcW w:w="690" w:type="pct"/>
          </w:tcPr>
          <w:p w14:paraId="619A361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3,755</w:t>
            </w:r>
          </w:p>
        </w:tc>
        <w:tc>
          <w:tcPr>
            <w:tcW w:w="484" w:type="pct"/>
          </w:tcPr>
          <w:p w14:paraId="741A64A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2013 - 2019</w:t>
            </w:r>
            <w:r w:rsidRPr="004A34E0">
              <w:rPr>
                <w:vertAlign w:val="superscript"/>
              </w:rPr>
              <w:t>a</w:t>
            </w:r>
          </w:p>
        </w:tc>
        <w:tc>
          <w:tcPr>
            <w:tcW w:w="651" w:type="pct"/>
          </w:tcPr>
          <w:p w14:paraId="33933E8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TRA (2013 and 2021)</w:t>
            </w:r>
          </w:p>
        </w:tc>
      </w:tr>
      <w:tr w:rsidR="007904E8" w:rsidRPr="004A34E0" w14:paraId="14638DDC" w14:textId="77777777" w:rsidTr="00DC466A">
        <w:trPr>
          <w:trHeight w:val="222"/>
        </w:trPr>
        <w:tc>
          <w:tcPr>
            <w:cnfStyle w:val="001000000000" w:firstRow="0" w:lastRow="0" w:firstColumn="1" w:lastColumn="0" w:oddVBand="0" w:evenVBand="0" w:oddHBand="0" w:evenHBand="0" w:firstRowFirstColumn="0" w:firstRowLastColumn="0" w:lastRowFirstColumn="0" w:lastRowLastColumn="0"/>
            <w:tcW w:w="3175" w:type="pct"/>
          </w:tcPr>
          <w:p w14:paraId="45F3C9E6" w14:textId="77777777" w:rsidR="007904E8" w:rsidRPr="004A34E0" w:rsidRDefault="007904E8" w:rsidP="00666947">
            <w:pPr>
              <w:pStyle w:val="TableTextLeft"/>
            </w:pPr>
            <w:r w:rsidRPr="004A34E0">
              <w:rPr>
                <w:i/>
              </w:rPr>
              <w:t>Estimated proportion of “active visits” to GORCAP EEA region (000’s)</w:t>
            </w:r>
          </w:p>
        </w:tc>
        <w:tc>
          <w:tcPr>
            <w:tcW w:w="690" w:type="pct"/>
          </w:tcPr>
          <w:p w14:paraId="3495487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i/>
              </w:rPr>
              <w:t>10%</w:t>
            </w:r>
          </w:p>
        </w:tc>
        <w:tc>
          <w:tcPr>
            <w:tcW w:w="484" w:type="pct"/>
          </w:tcPr>
          <w:p w14:paraId="5E098A6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i/>
              </w:rPr>
              <w:t>2018</w:t>
            </w:r>
            <w:r w:rsidRPr="004A34E0">
              <w:rPr>
                <w:i/>
                <w:vertAlign w:val="superscript"/>
              </w:rPr>
              <w:t>a</w:t>
            </w:r>
          </w:p>
        </w:tc>
        <w:tc>
          <w:tcPr>
            <w:tcW w:w="651" w:type="pct"/>
          </w:tcPr>
          <w:p w14:paraId="2F10038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i/>
              </w:rPr>
            </w:pPr>
            <w:r w:rsidRPr="004A34E0">
              <w:rPr>
                <w:i/>
              </w:rPr>
              <w:t>Parks Victoria (2021)</w:t>
            </w:r>
          </w:p>
        </w:tc>
      </w:tr>
      <w:tr w:rsidR="007904E8" w:rsidRPr="004A34E0" w14:paraId="117C3B6C" w14:textId="77777777" w:rsidTr="00DC466A">
        <w:trPr>
          <w:trHeight w:val="259"/>
        </w:trPr>
        <w:tc>
          <w:tcPr>
            <w:cnfStyle w:val="001000000000" w:firstRow="0" w:lastRow="0" w:firstColumn="1" w:lastColumn="0" w:oddVBand="0" w:evenVBand="0" w:oddHBand="0" w:evenHBand="0" w:firstRowFirstColumn="0" w:firstRowLastColumn="0" w:lastRowFirstColumn="0" w:lastRowLastColumn="0"/>
            <w:tcW w:w="3175" w:type="pct"/>
          </w:tcPr>
          <w:p w14:paraId="4A45FF85" w14:textId="77777777" w:rsidR="007904E8" w:rsidRPr="004A34E0" w:rsidRDefault="007904E8" w:rsidP="00666947">
            <w:pPr>
              <w:pStyle w:val="TableTextLeft"/>
            </w:pPr>
            <w:r w:rsidRPr="004A34E0">
              <w:t>Estimated total “active” visits to GORCAP EEA region (000’s)</w:t>
            </w:r>
          </w:p>
        </w:tc>
        <w:tc>
          <w:tcPr>
            <w:tcW w:w="690" w:type="pct"/>
          </w:tcPr>
          <w:p w14:paraId="7A687FE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375</w:t>
            </w:r>
          </w:p>
        </w:tc>
        <w:tc>
          <w:tcPr>
            <w:tcW w:w="484" w:type="pct"/>
          </w:tcPr>
          <w:p w14:paraId="15FFEB6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651" w:type="pct"/>
          </w:tcPr>
          <w:p w14:paraId="15F5CB1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r>
    </w:tbl>
    <w:p w14:paraId="35DB3E53" w14:textId="77777777" w:rsidR="007904E8" w:rsidRPr="004A34E0" w:rsidRDefault="007904E8" w:rsidP="007904E8">
      <w:pPr>
        <w:pStyle w:val="BodyText"/>
        <w:rPr>
          <w:highlight w:val="yellow"/>
        </w:rPr>
      </w:pPr>
      <w:proofErr w:type="spellStart"/>
      <w:r w:rsidRPr="004A34E0">
        <w:rPr>
          <w:vertAlign w:val="superscript"/>
        </w:rPr>
        <w:t>a</w:t>
      </w:r>
      <w:proofErr w:type="spellEnd"/>
      <w:r w:rsidRPr="004A34E0">
        <w:rPr>
          <w:vertAlign w:val="superscript"/>
        </w:rPr>
        <w:t xml:space="preserve"> </w:t>
      </w:r>
      <w:r w:rsidRPr="004A34E0">
        <w:t>The study team assumes that societal recreational habits / preferences to be relatively stable over the period 2013 to 2019 and therefore that the 2013 estimates of the proportion of visits that are attributable to the natural environment and 2018 estimate of activity types are a suitable representation for 2019.</w:t>
      </w:r>
    </w:p>
    <w:p w14:paraId="36F2C14E" w14:textId="77777777" w:rsidR="007904E8" w:rsidRPr="004A34E0" w:rsidRDefault="007904E8" w:rsidP="007904E8">
      <w:pPr>
        <w:pStyle w:val="BodyText"/>
      </w:pPr>
      <w:r w:rsidRPr="004A34E0">
        <w:t>Table 63 summarises the uncertainty associated with these results and shows that there is no information on recreational visits specifically to the GORCAP EEA region and there is some uncertainty associated with the visitation data that exists for the broader GORCAP region. It also shows the key assumptions that have been made to apply the visitation data to the GORCAP EEA region which are considered to be conservative but highly uncertain. The overall uncertainty rating for the physical provision of recreation and tourism to the GORCAP EEA region is therefore high.</w:t>
      </w:r>
    </w:p>
    <w:p w14:paraId="19EEAE4C" w14:textId="77777777" w:rsidR="007904E8" w:rsidRPr="004A34E0" w:rsidRDefault="007904E8" w:rsidP="00270081">
      <w:pPr>
        <w:pStyle w:val="Caption"/>
      </w:pPr>
      <w:r w:rsidRPr="004A34E0">
        <w:t>Table 63. Uncertainty assessment - physical quantity of recreation and tourism</w:t>
      </w:r>
    </w:p>
    <w:p w14:paraId="74A14EBB" w14:textId="77777777" w:rsidR="007904E8" w:rsidRPr="004A34E0" w:rsidRDefault="007904E8" w:rsidP="007904E8">
      <w:pPr>
        <w:pStyle w:val="BodyText"/>
        <w:rPr>
          <w:b/>
        </w:rPr>
      </w:pPr>
    </w:p>
    <w:tbl>
      <w:tblPr>
        <w:tblStyle w:val="TableGrid"/>
        <w:tblW w:w="5000" w:type="pct"/>
        <w:tblLook w:val="04A0" w:firstRow="1" w:lastRow="0" w:firstColumn="1" w:lastColumn="0" w:noHBand="0" w:noVBand="1"/>
      </w:tblPr>
      <w:tblGrid>
        <w:gridCol w:w="1360"/>
        <w:gridCol w:w="4371"/>
        <w:gridCol w:w="2970"/>
        <w:gridCol w:w="938"/>
      </w:tblGrid>
      <w:tr w:rsidR="007904E8" w:rsidRPr="004A34E0" w14:paraId="0D9D79A7" w14:textId="77777777" w:rsidTr="00DC466A">
        <w:trPr>
          <w:cnfStyle w:val="100000000000" w:firstRow="1" w:lastRow="0" w:firstColumn="0" w:lastColumn="0" w:oddVBand="0" w:evenVBand="0" w:oddHBand="0"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672" w:type="pct"/>
          </w:tcPr>
          <w:p w14:paraId="6B5653D1" w14:textId="77777777" w:rsidR="007904E8" w:rsidRPr="004A34E0" w:rsidRDefault="007904E8" w:rsidP="00666947">
            <w:pPr>
              <w:pStyle w:val="TableTextLeft"/>
            </w:pPr>
          </w:p>
        </w:tc>
        <w:tc>
          <w:tcPr>
            <w:tcW w:w="3865" w:type="pct"/>
            <w:gridSpan w:val="2"/>
          </w:tcPr>
          <w:p w14:paraId="69DA6ABD"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Uncertainty in…</w:t>
            </w:r>
          </w:p>
        </w:tc>
        <w:tc>
          <w:tcPr>
            <w:tcW w:w="463" w:type="pct"/>
          </w:tcPr>
          <w:p w14:paraId="7B3DD190"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rPr>
                <w:b/>
              </w:rPr>
            </w:pPr>
          </w:p>
        </w:tc>
      </w:tr>
      <w:tr w:rsidR="007904E8" w:rsidRPr="004A34E0" w14:paraId="66DEDD8C" w14:textId="77777777" w:rsidTr="00DC466A">
        <w:trPr>
          <w:trHeight w:val="247"/>
        </w:trPr>
        <w:tc>
          <w:tcPr>
            <w:cnfStyle w:val="001000000000" w:firstRow="0" w:lastRow="0" w:firstColumn="1" w:lastColumn="0" w:oddVBand="0" w:evenVBand="0" w:oddHBand="0" w:evenHBand="0" w:firstRowFirstColumn="0" w:firstRowLastColumn="0" w:lastRowFirstColumn="0" w:lastRowLastColumn="0"/>
            <w:tcW w:w="672" w:type="pct"/>
            <w:tcBorders>
              <w:top w:val="nil"/>
            </w:tcBorders>
            <w:shd w:val="clear" w:color="auto" w:fill="004C97" w:themeFill="accent1"/>
          </w:tcPr>
          <w:p w14:paraId="6D50A45A" w14:textId="77777777" w:rsidR="007904E8" w:rsidRPr="00DC466A" w:rsidRDefault="007904E8" w:rsidP="00666947">
            <w:pPr>
              <w:pStyle w:val="TableTextLeft"/>
              <w:rPr>
                <w:color w:val="FFFFFF" w:themeColor="background1"/>
              </w:rPr>
            </w:pPr>
          </w:p>
        </w:tc>
        <w:tc>
          <w:tcPr>
            <w:tcW w:w="2296" w:type="pct"/>
            <w:tcBorders>
              <w:top w:val="nil"/>
            </w:tcBorders>
            <w:shd w:val="clear" w:color="auto" w:fill="004C97" w:themeFill="accent1"/>
          </w:tcPr>
          <w:p w14:paraId="49BE02BC" w14:textId="77777777" w:rsidR="007904E8" w:rsidRPr="00DC466A"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DC466A">
              <w:rPr>
                <w:b/>
                <w:color w:val="FFFFFF" w:themeColor="background1"/>
              </w:rPr>
              <w:t xml:space="preserve">Evidence </w:t>
            </w:r>
          </w:p>
        </w:tc>
        <w:tc>
          <w:tcPr>
            <w:tcW w:w="1568" w:type="pct"/>
            <w:tcBorders>
              <w:top w:val="nil"/>
            </w:tcBorders>
            <w:shd w:val="clear" w:color="auto" w:fill="004C97" w:themeFill="accent1"/>
          </w:tcPr>
          <w:p w14:paraId="197BD1D2" w14:textId="77777777" w:rsidR="007904E8" w:rsidRPr="00DC466A"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DC466A">
              <w:rPr>
                <w:b/>
                <w:color w:val="FFFFFF" w:themeColor="background1"/>
              </w:rPr>
              <w:t>Assumptions</w:t>
            </w:r>
          </w:p>
        </w:tc>
        <w:tc>
          <w:tcPr>
            <w:tcW w:w="463" w:type="pct"/>
            <w:tcBorders>
              <w:top w:val="nil"/>
            </w:tcBorders>
            <w:shd w:val="clear" w:color="auto" w:fill="004C97" w:themeFill="accent1"/>
          </w:tcPr>
          <w:p w14:paraId="3E2D31DE" w14:textId="77777777" w:rsidR="007904E8" w:rsidRPr="00DC466A"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r w:rsidRPr="00DC466A">
              <w:rPr>
                <w:b/>
                <w:color w:val="FFFFFF" w:themeColor="background1"/>
              </w:rPr>
              <w:t>Total</w:t>
            </w:r>
          </w:p>
        </w:tc>
      </w:tr>
      <w:tr w:rsidR="007904E8" w:rsidRPr="004A34E0" w14:paraId="059FE557" w14:textId="77777777" w:rsidTr="00DC466A">
        <w:trPr>
          <w:trHeight w:val="5708"/>
        </w:trPr>
        <w:tc>
          <w:tcPr>
            <w:cnfStyle w:val="001000000000" w:firstRow="0" w:lastRow="0" w:firstColumn="1" w:lastColumn="0" w:oddVBand="0" w:evenVBand="0" w:oddHBand="0" w:evenHBand="0" w:firstRowFirstColumn="0" w:firstRowLastColumn="0" w:lastRowFirstColumn="0" w:lastRowLastColumn="0"/>
            <w:tcW w:w="672" w:type="pct"/>
          </w:tcPr>
          <w:p w14:paraId="0EE64424" w14:textId="77777777" w:rsidR="007904E8" w:rsidRPr="004A34E0" w:rsidRDefault="007904E8" w:rsidP="00666947">
            <w:pPr>
              <w:pStyle w:val="TableTextLeft"/>
              <w:rPr>
                <w:b/>
              </w:rPr>
            </w:pPr>
            <w:r w:rsidRPr="004A34E0">
              <w:rPr>
                <w:b/>
              </w:rPr>
              <w:t>Explanation</w:t>
            </w:r>
          </w:p>
        </w:tc>
        <w:tc>
          <w:tcPr>
            <w:tcW w:w="2296" w:type="pct"/>
          </w:tcPr>
          <w:p w14:paraId="32D0CB5B"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There is no information on recreational visits specifically to the GORCAP EEA region. However, there are two key sources of information estimating visitation to the GORCAP region:</w:t>
            </w:r>
          </w:p>
          <w:p w14:paraId="0F163755" w14:textId="77777777" w:rsidR="007904E8" w:rsidRPr="004A34E0" w:rsidRDefault="007904E8" w:rsidP="000035CB">
            <w:pPr>
              <w:pStyle w:val="ListBullet"/>
              <w:numPr>
                <w:ilvl w:val="0"/>
                <w:numId w:val="24"/>
              </w:numPr>
              <w:cnfStyle w:val="000000000000" w:firstRow="0" w:lastRow="0" w:firstColumn="0" w:lastColumn="0" w:oddVBand="0" w:evenVBand="0" w:oddHBand="0" w:evenHBand="0" w:firstRowFirstColumn="0" w:firstRowLastColumn="0" w:lastRowFirstColumn="0" w:lastRowLastColumn="0"/>
            </w:pPr>
            <w:r w:rsidRPr="004A34E0">
              <w:t xml:space="preserve">TRA data which is a survey based estimate of visits and the extent to which this can be aligned to the exact boundary of the GORCAP EEA region is limited by the sample size. The TRA Local Government Profiles align most closely to the GORCAP EEA region. </w:t>
            </w:r>
          </w:p>
          <w:p w14:paraId="6255601D"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 xml:space="preserve">Parks Victoria vehicle count data which is based on actual visitation (rather than a sample), but this only covers two key sites within the GORCAP EEA region - Twelve Apostles and Loch Ard Gorge.  </w:t>
            </w:r>
          </w:p>
          <w:p w14:paraId="00552722"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 xml:space="preserve">There is no aggregate information specifically on the number of visits that can be attributed to the existence of the natural environment. However, TRA (2013) have data on visitor motivations which is used to estimate ecosystem related visits.   </w:t>
            </w:r>
          </w:p>
        </w:tc>
        <w:tc>
          <w:tcPr>
            <w:tcW w:w="1568" w:type="pct"/>
          </w:tcPr>
          <w:p w14:paraId="5DCAFAB9"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 xml:space="preserve">It is assumed that 72 per cent of visitors come specifically to experience the natural environment (based on TRA, 2013) and would not visit in the absence of this. </w:t>
            </w:r>
          </w:p>
          <w:p w14:paraId="4F016DF7"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 xml:space="preserve">It is assumed that the visits to the LGA’s of the GOR is a suitable representation of visits to the specific GORCAP EEA region. This is justified on the basis that the vehicle count data from Parks Victoria repots significantly greater visits to Corangamite LGA than the TRA data. </w:t>
            </w:r>
          </w:p>
          <w:p w14:paraId="4A5DDF74" w14:textId="57FE4430" w:rsidR="007904E8" w:rsidRPr="004A34E0" w:rsidRDefault="007904E8" w:rsidP="00DC466A">
            <w:pPr>
              <w:pStyle w:val="ListBullet"/>
              <w:cnfStyle w:val="000000000000" w:firstRow="0" w:lastRow="0" w:firstColumn="0" w:lastColumn="0" w:oddVBand="0" w:evenVBand="0" w:oddHBand="0" w:evenHBand="0" w:firstRowFirstColumn="0" w:firstRowLastColumn="0" w:lastRowFirstColumn="0" w:lastRowLastColumn="0"/>
            </w:pPr>
            <w:r w:rsidRPr="004A34E0">
              <w:t>It is assumed that 10 per cent of visits are “active” (based on data from Parks Victoria Visitor Monitor Survey and Surf Coast Shire (2019)).</w:t>
            </w:r>
          </w:p>
        </w:tc>
        <w:tc>
          <w:tcPr>
            <w:tcW w:w="463" w:type="pct"/>
          </w:tcPr>
          <w:p w14:paraId="0E5247F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Medium</w:t>
            </w:r>
          </w:p>
        </w:tc>
      </w:tr>
      <w:tr w:rsidR="007904E8" w:rsidRPr="004A34E0" w14:paraId="5328314B" w14:textId="77777777" w:rsidTr="00DC466A">
        <w:trPr>
          <w:trHeight w:val="194"/>
        </w:trPr>
        <w:tc>
          <w:tcPr>
            <w:cnfStyle w:val="001000000000" w:firstRow="0" w:lastRow="0" w:firstColumn="1" w:lastColumn="0" w:oddVBand="0" w:evenVBand="0" w:oddHBand="0" w:evenHBand="0" w:firstRowFirstColumn="0" w:firstRowLastColumn="0" w:lastRowFirstColumn="0" w:lastRowLastColumn="0"/>
            <w:tcW w:w="672" w:type="pct"/>
            <w:shd w:val="clear" w:color="auto" w:fill="CCDBEA" w:themeFill="background2"/>
          </w:tcPr>
          <w:p w14:paraId="622DF1D3" w14:textId="77777777" w:rsidR="007904E8" w:rsidRPr="004A34E0" w:rsidRDefault="007904E8" w:rsidP="00666947">
            <w:pPr>
              <w:pStyle w:val="TableTextLeft"/>
              <w:rPr>
                <w:b/>
              </w:rPr>
            </w:pPr>
            <w:r w:rsidRPr="004A34E0">
              <w:rPr>
                <w:b/>
              </w:rPr>
              <w:t xml:space="preserve">Rating </w:t>
            </w:r>
          </w:p>
        </w:tc>
        <w:tc>
          <w:tcPr>
            <w:tcW w:w="2296" w:type="pct"/>
            <w:shd w:val="clear" w:color="auto" w:fill="CCDBEA" w:themeFill="background2"/>
          </w:tcPr>
          <w:p w14:paraId="17A326D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w:t>
            </w:r>
          </w:p>
        </w:tc>
        <w:tc>
          <w:tcPr>
            <w:tcW w:w="1568" w:type="pct"/>
            <w:shd w:val="clear" w:color="auto" w:fill="CCDBEA" w:themeFill="background2"/>
          </w:tcPr>
          <w:p w14:paraId="6915AAE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w:t>
            </w:r>
          </w:p>
        </w:tc>
        <w:tc>
          <w:tcPr>
            <w:tcW w:w="463" w:type="pct"/>
            <w:shd w:val="clear" w:color="auto" w:fill="CCDBEA" w:themeFill="background2"/>
          </w:tcPr>
          <w:p w14:paraId="7F49F42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6</w:t>
            </w:r>
          </w:p>
        </w:tc>
      </w:tr>
    </w:tbl>
    <w:p w14:paraId="0AB9BFE5" w14:textId="77777777" w:rsidR="007904E8" w:rsidRPr="004A34E0" w:rsidRDefault="007904E8" w:rsidP="00A2745D">
      <w:pPr>
        <w:pStyle w:val="AlphaHeading4"/>
      </w:pPr>
      <w:r w:rsidRPr="004A34E0">
        <w:t>Monetary value of recreation and tourism</w:t>
      </w:r>
    </w:p>
    <w:p w14:paraId="1303602D" w14:textId="77777777" w:rsidR="007904E8" w:rsidRPr="004A34E0" w:rsidRDefault="007904E8" w:rsidP="007904E8">
      <w:pPr>
        <w:pStyle w:val="BodyText12ptBefore"/>
        <w:rPr>
          <w:rFonts w:eastAsia="Calibri"/>
        </w:rPr>
      </w:pPr>
      <w:r w:rsidRPr="004A34E0">
        <w:rPr>
          <w:rFonts w:eastAsia="Calibri"/>
        </w:rPr>
        <w:t>The estimated monetary value of recreation and tourism in the GORCAP EEA region is summarised in Tables 64 to 67 as follows:</w:t>
      </w:r>
    </w:p>
    <w:p w14:paraId="038D69BB" w14:textId="77777777" w:rsidR="007904E8" w:rsidRPr="004A34E0" w:rsidRDefault="007904E8" w:rsidP="007904E8">
      <w:pPr>
        <w:pStyle w:val="ListBullet"/>
        <w:rPr>
          <w:b/>
        </w:rPr>
      </w:pPr>
      <w:r w:rsidRPr="004A34E0">
        <w:t xml:space="preserve">The estimated contribution of ecosystems within the GORCAP EEA region to GVA is </w:t>
      </w:r>
      <w:r w:rsidRPr="004A34E0">
        <w:rPr>
          <w:b/>
        </w:rPr>
        <w:t xml:space="preserve">$61 million per year in 2019, </w:t>
      </w:r>
      <w:r w:rsidRPr="004A34E0">
        <w:t>see</w:t>
      </w:r>
      <w:r w:rsidRPr="004A34E0">
        <w:rPr>
          <w:b/>
        </w:rPr>
        <w:t xml:space="preserve"> </w:t>
      </w:r>
      <w:r w:rsidRPr="004A34E0">
        <w:t>Table 64. This is based on assumptions regarding the proportion of total tourism GVA that is associated with engagement with the natural environment (72 per cent based on TRA, 2013) and the proportional contribution of ecosystems (i.e., as an input to production) to GVA of 20 per cent.</w:t>
      </w:r>
    </w:p>
    <w:p w14:paraId="631DD411" w14:textId="77777777" w:rsidR="007904E8" w:rsidRPr="004A34E0" w:rsidRDefault="007904E8" w:rsidP="007904E8">
      <w:pPr>
        <w:pStyle w:val="ListBullet"/>
        <w:rPr>
          <w:b/>
        </w:rPr>
      </w:pPr>
      <w:r w:rsidRPr="004A34E0">
        <w:t xml:space="preserve">The estimated avoided loss of productivity due to nature-based physical activity within the GORCAP EEA region is estimated for domestic visitors only to be </w:t>
      </w:r>
      <w:r w:rsidRPr="004A34E0">
        <w:rPr>
          <w:b/>
        </w:rPr>
        <w:t>$39 million a year in 2019</w:t>
      </w:r>
      <w:r w:rsidRPr="004A34E0">
        <w:t>, see Table 65.</w:t>
      </w:r>
    </w:p>
    <w:p w14:paraId="0A5D85AB" w14:textId="77777777" w:rsidR="007904E8" w:rsidRPr="004A34E0" w:rsidRDefault="007904E8" w:rsidP="007904E8">
      <w:pPr>
        <w:pStyle w:val="ListBullet"/>
        <w:rPr>
          <w:b/>
        </w:rPr>
      </w:pPr>
      <w:r w:rsidRPr="004A34E0">
        <w:t xml:space="preserve">The estimated welfare value of nature-based recreation within the GORCAP EEA region is estimated to be </w:t>
      </w:r>
      <w:r w:rsidRPr="004A34E0">
        <w:rPr>
          <w:b/>
        </w:rPr>
        <w:t>$514 million a year in 2019</w:t>
      </w:r>
      <w:r w:rsidRPr="004A34E0">
        <w:t>, see Table 66.</w:t>
      </w:r>
    </w:p>
    <w:p w14:paraId="40DD9D67" w14:textId="77777777" w:rsidR="007904E8" w:rsidRPr="004A34E0" w:rsidRDefault="007904E8" w:rsidP="007904E8">
      <w:pPr>
        <w:pStyle w:val="ListBullet"/>
        <w:rPr>
          <w:b/>
        </w:rPr>
      </w:pPr>
      <w:r w:rsidRPr="004A34E0">
        <w:t xml:space="preserve">The estimated avoided direct medical costs due to nature-based physical activity within the GORCAP EEA region is estimated for domestic visitors only to be </w:t>
      </w:r>
      <w:r w:rsidRPr="004A34E0">
        <w:rPr>
          <w:b/>
        </w:rPr>
        <w:t>$7 million a year in 2019</w:t>
      </w:r>
      <w:r w:rsidRPr="004A34E0">
        <w:t>, see Table 67.</w:t>
      </w:r>
    </w:p>
    <w:p w14:paraId="10EC5FAC" w14:textId="77777777" w:rsidR="007904E8" w:rsidRPr="004A34E0" w:rsidRDefault="007904E8" w:rsidP="007904E8">
      <w:pPr>
        <w:pStyle w:val="BodyText12ptBefore"/>
        <w:sectPr w:rsidR="007904E8" w:rsidRPr="004A34E0" w:rsidSect="00E52A9A">
          <w:headerReference w:type="even" r:id="rId226"/>
          <w:headerReference w:type="default" r:id="rId227"/>
          <w:footerReference w:type="even" r:id="rId228"/>
          <w:footerReference w:type="default" r:id="rId229"/>
          <w:pgSz w:w="11907" w:h="16840" w:code="9"/>
          <w:pgMar w:top="1134" w:right="1134" w:bottom="1134" w:left="1134" w:header="283" w:footer="283" w:gutter="0"/>
          <w:cols w:space="284"/>
          <w:docGrid w:linePitch="360"/>
        </w:sectPr>
      </w:pPr>
      <w:r w:rsidRPr="004A34E0">
        <w:t>This suggests an estimated range of between $61 million a year and $560 million a year from ecosystem related recreation and tourism in the GORCAP EEA region.</w:t>
      </w:r>
    </w:p>
    <w:p w14:paraId="571F087F" w14:textId="77777777" w:rsidR="007904E8" w:rsidRPr="004A34E0" w:rsidRDefault="007904E8" w:rsidP="00D7122F">
      <w:pPr>
        <w:pStyle w:val="Caption"/>
      </w:pPr>
      <w:r w:rsidRPr="004A34E0">
        <w:lastRenderedPageBreak/>
        <w:t>Table 64. Recreational and tourism GVA ($, 2021) in GOR LGA’s for 2019 (TRA, 2021)</w:t>
      </w:r>
    </w:p>
    <w:tbl>
      <w:tblPr>
        <w:tblStyle w:val="TableGrid"/>
        <w:tblW w:w="5000" w:type="pct"/>
        <w:tblLook w:val="04A0" w:firstRow="1" w:lastRow="0" w:firstColumn="1" w:lastColumn="0" w:noHBand="0" w:noVBand="1"/>
      </w:tblPr>
      <w:tblGrid>
        <w:gridCol w:w="1996"/>
        <w:gridCol w:w="4847"/>
        <w:gridCol w:w="1594"/>
        <w:gridCol w:w="1874"/>
        <w:gridCol w:w="1874"/>
        <w:gridCol w:w="1874"/>
        <w:gridCol w:w="1870"/>
        <w:gridCol w:w="1383"/>
        <w:gridCol w:w="1258"/>
        <w:gridCol w:w="2973"/>
      </w:tblGrid>
      <w:tr w:rsidR="007904E8" w:rsidRPr="004A34E0" w14:paraId="7BBA8E7E" w14:textId="77777777" w:rsidTr="00D7122F">
        <w:trPr>
          <w:cnfStyle w:val="100000000000" w:firstRow="1" w:lastRow="0" w:firstColumn="0" w:lastColumn="0" w:oddVBand="0" w:evenVBand="0" w:oddHBand="0"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463" w:type="pct"/>
            <w:noWrap/>
            <w:hideMark/>
          </w:tcPr>
          <w:p w14:paraId="7DD07B2E" w14:textId="77777777" w:rsidR="007904E8" w:rsidRPr="004A34E0" w:rsidRDefault="007904E8" w:rsidP="00666947">
            <w:pPr>
              <w:pStyle w:val="TableTextLeft"/>
            </w:pPr>
          </w:p>
        </w:tc>
        <w:tc>
          <w:tcPr>
            <w:tcW w:w="1124" w:type="pct"/>
            <w:noWrap/>
            <w:hideMark/>
          </w:tcPr>
          <w:p w14:paraId="42129BA2"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p>
        </w:tc>
        <w:tc>
          <w:tcPr>
            <w:tcW w:w="370" w:type="pct"/>
            <w:noWrap/>
            <w:hideMark/>
          </w:tcPr>
          <w:p w14:paraId="5EE95C82"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Colac Otway</w:t>
            </w:r>
          </w:p>
        </w:tc>
        <w:tc>
          <w:tcPr>
            <w:tcW w:w="435" w:type="pct"/>
            <w:noWrap/>
            <w:hideMark/>
          </w:tcPr>
          <w:p w14:paraId="398ECC15"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Moyne</w:t>
            </w:r>
          </w:p>
        </w:tc>
        <w:tc>
          <w:tcPr>
            <w:tcW w:w="435" w:type="pct"/>
            <w:noWrap/>
            <w:hideMark/>
          </w:tcPr>
          <w:p w14:paraId="363807D6"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Surf Coast</w:t>
            </w:r>
          </w:p>
        </w:tc>
        <w:tc>
          <w:tcPr>
            <w:tcW w:w="435" w:type="pct"/>
            <w:noWrap/>
            <w:hideMark/>
          </w:tcPr>
          <w:p w14:paraId="1E917E27"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Corangamite</w:t>
            </w:r>
          </w:p>
        </w:tc>
        <w:tc>
          <w:tcPr>
            <w:tcW w:w="434" w:type="pct"/>
            <w:noWrap/>
            <w:hideMark/>
          </w:tcPr>
          <w:p w14:paraId="4EA156BD"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Warrnambool</w:t>
            </w:r>
          </w:p>
        </w:tc>
        <w:tc>
          <w:tcPr>
            <w:tcW w:w="321" w:type="pct"/>
          </w:tcPr>
          <w:p w14:paraId="1E896FD2"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Total</w:t>
            </w:r>
          </w:p>
        </w:tc>
        <w:tc>
          <w:tcPr>
            <w:tcW w:w="292" w:type="pct"/>
          </w:tcPr>
          <w:p w14:paraId="199398FE"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Year</w:t>
            </w:r>
          </w:p>
        </w:tc>
        <w:tc>
          <w:tcPr>
            <w:tcW w:w="691" w:type="pct"/>
          </w:tcPr>
          <w:p w14:paraId="4E61099C"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rPr>
                <w:b/>
              </w:rPr>
            </w:pPr>
            <w:r w:rsidRPr="004A34E0">
              <w:rPr>
                <w:b/>
              </w:rPr>
              <w:t>Source</w:t>
            </w:r>
          </w:p>
        </w:tc>
      </w:tr>
      <w:tr w:rsidR="007904E8" w:rsidRPr="004A34E0" w14:paraId="4ECD2543" w14:textId="77777777" w:rsidTr="00D7122F">
        <w:trPr>
          <w:trHeight w:val="151"/>
        </w:trPr>
        <w:tc>
          <w:tcPr>
            <w:cnfStyle w:val="001000000000" w:firstRow="0" w:lastRow="0" w:firstColumn="1" w:lastColumn="0" w:oddVBand="0" w:evenVBand="0" w:oddHBand="0" w:evenHBand="0" w:firstRowFirstColumn="0" w:firstRowLastColumn="0" w:lastRowFirstColumn="0" w:lastRowLastColumn="0"/>
            <w:tcW w:w="1588" w:type="pct"/>
            <w:gridSpan w:val="2"/>
            <w:noWrap/>
          </w:tcPr>
          <w:p w14:paraId="3EF97C66" w14:textId="77777777" w:rsidR="007904E8" w:rsidRPr="004A34E0" w:rsidRDefault="007904E8" w:rsidP="00666947">
            <w:pPr>
              <w:pStyle w:val="TableTextLeft"/>
            </w:pPr>
            <w:r w:rsidRPr="004A34E0">
              <w:t>Estimated total visitors where primary engagement with ecosystems (‘000)</w:t>
            </w:r>
          </w:p>
        </w:tc>
        <w:tc>
          <w:tcPr>
            <w:tcW w:w="370" w:type="pct"/>
            <w:noWrap/>
          </w:tcPr>
          <w:p w14:paraId="04261C0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734 </w:t>
            </w:r>
          </w:p>
        </w:tc>
        <w:tc>
          <w:tcPr>
            <w:tcW w:w="435" w:type="pct"/>
            <w:noWrap/>
          </w:tcPr>
          <w:p w14:paraId="450D797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277 </w:t>
            </w:r>
          </w:p>
        </w:tc>
        <w:tc>
          <w:tcPr>
            <w:tcW w:w="435" w:type="pct"/>
            <w:noWrap/>
          </w:tcPr>
          <w:p w14:paraId="30F9333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1,833 </w:t>
            </w:r>
          </w:p>
        </w:tc>
        <w:tc>
          <w:tcPr>
            <w:tcW w:w="435" w:type="pct"/>
            <w:noWrap/>
          </w:tcPr>
          <w:p w14:paraId="632F1AF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369 </w:t>
            </w:r>
          </w:p>
        </w:tc>
        <w:tc>
          <w:tcPr>
            <w:tcW w:w="434" w:type="pct"/>
            <w:noWrap/>
          </w:tcPr>
          <w:p w14:paraId="212AB9A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711 </w:t>
            </w:r>
          </w:p>
        </w:tc>
        <w:tc>
          <w:tcPr>
            <w:tcW w:w="321" w:type="pct"/>
          </w:tcPr>
          <w:p w14:paraId="7F21AE9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rPr>
            </w:pPr>
            <w:r w:rsidRPr="004A34E0">
              <w:rPr>
                <w:b/>
              </w:rPr>
              <w:t>3,925</w:t>
            </w:r>
          </w:p>
        </w:tc>
        <w:tc>
          <w:tcPr>
            <w:tcW w:w="292" w:type="pct"/>
          </w:tcPr>
          <w:p w14:paraId="4A3385A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2019</w:t>
            </w:r>
          </w:p>
        </w:tc>
        <w:tc>
          <w:tcPr>
            <w:tcW w:w="691" w:type="pct"/>
          </w:tcPr>
          <w:p w14:paraId="359C78A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TRA (2021)</w:t>
            </w:r>
          </w:p>
        </w:tc>
      </w:tr>
      <w:tr w:rsidR="007904E8" w:rsidRPr="004A34E0" w14:paraId="0D12DFFF" w14:textId="77777777" w:rsidTr="00D7122F">
        <w:trPr>
          <w:trHeight w:val="151"/>
        </w:trPr>
        <w:tc>
          <w:tcPr>
            <w:cnfStyle w:val="001000000000" w:firstRow="0" w:lastRow="0" w:firstColumn="1" w:lastColumn="0" w:oddVBand="0" w:evenVBand="0" w:oddHBand="0" w:evenHBand="0" w:firstRowFirstColumn="0" w:firstRowLastColumn="0" w:lastRowFirstColumn="0" w:lastRowLastColumn="0"/>
            <w:tcW w:w="1588" w:type="pct"/>
            <w:gridSpan w:val="2"/>
            <w:noWrap/>
          </w:tcPr>
          <w:p w14:paraId="2F1B5495" w14:textId="77777777" w:rsidR="007904E8" w:rsidRPr="004A34E0" w:rsidRDefault="007904E8" w:rsidP="00666947">
            <w:pPr>
              <w:pStyle w:val="TableTextLeft"/>
            </w:pPr>
            <w:r w:rsidRPr="004A34E0">
              <w:t>Estimated average direct GVA per visitor attributable to ecosystems ($)</w:t>
            </w:r>
          </w:p>
        </w:tc>
        <w:tc>
          <w:tcPr>
            <w:tcW w:w="370" w:type="pct"/>
            <w:noWrap/>
          </w:tcPr>
          <w:p w14:paraId="4688986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$78</w:t>
            </w:r>
          </w:p>
        </w:tc>
        <w:tc>
          <w:tcPr>
            <w:tcW w:w="435" w:type="pct"/>
            <w:noWrap/>
          </w:tcPr>
          <w:p w14:paraId="014C14D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$78</w:t>
            </w:r>
          </w:p>
        </w:tc>
        <w:tc>
          <w:tcPr>
            <w:tcW w:w="435" w:type="pct"/>
            <w:noWrap/>
          </w:tcPr>
          <w:p w14:paraId="5EC953E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$78</w:t>
            </w:r>
          </w:p>
        </w:tc>
        <w:tc>
          <w:tcPr>
            <w:tcW w:w="435" w:type="pct"/>
            <w:noWrap/>
          </w:tcPr>
          <w:p w14:paraId="6CA3A04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$78</w:t>
            </w:r>
          </w:p>
        </w:tc>
        <w:tc>
          <w:tcPr>
            <w:tcW w:w="434" w:type="pct"/>
            <w:noWrap/>
          </w:tcPr>
          <w:p w14:paraId="5C498CC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$78</w:t>
            </w:r>
          </w:p>
        </w:tc>
        <w:tc>
          <w:tcPr>
            <w:tcW w:w="321" w:type="pct"/>
          </w:tcPr>
          <w:p w14:paraId="0CAB84C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292" w:type="pct"/>
          </w:tcPr>
          <w:p w14:paraId="2B121DF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2018-19</w:t>
            </w:r>
          </w:p>
        </w:tc>
        <w:tc>
          <w:tcPr>
            <w:tcW w:w="691" w:type="pct"/>
          </w:tcPr>
          <w:p w14:paraId="711350E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DJPR (2020) and TRA (2021)</w:t>
            </w:r>
          </w:p>
        </w:tc>
      </w:tr>
      <w:tr w:rsidR="007904E8" w:rsidRPr="004A34E0" w14:paraId="20E2148C" w14:textId="77777777" w:rsidTr="00D7122F">
        <w:trPr>
          <w:trHeight w:val="68"/>
        </w:trPr>
        <w:tc>
          <w:tcPr>
            <w:cnfStyle w:val="001000000000" w:firstRow="0" w:lastRow="0" w:firstColumn="1" w:lastColumn="0" w:oddVBand="0" w:evenVBand="0" w:oddHBand="0" w:evenHBand="0" w:firstRowFirstColumn="0" w:firstRowLastColumn="0" w:lastRowFirstColumn="0" w:lastRowLastColumn="0"/>
            <w:tcW w:w="1588" w:type="pct"/>
            <w:gridSpan w:val="2"/>
            <w:hideMark/>
          </w:tcPr>
          <w:p w14:paraId="2827F0B6" w14:textId="77777777" w:rsidR="007904E8" w:rsidRPr="004A34E0" w:rsidRDefault="007904E8" w:rsidP="00666947">
            <w:pPr>
              <w:pStyle w:val="TableTextLeft"/>
            </w:pPr>
            <w:r w:rsidRPr="004A34E0">
              <w:t>Estimated total direct GVA attributable to ecosystems ($m/yr)</w:t>
            </w:r>
          </w:p>
        </w:tc>
        <w:tc>
          <w:tcPr>
            <w:tcW w:w="370" w:type="pct"/>
            <w:noWrap/>
          </w:tcPr>
          <w:p w14:paraId="1F4A3D0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$57m</w:t>
            </w:r>
          </w:p>
        </w:tc>
        <w:tc>
          <w:tcPr>
            <w:tcW w:w="435" w:type="pct"/>
            <w:noWrap/>
          </w:tcPr>
          <w:p w14:paraId="7E12FC6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$22m</w:t>
            </w:r>
          </w:p>
        </w:tc>
        <w:tc>
          <w:tcPr>
            <w:tcW w:w="435" w:type="pct"/>
            <w:noWrap/>
          </w:tcPr>
          <w:p w14:paraId="39698EE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$144m</w:t>
            </w:r>
          </w:p>
        </w:tc>
        <w:tc>
          <w:tcPr>
            <w:tcW w:w="435" w:type="pct"/>
            <w:noWrap/>
          </w:tcPr>
          <w:p w14:paraId="219BF01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$29m</w:t>
            </w:r>
          </w:p>
        </w:tc>
        <w:tc>
          <w:tcPr>
            <w:tcW w:w="434" w:type="pct"/>
            <w:noWrap/>
          </w:tcPr>
          <w:p w14:paraId="7656505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$56m</w:t>
            </w:r>
          </w:p>
        </w:tc>
        <w:tc>
          <w:tcPr>
            <w:tcW w:w="321" w:type="pct"/>
          </w:tcPr>
          <w:p w14:paraId="6855C77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$307m</w:t>
            </w:r>
          </w:p>
        </w:tc>
        <w:tc>
          <w:tcPr>
            <w:tcW w:w="292" w:type="pct"/>
          </w:tcPr>
          <w:p w14:paraId="3DD3002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w:t>
            </w:r>
          </w:p>
        </w:tc>
        <w:tc>
          <w:tcPr>
            <w:tcW w:w="691" w:type="pct"/>
          </w:tcPr>
          <w:p w14:paraId="62BA51D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rPr>
            </w:pPr>
            <w:r w:rsidRPr="004A34E0">
              <w:rPr>
                <w:b/>
              </w:rPr>
              <w:t>-</w:t>
            </w:r>
          </w:p>
        </w:tc>
      </w:tr>
      <w:tr w:rsidR="007904E8" w:rsidRPr="004A34E0" w14:paraId="44E75D60" w14:textId="77777777" w:rsidTr="00D7122F">
        <w:trPr>
          <w:trHeight w:val="68"/>
        </w:trPr>
        <w:tc>
          <w:tcPr>
            <w:cnfStyle w:val="001000000000" w:firstRow="0" w:lastRow="0" w:firstColumn="1" w:lastColumn="0" w:oddVBand="0" w:evenVBand="0" w:oddHBand="0" w:evenHBand="0" w:firstRowFirstColumn="0" w:firstRowLastColumn="0" w:lastRowFirstColumn="0" w:lastRowLastColumn="0"/>
            <w:tcW w:w="1588" w:type="pct"/>
            <w:gridSpan w:val="2"/>
          </w:tcPr>
          <w:p w14:paraId="1C3B133B" w14:textId="77777777" w:rsidR="007904E8" w:rsidRPr="004A34E0" w:rsidRDefault="007904E8" w:rsidP="00666947">
            <w:pPr>
              <w:pStyle w:val="TableTextLeft"/>
            </w:pPr>
            <w:r w:rsidRPr="004A34E0">
              <w:t>Estimated contribution of ecosystem</w:t>
            </w:r>
          </w:p>
        </w:tc>
        <w:tc>
          <w:tcPr>
            <w:tcW w:w="370" w:type="pct"/>
            <w:noWrap/>
          </w:tcPr>
          <w:p w14:paraId="215D862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w:t>
            </w:r>
          </w:p>
        </w:tc>
        <w:tc>
          <w:tcPr>
            <w:tcW w:w="435" w:type="pct"/>
            <w:noWrap/>
          </w:tcPr>
          <w:p w14:paraId="1BEFE66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w:t>
            </w:r>
          </w:p>
        </w:tc>
        <w:tc>
          <w:tcPr>
            <w:tcW w:w="435" w:type="pct"/>
            <w:noWrap/>
          </w:tcPr>
          <w:p w14:paraId="5D66B04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w:t>
            </w:r>
          </w:p>
        </w:tc>
        <w:tc>
          <w:tcPr>
            <w:tcW w:w="435" w:type="pct"/>
            <w:noWrap/>
          </w:tcPr>
          <w:p w14:paraId="478613E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w:t>
            </w:r>
          </w:p>
        </w:tc>
        <w:tc>
          <w:tcPr>
            <w:tcW w:w="434" w:type="pct"/>
            <w:noWrap/>
          </w:tcPr>
          <w:p w14:paraId="7DB6328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w:t>
            </w:r>
          </w:p>
        </w:tc>
        <w:tc>
          <w:tcPr>
            <w:tcW w:w="321" w:type="pct"/>
          </w:tcPr>
          <w:p w14:paraId="51BE167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rPr>
            </w:pPr>
          </w:p>
        </w:tc>
        <w:tc>
          <w:tcPr>
            <w:tcW w:w="292" w:type="pct"/>
          </w:tcPr>
          <w:p w14:paraId="047021B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691" w:type="pct"/>
          </w:tcPr>
          <w:p w14:paraId="5CC9CDC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r>
      <w:tr w:rsidR="007904E8" w:rsidRPr="004A34E0" w14:paraId="63A24E12" w14:textId="77777777" w:rsidTr="00D7122F">
        <w:trPr>
          <w:trHeight w:val="68"/>
        </w:trPr>
        <w:tc>
          <w:tcPr>
            <w:cnfStyle w:val="001000000000" w:firstRow="0" w:lastRow="0" w:firstColumn="1" w:lastColumn="0" w:oddVBand="0" w:evenVBand="0" w:oddHBand="0" w:evenHBand="0" w:firstRowFirstColumn="0" w:firstRowLastColumn="0" w:lastRowFirstColumn="0" w:lastRowLastColumn="0"/>
            <w:tcW w:w="1588" w:type="pct"/>
            <w:gridSpan w:val="2"/>
          </w:tcPr>
          <w:p w14:paraId="7AF5F3CE" w14:textId="77777777" w:rsidR="007904E8" w:rsidRPr="004A34E0" w:rsidRDefault="007904E8" w:rsidP="00666947">
            <w:pPr>
              <w:pStyle w:val="TableTextLeft"/>
            </w:pPr>
            <w:r w:rsidRPr="004A34E0">
              <w:rPr>
                <w:b/>
              </w:rPr>
              <w:t>Estimated contribution of ecosystems to GVA ($/year)</w:t>
            </w:r>
          </w:p>
        </w:tc>
        <w:tc>
          <w:tcPr>
            <w:tcW w:w="370" w:type="pct"/>
            <w:noWrap/>
          </w:tcPr>
          <w:p w14:paraId="48970E1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$11m</w:t>
            </w:r>
          </w:p>
        </w:tc>
        <w:tc>
          <w:tcPr>
            <w:tcW w:w="435" w:type="pct"/>
            <w:noWrap/>
          </w:tcPr>
          <w:p w14:paraId="660348C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$4m</w:t>
            </w:r>
          </w:p>
        </w:tc>
        <w:tc>
          <w:tcPr>
            <w:tcW w:w="435" w:type="pct"/>
            <w:noWrap/>
          </w:tcPr>
          <w:p w14:paraId="270B4F9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$29m</w:t>
            </w:r>
          </w:p>
        </w:tc>
        <w:tc>
          <w:tcPr>
            <w:tcW w:w="435" w:type="pct"/>
            <w:noWrap/>
          </w:tcPr>
          <w:p w14:paraId="77F8F2C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$6m</w:t>
            </w:r>
          </w:p>
        </w:tc>
        <w:tc>
          <w:tcPr>
            <w:tcW w:w="434" w:type="pct"/>
            <w:noWrap/>
          </w:tcPr>
          <w:p w14:paraId="24877CF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$11m</w:t>
            </w:r>
          </w:p>
        </w:tc>
        <w:tc>
          <w:tcPr>
            <w:tcW w:w="321" w:type="pct"/>
          </w:tcPr>
          <w:p w14:paraId="7CD2B99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rPr>
            </w:pPr>
            <w:r w:rsidRPr="004A34E0">
              <w:rPr>
                <w:b/>
              </w:rPr>
              <w:t>$61m</w:t>
            </w:r>
          </w:p>
        </w:tc>
        <w:tc>
          <w:tcPr>
            <w:tcW w:w="292" w:type="pct"/>
          </w:tcPr>
          <w:p w14:paraId="3B25F0B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691" w:type="pct"/>
          </w:tcPr>
          <w:p w14:paraId="398FFB2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r>
    </w:tbl>
    <w:p w14:paraId="01F28DDC" w14:textId="77777777" w:rsidR="007904E8" w:rsidRPr="004A34E0" w:rsidRDefault="007904E8" w:rsidP="00D7122F">
      <w:pPr>
        <w:pStyle w:val="Caption"/>
      </w:pPr>
      <w:r w:rsidRPr="004A34E0">
        <w:t>Table 65. Estimated avoided loss of productivity ($, 2021) due to physical activity</w:t>
      </w:r>
    </w:p>
    <w:tbl>
      <w:tblPr>
        <w:tblStyle w:val="TableGrid"/>
        <w:tblW w:w="5000" w:type="pct"/>
        <w:tblLook w:val="04A0" w:firstRow="1" w:lastRow="0" w:firstColumn="1" w:lastColumn="0" w:noHBand="0" w:noVBand="1"/>
      </w:tblPr>
      <w:tblGrid>
        <w:gridCol w:w="10177"/>
        <w:gridCol w:w="2219"/>
        <w:gridCol w:w="2895"/>
        <w:gridCol w:w="6252"/>
      </w:tblGrid>
      <w:tr w:rsidR="007904E8" w:rsidRPr="004A34E0" w14:paraId="51EDDB8A" w14:textId="77777777" w:rsidTr="00D7122F">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2362" w:type="pct"/>
          </w:tcPr>
          <w:p w14:paraId="0C040CBC" w14:textId="77777777" w:rsidR="007904E8" w:rsidRPr="004A34E0" w:rsidRDefault="007904E8" w:rsidP="00666947">
            <w:pPr>
              <w:pStyle w:val="TableTextLeft"/>
            </w:pPr>
          </w:p>
        </w:tc>
        <w:tc>
          <w:tcPr>
            <w:tcW w:w="515" w:type="pct"/>
          </w:tcPr>
          <w:p w14:paraId="12694F55"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Estimate</w:t>
            </w:r>
          </w:p>
        </w:tc>
        <w:tc>
          <w:tcPr>
            <w:tcW w:w="672" w:type="pct"/>
          </w:tcPr>
          <w:p w14:paraId="6D152AD8"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Year</w:t>
            </w:r>
          </w:p>
        </w:tc>
        <w:tc>
          <w:tcPr>
            <w:tcW w:w="1451" w:type="pct"/>
          </w:tcPr>
          <w:p w14:paraId="60199ECC"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rPr>
                <w:b/>
              </w:rPr>
            </w:pPr>
            <w:r w:rsidRPr="004A34E0">
              <w:rPr>
                <w:b/>
              </w:rPr>
              <w:t>Source</w:t>
            </w:r>
          </w:p>
        </w:tc>
      </w:tr>
      <w:tr w:rsidR="007904E8" w:rsidRPr="004A34E0" w14:paraId="76013AFE" w14:textId="77777777" w:rsidTr="00D7122F">
        <w:trPr>
          <w:trHeight w:val="71"/>
        </w:trPr>
        <w:tc>
          <w:tcPr>
            <w:cnfStyle w:val="001000000000" w:firstRow="0" w:lastRow="0" w:firstColumn="1" w:lastColumn="0" w:oddVBand="0" w:evenVBand="0" w:oddHBand="0" w:evenHBand="0" w:firstRowFirstColumn="0" w:firstRowLastColumn="0" w:lastRowFirstColumn="0" w:lastRowLastColumn="0"/>
            <w:tcW w:w="2362" w:type="pct"/>
          </w:tcPr>
          <w:p w14:paraId="2D0C1866" w14:textId="77777777" w:rsidR="007904E8" w:rsidRPr="004A34E0" w:rsidRDefault="007904E8" w:rsidP="00666947">
            <w:pPr>
              <w:pStyle w:val="TableTextLeft"/>
            </w:pPr>
            <w:r w:rsidRPr="004A34E0">
              <w:t>Estimated total “active” visitors where primary purpose is physical activity (‘000)</w:t>
            </w:r>
          </w:p>
        </w:tc>
        <w:tc>
          <w:tcPr>
            <w:tcW w:w="515" w:type="pct"/>
          </w:tcPr>
          <w:p w14:paraId="4410BDA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375</w:t>
            </w:r>
          </w:p>
        </w:tc>
        <w:tc>
          <w:tcPr>
            <w:tcW w:w="672" w:type="pct"/>
          </w:tcPr>
          <w:p w14:paraId="5149474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2013-19</w:t>
            </w:r>
            <w:r w:rsidRPr="004A34E0">
              <w:rPr>
                <w:vertAlign w:val="superscript"/>
              </w:rPr>
              <w:t>a</w:t>
            </w:r>
          </w:p>
        </w:tc>
        <w:tc>
          <w:tcPr>
            <w:tcW w:w="1451" w:type="pct"/>
          </w:tcPr>
          <w:p w14:paraId="03412A5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TRA (2013 and 2021) and Parks Victoria (2021)</w:t>
            </w:r>
          </w:p>
        </w:tc>
      </w:tr>
      <w:tr w:rsidR="007904E8" w:rsidRPr="004A34E0" w14:paraId="20F0BF8B" w14:textId="77777777" w:rsidTr="00D7122F">
        <w:trPr>
          <w:trHeight w:val="71"/>
        </w:trPr>
        <w:tc>
          <w:tcPr>
            <w:cnfStyle w:val="001000000000" w:firstRow="0" w:lastRow="0" w:firstColumn="1" w:lastColumn="0" w:oddVBand="0" w:evenVBand="0" w:oddHBand="0" w:evenHBand="0" w:firstRowFirstColumn="0" w:firstRowLastColumn="0" w:lastRowFirstColumn="0" w:lastRowLastColumn="0"/>
            <w:tcW w:w="2362" w:type="pct"/>
          </w:tcPr>
          <w:p w14:paraId="28410CC0" w14:textId="77777777" w:rsidR="007904E8" w:rsidRPr="004A34E0" w:rsidRDefault="007904E8" w:rsidP="00666947">
            <w:pPr>
              <w:pStyle w:val="TableTextLeft"/>
            </w:pPr>
            <w:r w:rsidRPr="004A34E0">
              <w:t xml:space="preserve">Estimated contribution of park exercise to minimum physical activity levels </w:t>
            </w:r>
          </w:p>
        </w:tc>
        <w:tc>
          <w:tcPr>
            <w:tcW w:w="515" w:type="pct"/>
          </w:tcPr>
          <w:p w14:paraId="6292F07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17%</w:t>
            </w:r>
          </w:p>
        </w:tc>
        <w:tc>
          <w:tcPr>
            <w:tcW w:w="672" w:type="pct"/>
          </w:tcPr>
          <w:p w14:paraId="3A2134A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2015</w:t>
            </w:r>
            <w:r w:rsidRPr="004A34E0">
              <w:rPr>
                <w:vertAlign w:val="superscript"/>
              </w:rPr>
              <w:t>a</w:t>
            </w:r>
          </w:p>
        </w:tc>
        <w:tc>
          <w:tcPr>
            <w:tcW w:w="1451" w:type="pct"/>
          </w:tcPr>
          <w:p w14:paraId="26EE599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DELWP and Parks Victoria (2015)</w:t>
            </w:r>
          </w:p>
        </w:tc>
      </w:tr>
      <w:tr w:rsidR="007904E8" w:rsidRPr="004A34E0" w14:paraId="1B8C8C50" w14:textId="77777777" w:rsidTr="00D7122F">
        <w:trPr>
          <w:trHeight w:val="71"/>
        </w:trPr>
        <w:tc>
          <w:tcPr>
            <w:cnfStyle w:val="001000000000" w:firstRow="0" w:lastRow="0" w:firstColumn="1" w:lastColumn="0" w:oddVBand="0" w:evenVBand="0" w:oddHBand="0" w:evenHBand="0" w:firstRowFirstColumn="0" w:firstRowLastColumn="0" w:lastRowFirstColumn="0" w:lastRowLastColumn="0"/>
            <w:tcW w:w="2362" w:type="pct"/>
          </w:tcPr>
          <w:p w14:paraId="4EF0F35D" w14:textId="77777777" w:rsidR="007904E8" w:rsidRPr="004A34E0" w:rsidRDefault="007904E8" w:rsidP="00666947">
            <w:pPr>
              <w:pStyle w:val="TableTextLeft"/>
            </w:pPr>
            <w:r w:rsidRPr="004A34E0">
              <w:t>Estimated total “active” visits that meet physical activity guidelines (‘000)</w:t>
            </w:r>
          </w:p>
        </w:tc>
        <w:tc>
          <w:tcPr>
            <w:tcW w:w="515" w:type="pct"/>
          </w:tcPr>
          <w:p w14:paraId="0CB515A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64</w:t>
            </w:r>
          </w:p>
        </w:tc>
        <w:tc>
          <w:tcPr>
            <w:tcW w:w="672" w:type="pct"/>
          </w:tcPr>
          <w:p w14:paraId="1A0C332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1451" w:type="pct"/>
          </w:tcPr>
          <w:p w14:paraId="6112712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r>
      <w:tr w:rsidR="007904E8" w:rsidRPr="004A34E0" w14:paraId="282AA744" w14:textId="77777777" w:rsidTr="00D7122F">
        <w:trPr>
          <w:trHeight w:val="71"/>
        </w:trPr>
        <w:tc>
          <w:tcPr>
            <w:cnfStyle w:val="001000000000" w:firstRow="0" w:lastRow="0" w:firstColumn="1" w:lastColumn="0" w:oddVBand="0" w:evenVBand="0" w:oddHBand="0" w:evenHBand="0" w:firstRowFirstColumn="0" w:firstRowLastColumn="0" w:lastRowFirstColumn="0" w:lastRowLastColumn="0"/>
            <w:tcW w:w="2362" w:type="pct"/>
          </w:tcPr>
          <w:p w14:paraId="79EF9F0B" w14:textId="77777777" w:rsidR="007904E8" w:rsidRPr="004A34E0" w:rsidRDefault="007904E8" w:rsidP="00666947">
            <w:pPr>
              <w:pStyle w:val="TableTextLeft"/>
            </w:pPr>
            <w:r w:rsidRPr="004A34E0">
              <w:t>Estimated marginal avoided productivity losses ($/person/year)</w:t>
            </w:r>
          </w:p>
        </w:tc>
        <w:tc>
          <w:tcPr>
            <w:tcW w:w="515" w:type="pct"/>
          </w:tcPr>
          <w:p w14:paraId="78B55BD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$606</w:t>
            </w:r>
          </w:p>
        </w:tc>
        <w:tc>
          <w:tcPr>
            <w:tcW w:w="672" w:type="pct"/>
          </w:tcPr>
          <w:p w14:paraId="6091F24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2008</w:t>
            </w:r>
            <w:r w:rsidRPr="004A34E0">
              <w:rPr>
                <w:vertAlign w:val="superscript"/>
              </w:rPr>
              <w:t>b</w:t>
            </w:r>
          </w:p>
        </w:tc>
        <w:tc>
          <w:tcPr>
            <w:tcW w:w="1451" w:type="pct"/>
          </w:tcPr>
          <w:p w14:paraId="5A090C5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Medibank (2008)</w:t>
            </w:r>
          </w:p>
        </w:tc>
      </w:tr>
      <w:tr w:rsidR="007904E8" w:rsidRPr="004A34E0" w14:paraId="7E2F7A6E" w14:textId="77777777" w:rsidTr="00D7122F">
        <w:trPr>
          <w:trHeight w:val="71"/>
        </w:trPr>
        <w:tc>
          <w:tcPr>
            <w:cnfStyle w:val="001000000000" w:firstRow="0" w:lastRow="0" w:firstColumn="1" w:lastColumn="0" w:oddVBand="0" w:evenVBand="0" w:oddHBand="0" w:evenHBand="0" w:firstRowFirstColumn="0" w:firstRowLastColumn="0" w:lastRowFirstColumn="0" w:lastRowLastColumn="0"/>
            <w:tcW w:w="2362" w:type="pct"/>
          </w:tcPr>
          <w:p w14:paraId="075FB0C0" w14:textId="77777777" w:rsidR="007904E8" w:rsidRPr="004A34E0" w:rsidRDefault="007904E8" w:rsidP="00666947">
            <w:pPr>
              <w:pStyle w:val="TableTextLeft"/>
            </w:pPr>
            <w:r w:rsidRPr="004A34E0">
              <w:rPr>
                <w:b/>
              </w:rPr>
              <w:t>Total estimated avoided productivity losses to Australian economy ($m/year)</w:t>
            </w:r>
          </w:p>
        </w:tc>
        <w:tc>
          <w:tcPr>
            <w:tcW w:w="515" w:type="pct"/>
          </w:tcPr>
          <w:p w14:paraId="7D0C6F7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$39m</w:t>
            </w:r>
          </w:p>
        </w:tc>
        <w:tc>
          <w:tcPr>
            <w:tcW w:w="672" w:type="pct"/>
          </w:tcPr>
          <w:p w14:paraId="611C3D0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451" w:type="pct"/>
          </w:tcPr>
          <w:p w14:paraId="135D526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rPr>
            </w:pPr>
          </w:p>
        </w:tc>
      </w:tr>
    </w:tbl>
    <w:p w14:paraId="7AFFF935" w14:textId="77777777" w:rsidR="007904E8" w:rsidRPr="004A34E0" w:rsidRDefault="007904E8" w:rsidP="00D7122F">
      <w:pPr>
        <w:pStyle w:val="Caption"/>
      </w:pPr>
      <w:r w:rsidRPr="004A34E0">
        <w:t xml:space="preserve">Table 66. Estimated welfare gain ($, 2021) from recreation and tourism </w:t>
      </w:r>
    </w:p>
    <w:tbl>
      <w:tblPr>
        <w:tblStyle w:val="TableGrid"/>
        <w:tblW w:w="5000" w:type="pct"/>
        <w:tblLook w:val="04A0" w:firstRow="1" w:lastRow="0" w:firstColumn="1" w:lastColumn="0" w:noHBand="0" w:noVBand="1"/>
      </w:tblPr>
      <w:tblGrid>
        <w:gridCol w:w="10177"/>
        <w:gridCol w:w="2219"/>
        <w:gridCol w:w="2895"/>
        <w:gridCol w:w="6252"/>
      </w:tblGrid>
      <w:tr w:rsidR="007904E8" w:rsidRPr="004A34E0" w14:paraId="07A65AD9" w14:textId="77777777" w:rsidTr="00D7122F">
        <w:trPr>
          <w:cnfStyle w:val="100000000000" w:firstRow="1" w:lastRow="0"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2362" w:type="pct"/>
          </w:tcPr>
          <w:p w14:paraId="64325286" w14:textId="77777777" w:rsidR="007904E8" w:rsidRPr="004A34E0" w:rsidRDefault="007904E8" w:rsidP="00666947">
            <w:pPr>
              <w:pStyle w:val="TableTextLeft"/>
            </w:pPr>
          </w:p>
        </w:tc>
        <w:tc>
          <w:tcPr>
            <w:tcW w:w="515" w:type="pct"/>
          </w:tcPr>
          <w:p w14:paraId="7994BD3C"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Estimate</w:t>
            </w:r>
          </w:p>
        </w:tc>
        <w:tc>
          <w:tcPr>
            <w:tcW w:w="672" w:type="pct"/>
          </w:tcPr>
          <w:p w14:paraId="5A2CAFD7"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Year</w:t>
            </w:r>
          </w:p>
        </w:tc>
        <w:tc>
          <w:tcPr>
            <w:tcW w:w="1451" w:type="pct"/>
          </w:tcPr>
          <w:p w14:paraId="7F62AD7C"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rPr>
                <w:b/>
              </w:rPr>
            </w:pPr>
            <w:r w:rsidRPr="004A34E0">
              <w:rPr>
                <w:b/>
              </w:rPr>
              <w:t>Source</w:t>
            </w:r>
          </w:p>
        </w:tc>
      </w:tr>
      <w:tr w:rsidR="007904E8" w:rsidRPr="004A34E0" w14:paraId="1B71557D" w14:textId="77777777" w:rsidTr="00D7122F">
        <w:trPr>
          <w:trHeight w:val="321"/>
        </w:trPr>
        <w:tc>
          <w:tcPr>
            <w:cnfStyle w:val="001000000000" w:firstRow="0" w:lastRow="0" w:firstColumn="1" w:lastColumn="0" w:oddVBand="0" w:evenVBand="0" w:oddHBand="0" w:evenHBand="0" w:firstRowFirstColumn="0" w:firstRowLastColumn="0" w:lastRowFirstColumn="0" w:lastRowLastColumn="0"/>
            <w:tcW w:w="2362" w:type="pct"/>
          </w:tcPr>
          <w:p w14:paraId="13F7E06C" w14:textId="77777777" w:rsidR="007904E8" w:rsidRPr="004A34E0" w:rsidRDefault="007904E8" w:rsidP="00666947">
            <w:pPr>
              <w:pStyle w:val="TableTextLeft"/>
            </w:pPr>
            <w:r w:rsidRPr="004A34E0">
              <w:t>Estimated total domestic daytrip visitors where primary engagement with ecosystems (‘000)</w:t>
            </w:r>
          </w:p>
        </w:tc>
        <w:tc>
          <w:tcPr>
            <w:tcW w:w="515" w:type="pct"/>
          </w:tcPr>
          <w:p w14:paraId="27693B7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2,140</w:t>
            </w:r>
          </w:p>
        </w:tc>
        <w:tc>
          <w:tcPr>
            <w:tcW w:w="672" w:type="pct"/>
          </w:tcPr>
          <w:p w14:paraId="0B1A3E5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2019</w:t>
            </w:r>
          </w:p>
        </w:tc>
        <w:tc>
          <w:tcPr>
            <w:tcW w:w="1451" w:type="pct"/>
          </w:tcPr>
          <w:p w14:paraId="08D62C6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TRA (2021)</w:t>
            </w:r>
          </w:p>
        </w:tc>
      </w:tr>
      <w:tr w:rsidR="007904E8" w:rsidRPr="004A34E0" w14:paraId="079A3680" w14:textId="77777777" w:rsidTr="00D7122F">
        <w:trPr>
          <w:trHeight w:val="77"/>
        </w:trPr>
        <w:tc>
          <w:tcPr>
            <w:cnfStyle w:val="001000000000" w:firstRow="0" w:lastRow="0" w:firstColumn="1" w:lastColumn="0" w:oddVBand="0" w:evenVBand="0" w:oddHBand="0" w:evenHBand="0" w:firstRowFirstColumn="0" w:firstRowLastColumn="0" w:lastRowFirstColumn="0" w:lastRowLastColumn="0"/>
            <w:tcW w:w="2362" w:type="pct"/>
          </w:tcPr>
          <w:p w14:paraId="65E9647D" w14:textId="77777777" w:rsidR="007904E8" w:rsidRPr="004A34E0" w:rsidRDefault="007904E8" w:rsidP="00666947">
            <w:pPr>
              <w:pStyle w:val="TableTextLeft"/>
            </w:pPr>
            <w:r w:rsidRPr="004A34E0">
              <w:t>Estimated marginal welfare values for day visits ($/day visit)</w:t>
            </w:r>
          </w:p>
        </w:tc>
        <w:tc>
          <w:tcPr>
            <w:tcW w:w="515" w:type="pct"/>
          </w:tcPr>
          <w:p w14:paraId="45C1059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$65</w:t>
            </w:r>
          </w:p>
        </w:tc>
        <w:tc>
          <w:tcPr>
            <w:tcW w:w="672" w:type="pct"/>
          </w:tcPr>
          <w:p w14:paraId="18FF9D0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2007</w:t>
            </w:r>
            <w:r w:rsidRPr="004A34E0">
              <w:rPr>
                <w:vertAlign w:val="superscript"/>
              </w:rPr>
              <w:t>b</w:t>
            </w:r>
          </w:p>
        </w:tc>
        <w:tc>
          <w:tcPr>
            <w:tcW w:w="1451" w:type="pct"/>
          </w:tcPr>
          <w:p w14:paraId="21384AC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URS (2007)</w:t>
            </w:r>
          </w:p>
        </w:tc>
      </w:tr>
      <w:tr w:rsidR="007904E8" w:rsidRPr="004A34E0" w14:paraId="6196C540" w14:textId="77777777" w:rsidTr="00D7122F">
        <w:trPr>
          <w:trHeight w:val="77"/>
        </w:trPr>
        <w:tc>
          <w:tcPr>
            <w:cnfStyle w:val="001000000000" w:firstRow="0" w:lastRow="0" w:firstColumn="1" w:lastColumn="0" w:oddVBand="0" w:evenVBand="0" w:oddHBand="0" w:evenHBand="0" w:firstRowFirstColumn="0" w:firstRowLastColumn="0" w:lastRowFirstColumn="0" w:lastRowLastColumn="0"/>
            <w:tcW w:w="2362" w:type="pct"/>
          </w:tcPr>
          <w:p w14:paraId="42297D6E" w14:textId="77777777" w:rsidR="007904E8" w:rsidRPr="004A34E0" w:rsidRDefault="007904E8" w:rsidP="00666947">
            <w:pPr>
              <w:pStyle w:val="TableTextLeft"/>
            </w:pPr>
            <w:r w:rsidRPr="004A34E0">
              <w:t>Estimated total welfare value of daytrip visits ($m/year)</w:t>
            </w:r>
          </w:p>
        </w:tc>
        <w:tc>
          <w:tcPr>
            <w:tcW w:w="515" w:type="pct"/>
          </w:tcPr>
          <w:p w14:paraId="4CBDAFE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$140m</w:t>
            </w:r>
          </w:p>
        </w:tc>
        <w:tc>
          <w:tcPr>
            <w:tcW w:w="672" w:type="pct"/>
          </w:tcPr>
          <w:p w14:paraId="241189E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1451" w:type="pct"/>
          </w:tcPr>
          <w:p w14:paraId="4FE3649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r>
      <w:tr w:rsidR="007904E8" w:rsidRPr="004A34E0" w14:paraId="70B18378" w14:textId="77777777" w:rsidTr="00D7122F">
        <w:trPr>
          <w:trHeight w:val="77"/>
        </w:trPr>
        <w:tc>
          <w:tcPr>
            <w:cnfStyle w:val="001000000000" w:firstRow="0" w:lastRow="0" w:firstColumn="1" w:lastColumn="0" w:oddVBand="0" w:evenVBand="0" w:oddHBand="0" w:evenHBand="0" w:firstRowFirstColumn="0" w:firstRowLastColumn="0" w:lastRowFirstColumn="0" w:lastRowLastColumn="0"/>
            <w:tcW w:w="2362" w:type="pct"/>
          </w:tcPr>
          <w:p w14:paraId="701A24A1" w14:textId="77777777" w:rsidR="007904E8" w:rsidRPr="004A34E0" w:rsidRDefault="007904E8" w:rsidP="00666947">
            <w:pPr>
              <w:pStyle w:val="TableTextLeft"/>
            </w:pPr>
            <w:r w:rsidRPr="004A34E0">
              <w:t>Estimated total overnight trips where primary engagement with ecosystems (‘000)</w:t>
            </w:r>
          </w:p>
        </w:tc>
        <w:tc>
          <w:tcPr>
            <w:tcW w:w="515" w:type="pct"/>
          </w:tcPr>
          <w:p w14:paraId="35FC226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1,786</w:t>
            </w:r>
          </w:p>
        </w:tc>
        <w:tc>
          <w:tcPr>
            <w:tcW w:w="672" w:type="pct"/>
          </w:tcPr>
          <w:p w14:paraId="24C0DB9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2019</w:t>
            </w:r>
          </w:p>
        </w:tc>
        <w:tc>
          <w:tcPr>
            <w:tcW w:w="1451" w:type="pct"/>
          </w:tcPr>
          <w:p w14:paraId="15B58B6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TRA (2021)</w:t>
            </w:r>
          </w:p>
        </w:tc>
      </w:tr>
      <w:tr w:rsidR="007904E8" w:rsidRPr="004A34E0" w14:paraId="012AE5FF" w14:textId="77777777" w:rsidTr="00D7122F">
        <w:trPr>
          <w:trHeight w:val="77"/>
        </w:trPr>
        <w:tc>
          <w:tcPr>
            <w:cnfStyle w:val="001000000000" w:firstRow="0" w:lastRow="0" w:firstColumn="1" w:lastColumn="0" w:oddVBand="0" w:evenVBand="0" w:oddHBand="0" w:evenHBand="0" w:firstRowFirstColumn="0" w:firstRowLastColumn="0" w:lastRowFirstColumn="0" w:lastRowLastColumn="0"/>
            <w:tcW w:w="2362" w:type="pct"/>
          </w:tcPr>
          <w:p w14:paraId="650D945E" w14:textId="77777777" w:rsidR="007904E8" w:rsidRPr="004A34E0" w:rsidRDefault="007904E8" w:rsidP="00666947">
            <w:pPr>
              <w:pStyle w:val="TableTextLeft"/>
            </w:pPr>
            <w:r w:rsidRPr="004A34E0">
              <w:t>Estimated marginal welfare values for overnight visits ($/overnight visit)</w:t>
            </w:r>
          </w:p>
        </w:tc>
        <w:tc>
          <w:tcPr>
            <w:tcW w:w="515" w:type="pct"/>
          </w:tcPr>
          <w:p w14:paraId="5501CB1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$210</w:t>
            </w:r>
          </w:p>
        </w:tc>
        <w:tc>
          <w:tcPr>
            <w:tcW w:w="672" w:type="pct"/>
          </w:tcPr>
          <w:p w14:paraId="40D81AC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2007</w:t>
            </w:r>
            <w:r w:rsidRPr="004A34E0">
              <w:rPr>
                <w:vertAlign w:val="superscript"/>
              </w:rPr>
              <w:t>b</w:t>
            </w:r>
          </w:p>
        </w:tc>
        <w:tc>
          <w:tcPr>
            <w:tcW w:w="1451" w:type="pct"/>
          </w:tcPr>
          <w:p w14:paraId="3D870DD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URS (2007)</w:t>
            </w:r>
          </w:p>
        </w:tc>
      </w:tr>
      <w:tr w:rsidR="007904E8" w:rsidRPr="004A34E0" w14:paraId="41CEF148" w14:textId="77777777" w:rsidTr="00D7122F">
        <w:trPr>
          <w:trHeight w:val="77"/>
        </w:trPr>
        <w:tc>
          <w:tcPr>
            <w:cnfStyle w:val="001000000000" w:firstRow="0" w:lastRow="0" w:firstColumn="1" w:lastColumn="0" w:oddVBand="0" w:evenVBand="0" w:oddHBand="0" w:evenHBand="0" w:firstRowFirstColumn="0" w:firstRowLastColumn="0" w:lastRowFirstColumn="0" w:lastRowLastColumn="0"/>
            <w:tcW w:w="2362" w:type="pct"/>
          </w:tcPr>
          <w:p w14:paraId="65C628E6" w14:textId="77777777" w:rsidR="007904E8" w:rsidRPr="004A34E0" w:rsidRDefault="007904E8" w:rsidP="00666947">
            <w:pPr>
              <w:pStyle w:val="TableTextLeft"/>
            </w:pPr>
            <w:r w:rsidRPr="004A34E0">
              <w:t>Estimated total welfare value of overnight visits ($m/year)</w:t>
            </w:r>
          </w:p>
        </w:tc>
        <w:tc>
          <w:tcPr>
            <w:tcW w:w="515" w:type="pct"/>
          </w:tcPr>
          <w:p w14:paraId="7E1BE16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$374m</w:t>
            </w:r>
          </w:p>
        </w:tc>
        <w:tc>
          <w:tcPr>
            <w:tcW w:w="672" w:type="pct"/>
          </w:tcPr>
          <w:p w14:paraId="0EA366F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1451" w:type="pct"/>
          </w:tcPr>
          <w:p w14:paraId="2DB2DCD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r>
      <w:tr w:rsidR="007904E8" w:rsidRPr="004A34E0" w14:paraId="0D749ADC" w14:textId="77777777" w:rsidTr="00D7122F">
        <w:trPr>
          <w:trHeight w:val="77"/>
        </w:trPr>
        <w:tc>
          <w:tcPr>
            <w:cnfStyle w:val="001000000000" w:firstRow="0" w:lastRow="0" w:firstColumn="1" w:lastColumn="0" w:oddVBand="0" w:evenVBand="0" w:oddHBand="0" w:evenHBand="0" w:firstRowFirstColumn="0" w:firstRowLastColumn="0" w:lastRowFirstColumn="0" w:lastRowLastColumn="0"/>
            <w:tcW w:w="2362" w:type="pct"/>
          </w:tcPr>
          <w:p w14:paraId="3B0B3471" w14:textId="77777777" w:rsidR="007904E8" w:rsidRPr="004A34E0" w:rsidRDefault="007904E8" w:rsidP="00666947">
            <w:pPr>
              <w:pStyle w:val="TableTextLeft"/>
            </w:pPr>
            <w:r w:rsidRPr="004A34E0">
              <w:rPr>
                <w:b/>
              </w:rPr>
              <w:t>Estimated total welfare value of daytrip and overnight visits ($m/year)</w:t>
            </w:r>
          </w:p>
        </w:tc>
        <w:tc>
          <w:tcPr>
            <w:tcW w:w="515" w:type="pct"/>
          </w:tcPr>
          <w:p w14:paraId="37E7B25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$514m</w:t>
            </w:r>
          </w:p>
        </w:tc>
        <w:tc>
          <w:tcPr>
            <w:tcW w:w="672" w:type="pct"/>
          </w:tcPr>
          <w:p w14:paraId="4EB24F0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w:t>
            </w:r>
          </w:p>
        </w:tc>
        <w:tc>
          <w:tcPr>
            <w:tcW w:w="1451" w:type="pct"/>
          </w:tcPr>
          <w:p w14:paraId="298FD1E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rPr>
            </w:pPr>
            <w:r w:rsidRPr="004A34E0">
              <w:rPr>
                <w:b/>
              </w:rPr>
              <w:t>-</w:t>
            </w:r>
          </w:p>
        </w:tc>
      </w:tr>
    </w:tbl>
    <w:p w14:paraId="4DEF8841" w14:textId="77777777" w:rsidR="007904E8" w:rsidRPr="004A34E0" w:rsidRDefault="007904E8" w:rsidP="00D7122F">
      <w:pPr>
        <w:pStyle w:val="Caption"/>
      </w:pPr>
      <w:r w:rsidRPr="004A34E0">
        <w:t>Table 67. Estimated avoided direct medical costs ($, 2021) due to physical activity</w:t>
      </w:r>
    </w:p>
    <w:tbl>
      <w:tblPr>
        <w:tblStyle w:val="TableGrid"/>
        <w:tblW w:w="5000" w:type="pct"/>
        <w:tblLook w:val="04A0" w:firstRow="1" w:lastRow="0" w:firstColumn="1" w:lastColumn="0" w:noHBand="0" w:noVBand="1"/>
      </w:tblPr>
      <w:tblGrid>
        <w:gridCol w:w="10177"/>
        <w:gridCol w:w="2219"/>
        <w:gridCol w:w="2895"/>
        <w:gridCol w:w="6252"/>
      </w:tblGrid>
      <w:tr w:rsidR="007904E8" w:rsidRPr="004A34E0" w14:paraId="58003CAB" w14:textId="77777777" w:rsidTr="00D7122F">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2362" w:type="pct"/>
          </w:tcPr>
          <w:p w14:paraId="4BC4077F" w14:textId="77777777" w:rsidR="007904E8" w:rsidRPr="004A34E0" w:rsidRDefault="007904E8" w:rsidP="00666947">
            <w:pPr>
              <w:pStyle w:val="TableTextLeft"/>
            </w:pPr>
          </w:p>
        </w:tc>
        <w:tc>
          <w:tcPr>
            <w:tcW w:w="515" w:type="pct"/>
          </w:tcPr>
          <w:p w14:paraId="3A606722"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Estimate</w:t>
            </w:r>
          </w:p>
        </w:tc>
        <w:tc>
          <w:tcPr>
            <w:tcW w:w="672" w:type="pct"/>
          </w:tcPr>
          <w:p w14:paraId="1F614E95"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Year</w:t>
            </w:r>
          </w:p>
        </w:tc>
        <w:tc>
          <w:tcPr>
            <w:tcW w:w="1451" w:type="pct"/>
          </w:tcPr>
          <w:p w14:paraId="73106BB0"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rPr>
                <w:b/>
              </w:rPr>
            </w:pPr>
            <w:r w:rsidRPr="004A34E0">
              <w:rPr>
                <w:b/>
              </w:rPr>
              <w:t>Source</w:t>
            </w:r>
          </w:p>
        </w:tc>
      </w:tr>
      <w:tr w:rsidR="007904E8" w:rsidRPr="004A34E0" w14:paraId="4A7FE828" w14:textId="77777777" w:rsidTr="00D7122F">
        <w:trPr>
          <w:trHeight w:val="71"/>
        </w:trPr>
        <w:tc>
          <w:tcPr>
            <w:cnfStyle w:val="001000000000" w:firstRow="0" w:lastRow="0" w:firstColumn="1" w:lastColumn="0" w:oddVBand="0" w:evenVBand="0" w:oddHBand="0" w:evenHBand="0" w:firstRowFirstColumn="0" w:firstRowLastColumn="0" w:lastRowFirstColumn="0" w:lastRowLastColumn="0"/>
            <w:tcW w:w="2362" w:type="pct"/>
          </w:tcPr>
          <w:p w14:paraId="1C243E2C" w14:textId="77777777" w:rsidR="007904E8" w:rsidRPr="004A34E0" w:rsidRDefault="007904E8" w:rsidP="00666947">
            <w:pPr>
              <w:pStyle w:val="TableTextLeft"/>
            </w:pPr>
            <w:r w:rsidRPr="004A34E0">
              <w:t>Estimated total “active” visitors where primary purpose is physical activity (‘000)</w:t>
            </w:r>
          </w:p>
        </w:tc>
        <w:tc>
          <w:tcPr>
            <w:tcW w:w="515" w:type="pct"/>
          </w:tcPr>
          <w:p w14:paraId="3571CD7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375</w:t>
            </w:r>
          </w:p>
        </w:tc>
        <w:tc>
          <w:tcPr>
            <w:tcW w:w="672" w:type="pct"/>
          </w:tcPr>
          <w:p w14:paraId="69E5146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2013-19</w:t>
            </w:r>
            <w:r w:rsidRPr="004A34E0">
              <w:rPr>
                <w:vertAlign w:val="superscript"/>
              </w:rPr>
              <w:t>a</w:t>
            </w:r>
          </w:p>
        </w:tc>
        <w:tc>
          <w:tcPr>
            <w:tcW w:w="1451" w:type="pct"/>
          </w:tcPr>
          <w:p w14:paraId="144C345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TRA (2013 and 2021) and Parks Victoria (2021)</w:t>
            </w:r>
          </w:p>
        </w:tc>
      </w:tr>
      <w:tr w:rsidR="007904E8" w:rsidRPr="004A34E0" w14:paraId="24257C5A" w14:textId="77777777" w:rsidTr="00D7122F">
        <w:trPr>
          <w:trHeight w:val="71"/>
        </w:trPr>
        <w:tc>
          <w:tcPr>
            <w:cnfStyle w:val="001000000000" w:firstRow="0" w:lastRow="0" w:firstColumn="1" w:lastColumn="0" w:oddVBand="0" w:evenVBand="0" w:oddHBand="0" w:evenHBand="0" w:firstRowFirstColumn="0" w:firstRowLastColumn="0" w:lastRowFirstColumn="0" w:lastRowLastColumn="0"/>
            <w:tcW w:w="2362" w:type="pct"/>
          </w:tcPr>
          <w:p w14:paraId="27FA337B" w14:textId="77777777" w:rsidR="007904E8" w:rsidRPr="004A34E0" w:rsidRDefault="007904E8" w:rsidP="00666947">
            <w:pPr>
              <w:pStyle w:val="TableTextLeft"/>
            </w:pPr>
            <w:r w:rsidRPr="004A34E0">
              <w:t xml:space="preserve">Estimated contribution of park exercise to minimum physical activity levels </w:t>
            </w:r>
          </w:p>
        </w:tc>
        <w:tc>
          <w:tcPr>
            <w:tcW w:w="515" w:type="pct"/>
          </w:tcPr>
          <w:p w14:paraId="4495AD3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17%</w:t>
            </w:r>
          </w:p>
        </w:tc>
        <w:tc>
          <w:tcPr>
            <w:tcW w:w="672" w:type="pct"/>
          </w:tcPr>
          <w:p w14:paraId="3D22949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2015</w:t>
            </w:r>
            <w:r w:rsidRPr="004A34E0">
              <w:rPr>
                <w:vertAlign w:val="superscript"/>
              </w:rPr>
              <w:t>a</w:t>
            </w:r>
          </w:p>
        </w:tc>
        <w:tc>
          <w:tcPr>
            <w:tcW w:w="1451" w:type="pct"/>
          </w:tcPr>
          <w:p w14:paraId="72AAF92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DELWP and Parks Victoria (2015)</w:t>
            </w:r>
          </w:p>
        </w:tc>
      </w:tr>
      <w:tr w:rsidR="007904E8" w:rsidRPr="004A34E0" w14:paraId="4E02C6E6" w14:textId="77777777" w:rsidTr="00D7122F">
        <w:trPr>
          <w:trHeight w:val="71"/>
        </w:trPr>
        <w:tc>
          <w:tcPr>
            <w:cnfStyle w:val="001000000000" w:firstRow="0" w:lastRow="0" w:firstColumn="1" w:lastColumn="0" w:oddVBand="0" w:evenVBand="0" w:oddHBand="0" w:evenHBand="0" w:firstRowFirstColumn="0" w:firstRowLastColumn="0" w:lastRowFirstColumn="0" w:lastRowLastColumn="0"/>
            <w:tcW w:w="2362" w:type="pct"/>
          </w:tcPr>
          <w:p w14:paraId="4D20563F" w14:textId="77777777" w:rsidR="007904E8" w:rsidRPr="004A34E0" w:rsidRDefault="007904E8" w:rsidP="00666947">
            <w:pPr>
              <w:pStyle w:val="TableTextLeft"/>
            </w:pPr>
            <w:r w:rsidRPr="004A34E0">
              <w:t>Estimated total “active” visits that meet physical activity guidelines (‘000)</w:t>
            </w:r>
          </w:p>
        </w:tc>
        <w:tc>
          <w:tcPr>
            <w:tcW w:w="515" w:type="pct"/>
          </w:tcPr>
          <w:p w14:paraId="6C9988A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64</w:t>
            </w:r>
          </w:p>
        </w:tc>
        <w:tc>
          <w:tcPr>
            <w:tcW w:w="672" w:type="pct"/>
          </w:tcPr>
          <w:p w14:paraId="591C395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c>
          <w:tcPr>
            <w:tcW w:w="1451" w:type="pct"/>
          </w:tcPr>
          <w:p w14:paraId="2AD1CF1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r>
      <w:tr w:rsidR="007904E8" w:rsidRPr="004A34E0" w14:paraId="37588BC2" w14:textId="77777777" w:rsidTr="00D7122F">
        <w:trPr>
          <w:trHeight w:val="71"/>
        </w:trPr>
        <w:tc>
          <w:tcPr>
            <w:cnfStyle w:val="001000000000" w:firstRow="0" w:lastRow="0" w:firstColumn="1" w:lastColumn="0" w:oddVBand="0" w:evenVBand="0" w:oddHBand="0" w:evenHBand="0" w:firstRowFirstColumn="0" w:firstRowLastColumn="0" w:lastRowFirstColumn="0" w:lastRowLastColumn="0"/>
            <w:tcW w:w="2362" w:type="pct"/>
          </w:tcPr>
          <w:p w14:paraId="5B955712" w14:textId="77777777" w:rsidR="007904E8" w:rsidRPr="004A34E0" w:rsidRDefault="007904E8" w:rsidP="00666947">
            <w:pPr>
              <w:pStyle w:val="TableTextLeft"/>
            </w:pPr>
            <w:r w:rsidRPr="004A34E0">
              <w:t>Estimated marginal avoided productivity losses ($/person/year)</w:t>
            </w:r>
          </w:p>
        </w:tc>
        <w:tc>
          <w:tcPr>
            <w:tcW w:w="515" w:type="pct"/>
          </w:tcPr>
          <w:p w14:paraId="0B3A2E8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$114</w:t>
            </w:r>
          </w:p>
        </w:tc>
        <w:tc>
          <w:tcPr>
            <w:tcW w:w="672" w:type="pct"/>
          </w:tcPr>
          <w:p w14:paraId="521699A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2008</w:t>
            </w:r>
            <w:r w:rsidRPr="004A34E0">
              <w:rPr>
                <w:vertAlign w:val="superscript"/>
              </w:rPr>
              <w:t>b</w:t>
            </w:r>
          </w:p>
        </w:tc>
        <w:tc>
          <w:tcPr>
            <w:tcW w:w="1451" w:type="pct"/>
          </w:tcPr>
          <w:p w14:paraId="481060A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Medibank (2008) and DELWP and Parks Victoria (2015)</w:t>
            </w:r>
          </w:p>
        </w:tc>
      </w:tr>
      <w:tr w:rsidR="007904E8" w:rsidRPr="004A34E0" w14:paraId="0909A74D" w14:textId="77777777" w:rsidTr="00D7122F">
        <w:trPr>
          <w:trHeight w:val="71"/>
        </w:trPr>
        <w:tc>
          <w:tcPr>
            <w:cnfStyle w:val="001000000000" w:firstRow="0" w:lastRow="0" w:firstColumn="1" w:lastColumn="0" w:oddVBand="0" w:evenVBand="0" w:oddHBand="0" w:evenHBand="0" w:firstRowFirstColumn="0" w:firstRowLastColumn="0" w:lastRowFirstColumn="0" w:lastRowLastColumn="0"/>
            <w:tcW w:w="2362" w:type="pct"/>
          </w:tcPr>
          <w:p w14:paraId="5AF667F1" w14:textId="77777777" w:rsidR="007904E8" w:rsidRPr="004A34E0" w:rsidRDefault="007904E8" w:rsidP="00666947">
            <w:pPr>
              <w:pStyle w:val="TableTextLeft"/>
            </w:pPr>
            <w:r w:rsidRPr="004A34E0">
              <w:rPr>
                <w:b/>
              </w:rPr>
              <w:t>Total estimated avoided productivity losses to Australian economy ($m/year)</w:t>
            </w:r>
          </w:p>
        </w:tc>
        <w:tc>
          <w:tcPr>
            <w:tcW w:w="515" w:type="pct"/>
          </w:tcPr>
          <w:p w14:paraId="39FE79E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$7m</w:t>
            </w:r>
          </w:p>
        </w:tc>
        <w:tc>
          <w:tcPr>
            <w:tcW w:w="672" w:type="pct"/>
          </w:tcPr>
          <w:p w14:paraId="7297FF6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w:t>
            </w:r>
          </w:p>
        </w:tc>
        <w:tc>
          <w:tcPr>
            <w:tcW w:w="1451" w:type="pct"/>
          </w:tcPr>
          <w:p w14:paraId="4C2D830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rPr>
            </w:pPr>
            <w:r w:rsidRPr="004A34E0">
              <w:rPr>
                <w:b/>
              </w:rPr>
              <w:t>-</w:t>
            </w:r>
          </w:p>
        </w:tc>
      </w:tr>
    </w:tbl>
    <w:p w14:paraId="5DCAF618" w14:textId="77777777" w:rsidR="007904E8" w:rsidRPr="004A34E0" w:rsidRDefault="007904E8" w:rsidP="00D7122F">
      <w:pPr>
        <w:pStyle w:val="NoteHeading"/>
        <w:rPr>
          <w:highlight w:val="yellow"/>
        </w:rPr>
      </w:pPr>
      <w:proofErr w:type="spellStart"/>
      <w:r w:rsidRPr="004A34E0">
        <w:rPr>
          <w:vertAlign w:val="superscript"/>
        </w:rPr>
        <w:t>a</w:t>
      </w:r>
      <w:proofErr w:type="spellEnd"/>
      <w:r w:rsidRPr="004A34E0">
        <w:rPr>
          <w:vertAlign w:val="superscript"/>
        </w:rPr>
        <w:t xml:space="preserve"> </w:t>
      </w:r>
      <w:r w:rsidRPr="004A34E0">
        <w:t>The study team assumes that societal recreational habits / preferences to be relatively stable over the period 2013 to 2019 and therefore that the estimates of the proportion of visits that are attributable to the natural environment and estimates of activity types are a suitable representation for 2019.</w:t>
      </w:r>
    </w:p>
    <w:p w14:paraId="4E4FE4B7" w14:textId="77777777" w:rsidR="007904E8" w:rsidRPr="004A34E0" w:rsidRDefault="007904E8" w:rsidP="00D7122F">
      <w:pPr>
        <w:pStyle w:val="NoteHeading"/>
      </w:pPr>
      <w:r w:rsidRPr="004A34E0">
        <w:rPr>
          <w:vertAlign w:val="superscript"/>
        </w:rPr>
        <w:t xml:space="preserve">b </w:t>
      </w:r>
      <w:r w:rsidRPr="004A34E0">
        <w:t xml:space="preserve">These figures are representative of the year 2007 but are uprated for inflation to be in present value terms for 2021.  </w:t>
      </w:r>
    </w:p>
    <w:p w14:paraId="6A060CD5" w14:textId="77777777" w:rsidR="007904E8" w:rsidRPr="004A34E0" w:rsidRDefault="007904E8" w:rsidP="007904E8">
      <w:pPr>
        <w:pStyle w:val="BodyText"/>
        <w:sectPr w:rsidR="007904E8" w:rsidRPr="004A34E0" w:rsidSect="00E52A9A">
          <w:headerReference w:type="even" r:id="rId230"/>
          <w:headerReference w:type="default" r:id="rId231"/>
          <w:footerReference w:type="even" r:id="rId232"/>
          <w:footerReference w:type="default" r:id="rId233"/>
          <w:pgSz w:w="23811" w:h="16838" w:orient="landscape" w:code="8"/>
          <w:pgMar w:top="1134" w:right="1134" w:bottom="1134" w:left="1134" w:header="283" w:footer="283" w:gutter="0"/>
          <w:cols w:space="284"/>
          <w:docGrid w:linePitch="360"/>
        </w:sectPr>
      </w:pPr>
    </w:p>
    <w:p w14:paraId="052724BE" w14:textId="77777777" w:rsidR="007904E8" w:rsidRPr="004A34E0" w:rsidRDefault="007904E8" w:rsidP="007904E8">
      <w:pPr>
        <w:pStyle w:val="BodyText"/>
      </w:pPr>
      <w:r w:rsidRPr="004A34E0">
        <w:lastRenderedPageBreak/>
        <w:t>Table 68 summarises the uncertainty associated with these results and shows that the monetary estimates relies on the underlying visitation data that has been estimated for the GORCAP EEA (from the physical flow account) which is highly uncertain, that there is no information on GVA generated specifically in the GORCAP EEA region and there is some uncertainty associated with the economic valuation for welfare, productivity and medical costs due to the underlying studies being outdated. Table 68 also shows the key assumptions that have been made to apply the valuation data to the GORCAP EEA region which are considered to be justifiable for this initial GORCAP EEA, but highly uncertain. The overall uncertainty rating for the monetary value of recreation and tourism to the GORCAP EEA region is therefore high.</w:t>
      </w:r>
    </w:p>
    <w:p w14:paraId="49B94CF0" w14:textId="77777777" w:rsidR="007904E8" w:rsidRPr="004A34E0" w:rsidRDefault="007904E8" w:rsidP="00D7122F">
      <w:pPr>
        <w:pStyle w:val="Caption"/>
      </w:pPr>
      <w:r w:rsidRPr="004A34E0">
        <w:t xml:space="preserve">Table 68. </w:t>
      </w:r>
      <w:r w:rsidRPr="00D7122F">
        <w:t>Uncertainty</w:t>
      </w:r>
      <w:r w:rsidRPr="004A34E0">
        <w:t xml:space="preserve"> assessment - monetary value of recreation and tourism</w:t>
      </w:r>
    </w:p>
    <w:tbl>
      <w:tblPr>
        <w:tblStyle w:val="TableGrid"/>
        <w:tblW w:w="5000" w:type="pct"/>
        <w:tblLook w:val="04A0" w:firstRow="1" w:lastRow="0" w:firstColumn="1" w:lastColumn="0" w:noHBand="0" w:noVBand="1"/>
      </w:tblPr>
      <w:tblGrid>
        <w:gridCol w:w="1360"/>
        <w:gridCol w:w="3859"/>
        <w:gridCol w:w="3714"/>
        <w:gridCol w:w="706"/>
      </w:tblGrid>
      <w:tr w:rsidR="007904E8" w:rsidRPr="004A34E0" w14:paraId="728A0DF9" w14:textId="77777777" w:rsidTr="00DC466A">
        <w:trPr>
          <w:cnfStyle w:val="100000000000" w:firstRow="1" w:lastRow="0" w:firstColumn="0" w:lastColumn="0" w:oddVBand="0" w:evenVBand="0" w:oddHBand="0"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672" w:type="pct"/>
          </w:tcPr>
          <w:p w14:paraId="1E0F5B3A" w14:textId="77777777" w:rsidR="007904E8" w:rsidRPr="004A34E0" w:rsidRDefault="007904E8" w:rsidP="00666947">
            <w:pPr>
              <w:pStyle w:val="TableTextLeft"/>
            </w:pPr>
          </w:p>
        </w:tc>
        <w:tc>
          <w:tcPr>
            <w:tcW w:w="3951" w:type="pct"/>
            <w:gridSpan w:val="2"/>
          </w:tcPr>
          <w:p w14:paraId="4E2B7FC2"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Uncertainty in…</w:t>
            </w:r>
          </w:p>
        </w:tc>
        <w:tc>
          <w:tcPr>
            <w:tcW w:w="377" w:type="pct"/>
          </w:tcPr>
          <w:p w14:paraId="75D11E73"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rPr>
                <w:b/>
              </w:rPr>
            </w:pPr>
          </w:p>
        </w:tc>
      </w:tr>
      <w:tr w:rsidR="007904E8" w:rsidRPr="004A34E0" w14:paraId="2C76064D" w14:textId="77777777" w:rsidTr="00DC466A">
        <w:trPr>
          <w:trHeight w:val="247"/>
        </w:trPr>
        <w:tc>
          <w:tcPr>
            <w:cnfStyle w:val="001000000000" w:firstRow="0" w:lastRow="0" w:firstColumn="1" w:lastColumn="0" w:oddVBand="0" w:evenVBand="0" w:oddHBand="0" w:evenHBand="0" w:firstRowFirstColumn="0" w:firstRowLastColumn="0" w:lastRowFirstColumn="0" w:lastRowLastColumn="0"/>
            <w:tcW w:w="672" w:type="pct"/>
            <w:tcBorders>
              <w:top w:val="nil"/>
            </w:tcBorders>
            <w:shd w:val="clear" w:color="auto" w:fill="004C97" w:themeFill="accent1"/>
          </w:tcPr>
          <w:p w14:paraId="3546EE63" w14:textId="77777777" w:rsidR="007904E8" w:rsidRPr="00DC466A" w:rsidRDefault="007904E8" w:rsidP="00666947">
            <w:pPr>
              <w:pStyle w:val="TableTextLeft"/>
              <w:rPr>
                <w:color w:val="FFFFFF" w:themeColor="background1"/>
              </w:rPr>
            </w:pPr>
          </w:p>
        </w:tc>
        <w:tc>
          <w:tcPr>
            <w:tcW w:w="2013" w:type="pct"/>
            <w:tcBorders>
              <w:top w:val="nil"/>
            </w:tcBorders>
            <w:shd w:val="clear" w:color="auto" w:fill="004C97" w:themeFill="accent1"/>
          </w:tcPr>
          <w:p w14:paraId="7D341936" w14:textId="77777777" w:rsidR="007904E8" w:rsidRPr="00DC466A"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DC466A">
              <w:rPr>
                <w:b/>
                <w:color w:val="FFFFFF" w:themeColor="background1"/>
              </w:rPr>
              <w:t xml:space="preserve">Evidence </w:t>
            </w:r>
          </w:p>
        </w:tc>
        <w:tc>
          <w:tcPr>
            <w:tcW w:w="1938" w:type="pct"/>
            <w:tcBorders>
              <w:top w:val="nil"/>
            </w:tcBorders>
            <w:shd w:val="clear" w:color="auto" w:fill="004C97" w:themeFill="accent1"/>
          </w:tcPr>
          <w:p w14:paraId="52B8373C" w14:textId="77777777" w:rsidR="007904E8" w:rsidRPr="00DC466A"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DC466A">
              <w:rPr>
                <w:b/>
                <w:color w:val="FFFFFF" w:themeColor="background1"/>
              </w:rPr>
              <w:t>Assumptions</w:t>
            </w:r>
          </w:p>
        </w:tc>
        <w:tc>
          <w:tcPr>
            <w:tcW w:w="377" w:type="pct"/>
            <w:tcBorders>
              <w:top w:val="nil"/>
            </w:tcBorders>
            <w:shd w:val="clear" w:color="auto" w:fill="004C97" w:themeFill="accent1"/>
          </w:tcPr>
          <w:p w14:paraId="002BD424" w14:textId="77777777" w:rsidR="007904E8" w:rsidRPr="00DC466A"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r w:rsidRPr="00DC466A">
              <w:rPr>
                <w:b/>
                <w:color w:val="FFFFFF" w:themeColor="background1"/>
              </w:rPr>
              <w:t>Total</w:t>
            </w:r>
          </w:p>
        </w:tc>
      </w:tr>
      <w:tr w:rsidR="007904E8" w:rsidRPr="004A34E0" w14:paraId="3D3B8BA7" w14:textId="77777777" w:rsidTr="00DC466A">
        <w:trPr>
          <w:trHeight w:val="75"/>
        </w:trPr>
        <w:tc>
          <w:tcPr>
            <w:cnfStyle w:val="001000000000" w:firstRow="0" w:lastRow="0" w:firstColumn="1" w:lastColumn="0" w:oddVBand="0" w:evenVBand="0" w:oddHBand="0" w:evenHBand="0" w:firstRowFirstColumn="0" w:firstRowLastColumn="0" w:lastRowFirstColumn="0" w:lastRowLastColumn="0"/>
            <w:tcW w:w="672" w:type="pct"/>
          </w:tcPr>
          <w:p w14:paraId="46DC8BAB" w14:textId="77777777" w:rsidR="007904E8" w:rsidRPr="004A34E0" w:rsidRDefault="007904E8" w:rsidP="00666947">
            <w:pPr>
              <w:pStyle w:val="TableTextLeft"/>
              <w:rPr>
                <w:b/>
              </w:rPr>
            </w:pPr>
            <w:r w:rsidRPr="004A34E0">
              <w:rPr>
                <w:b/>
              </w:rPr>
              <w:t>Explanation</w:t>
            </w:r>
          </w:p>
        </w:tc>
        <w:tc>
          <w:tcPr>
            <w:tcW w:w="2013" w:type="pct"/>
          </w:tcPr>
          <w:p w14:paraId="15E7033A"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 xml:space="preserve">The monetary valuation relies on the estimate of visitation to the GORCAP EEA region (from the physical flow account) which is uncertain. </w:t>
            </w:r>
          </w:p>
          <w:p w14:paraId="5A739552"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 xml:space="preserve">There is no estimate of GVA for the GORCAP EEA region specifically. </w:t>
            </w:r>
          </w:p>
          <w:p w14:paraId="1F344F0C"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There is existing economic valuation for welfare associated with coastal recreational trips in Victoria from 2007 which is outdated but the most relevant information for the GORCAP EEA region.</w:t>
            </w:r>
          </w:p>
          <w:p w14:paraId="34C9342F"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The productivity and medical costs of physical inactivity are from 2008 which is outdated but the most relevant information for the GORCAP EEA region.</w:t>
            </w:r>
          </w:p>
        </w:tc>
        <w:tc>
          <w:tcPr>
            <w:tcW w:w="1938" w:type="pct"/>
          </w:tcPr>
          <w:p w14:paraId="25E3CB17"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 xml:space="preserve">The estimate of GVA by LGA relies on a calculation of per visitor GVA, with the GVA estimates being from the 2018-19 financial year 2018-19 whilst total visitors are for the calendar year 2019. </w:t>
            </w:r>
          </w:p>
          <w:p w14:paraId="2EF2E6EE"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The GVA estimates assume that average GVA per visitor that is generated from visitors to GOR LGA’s is representative of that in the GORCAP EEA region.</w:t>
            </w:r>
          </w:p>
          <w:p w14:paraId="37920D6E" w14:textId="77777777" w:rsidR="007904E8" w:rsidRPr="004A34E0" w:rsidRDefault="007904E8" w:rsidP="00666947">
            <w:pPr>
              <w:pStyle w:val="ListBullet"/>
              <w:cnfStyle w:val="000000000000" w:firstRow="0" w:lastRow="0" w:firstColumn="0" w:lastColumn="0" w:oddVBand="0" w:evenVBand="0" w:oddHBand="0" w:evenHBand="0" w:firstRowFirstColumn="0" w:firstRowLastColumn="0" w:lastRowFirstColumn="0" w:lastRowLastColumn="0"/>
            </w:pPr>
            <w:r w:rsidRPr="004A34E0">
              <w:t>An estimated 20 per cent of the GVA value is taken as the estimate of resource rent.</w:t>
            </w:r>
          </w:p>
          <w:p w14:paraId="7799E16F" w14:textId="140F1336" w:rsidR="007904E8" w:rsidRPr="004A34E0" w:rsidRDefault="007904E8" w:rsidP="00DC466A">
            <w:pPr>
              <w:pStyle w:val="ListBullet"/>
              <w:cnfStyle w:val="000000000000" w:firstRow="0" w:lastRow="0" w:firstColumn="0" w:lastColumn="0" w:oddVBand="0" w:evenVBand="0" w:oddHBand="0" w:evenHBand="0" w:firstRowFirstColumn="0" w:firstRowLastColumn="0" w:lastRowFirstColumn="0" w:lastRowLastColumn="0"/>
            </w:pPr>
            <w:r w:rsidRPr="004A34E0">
              <w:t xml:space="preserve">The avoided productivity and medical costs as well as the welfare estimates assume that the URS (2007) and Medibank (2008) estimates are directly applicable to the GORCAP EEA region. </w:t>
            </w:r>
          </w:p>
        </w:tc>
        <w:tc>
          <w:tcPr>
            <w:tcW w:w="377" w:type="pct"/>
          </w:tcPr>
          <w:p w14:paraId="656A61E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High</w:t>
            </w:r>
          </w:p>
        </w:tc>
      </w:tr>
      <w:tr w:rsidR="007904E8" w:rsidRPr="004A34E0" w14:paraId="60F5545A" w14:textId="77777777" w:rsidTr="00DC466A">
        <w:trPr>
          <w:trHeight w:val="194"/>
        </w:trPr>
        <w:tc>
          <w:tcPr>
            <w:cnfStyle w:val="001000000000" w:firstRow="0" w:lastRow="0" w:firstColumn="1" w:lastColumn="0" w:oddVBand="0" w:evenVBand="0" w:oddHBand="0" w:evenHBand="0" w:firstRowFirstColumn="0" w:firstRowLastColumn="0" w:lastRowFirstColumn="0" w:lastRowLastColumn="0"/>
            <w:tcW w:w="672" w:type="pct"/>
            <w:shd w:val="clear" w:color="auto" w:fill="CCDBEA" w:themeFill="background2"/>
          </w:tcPr>
          <w:p w14:paraId="3069553E" w14:textId="77777777" w:rsidR="007904E8" w:rsidRPr="004A34E0" w:rsidRDefault="007904E8" w:rsidP="00666947">
            <w:pPr>
              <w:pStyle w:val="TableTextLeft"/>
              <w:rPr>
                <w:b/>
              </w:rPr>
            </w:pPr>
            <w:r w:rsidRPr="004A34E0">
              <w:rPr>
                <w:b/>
              </w:rPr>
              <w:t xml:space="preserve">Rating </w:t>
            </w:r>
          </w:p>
        </w:tc>
        <w:tc>
          <w:tcPr>
            <w:tcW w:w="2013" w:type="pct"/>
            <w:shd w:val="clear" w:color="auto" w:fill="CCDBEA" w:themeFill="background2"/>
          </w:tcPr>
          <w:p w14:paraId="53F8019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w:t>
            </w:r>
          </w:p>
        </w:tc>
        <w:tc>
          <w:tcPr>
            <w:tcW w:w="1938" w:type="pct"/>
            <w:shd w:val="clear" w:color="auto" w:fill="CCDBEA" w:themeFill="background2"/>
          </w:tcPr>
          <w:p w14:paraId="6C62D8E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w:t>
            </w:r>
          </w:p>
        </w:tc>
        <w:tc>
          <w:tcPr>
            <w:tcW w:w="377" w:type="pct"/>
            <w:shd w:val="clear" w:color="auto" w:fill="CCDBEA" w:themeFill="background2"/>
          </w:tcPr>
          <w:p w14:paraId="2728BD5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9</w:t>
            </w:r>
          </w:p>
        </w:tc>
      </w:tr>
    </w:tbl>
    <w:p w14:paraId="4A6C90AC" w14:textId="77777777" w:rsidR="007904E8" w:rsidRPr="007B2FCE" w:rsidRDefault="007904E8" w:rsidP="00A2745D">
      <w:pPr>
        <w:pStyle w:val="AlphaHeading4"/>
      </w:pPr>
      <w:r w:rsidRPr="007B2FCE">
        <w:t>Supply and use</w:t>
      </w:r>
    </w:p>
    <w:p w14:paraId="41F6E6CF" w14:textId="77777777" w:rsidR="007904E8" w:rsidRPr="004A34E0" w:rsidRDefault="007904E8" w:rsidP="007904E8">
      <w:pPr>
        <w:pStyle w:val="BodyText12ptBefore"/>
      </w:pPr>
      <w:r w:rsidRPr="004A34E0">
        <w:t xml:space="preserve">Households, government and industry all benefit from / are users of recreational and tourism opportunities provided by ecosystems within the GORCAP region. Households benefit from the enjoyment and improved health (avoided costs) they gain from recreational activities, industry benefits from the contribution of ecosystems to tourism GVA and avoided productivity losses whilst government benefits from the improved health of the population (and therefore avoiding their share of medical costs), as captured in Table 69. </w:t>
      </w:r>
    </w:p>
    <w:p w14:paraId="38016240" w14:textId="77777777" w:rsidR="007904E8" w:rsidRPr="004A34E0" w:rsidRDefault="007904E8" w:rsidP="007904E8">
      <w:pPr>
        <w:pStyle w:val="BodyText"/>
        <w:rPr>
          <w:rFonts w:eastAsia="Calibri"/>
          <w:highlight w:val="yellow"/>
        </w:rPr>
      </w:pPr>
      <w:r w:rsidRPr="004A34E0">
        <w:t>In order to distribute the estimated avoided medical costs ($7 million per year) between government and households, the average split of total medical costs to households and government in 2018-19 of 68 per cent government ($5 million per year), 32 per cent households ($2 million per year) is used (households includes all private sources including private health insurers as these are funded by households) (Australian Institute of Health and Welfare, 2020).</w:t>
      </w:r>
    </w:p>
    <w:p w14:paraId="2822FCEE" w14:textId="77777777" w:rsidR="007904E8" w:rsidRPr="004A34E0" w:rsidRDefault="007904E8" w:rsidP="007904E8">
      <w:pPr>
        <w:pStyle w:val="BodyText"/>
      </w:pPr>
      <w:r w:rsidRPr="004A34E0">
        <w:t xml:space="preserve">For the purpose of presenting a supply and use table for recreation and tourism that avoids double counting the benefits generated by the natural environment, the GVA estimates (benefits to industry) are deducted from the welfare estimates (benefits to households) on the basis that households make the expenditures (which generate GVA) because of the welfare benefits they enjoy from engaging with the natural environment (i.e., the market is capturing a proportion of their consumer surplus).  </w:t>
      </w:r>
    </w:p>
    <w:p w14:paraId="614DFB78" w14:textId="77777777" w:rsidR="007904E8" w:rsidRPr="004A34E0" w:rsidRDefault="007904E8" w:rsidP="00D7122F">
      <w:pPr>
        <w:pStyle w:val="Caption"/>
        <w:rPr>
          <w:rFonts w:eastAsia="Calibri"/>
        </w:rPr>
      </w:pPr>
      <w:r w:rsidRPr="004A34E0">
        <w:rPr>
          <w:rFonts w:eastAsia="Calibri"/>
        </w:rPr>
        <w:lastRenderedPageBreak/>
        <w:t>Table 69. Supply and use table for recreation and tourism from the GORCAP EEA region in 2019</w:t>
      </w:r>
    </w:p>
    <w:tbl>
      <w:tblPr>
        <w:tblStyle w:val="TableGrid"/>
        <w:tblW w:w="0" w:type="auto"/>
        <w:tblLook w:val="04A0" w:firstRow="1" w:lastRow="0" w:firstColumn="1" w:lastColumn="0" w:noHBand="0" w:noVBand="1"/>
      </w:tblPr>
      <w:tblGrid>
        <w:gridCol w:w="1465"/>
        <w:gridCol w:w="1026"/>
        <w:gridCol w:w="1318"/>
        <w:gridCol w:w="1457"/>
        <w:gridCol w:w="1458"/>
        <w:gridCol w:w="1457"/>
        <w:gridCol w:w="1458"/>
      </w:tblGrid>
      <w:tr w:rsidR="007904E8" w:rsidRPr="004A34E0" w14:paraId="2C48F61C" w14:textId="77777777" w:rsidTr="00D7122F">
        <w:trPr>
          <w:cnfStyle w:val="100000000000" w:firstRow="1" w:lastRow="0" w:firstColumn="0" w:lastColumn="0" w:oddVBand="0" w:evenVBand="0" w:oddHBand="0"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1465" w:type="dxa"/>
          </w:tcPr>
          <w:p w14:paraId="482434BA" w14:textId="77777777" w:rsidR="007904E8" w:rsidRPr="004A34E0" w:rsidRDefault="007904E8" w:rsidP="00666947">
            <w:pPr>
              <w:pStyle w:val="TableTextLeft"/>
              <w:rPr>
                <w:rFonts w:eastAsia="Calibri"/>
              </w:rPr>
            </w:pPr>
          </w:p>
        </w:tc>
        <w:tc>
          <w:tcPr>
            <w:tcW w:w="1026" w:type="dxa"/>
          </w:tcPr>
          <w:p w14:paraId="30079CBC"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rPr>
                <w:rFonts w:eastAsia="Calibri"/>
              </w:rPr>
            </w:pPr>
          </w:p>
        </w:tc>
        <w:tc>
          <w:tcPr>
            <w:tcW w:w="1318" w:type="dxa"/>
          </w:tcPr>
          <w:p w14:paraId="2F14B7FB"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rPr>
                <w:rFonts w:eastAsia="Calibri"/>
              </w:rPr>
            </w:pPr>
            <w:r w:rsidRPr="004A34E0">
              <w:rPr>
                <w:rFonts w:eastAsia="Calibri"/>
                <w:b/>
              </w:rPr>
              <w:t>Metric</w:t>
            </w:r>
          </w:p>
        </w:tc>
        <w:tc>
          <w:tcPr>
            <w:tcW w:w="1457" w:type="dxa"/>
          </w:tcPr>
          <w:p w14:paraId="48E2F04D"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rPr>
                <w:rFonts w:eastAsia="Calibri"/>
              </w:rPr>
            </w:pPr>
            <w:r w:rsidRPr="004A34E0">
              <w:rPr>
                <w:rFonts w:eastAsia="Calibri"/>
                <w:b/>
              </w:rPr>
              <w:t>Household</w:t>
            </w:r>
          </w:p>
        </w:tc>
        <w:tc>
          <w:tcPr>
            <w:tcW w:w="1458" w:type="dxa"/>
          </w:tcPr>
          <w:p w14:paraId="452984D3"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rPr>
                <w:rFonts w:eastAsia="Calibri"/>
              </w:rPr>
            </w:pPr>
            <w:r w:rsidRPr="004A34E0">
              <w:rPr>
                <w:rFonts w:eastAsia="Calibri"/>
                <w:b/>
              </w:rPr>
              <w:t>Government</w:t>
            </w:r>
          </w:p>
        </w:tc>
        <w:tc>
          <w:tcPr>
            <w:tcW w:w="1457" w:type="dxa"/>
          </w:tcPr>
          <w:p w14:paraId="64D97E19"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rPr>
                <w:rFonts w:eastAsia="Calibri"/>
              </w:rPr>
            </w:pPr>
            <w:r w:rsidRPr="004A34E0">
              <w:rPr>
                <w:rFonts w:eastAsia="Calibri"/>
                <w:b/>
              </w:rPr>
              <w:t>Industry</w:t>
            </w:r>
          </w:p>
        </w:tc>
        <w:tc>
          <w:tcPr>
            <w:tcW w:w="1458" w:type="dxa"/>
          </w:tcPr>
          <w:p w14:paraId="06C7710F"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rPr>
                <w:rFonts w:eastAsia="Calibri"/>
                <w:b/>
              </w:rPr>
            </w:pPr>
            <w:r w:rsidRPr="004A34E0">
              <w:rPr>
                <w:rFonts w:eastAsia="Calibri"/>
                <w:b/>
              </w:rPr>
              <w:t>Ecosystems</w:t>
            </w:r>
          </w:p>
        </w:tc>
      </w:tr>
      <w:tr w:rsidR="007904E8" w:rsidRPr="004A34E0" w14:paraId="030582DB" w14:textId="77777777" w:rsidTr="00D7122F">
        <w:trPr>
          <w:trHeight w:val="228"/>
        </w:trPr>
        <w:tc>
          <w:tcPr>
            <w:cnfStyle w:val="001000000000" w:firstRow="0" w:lastRow="0" w:firstColumn="1" w:lastColumn="0" w:oddVBand="0" w:evenVBand="0" w:oddHBand="0" w:evenHBand="0" w:firstRowFirstColumn="0" w:firstRowLastColumn="0" w:lastRowFirstColumn="0" w:lastRowLastColumn="0"/>
            <w:tcW w:w="1465" w:type="dxa"/>
            <w:vMerge w:val="restart"/>
          </w:tcPr>
          <w:p w14:paraId="061669B7" w14:textId="77777777" w:rsidR="007904E8" w:rsidRPr="004A34E0" w:rsidRDefault="007904E8" w:rsidP="00666947">
            <w:pPr>
              <w:pStyle w:val="TableTextLeft"/>
              <w:rPr>
                <w:rFonts w:eastAsia="Calibri"/>
              </w:rPr>
            </w:pPr>
            <w:r w:rsidRPr="004A34E0">
              <w:rPr>
                <w:rFonts w:eastAsia="Calibri"/>
              </w:rPr>
              <w:t>Recreation and tourism</w:t>
            </w:r>
          </w:p>
        </w:tc>
        <w:tc>
          <w:tcPr>
            <w:tcW w:w="1026" w:type="dxa"/>
          </w:tcPr>
          <w:p w14:paraId="24E2474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Supply</w:t>
            </w:r>
          </w:p>
        </w:tc>
        <w:tc>
          <w:tcPr>
            <w:tcW w:w="1318" w:type="dxa"/>
          </w:tcPr>
          <w:p w14:paraId="17D558A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vertAlign w:val="superscript"/>
              </w:rPr>
            </w:pPr>
            <w:r w:rsidRPr="004A34E0">
              <w:rPr>
                <w:rFonts w:eastAsia="Calibri"/>
              </w:rPr>
              <w:t>Visits / yr</w:t>
            </w:r>
          </w:p>
        </w:tc>
        <w:tc>
          <w:tcPr>
            <w:tcW w:w="1457" w:type="dxa"/>
          </w:tcPr>
          <w:p w14:paraId="6EB764D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1458" w:type="dxa"/>
          </w:tcPr>
          <w:p w14:paraId="0CA4B2A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1457" w:type="dxa"/>
          </w:tcPr>
          <w:p w14:paraId="2567423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1458" w:type="dxa"/>
          </w:tcPr>
          <w:p w14:paraId="0564B1C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3,925,000</w:t>
            </w:r>
          </w:p>
        </w:tc>
      </w:tr>
      <w:tr w:rsidR="007904E8" w:rsidRPr="004A34E0" w14:paraId="783BBA26" w14:textId="77777777" w:rsidTr="00D7122F">
        <w:trPr>
          <w:trHeight w:val="292"/>
        </w:trPr>
        <w:tc>
          <w:tcPr>
            <w:cnfStyle w:val="001000000000" w:firstRow="0" w:lastRow="0" w:firstColumn="1" w:lastColumn="0" w:oddVBand="0" w:evenVBand="0" w:oddHBand="0" w:evenHBand="0" w:firstRowFirstColumn="0" w:firstRowLastColumn="0" w:lastRowFirstColumn="0" w:lastRowLastColumn="0"/>
            <w:tcW w:w="1465" w:type="dxa"/>
            <w:vMerge/>
          </w:tcPr>
          <w:p w14:paraId="0579B154" w14:textId="77777777" w:rsidR="007904E8" w:rsidRPr="004A34E0" w:rsidRDefault="007904E8" w:rsidP="00666947">
            <w:pPr>
              <w:pStyle w:val="TableTextLeft"/>
              <w:rPr>
                <w:rFonts w:eastAsia="Calibri"/>
              </w:rPr>
            </w:pPr>
          </w:p>
        </w:tc>
        <w:tc>
          <w:tcPr>
            <w:tcW w:w="1026" w:type="dxa"/>
          </w:tcPr>
          <w:p w14:paraId="2894859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Use</w:t>
            </w:r>
          </w:p>
        </w:tc>
        <w:tc>
          <w:tcPr>
            <w:tcW w:w="1318" w:type="dxa"/>
          </w:tcPr>
          <w:p w14:paraId="64D694F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Visits / yr</w:t>
            </w:r>
          </w:p>
        </w:tc>
        <w:tc>
          <w:tcPr>
            <w:tcW w:w="1457" w:type="dxa"/>
          </w:tcPr>
          <w:p w14:paraId="171CC5F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3,925,000</w:t>
            </w:r>
          </w:p>
        </w:tc>
        <w:tc>
          <w:tcPr>
            <w:tcW w:w="1458" w:type="dxa"/>
          </w:tcPr>
          <w:p w14:paraId="45E47AB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1457" w:type="dxa"/>
          </w:tcPr>
          <w:p w14:paraId="694579D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1458" w:type="dxa"/>
          </w:tcPr>
          <w:p w14:paraId="29608E3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r>
      <w:tr w:rsidR="007904E8" w:rsidRPr="004A34E0" w14:paraId="22334E01" w14:textId="77777777" w:rsidTr="00D7122F">
        <w:trPr>
          <w:trHeight w:val="371"/>
        </w:trPr>
        <w:tc>
          <w:tcPr>
            <w:cnfStyle w:val="001000000000" w:firstRow="0" w:lastRow="0" w:firstColumn="1" w:lastColumn="0" w:oddVBand="0" w:evenVBand="0" w:oddHBand="0" w:evenHBand="0" w:firstRowFirstColumn="0" w:firstRowLastColumn="0" w:lastRowFirstColumn="0" w:lastRowLastColumn="0"/>
            <w:tcW w:w="1465" w:type="dxa"/>
            <w:vMerge w:val="restart"/>
          </w:tcPr>
          <w:p w14:paraId="26614788" w14:textId="77777777" w:rsidR="007904E8" w:rsidRPr="004A34E0" w:rsidRDefault="007904E8" w:rsidP="00666947">
            <w:pPr>
              <w:pStyle w:val="TableTextLeft"/>
              <w:rPr>
                <w:rFonts w:eastAsia="Calibri"/>
              </w:rPr>
            </w:pPr>
            <w:r w:rsidRPr="004A34E0">
              <w:rPr>
                <w:rFonts w:eastAsia="Calibri"/>
              </w:rPr>
              <w:t>Recreation and tourism</w:t>
            </w:r>
          </w:p>
        </w:tc>
        <w:tc>
          <w:tcPr>
            <w:tcW w:w="1026" w:type="dxa"/>
          </w:tcPr>
          <w:p w14:paraId="7D01EC7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Supply</w:t>
            </w:r>
          </w:p>
        </w:tc>
        <w:tc>
          <w:tcPr>
            <w:tcW w:w="1318" w:type="dxa"/>
          </w:tcPr>
          <w:p w14:paraId="4DD99D0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 AUD (2021) / yr</w:t>
            </w:r>
          </w:p>
        </w:tc>
        <w:tc>
          <w:tcPr>
            <w:tcW w:w="1457" w:type="dxa"/>
          </w:tcPr>
          <w:p w14:paraId="306AAD1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1458" w:type="dxa"/>
          </w:tcPr>
          <w:p w14:paraId="077F8CD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1457" w:type="dxa"/>
          </w:tcPr>
          <w:p w14:paraId="434A2DF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1458" w:type="dxa"/>
          </w:tcPr>
          <w:p w14:paraId="0FD2B9E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$560m</w:t>
            </w:r>
          </w:p>
        </w:tc>
      </w:tr>
      <w:tr w:rsidR="007904E8" w:rsidRPr="004A34E0" w14:paraId="0C0AD75D" w14:textId="77777777" w:rsidTr="00D7122F">
        <w:trPr>
          <w:trHeight w:val="385"/>
        </w:trPr>
        <w:tc>
          <w:tcPr>
            <w:cnfStyle w:val="001000000000" w:firstRow="0" w:lastRow="0" w:firstColumn="1" w:lastColumn="0" w:oddVBand="0" w:evenVBand="0" w:oddHBand="0" w:evenHBand="0" w:firstRowFirstColumn="0" w:firstRowLastColumn="0" w:lastRowFirstColumn="0" w:lastRowLastColumn="0"/>
            <w:tcW w:w="1465" w:type="dxa"/>
            <w:vMerge/>
          </w:tcPr>
          <w:p w14:paraId="254449D7" w14:textId="77777777" w:rsidR="007904E8" w:rsidRPr="004A34E0" w:rsidRDefault="007904E8" w:rsidP="00666947">
            <w:pPr>
              <w:pStyle w:val="TableTextLeft"/>
              <w:rPr>
                <w:rFonts w:eastAsia="Calibri"/>
              </w:rPr>
            </w:pPr>
          </w:p>
        </w:tc>
        <w:tc>
          <w:tcPr>
            <w:tcW w:w="1026" w:type="dxa"/>
          </w:tcPr>
          <w:p w14:paraId="47D18FE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Use</w:t>
            </w:r>
          </w:p>
        </w:tc>
        <w:tc>
          <w:tcPr>
            <w:tcW w:w="1318" w:type="dxa"/>
          </w:tcPr>
          <w:p w14:paraId="4D8A5FB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 AUD (2021) / yr</w:t>
            </w:r>
          </w:p>
        </w:tc>
        <w:tc>
          <w:tcPr>
            <w:tcW w:w="1457" w:type="dxa"/>
          </w:tcPr>
          <w:p w14:paraId="5087D92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$455m</w:t>
            </w:r>
          </w:p>
        </w:tc>
        <w:tc>
          <w:tcPr>
            <w:tcW w:w="1458" w:type="dxa"/>
          </w:tcPr>
          <w:p w14:paraId="06A2CB4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$5m</w:t>
            </w:r>
          </w:p>
        </w:tc>
        <w:tc>
          <w:tcPr>
            <w:tcW w:w="1457" w:type="dxa"/>
          </w:tcPr>
          <w:p w14:paraId="2E5CD39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$100m</w:t>
            </w:r>
          </w:p>
        </w:tc>
        <w:tc>
          <w:tcPr>
            <w:tcW w:w="1458" w:type="dxa"/>
          </w:tcPr>
          <w:p w14:paraId="3A2DD9D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r>
    </w:tbl>
    <w:p w14:paraId="463C81A0" w14:textId="77777777" w:rsidR="007904E8" w:rsidRPr="004A34E0" w:rsidRDefault="007904E8" w:rsidP="007904E8">
      <w:pPr>
        <w:pStyle w:val="Heading3"/>
      </w:pPr>
      <w:bookmarkStart w:id="239" w:name="_Toc98854682"/>
      <w:bookmarkStart w:id="240" w:name="_Toc163547063"/>
      <w:r w:rsidRPr="004A34E0">
        <w:t>Biomass - timber</w:t>
      </w:r>
      <w:bookmarkEnd w:id="239"/>
      <w:bookmarkEnd w:id="240"/>
    </w:p>
    <w:p w14:paraId="1A45A427" w14:textId="77777777" w:rsidR="007904E8" w:rsidRPr="007B2FCE" w:rsidRDefault="007904E8" w:rsidP="000035CB">
      <w:pPr>
        <w:pStyle w:val="AlphaHeading4"/>
        <w:numPr>
          <w:ilvl w:val="0"/>
          <w:numId w:val="54"/>
        </w:numPr>
      </w:pPr>
      <w:r w:rsidRPr="007B2FCE">
        <w:t>Physical provision of biomass for timber</w:t>
      </w:r>
    </w:p>
    <w:p w14:paraId="7CB73B83" w14:textId="77777777" w:rsidR="007904E8" w:rsidRPr="004A34E0" w:rsidRDefault="007904E8" w:rsidP="007904E8">
      <w:pPr>
        <w:pStyle w:val="BodyText12ptBefore"/>
        <w:rPr>
          <w:rFonts w:eastAsia="Calibri"/>
        </w:rPr>
      </w:pPr>
      <w:r w:rsidRPr="004A34E0">
        <w:t>The estimated total area of plantation forest within the assessment GOR boundary is 1,317 ha of hardwood forest and 416 ha of softwood forest (see Table 18). Figure 36 shows the spatial distribution of hardwood and softwood plantations within the GORCAP EEA region. Based on the estimated per hectare production of 20</w:t>
      </w:r>
      <w:r w:rsidRPr="004A34E0">
        <w:rPr>
          <w:rFonts w:eastAsia="Calibri"/>
        </w:rPr>
        <w:t xml:space="preserve"> m</w:t>
      </w:r>
      <w:r w:rsidRPr="004A34E0">
        <w:rPr>
          <w:rFonts w:eastAsia="Calibri"/>
          <w:vertAlign w:val="superscript"/>
        </w:rPr>
        <w:t>3</w:t>
      </w:r>
      <w:r w:rsidRPr="004A34E0">
        <w:rPr>
          <w:rFonts w:eastAsia="Calibri"/>
        </w:rPr>
        <w:t xml:space="preserve"> / Ha for hardwood and 17 m</w:t>
      </w:r>
      <w:r w:rsidRPr="004A34E0">
        <w:rPr>
          <w:rFonts w:eastAsia="Calibri"/>
          <w:vertAlign w:val="superscript"/>
        </w:rPr>
        <w:t>3</w:t>
      </w:r>
      <w:r w:rsidRPr="004A34E0">
        <w:rPr>
          <w:rFonts w:eastAsia="Calibri"/>
        </w:rPr>
        <w:t xml:space="preserve"> / Ha for softwood (see Section 3.3.6), the total estimated timber production within the forests of the GORCAP EEA region is 33,412 m</w:t>
      </w:r>
      <w:r w:rsidRPr="004A34E0">
        <w:rPr>
          <w:rFonts w:eastAsia="Calibri"/>
          <w:vertAlign w:val="superscript"/>
        </w:rPr>
        <w:t>3</w:t>
      </w:r>
      <w:r w:rsidRPr="004A34E0">
        <w:rPr>
          <w:rFonts w:eastAsia="Calibri"/>
        </w:rPr>
        <w:t xml:space="preserve"> per year consisting of 26,340 m</w:t>
      </w:r>
      <w:r w:rsidRPr="004A34E0">
        <w:rPr>
          <w:rFonts w:eastAsia="Calibri"/>
          <w:vertAlign w:val="superscript"/>
        </w:rPr>
        <w:t>3</w:t>
      </w:r>
      <w:r w:rsidRPr="004A34E0">
        <w:rPr>
          <w:rFonts w:eastAsia="Calibri"/>
        </w:rPr>
        <w:t xml:space="preserve"> per year of hardwood and 7,072 m</w:t>
      </w:r>
      <w:r w:rsidRPr="004A34E0">
        <w:rPr>
          <w:rFonts w:eastAsia="Calibri"/>
          <w:vertAlign w:val="superscript"/>
        </w:rPr>
        <w:t>3</w:t>
      </w:r>
      <w:r w:rsidRPr="004A34E0">
        <w:rPr>
          <w:rFonts w:eastAsia="Calibri"/>
        </w:rPr>
        <w:t xml:space="preserve"> per year of softwood (see Table 70). </w:t>
      </w:r>
    </w:p>
    <w:p w14:paraId="1C731E82" w14:textId="77777777" w:rsidR="007904E8" w:rsidRPr="004A34E0" w:rsidRDefault="007904E8" w:rsidP="00270081">
      <w:pPr>
        <w:pStyle w:val="Caption"/>
        <w:rPr>
          <w:rFonts w:eastAsia="Calibri"/>
        </w:rPr>
      </w:pPr>
      <w:r w:rsidRPr="004A34E0">
        <w:t>Table 70. Estimated area of plantation forest and volume of timber production in the GORCAP region in 2019</w:t>
      </w:r>
    </w:p>
    <w:tbl>
      <w:tblPr>
        <w:tblStyle w:val="TableGrid"/>
        <w:tblW w:w="5000" w:type="pct"/>
        <w:tblLook w:val="04A0" w:firstRow="1" w:lastRow="0" w:firstColumn="1" w:lastColumn="0" w:noHBand="0" w:noVBand="1"/>
      </w:tblPr>
      <w:tblGrid>
        <w:gridCol w:w="3080"/>
        <w:gridCol w:w="1205"/>
        <w:gridCol w:w="1548"/>
        <w:gridCol w:w="1423"/>
        <w:gridCol w:w="1012"/>
        <w:gridCol w:w="1371"/>
      </w:tblGrid>
      <w:tr w:rsidR="007904E8" w:rsidRPr="004A34E0" w14:paraId="3BB9A093" w14:textId="77777777" w:rsidTr="00D712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8" w:type="pct"/>
            <w:tcBorders>
              <w:top w:val="single" w:sz="4" w:space="0" w:color="auto"/>
            </w:tcBorders>
          </w:tcPr>
          <w:p w14:paraId="72630CFE" w14:textId="77777777" w:rsidR="007904E8" w:rsidRPr="0012010E" w:rsidRDefault="007904E8" w:rsidP="00666947">
            <w:pPr>
              <w:pStyle w:val="TableTextLeft"/>
              <w:keepNext w:val="0"/>
              <w:rPr>
                <w:rFonts w:eastAsia="Calibri"/>
                <w:color w:val="FFFFFF" w:themeColor="background1"/>
              </w:rPr>
            </w:pPr>
          </w:p>
        </w:tc>
        <w:tc>
          <w:tcPr>
            <w:tcW w:w="1428" w:type="pct"/>
            <w:gridSpan w:val="2"/>
            <w:tcBorders>
              <w:top w:val="single" w:sz="4" w:space="0" w:color="auto"/>
            </w:tcBorders>
          </w:tcPr>
          <w:p w14:paraId="5CF65073" w14:textId="77777777" w:rsidR="007904E8" w:rsidRPr="0012010E" w:rsidRDefault="007904E8" w:rsidP="00666947">
            <w:pPr>
              <w:pStyle w:val="TableTextLeft"/>
              <w:keepNext w:val="0"/>
              <w:cnfStyle w:val="100000000000" w:firstRow="1" w:lastRow="0" w:firstColumn="0" w:lastColumn="0" w:oddVBand="0" w:evenVBand="0" w:oddHBand="0" w:evenHBand="0" w:firstRowFirstColumn="0" w:firstRowLastColumn="0" w:lastRowFirstColumn="0" w:lastRowLastColumn="0"/>
              <w:rPr>
                <w:rFonts w:eastAsia="Calibri"/>
                <w:color w:val="FFFFFF" w:themeColor="background1"/>
              </w:rPr>
            </w:pPr>
            <w:r w:rsidRPr="0012010E">
              <w:rPr>
                <w:rFonts w:eastAsia="Calibri"/>
                <w:b/>
                <w:color w:val="FFFFFF" w:themeColor="background1"/>
              </w:rPr>
              <w:t>Plantation type</w:t>
            </w:r>
          </w:p>
        </w:tc>
        <w:tc>
          <w:tcPr>
            <w:tcW w:w="738" w:type="pct"/>
            <w:tcBorders>
              <w:top w:val="single" w:sz="4" w:space="0" w:color="auto"/>
            </w:tcBorders>
          </w:tcPr>
          <w:p w14:paraId="7079466F" w14:textId="77777777" w:rsidR="007904E8" w:rsidRPr="0012010E" w:rsidRDefault="007904E8" w:rsidP="00666947">
            <w:pPr>
              <w:pStyle w:val="TableTextLeft"/>
              <w:keepNext w:val="0"/>
              <w:cnfStyle w:val="100000000000" w:firstRow="1" w:lastRow="0" w:firstColumn="0" w:lastColumn="0" w:oddVBand="0" w:evenVBand="0" w:oddHBand="0" w:evenHBand="0" w:firstRowFirstColumn="0" w:firstRowLastColumn="0" w:lastRowFirstColumn="0" w:lastRowLastColumn="0"/>
              <w:rPr>
                <w:rFonts w:eastAsia="Calibri"/>
                <w:color w:val="FFFFFF" w:themeColor="background1"/>
              </w:rPr>
            </w:pPr>
          </w:p>
        </w:tc>
        <w:tc>
          <w:tcPr>
            <w:tcW w:w="525" w:type="pct"/>
            <w:vMerge w:val="restart"/>
            <w:tcBorders>
              <w:top w:val="single" w:sz="4" w:space="0" w:color="auto"/>
            </w:tcBorders>
          </w:tcPr>
          <w:p w14:paraId="778FF76C" w14:textId="77777777" w:rsidR="007904E8" w:rsidRPr="0012010E" w:rsidRDefault="007904E8" w:rsidP="00666947">
            <w:pPr>
              <w:pStyle w:val="TableTextLeft"/>
              <w:keepNext w:val="0"/>
              <w:cnfStyle w:val="100000000000" w:firstRow="1" w:lastRow="0" w:firstColumn="0" w:lastColumn="0" w:oddVBand="0" w:evenVBand="0" w:oddHBand="0" w:evenHBand="0" w:firstRowFirstColumn="0" w:firstRowLastColumn="0" w:lastRowFirstColumn="0" w:lastRowLastColumn="0"/>
              <w:rPr>
                <w:rFonts w:eastAsia="Calibri"/>
                <w:b/>
                <w:color w:val="FFFFFF" w:themeColor="background1"/>
              </w:rPr>
            </w:pPr>
            <w:r w:rsidRPr="0012010E">
              <w:rPr>
                <w:rFonts w:eastAsia="Calibri"/>
                <w:b/>
                <w:color w:val="FFFFFF" w:themeColor="background1"/>
              </w:rPr>
              <w:t xml:space="preserve">Year </w:t>
            </w:r>
          </w:p>
        </w:tc>
        <w:tc>
          <w:tcPr>
            <w:tcW w:w="711" w:type="pct"/>
            <w:vMerge w:val="restart"/>
          </w:tcPr>
          <w:p w14:paraId="6913E809" w14:textId="77777777" w:rsidR="007904E8" w:rsidRPr="004A34E0" w:rsidRDefault="007904E8" w:rsidP="00666947">
            <w:pPr>
              <w:pStyle w:val="TableTextLeft"/>
              <w:keepNext w:val="0"/>
              <w:cnfStyle w:val="100000000000" w:firstRow="1" w:lastRow="0" w:firstColumn="0" w:lastColumn="0" w:oddVBand="0" w:evenVBand="0" w:oddHBand="0" w:evenHBand="0" w:firstRowFirstColumn="0" w:firstRowLastColumn="0" w:lastRowFirstColumn="0" w:lastRowLastColumn="0"/>
              <w:rPr>
                <w:rFonts w:eastAsia="Calibri"/>
                <w:b/>
              </w:rPr>
            </w:pPr>
            <w:r w:rsidRPr="004A34E0">
              <w:rPr>
                <w:rFonts w:eastAsia="Calibri"/>
              </w:rPr>
              <w:t>Source</w:t>
            </w:r>
          </w:p>
        </w:tc>
      </w:tr>
      <w:tr w:rsidR="007904E8" w:rsidRPr="004A34E0" w14:paraId="21C2A842" w14:textId="77777777" w:rsidTr="00D7122F">
        <w:tc>
          <w:tcPr>
            <w:cnfStyle w:val="001000000000" w:firstRow="0" w:lastRow="0" w:firstColumn="1" w:lastColumn="0" w:oddVBand="0" w:evenVBand="0" w:oddHBand="0" w:evenHBand="0" w:firstRowFirstColumn="0" w:firstRowLastColumn="0" w:lastRowFirstColumn="0" w:lastRowLastColumn="0"/>
            <w:tcW w:w="1598" w:type="pct"/>
            <w:tcBorders>
              <w:top w:val="nil"/>
            </w:tcBorders>
            <w:shd w:val="clear" w:color="auto" w:fill="004C97" w:themeFill="accent1"/>
          </w:tcPr>
          <w:p w14:paraId="5B51F22E" w14:textId="77777777" w:rsidR="007904E8" w:rsidRPr="0012010E" w:rsidRDefault="007904E8" w:rsidP="00666947">
            <w:pPr>
              <w:pStyle w:val="TableTextLeft"/>
              <w:rPr>
                <w:rFonts w:eastAsia="Calibri"/>
                <w:b/>
                <w:i/>
                <w:color w:val="FFFFFF" w:themeColor="background1"/>
              </w:rPr>
            </w:pPr>
          </w:p>
        </w:tc>
        <w:tc>
          <w:tcPr>
            <w:tcW w:w="625" w:type="pct"/>
            <w:tcBorders>
              <w:top w:val="nil"/>
            </w:tcBorders>
            <w:shd w:val="clear" w:color="auto" w:fill="004C97" w:themeFill="accent1"/>
          </w:tcPr>
          <w:p w14:paraId="71C4B330" w14:textId="77777777" w:rsidR="007904E8" w:rsidRPr="0012010E"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b/>
                <w:color w:val="FFFFFF" w:themeColor="background1"/>
              </w:rPr>
            </w:pPr>
            <w:r w:rsidRPr="0012010E">
              <w:rPr>
                <w:rFonts w:eastAsia="Calibri"/>
                <w:color w:val="FFFFFF" w:themeColor="background1"/>
              </w:rPr>
              <w:t>Hardwood</w:t>
            </w:r>
          </w:p>
        </w:tc>
        <w:tc>
          <w:tcPr>
            <w:tcW w:w="803" w:type="pct"/>
            <w:tcBorders>
              <w:top w:val="nil"/>
            </w:tcBorders>
            <w:shd w:val="clear" w:color="auto" w:fill="004C97" w:themeFill="accent1"/>
          </w:tcPr>
          <w:p w14:paraId="221B2888" w14:textId="77777777" w:rsidR="007904E8" w:rsidRPr="0012010E"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b/>
                <w:color w:val="FFFFFF" w:themeColor="background1"/>
              </w:rPr>
            </w:pPr>
            <w:r w:rsidRPr="0012010E">
              <w:rPr>
                <w:rFonts w:eastAsia="Calibri"/>
                <w:color w:val="FFFFFF" w:themeColor="background1"/>
              </w:rPr>
              <w:t>Softwood</w:t>
            </w:r>
          </w:p>
        </w:tc>
        <w:tc>
          <w:tcPr>
            <w:tcW w:w="738" w:type="pct"/>
            <w:tcBorders>
              <w:top w:val="nil"/>
            </w:tcBorders>
            <w:shd w:val="clear" w:color="auto" w:fill="004C97" w:themeFill="accent1"/>
          </w:tcPr>
          <w:p w14:paraId="06EEB90F" w14:textId="77777777" w:rsidR="007904E8" w:rsidRPr="0012010E"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r w:rsidRPr="0012010E">
              <w:rPr>
                <w:rFonts w:eastAsia="Calibri"/>
                <w:color w:val="FFFFFF" w:themeColor="background1"/>
              </w:rPr>
              <w:t>Metric</w:t>
            </w:r>
          </w:p>
        </w:tc>
        <w:tc>
          <w:tcPr>
            <w:tcW w:w="525" w:type="pct"/>
            <w:vMerge/>
            <w:shd w:val="clear" w:color="auto" w:fill="004C97" w:themeFill="accent1"/>
          </w:tcPr>
          <w:p w14:paraId="0F3E2B26" w14:textId="77777777" w:rsidR="007904E8" w:rsidRPr="0012010E"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p>
        </w:tc>
        <w:tc>
          <w:tcPr>
            <w:tcW w:w="711" w:type="pct"/>
            <w:vMerge/>
          </w:tcPr>
          <w:p w14:paraId="5F0A1B3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r>
      <w:tr w:rsidR="007904E8" w:rsidRPr="004A34E0" w14:paraId="7B09C3B5" w14:textId="77777777" w:rsidTr="0012010E">
        <w:tc>
          <w:tcPr>
            <w:cnfStyle w:val="001000000000" w:firstRow="0" w:lastRow="0" w:firstColumn="1" w:lastColumn="0" w:oddVBand="0" w:evenVBand="0" w:oddHBand="0" w:evenHBand="0" w:firstRowFirstColumn="0" w:firstRowLastColumn="0" w:lastRowFirstColumn="0" w:lastRowLastColumn="0"/>
            <w:tcW w:w="1598" w:type="pct"/>
          </w:tcPr>
          <w:p w14:paraId="43BDA3F3" w14:textId="77777777" w:rsidR="007904E8" w:rsidRPr="004A34E0" w:rsidRDefault="007904E8" w:rsidP="00666947">
            <w:pPr>
              <w:pStyle w:val="TableTextLeft"/>
              <w:rPr>
                <w:rFonts w:eastAsia="Calibri"/>
              </w:rPr>
            </w:pPr>
            <w:r w:rsidRPr="004A34E0">
              <w:rPr>
                <w:rFonts w:eastAsia="Calibri"/>
              </w:rPr>
              <w:t xml:space="preserve">Total area </w:t>
            </w:r>
          </w:p>
        </w:tc>
        <w:tc>
          <w:tcPr>
            <w:tcW w:w="625" w:type="pct"/>
          </w:tcPr>
          <w:p w14:paraId="5D476F0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1,317</w:t>
            </w:r>
          </w:p>
        </w:tc>
        <w:tc>
          <w:tcPr>
            <w:tcW w:w="803" w:type="pct"/>
          </w:tcPr>
          <w:p w14:paraId="187C346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416</w:t>
            </w:r>
          </w:p>
        </w:tc>
        <w:tc>
          <w:tcPr>
            <w:tcW w:w="738" w:type="pct"/>
          </w:tcPr>
          <w:p w14:paraId="6FF2C50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Hectares</w:t>
            </w:r>
          </w:p>
        </w:tc>
        <w:tc>
          <w:tcPr>
            <w:tcW w:w="525" w:type="pct"/>
          </w:tcPr>
          <w:p w14:paraId="4F7DA28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2019</w:t>
            </w:r>
          </w:p>
        </w:tc>
        <w:tc>
          <w:tcPr>
            <w:tcW w:w="711" w:type="pct"/>
          </w:tcPr>
          <w:p w14:paraId="21D171D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DELWP (2020)</w:t>
            </w:r>
          </w:p>
        </w:tc>
      </w:tr>
      <w:tr w:rsidR="007904E8" w:rsidRPr="004A34E0" w14:paraId="09490A12" w14:textId="77777777" w:rsidTr="0012010E">
        <w:tc>
          <w:tcPr>
            <w:cnfStyle w:val="001000000000" w:firstRow="0" w:lastRow="0" w:firstColumn="1" w:lastColumn="0" w:oddVBand="0" w:evenVBand="0" w:oddHBand="0" w:evenHBand="0" w:firstRowFirstColumn="0" w:firstRowLastColumn="0" w:lastRowFirstColumn="0" w:lastRowLastColumn="0"/>
            <w:tcW w:w="1598" w:type="pct"/>
          </w:tcPr>
          <w:p w14:paraId="40A5FF33" w14:textId="77777777" w:rsidR="007904E8" w:rsidRPr="004A34E0" w:rsidRDefault="007904E8" w:rsidP="00666947">
            <w:pPr>
              <w:pStyle w:val="TableTextLeft"/>
              <w:rPr>
                <w:rFonts w:eastAsia="Calibri"/>
              </w:rPr>
            </w:pPr>
            <w:r w:rsidRPr="004A34E0">
              <w:rPr>
                <w:rFonts w:eastAsia="Calibri"/>
              </w:rPr>
              <w:t>Estimated marginal productivity</w:t>
            </w:r>
          </w:p>
        </w:tc>
        <w:tc>
          <w:tcPr>
            <w:tcW w:w="625" w:type="pct"/>
          </w:tcPr>
          <w:p w14:paraId="3B3C188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20</w:t>
            </w:r>
          </w:p>
        </w:tc>
        <w:tc>
          <w:tcPr>
            <w:tcW w:w="803" w:type="pct"/>
          </w:tcPr>
          <w:p w14:paraId="0B85B41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17</w:t>
            </w:r>
          </w:p>
        </w:tc>
        <w:tc>
          <w:tcPr>
            <w:tcW w:w="738" w:type="pct"/>
          </w:tcPr>
          <w:p w14:paraId="235A569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m</w:t>
            </w:r>
            <w:r w:rsidRPr="004A34E0">
              <w:rPr>
                <w:rFonts w:eastAsia="Calibri"/>
                <w:vertAlign w:val="superscript"/>
              </w:rPr>
              <w:t>3</w:t>
            </w:r>
            <w:r w:rsidRPr="004A34E0">
              <w:rPr>
                <w:rFonts w:eastAsia="Calibri"/>
              </w:rPr>
              <w:t xml:space="preserve"> / Ha / year</w:t>
            </w:r>
          </w:p>
        </w:tc>
        <w:tc>
          <w:tcPr>
            <w:tcW w:w="525" w:type="pct"/>
          </w:tcPr>
          <w:p w14:paraId="5BB85A8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2019</w:t>
            </w:r>
            <w:r w:rsidRPr="004A34E0">
              <w:rPr>
                <w:vertAlign w:val="superscript"/>
              </w:rPr>
              <w:t>a</w:t>
            </w:r>
          </w:p>
        </w:tc>
        <w:tc>
          <w:tcPr>
            <w:tcW w:w="711" w:type="pct"/>
          </w:tcPr>
          <w:p w14:paraId="4A7518E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t>ABARES (2020)</w:t>
            </w:r>
          </w:p>
        </w:tc>
      </w:tr>
      <w:tr w:rsidR="007904E8" w:rsidRPr="004A34E0" w14:paraId="29E13200" w14:textId="77777777" w:rsidTr="0012010E">
        <w:tc>
          <w:tcPr>
            <w:cnfStyle w:val="001000000000" w:firstRow="0" w:lastRow="0" w:firstColumn="1" w:lastColumn="0" w:oddVBand="0" w:evenVBand="0" w:oddHBand="0" w:evenHBand="0" w:firstRowFirstColumn="0" w:firstRowLastColumn="0" w:lastRowFirstColumn="0" w:lastRowLastColumn="0"/>
            <w:tcW w:w="1598" w:type="pct"/>
          </w:tcPr>
          <w:p w14:paraId="52141833" w14:textId="77777777" w:rsidR="007904E8" w:rsidRPr="004A34E0" w:rsidRDefault="007904E8" w:rsidP="00666947">
            <w:pPr>
              <w:pStyle w:val="TableTextLeft"/>
              <w:rPr>
                <w:rFonts w:eastAsia="Calibri"/>
              </w:rPr>
            </w:pPr>
            <w:r w:rsidRPr="004A34E0">
              <w:rPr>
                <w:rFonts w:eastAsia="Calibri"/>
              </w:rPr>
              <w:t>Estimated total productivity</w:t>
            </w:r>
          </w:p>
        </w:tc>
        <w:tc>
          <w:tcPr>
            <w:tcW w:w="625" w:type="pct"/>
          </w:tcPr>
          <w:p w14:paraId="67F1373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26,340</w:t>
            </w:r>
          </w:p>
        </w:tc>
        <w:tc>
          <w:tcPr>
            <w:tcW w:w="803" w:type="pct"/>
          </w:tcPr>
          <w:p w14:paraId="2BDF246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7,072</w:t>
            </w:r>
          </w:p>
        </w:tc>
        <w:tc>
          <w:tcPr>
            <w:tcW w:w="738" w:type="pct"/>
          </w:tcPr>
          <w:p w14:paraId="2A842F7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m</w:t>
            </w:r>
            <w:r w:rsidRPr="004A34E0">
              <w:rPr>
                <w:rFonts w:eastAsia="Calibri"/>
                <w:vertAlign w:val="superscript"/>
              </w:rPr>
              <w:t xml:space="preserve">3 </w:t>
            </w:r>
            <w:r w:rsidRPr="004A34E0">
              <w:rPr>
                <w:rFonts w:eastAsia="Calibri"/>
              </w:rPr>
              <w:t>/year</w:t>
            </w:r>
          </w:p>
        </w:tc>
        <w:tc>
          <w:tcPr>
            <w:tcW w:w="525" w:type="pct"/>
          </w:tcPr>
          <w:p w14:paraId="2C1E2DA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2019</w:t>
            </w:r>
            <w:r w:rsidRPr="004A34E0">
              <w:rPr>
                <w:vertAlign w:val="superscript"/>
              </w:rPr>
              <w:t>a</w:t>
            </w:r>
          </w:p>
        </w:tc>
        <w:tc>
          <w:tcPr>
            <w:tcW w:w="711" w:type="pct"/>
          </w:tcPr>
          <w:p w14:paraId="1CCAC48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r>
    </w:tbl>
    <w:p w14:paraId="472D1345" w14:textId="77777777" w:rsidR="007904E8" w:rsidRPr="004A34E0" w:rsidRDefault="007904E8" w:rsidP="00D7122F">
      <w:pPr>
        <w:pStyle w:val="NoteHeading"/>
        <w:rPr>
          <w:rFonts w:eastAsia="Calibri"/>
        </w:rPr>
      </w:pPr>
      <w:proofErr w:type="spellStart"/>
      <w:r w:rsidRPr="004A34E0">
        <w:rPr>
          <w:rFonts w:eastAsia="Calibri"/>
          <w:vertAlign w:val="superscript"/>
        </w:rPr>
        <w:t>a</w:t>
      </w:r>
      <w:proofErr w:type="spellEnd"/>
      <w:r w:rsidRPr="004A34E0">
        <w:rPr>
          <w:rFonts w:eastAsia="Calibri"/>
          <w:vertAlign w:val="superscript"/>
        </w:rPr>
        <w:t xml:space="preserve"> </w:t>
      </w:r>
      <w:r w:rsidRPr="004A34E0">
        <w:rPr>
          <w:rFonts w:eastAsia="Calibri"/>
        </w:rPr>
        <w:t>This is assumed to be representative of the year 2019. However, softwood production estimates rely on ABARES (2020) data on total native forest area from 2016 (7,645ha) and softwood plantation area from 2019 (223,600ha).</w:t>
      </w:r>
    </w:p>
    <w:p w14:paraId="27492552" w14:textId="77777777" w:rsidR="007904E8" w:rsidRPr="004A34E0" w:rsidRDefault="007904E8" w:rsidP="007904E8">
      <w:pPr>
        <w:pStyle w:val="BodyText"/>
        <w:rPr>
          <w:rFonts w:eastAsia="Calibri"/>
        </w:rPr>
        <w:sectPr w:rsidR="007904E8" w:rsidRPr="004A34E0" w:rsidSect="00E52A9A">
          <w:headerReference w:type="even" r:id="rId234"/>
          <w:headerReference w:type="default" r:id="rId235"/>
          <w:footerReference w:type="even" r:id="rId236"/>
          <w:footerReference w:type="default" r:id="rId237"/>
          <w:pgSz w:w="11907" w:h="16840" w:code="9"/>
          <w:pgMar w:top="1134" w:right="1134" w:bottom="1134" w:left="1134" w:header="283" w:footer="283" w:gutter="0"/>
          <w:cols w:space="284"/>
          <w:docGrid w:linePitch="360"/>
        </w:sectPr>
      </w:pPr>
    </w:p>
    <w:p w14:paraId="3C2979CE" w14:textId="77777777" w:rsidR="007904E8" w:rsidRPr="004A34E0" w:rsidRDefault="007904E8" w:rsidP="0012010E">
      <w:pPr>
        <w:pStyle w:val="Caption"/>
        <w:rPr>
          <w:rFonts w:eastAsia="Calibri"/>
        </w:rPr>
      </w:pPr>
      <w:r w:rsidRPr="004A34E0">
        <w:rPr>
          <w:rFonts w:eastAsia="Calibri"/>
        </w:rPr>
        <w:lastRenderedPageBreak/>
        <w:t>Figure 36. Plantation forest distribution across the GORCAP EEA area in 2019 (DELWP, 2020)</w:t>
      </w:r>
    </w:p>
    <w:p w14:paraId="1E32A476" w14:textId="77777777" w:rsidR="007904E8" w:rsidRPr="004A34E0" w:rsidRDefault="007904E8" w:rsidP="007904E8">
      <w:pPr>
        <w:pStyle w:val="BodyText"/>
        <w:rPr>
          <w:rFonts w:eastAsia="Calibri"/>
          <w:b/>
        </w:rPr>
        <w:sectPr w:rsidR="007904E8" w:rsidRPr="004A34E0" w:rsidSect="00E52A9A">
          <w:headerReference w:type="even" r:id="rId238"/>
          <w:headerReference w:type="default" r:id="rId239"/>
          <w:footerReference w:type="even" r:id="rId240"/>
          <w:footerReference w:type="default" r:id="rId241"/>
          <w:pgSz w:w="23811" w:h="16838" w:orient="landscape" w:code="8"/>
          <w:pgMar w:top="1134" w:right="1134" w:bottom="1134" w:left="1134" w:header="283" w:footer="283" w:gutter="0"/>
          <w:cols w:space="284"/>
          <w:docGrid w:linePitch="360"/>
        </w:sectPr>
      </w:pPr>
      <w:r w:rsidRPr="004A34E0">
        <w:rPr>
          <w:noProof/>
        </w:rPr>
        <mc:AlternateContent>
          <mc:Choice Requires="wps">
            <w:drawing>
              <wp:anchor distT="45720" distB="45720" distL="114300" distR="114300" simplePos="0" relativeHeight="251658324" behindDoc="0" locked="0" layoutInCell="1" allowOverlap="1" wp14:anchorId="4F9143FF" wp14:editId="50520A11">
                <wp:simplePos x="0" y="0"/>
                <wp:positionH relativeFrom="column">
                  <wp:posOffset>771525</wp:posOffset>
                </wp:positionH>
                <wp:positionV relativeFrom="paragraph">
                  <wp:posOffset>4915408</wp:posOffset>
                </wp:positionV>
                <wp:extent cx="1581150" cy="1404620"/>
                <wp:effectExtent l="0" t="0" r="0" b="3175"/>
                <wp:wrapNone/>
                <wp:docPr id="825" name="Text Box 8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1404620"/>
                        </a:xfrm>
                        <a:prstGeom prst="rect">
                          <a:avLst/>
                        </a:prstGeom>
                        <a:solidFill>
                          <a:schemeClr val="bg1"/>
                        </a:solidFill>
                        <a:ln w="9525">
                          <a:noFill/>
                          <a:miter lim="800000"/>
                          <a:headEnd/>
                          <a:tailEnd/>
                        </a:ln>
                      </wps:spPr>
                      <wps:txbx>
                        <w:txbxContent>
                          <w:p w14:paraId="6B399574" w14:textId="77777777" w:rsidR="007904E8" w:rsidRPr="00165BAD" w:rsidRDefault="007904E8" w:rsidP="007904E8">
                            <w:pPr>
                              <w:rPr>
                                <w:b/>
                                <w:bCs/>
                                <w:sz w:val="24"/>
                                <w:szCs w:val="24"/>
                              </w:rPr>
                            </w:pPr>
                            <w:r w:rsidRPr="00165BAD">
                              <w:rPr>
                                <w:b/>
                                <w:bCs/>
                                <w:sz w:val="24"/>
                                <w:szCs w:val="24"/>
                              </w:rPr>
                              <w:t>GORCAP EEA area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F9143FF" id="Text Box 825" o:spid="_x0000_s1078" type="#_x0000_t202" style="position:absolute;margin-left:60.75pt;margin-top:387.05pt;width:124.5pt;height:110.6pt;z-index:2516583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" fillcolor="white [3212]" stroked="f">
                <v:textbox style="mso-fit-shape-to-text:t">
                  <w:txbxContent>
                    <w:p w14:paraId="6B399574" w14:textId="77777777" w:rsidR="007904E8" w:rsidRPr="00165BAD" w:rsidRDefault="007904E8" w:rsidP="007904E8">
                      <w:pPr>
                        <w:rPr>
                          <w:b/>
                          <w:bCs/>
                          <w:sz w:val="24"/>
                          <w:szCs w:val="24"/>
                        </w:rPr>
                      </w:pPr>
                      <w:r w:rsidRPr="00165BAD">
                        <w:rPr>
                          <w:b/>
                          <w:bCs/>
                          <w:sz w:val="24"/>
                          <w:szCs w:val="24"/>
                        </w:rPr>
                        <w:t>GORCAP EEA area</w:t>
                      </w:r>
                    </w:p>
                  </w:txbxContent>
                </v:textbox>
              </v:shape>
            </w:pict>
          </mc:Fallback>
        </mc:AlternateContent>
      </w:r>
      <w:r w:rsidRPr="004A34E0">
        <w:rPr>
          <w:noProof/>
        </w:rPr>
        <w:drawing>
          <wp:inline distT="0" distB="0" distL="0" distR="0" wp14:anchorId="480BC869" wp14:editId="2C5EEC38">
            <wp:extent cx="13070225" cy="6418116"/>
            <wp:effectExtent l="19050" t="19050" r="17145" b="20955"/>
            <wp:docPr id="862"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Picture 862"/>
                    <pic:cNvPicPr/>
                  </pic:nvPicPr>
                  <pic:blipFill>
                    <a:blip r:embed="rId242" cstate="email">
                      <a:extLst>
                        <a:ext uri="{28A0092B-C50C-407E-A947-70E740481C1C}">
                          <a14:useLocalDpi xmlns:a14="http://schemas.microsoft.com/office/drawing/2010/main"/>
                        </a:ext>
                      </a:extLst>
                    </a:blip>
                    <a:stretch>
                      <a:fillRect/>
                    </a:stretch>
                  </pic:blipFill>
                  <pic:spPr>
                    <a:xfrm>
                      <a:off x="0" y="0"/>
                      <a:ext cx="13070225" cy="6418116"/>
                    </a:xfrm>
                    <a:prstGeom prst="rect">
                      <a:avLst/>
                    </a:prstGeom>
                    <a:ln>
                      <a:solidFill>
                        <a:schemeClr val="tx1"/>
                      </a:solidFill>
                    </a:ln>
                  </pic:spPr>
                </pic:pic>
              </a:graphicData>
            </a:graphic>
          </wp:inline>
        </w:drawing>
      </w:r>
    </w:p>
    <w:p w14:paraId="17DC076E" w14:textId="77777777" w:rsidR="007904E8" w:rsidRPr="004A34E0" w:rsidRDefault="007904E8" w:rsidP="007904E8">
      <w:pPr>
        <w:pStyle w:val="BodyText"/>
      </w:pPr>
      <w:r w:rsidRPr="004A34E0">
        <w:lastRenderedPageBreak/>
        <w:t>Table 71 summarises the uncertainty associated with these results and shows that there is medium uncertainty associated with both the data used and the assumptions necessary to apply this data to the GORCAP EEA region. This is because no GOR specific data exists on timber output and so the method assumes that GOR hardwood and softwood plantation forest is representative of Victorian average.</w:t>
      </w:r>
    </w:p>
    <w:p w14:paraId="6F15C227" w14:textId="77777777" w:rsidR="007904E8" w:rsidRPr="004A34E0" w:rsidRDefault="007904E8" w:rsidP="0012010E">
      <w:pPr>
        <w:pStyle w:val="Caption"/>
      </w:pPr>
      <w:r w:rsidRPr="004A34E0">
        <w:t>Table 71. Uncertainty assessment - physical quantity of biomass for timber</w:t>
      </w:r>
    </w:p>
    <w:tbl>
      <w:tblPr>
        <w:tblStyle w:val="TableGrid"/>
        <w:tblW w:w="5000" w:type="pct"/>
        <w:tblLook w:val="04A0" w:firstRow="1" w:lastRow="0" w:firstColumn="1" w:lastColumn="0" w:noHBand="0" w:noVBand="1"/>
      </w:tblPr>
      <w:tblGrid>
        <w:gridCol w:w="1360"/>
        <w:gridCol w:w="3384"/>
        <w:gridCol w:w="3957"/>
        <w:gridCol w:w="938"/>
      </w:tblGrid>
      <w:tr w:rsidR="007904E8" w:rsidRPr="004A34E0" w14:paraId="75F50A41" w14:textId="77777777" w:rsidTr="0012010E">
        <w:trPr>
          <w:cnfStyle w:val="100000000000" w:firstRow="1" w:lastRow="0" w:firstColumn="0" w:lastColumn="0" w:oddVBand="0" w:evenVBand="0" w:oddHBand="0"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672" w:type="pct"/>
          </w:tcPr>
          <w:p w14:paraId="406D39A0" w14:textId="77777777" w:rsidR="007904E8" w:rsidRPr="004A34E0" w:rsidRDefault="007904E8" w:rsidP="00666947">
            <w:pPr>
              <w:pStyle w:val="TableTextLeft"/>
            </w:pPr>
          </w:p>
        </w:tc>
        <w:tc>
          <w:tcPr>
            <w:tcW w:w="3865" w:type="pct"/>
            <w:gridSpan w:val="2"/>
          </w:tcPr>
          <w:p w14:paraId="3948848B"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Uncertainty in…</w:t>
            </w:r>
          </w:p>
        </w:tc>
        <w:tc>
          <w:tcPr>
            <w:tcW w:w="463" w:type="pct"/>
          </w:tcPr>
          <w:p w14:paraId="2E11A509"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rPr>
                <w:b/>
              </w:rPr>
            </w:pPr>
          </w:p>
        </w:tc>
      </w:tr>
      <w:tr w:rsidR="007904E8" w:rsidRPr="004A34E0" w14:paraId="30571869" w14:textId="77777777" w:rsidTr="0012010E">
        <w:trPr>
          <w:trHeight w:val="247"/>
        </w:trPr>
        <w:tc>
          <w:tcPr>
            <w:cnfStyle w:val="001000000000" w:firstRow="0" w:lastRow="0" w:firstColumn="1" w:lastColumn="0" w:oddVBand="0" w:evenVBand="0" w:oddHBand="0" w:evenHBand="0" w:firstRowFirstColumn="0" w:firstRowLastColumn="0" w:lastRowFirstColumn="0" w:lastRowLastColumn="0"/>
            <w:tcW w:w="672" w:type="pct"/>
            <w:tcBorders>
              <w:top w:val="nil"/>
            </w:tcBorders>
            <w:shd w:val="clear" w:color="auto" w:fill="004C97" w:themeFill="accent1"/>
          </w:tcPr>
          <w:p w14:paraId="54976476" w14:textId="77777777" w:rsidR="007904E8" w:rsidRPr="0012010E" w:rsidRDefault="007904E8" w:rsidP="00666947">
            <w:pPr>
              <w:pStyle w:val="TableTextLeft"/>
              <w:rPr>
                <w:color w:val="FFFFFF" w:themeColor="background1"/>
              </w:rPr>
            </w:pPr>
          </w:p>
        </w:tc>
        <w:tc>
          <w:tcPr>
            <w:tcW w:w="1784" w:type="pct"/>
            <w:tcBorders>
              <w:top w:val="nil"/>
            </w:tcBorders>
            <w:shd w:val="clear" w:color="auto" w:fill="004C97" w:themeFill="accent1"/>
          </w:tcPr>
          <w:p w14:paraId="4EF5DEA7" w14:textId="77777777" w:rsidR="007904E8" w:rsidRPr="0012010E"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12010E">
              <w:rPr>
                <w:b/>
                <w:color w:val="FFFFFF" w:themeColor="background1"/>
              </w:rPr>
              <w:t xml:space="preserve">Evidence </w:t>
            </w:r>
          </w:p>
        </w:tc>
        <w:tc>
          <w:tcPr>
            <w:tcW w:w="2081" w:type="pct"/>
            <w:tcBorders>
              <w:top w:val="nil"/>
            </w:tcBorders>
            <w:shd w:val="clear" w:color="auto" w:fill="004C97" w:themeFill="accent1"/>
          </w:tcPr>
          <w:p w14:paraId="496B9A10" w14:textId="77777777" w:rsidR="007904E8" w:rsidRPr="0012010E"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12010E">
              <w:rPr>
                <w:b/>
                <w:color w:val="FFFFFF" w:themeColor="background1"/>
              </w:rPr>
              <w:t>Assumptions</w:t>
            </w:r>
          </w:p>
        </w:tc>
        <w:tc>
          <w:tcPr>
            <w:tcW w:w="463" w:type="pct"/>
            <w:tcBorders>
              <w:top w:val="nil"/>
            </w:tcBorders>
            <w:shd w:val="clear" w:color="auto" w:fill="004C97" w:themeFill="accent1"/>
          </w:tcPr>
          <w:p w14:paraId="40023925" w14:textId="77777777" w:rsidR="007904E8" w:rsidRPr="0012010E"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r w:rsidRPr="0012010E">
              <w:rPr>
                <w:b/>
                <w:color w:val="FFFFFF" w:themeColor="background1"/>
              </w:rPr>
              <w:t>Total</w:t>
            </w:r>
          </w:p>
        </w:tc>
      </w:tr>
      <w:tr w:rsidR="007904E8" w:rsidRPr="004A34E0" w14:paraId="2C10556B" w14:textId="77777777" w:rsidTr="0012010E">
        <w:trPr>
          <w:trHeight w:val="75"/>
        </w:trPr>
        <w:tc>
          <w:tcPr>
            <w:cnfStyle w:val="001000000000" w:firstRow="0" w:lastRow="0" w:firstColumn="1" w:lastColumn="0" w:oddVBand="0" w:evenVBand="0" w:oddHBand="0" w:evenHBand="0" w:firstRowFirstColumn="0" w:firstRowLastColumn="0" w:lastRowFirstColumn="0" w:lastRowLastColumn="0"/>
            <w:tcW w:w="672" w:type="pct"/>
          </w:tcPr>
          <w:p w14:paraId="18503110" w14:textId="77777777" w:rsidR="007904E8" w:rsidRPr="004A34E0" w:rsidRDefault="007904E8" w:rsidP="00666947">
            <w:pPr>
              <w:pStyle w:val="TableTextLeft"/>
              <w:rPr>
                <w:b/>
              </w:rPr>
            </w:pPr>
            <w:r w:rsidRPr="004A34E0">
              <w:rPr>
                <w:b/>
              </w:rPr>
              <w:t>Explanation</w:t>
            </w:r>
          </w:p>
        </w:tc>
        <w:tc>
          <w:tcPr>
            <w:tcW w:w="1784" w:type="pct"/>
          </w:tcPr>
          <w:p w14:paraId="57770023" w14:textId="77777777" w:rsidR="007904E8" w:rsidRPr="004A34E0" w:rsidRDefault="007904E8" w:rsidP="0012010E">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No evidence was found on timber harvesting within the GORCAP region specifically. However, the underlying evidence on harvesting of timber within Victoria from ABARES (2020) is considered to be robust. </w:t>
            </w:r>
          </w:p>
        </w:tc>
        <w:tc>
          <w:tcPr>
            <w:tcW w:w="2081" w:type="pct"/>
          </w:tcPr>
          <w:p w14:paraId="0B4D29F1" w14:textId="77777777" w:rsidR="007904E8" w:rsidRPr="004A34E0" w:rsidRDefault="007904E8" w:rsidP="0012010E">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The analysis assumes that harvesting GOR is representative of the Victorian average. The extent to which this is accurate is unclear. An assumption has been made to estimate per hectare volumes of softwood production, but this is not deemed to significantly alter the estimates, especially given that there’s only 19ha of softwood forest. </w:t>
            </w:r>
          </w:p>
          <w:p w14:paraId="2A4EB341" w14:textId="77777777" w:rsidR="007904E8" w:rsidRPr="004A34E0" w:rsidRDefault="007904E8" w:rsidP="0012010E">
            <w:pPr>
              <w:pStyle w:val="TableTextLeft"/>
              <w:cnfStyle w:val="000000000000" w:firstRow="0" w:lastRow="0" w:firstColumn="0" w:lastColumn="0" w:oddVBand="0" w:evenVBand="0" w:oddHBand="0" w:evenHBand="0" w:firstRowFirstColumn="0" w:firstRowLastColumn="0" w:lastRowFirstColumn="0" w:lastRowLastColumn="0"/>
            </w:pPr>
            <w:r w:rsidRPr="004A34E0">
              <w:t>Softwood plantation productivity estimates (i.e., m</w:t>
            </w:r>
            <w:r w:rsidRPr="004A34E0">
              <w:rPr>
                <w:vertAlign w:val="superscript"/>
              </w:rPr>
              <w:t xml:space="preserve">3 </w:t>
            </w:r>
            <w:r w:rsidRPr="004A34E0">
              <w:t xml:space="preserve">/ Ha) rely on data on native forest extent from 2016, with an assumption that this is relevant for 2019 (i.e., that native forest will not have changed significantly over that period). This is not considered to alter the robustness of the analysis significantly because native forest is only a small area (7,645ha) relative to total softwood area (231,245ha).  </w:t>
            </w:r>
          </w:p>
        </w:tc>
        <w:tc>
          <w:tcPr>
            <w:tcW w:w="463" w:type="pct"/>
          </w:tcPr>
          <w:p w14:paraId="283FA10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Medium</w:t>
            </w:r>
          </w:p>
        </w:tc>
      </w:tr>
      <w:tr w:rsidR="007904E8" w:rsidRPr="004A34E0" w14:paraId="65CD46D3" w14:textId="77777777" w:rsidTr="00DC466A">
        <w:trPr>
          <w:trHeight w:val="194"/>
        </w:trPr>
        <w:tc>
          <w:tcPr>
            <w:cnfStyle w:val="001000000000" w:firstRow="0" w:lastRow="0" w:firstColumn="1" w:lastColumn="0" w:oddVBand="0" w:evenVBand="0" w:oddHBand="0" w:evenHBand="0" w:firstRowFirstColumn="0" w:firstRowLastColumn="0" w:lastRowFirstColumn="0" w:lastRowLastColumn="0"/>
            <w:tcW w:w="672" w:type="pct"/>
            <w:shd w:val="clear" w:color="auto" w:fill="CCDBEA" w:themeFill="background2"/>
          </w:tcPr>
          <w:p w14:paraId="09A9AA3D" w14:textId="77777777" w:rsidR="007904E8" w:rsidRPr="004A34E0" w:rsidRDefault="007904E8" w:rsidP="00666947">
            <w:pPr>
              <w:pStyle w:val="TableTextLeft"/>
              <w:rPr>
                <w:b/>
              </w:rPr>
            </w:pPr>
            <w:r w:rsidRPr="004A34E0">
              <w:rPr>
                <w:b/>
              </w:rPr>
              <w:t xml:space="preserve">Rating </w:t>
            </w:r>
          </w:p>
        </w:tc>
        <w:tc>
          <w:tcPr>
            <w:tcW w:w="1784" w:type="pct"/>
            <w:shd w:val="clear" w:color="auto" w:fill="CCDBEA" w:themeFill="background2"/>
          </w:tcPr>
          <w:p w14:paraId="4CF49AC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w:t>
            </w:r>
          </w:p>
        </w:tc>
        <w:tc>
          <w:tcPr>
            <w:tcW w:w="2081" w:type="pct"/>
            <w:shd w:val="clear" w:color="auto" w:fill="CCDBEA" w:themeFill="background2"/>
          </w:tcPr>
          <w:p w14:paraId="5EE1F1F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w:t>
            </w:r>
          </w:p>
        </w:tc>
        <w:tc>
          <w:tcPr>
            <w:tcW w:w="463" w:type="pct"/>
            <w:shd w:val="clear" w:color="auto" w:fill="CCDBEA" w:themeFill="background2"/>
          </w:tcPr>
          <w:p w14:paraId="1D0BB93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4</w:t>
            </w:r>
          </w:p>
        </w:tc>
      </w:tr>
    </w:tbl>
    <w:p w14:paraId="4A69D081" w14:textId="77777777" w:rsidR="007904E8" w:rsidRPr="004A34E0" w:rsidRDefault="007904E8" w:rsidP="00A2745D">
      <w:pPr>
        <w:pStyle w:val="AlphaHeading4"/>
      </w:pPr>
      <w:r w:rsidRPr="004A34E0">
        <w:t>Monetary value of biomass for timber</w:t>
      </w:r>
    </w:p>
    <w:p w14:paraId="5870BB7B" w14:textId="77777777" w:rsidR="007904E8" w:rsidRPr="004A34E0" w:rsidRDefault="007904E8" w:rsidP="007904E8">
      <w:pPr>
        <w:pStyle w:val="BodyText12ptBefore"/>
      </w:pPr>
      <w:r w:rsidRPr="004A34E0">
        <w:t xml:space="preserve">The estimated resource rent value of timber production in the GORCAP EEA region (excluding the value of other inputs to production) is estimated to be approximately $265,000 per year consisting of $205,000 of hardwood production and $61,000 of softwood production, based on application of the estimated resource rent dollar ($ AUD) per hectare values of $156 per hectare for hardwood and $146 per hectare for softwood, from Section 3.3.6, see Table 72. </w:t>
      </w:r>
    </w:p>
    <w:p w14:paraId="77D5369F" w14:textId="77777777" w:rsidR="007904E8" w:rsidRPr="004A34E0" w:rsidRDefault="007904E8" w:rsidP="00270081">
      <w:pPr>
        <w:pStyle w:val="Caption"/>
        <w:rPr>
          <w:rFonts w:eastAsia="Calibri"/>
        </w:rPr>
      </w:pPr>
      <w:r w:rsidRPr="004A34E0">
        <w:t>Table 72. Estimated present value ($, 2021) of timber production from plantation forest in the GORCAP region in 2019</w:t>
      </w:r>
    </w:p>
    <w:tbl>
      <w:tblPr>
        <w:tblStyle w:val="TableGrid"/>
        <w:tblW w:w="0" w:type="auto"/>
        <w:tblLook w:val="04A0" w:firstRow="1" w:lastRow="0" w:firstColumn="1" w:lastColumn="0" w:noHBand="0" w:noVBand="1"/>
      </w:tblPr>
      <w:tblGrid>
        <w:gridCol w:w="2403"/>
        <w:gridCol w:w="1695"/>
        <w:gridCol w:w="1432"/>
        <w:gridCol w:w="1327"/>
        <w:gridCol w:w="1183"/>
        <w:gridCol w:w="1599"/>
      </w:tblGrid>
      <w:tr w:rsidR="007904E8" w:rsidRPr="004A34E0" w14:paraId="3FA08022" w14:textId="77777777" w:rsidTr="0012010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tcBorders>
              <w:top w:val="single" w:sz="4" w:space="0" w:color="auto"/>
            </w:tcBorders>
          </w:tcPr>
          <w:p w14:paraId="35E81C8C" w14:textId="77777777" w:rsidR="007904E8" w:rsidRPr="0012010E" w:rsidRDefault="007904E8" w:rsidP="007904E8">
            <w:pPr>
              <w:pStyle w:val="TableTextLeft"/>
              <w:keepNext w:val="0"/>
              <w:rPr>
                <w:rFonts w:eastAsia="Calibri"/>
                <w:color w:val="FFFFFF" w:themeColor="background1"/>
              </w:rPr>
            </w:pPr>
          </w:p>
        </w:tc>
        <w:tc>
          <w:tcPr>
            <w:tcW w:w="3127" w:type="dxa"/>
            <w:gridSpan w:val="2"/>
            <w:tcBorders>
              <w:top w:val="single" w:sz="4" w:space="0" w:color="auto"/>
            </w:tcBorders>
          </w:tcPr>
          <w:p w14:paraId="249BFE87" w14:textId="77777777" w:rsidR="007904E8" w:rsidRPr="0012010E"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rPr>
                <w:rFonts w:eastAsia="Calibri"/>
                <w:color w:val="FFFFFF" w:themeColor="background1"/>
              </w:rPr>
            </w:pPr>
            <w:r w:rsidRPr="0012010E">
              <w:rPr>
                <w:rFonts w:eastAsia="Calibri"/>
                <w:b/>
                <w:color w:val="FFFFFF" w:themeColor="background1"/>
              </w:rPr>
              <w:t>Plantation type</w:t>
            </w:r>
          </w:p>
        </w:tc>
        <w:tc>
          <w:tcPr>
            <w:tcW w:w="1327" w:type="dxa"/>
            <w:tcBorders>
              <w:top w:val="single" w:sz="4" w:space="0" w:color="auto"/>
            </w:tcBorders>
          </w:tcPr>
          <w:p w14:paraId="0F804874" w14:textId="77777777" w:rsidR="007904E8" w:rsidRPr="0012010E"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rPr>
                <w:rFonts w:eastAsia="Calibri"/>
                <w:color w:val="FFFFFF" w:themeColor="background1"/>
              </w:rPr>
            </w:pPr>
          </w:p>
        </w:tc>
        <w:tc>
          <w:tcPr>
            <w:tcW w:w="1183" w:type="dxa"/>
            <w:vMerge w:val="restart"/>
          </w:tcPr>
          <w:p w14:paraId="47684196"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rPr>
                <w:rFonts w:eastAsia="Calibri"/>
              </w:rPr>
            </w:pPr>
            <w:r w:rsidRPr="004A34E0">
              <w:rPr>
                <w:rFonts w:eastAsia="Calibri"/>
                <w:b/>
              </w:rPr>
              <w:t>Year</w:t>
            </w:r>
          </w:p>
        </w:tc>
        <w:tc>
          <w:tcPr>
            <w:tcW w:w="1599" w:type="dxa"/>
            <w:vMerge w:val="restart"/>
          </w:tcPr>
          <w:p w14:paraId="05A90138"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rPr>
                <w:rFonts w:eastAsia="Calibri"/>
                <w:b/>
              </w:rPr>
            </w:pPr>
            <w:r w:rsidRPr="004A34E0">
              <w:rPr>
                <w:rFonts w:eastAsia="Calibri"/>
                <w:b/>
              </w:rPr>
              <w:t>Source</w:t>
            </w:r>
          </w:p>
        </w:tc>
      </w:tr>
      <w:tr w:rsidR="007904E8" w:rsidRPr="004A34E0" w14:paraId="6AD80851" w14:textId="77777777" w:rsidTr="0012010E">
        <w:tc>
          <w:tcPr>
            <w:cnfStyle w:val="001000000000" w:firstRow="0" w:lastRow="0" w:firstColumn="1" w:lastColumn="0" w:oddVBand="0" w:evenVBand="0" w:oddHBand="0" w:evenHBand="0" w:firstRowFirstColumn="0" w:firstRowLastColumn="0" w:lastRowFirstColumn="0" w:lastRowLastColumn="0"/>
            <w:tcW w:w="2403" w:type="dxa"/>
            <w:tcBorders>
              <w:top w:val="nil"/>
            </w:tcBorders>
            <w:shd w:val="clear" w:color="auto" w:fill="004C97" w:themeFill="accent1"/>
          </w:tcPr>
          <w:p w14:paraId="0B607A70" w14:textId="77777777" w:rsidR="007904E8" w:rsidRPr="0012010E" w:rsidRDefault="007904E8" w:rsidP="00666947">
            <w:pPr>
              <w:pStyle w:val="TableTextLeft"/>
              <w:rPr>
                <w:rFonts w:eastAsia="Calibri"/>
                <w:b/>
                <w:i/>
                <w:color w:val="FFFFFF" w:themeColor="background1"/>
              </w:rPr>
            </w:pPr>
          </w:p>
        </w:tc>
        <w:tc>
          <w:tcPr>
            <w:tcW w:w="1695" w:type="dxa"/>
            <w:tcBorders>
              <w:top w:val="nil"/>
            </w:tcBorders>
            <w:shd w:val="clear" w:color="auto" w:fill="004C97" w:themeFill="accent1"/>
          </w:tcPr>
          <w:p w14:paraId="0F45C540" w14:textId="77777777" w:rsidR="007904E8" w:rsidRPr="0012010E"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b/>
                <w:color w:val="FFFFFF" w:themeColor="background1"/>
              </w:rPr>
            </w:pPr>
            <w:r w:rsidRPr="0012010E">
              <w:rPr>
                <w:rFonts w:eastAsia="Calibri"/>
                <w:color w:val="FFFFFF" w:themeColor="background1"/>
              </w:rPr>
              <w:t>Hardwood</w:t>
            </w:r>
          </w:p>
        </w:tc>
        <w:tc>
          <w:tcPr>
            <w:tcW w:w="1432" w:type="dxa"/>
            <w:tcBorders>
              <w:top w:val="nil"/>
            </w:tcBorders>
            <w:shd w:val="clear" w:color="auto" w:fill="004C97" w:themeFill="accent1"/>
          </w:tcPr>
          <w:p w14:paraId="02ACE253" w14:textId="77777777" w:rsidR="007904E8" w:rsidRPr="0012010E"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b/>
                <w:color w:val="FFFFFF" w:themeColor="background1"/>
              </w:rPr>
            </w:pPr>
            <w:r w:rsidRPr="0012010E">
              <w:rPr>
                <w:rFonts w:eastAsia="Calibri"/>
                <w:color w:val="FFFFFF" w:themeColor="background1"/>
              </w:rPr>
              <w:t>Softwood</w:t>
            </w:r>
          </w:p>
        </w:tc>
        <w:tc>
          <w:tcPr>
            <w:tcW w:w="1327" w:type="dxa"/>
            <w:tcBorders>
              <w:top w:val="nil"/>
            </w:tcBorders>
            <w:shd w:val="clear" w:color="auto" w:fill="004C97" w:themeFill="accent1"/>
          </w:tcPr>
          <w:p w14:paraId="3D7334DD" w14:textId="77777777" w:rsidR="007904E8" w:rsidRPr="0012010E"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r w:rsidRPr="0012010E">
              <w:rPr>
                <w:rFonts w:eastAsia="Calibri"/>
                <w:color w:val="FFFFFF" w:themeColor="background1"/>
              </w:rPr>
              <w:t>Metric</w:t>
            </w:r>
          </w:p>
        </w:tc>
        <w:tc>
          <w:tcPr>
            <w:tcW w:w="1183" w:type="dxa"/>
            <w:vMerge/>
            <w:shd w:val="clear" w:color="auto" w:fill="201547" w:themeFill="text2"/>
          </w:tcPr>
          <w:p w14:paraId="07BFCA4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1599" w:type="dxa"/>
            <w:vMerge/>
            <w:shd w:val="clear" w:color="auto" w:fill="201547" w:themeFill="text2"/>
          </w:tcPr>
          <w:p w14:paraId="63C07F1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r>
      <w:tr w:rsidR="007904E8" w:rsidRPr="004A34E0" w14:paraId="3EF670DD" w14:textId="77777777" w:rsidTr="0012010E">
        <w:tc>
          <w:tcPr>
            <w:cnfStyle w:val="001000000000" w:firstRow="0" w:lastRow="0" w:firstColumn="1" w:lastColumn="0" w:oddVBand="0" w:evenVBand="0" w:oddHBand="0" w:evenHBand="0" w:firstRowFirstColumn="0" w:firstRowLastColumn="0" w:lastRowFirstColumn="0" w:lastRowLastColumn="0"/>
            <w:tcW w:w="2403" w:type="dxa"/>
          </w:tcPr>
          <w:p w14:paraId="7CC3F466" w14:textId="77777777" w:rsidR="007904E8" w:rsidRPr="004A34E0" w:rsidRDefault="007904E8" w:rsidP="00666947">
            <w:pPr>
              <w:pStyle w:val="TableTextLeft"/>
              <w:rPr>
                <w:rFonts w:eastAsia="Calibri"/>
              </w:rPr>
            </w:pPr>
            <w:r w:rsidRPr="004A34E0">
              <w:rPr>
                <w:rFonts w:eastAsia="Calibri"/>
              </w:rPr>
              <w:t xml:space="preserve">Total area </w:t>
            </w:r>
          </w:p>
        </w:tc>
        <w:tc>
          <w:tcPr>
            <w:tcW w:w="1695" w:type="dxa"/>
          </w:tcPr>
          <w:p w14:paraId="0483D95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1,317</w:t>
            </w:r>
          </w:p>
        </w:tc>
        <w:tc>
          <w:tcPr>
            <w:tcW w:w="1432" w:type="dxa"/>
          </w:tcPr>
          <w:p w14:paraId="5135312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416</w:t>
            </w:r>
          </w:p>
        </w:tc>
        <w:tc>
          <w:tcPr>
            <w:tcW w:w="1327" w:type="dxa"/>
          </w:tcPr>
          <w:p w14:paraId="00AA68A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Hectares</w:t>
            </w:r>
          </w:p>
        </w:tc>
        <w:tc>
          <w:tcPr>
            <w:tcW w:w="1183" w:type="dxa"/>
          </w:tcPr>
          <w:p w14:paraId="247D81D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2019</w:t>
            </w:r>
          </w:p>
        </w:tc>
        <w:tc>
          <w:tcPr>
            <w:tcW w:w="1599" w:type="dxa"/>
          </w:tcPr>
          <w:p w14:paraId="7DEB17A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rFonts w:eastAsia="Calibri"/>
              </w:rPr>
              <w:t>DELWP (2020)</w:t>
            </w:r>
          </w:p>
        </w:tc>
      </w:tr>
      <w:tr w:rsidR="007904E8" w:rsidRPr="004A34E0" w14:paraId="6019F6C4" w14:textId="77777777" w:rsidTr="0012010E">
        <w:tc>
          <w:tcPr>
            <w:cnfStyle w:val="001000000000" w:firstRow="0" w:lastRow="0" w:firstColumn="1" w:lastColumn="0" w:oddVBand="0" w:evenVBand="0" w:oddHBand="0" w:evenHBand="0" w:firstRowFirstColumn="0" w:firstRowLastColumn="0" w:lastRowFirstColumn="0" w:lastRowLastColumn="0"/>
            <w:tcW w:w="2403" w:type="dxa"/>
          </w:tcPr>
          <w:p w14:paraId="0F54A9C7" w14:textId="77777777" w:rsidR="007904E8" w:rsidRPr="004A34E0" w:rsidRDefault="007904E8" w:rsidP="00666947">
            <w:pPr>
              <w:pStyle w:val="TableTextLeft"/>
              <w:rPr>
                <w:rFonts w:eastAsia="Calibri"/>
              </w:rPr>
            </w:pPr>
            <w:r w:rsidRPr="004A34E0">
              <w:rPr>
                <w:rFonts w:eastAsia="Calibri"/>
              </w:rPr>
              <w:t>Estimated resource rent</w:t>
            </w:r>
          </w:p>
        </w:tc>
        <w:tc>
          <w:tcPr>
            <w:tcW w:w="1695" w:type="dxa"/>
          </w:tcPr>
          <w:p w14:paraId="3E01E27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$160</w:t>
            </w:r>
          </w:p>
        </w:tc>
        <w:tc>
          <w:tcPr>
            <w:tcW w:w="1432" w:type="dxa"/>
          </w:tcPr>
          <w:p w14:paraId="6959479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$158</w:t>
            </w:r>
          </w:p>
        </w:tc>
        <w:tc>
          <w:tcPr>
            <w:tcW w:w="1327" w:type="dxa"/>
          </w:tcPr>
          <w:p w14:paraId="211C68B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 / Ha / year</w:t>
            </w:r>
          </w:p>
        </w:tc>
        <w:tc>
          <w:tcPr>
            <w:tcW w:w="1183" w:type="dxa"/>
          </w:tcPr>
          <w:p w14:paraId="59E8F2F1"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2019</w:t>
            </w:r>
            <w:r w:rsidRPr="004A34E0">
              <w:rPr>
                <w:vertAlign w:val="superscript"/>
              </w:rPr>
              <w:t>a</w:t>
            </w:r>
          </w:p>
        </w:tc>
        <w:tc>
          <w:tcPr>
            <w:tcW w:w="1599" w:type="dxa"/>
          </w:tcPr>
          <w:p w14:paraId="58BCDA9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ABARES (2020)</w:t>
            </w:r>
          </w:p>
        </w:tc>
      </w:tr>
      <w:tr w:rsidR="007904E8" w:rsidRPr="004A34E0" w14:paraId="58059E9A" w14:textId="77777777" w:rsidTr="0012010E">
        <w:tc>
          <w:tcPr>
            <w:cnfStyle w:val="001000000000" w:firstRow="0" w:lastRow="0" w:firstColumn="1" w:lastColumn="0" w:oddVBand="0" w:evenVBand="0" w:oddHBand="0" w:evenHBand="0" w:firstRowFirstColumn="0" w:firstRowLastColumn="0" w:lastRowFirstColumn="0" w:lastRowLastColumn="0"/>
            <w:tcW w:w="2403" w:type="dxa"/>
          </w:tcPr>
          <w:p w14:paraId="5F1CB456" w14:textId="77777777" w:rsidR="007904E8" w:rsidRPr="004A34E0" w:rsidRDefault="007904E8" w:rsidP="00666947">
            <w:pPr>
              <w:pStyle w:val="TableTextLeft"/>
              <w:rPr>
                <w:rFonts w:eastAsia="Calibri"/>
              </w:rPr>
            </w:pPr>
            <w:r w:rsidRPr="004A34E0">
              <w:rPr>
                <w:rFonts w:eastAsia="Calibri"/>
              </w:rPr>
              <w:t xml:space="preserve">Estimated resource rent </w:t>
            </w:r>
          </w:p>
        </w:tc>
        <w:tc>
          <w:tcPr>
            <w:tcW w:w="1695" w:type="dxa"/>
          </w:tcPr>
          <w:p w14:paraId="6B3F401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$210,459</w:t>
            </w:r>
          </w:p>
        </w:tc>
        <w:tc>
          <w:tcPr>
            <w:tcW w:w="1432" w:type="dxa"/>
          </w:tcPr>
          <w:p w14:paraId="748AFEC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$65,802</w:t>
            </w:r>
          </w:p>
        </w:tc>
        <w:tc>
          <w:tcPr>
            <w:tcW w:w="1327" w:type="dxa"/>
          </w:tcPr>
          <w:p w14:paraId="135C461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 / year</w:t>
            </w:r>
          </w:p>
        </w:tc>
        <w:tc>
          <w:tcPr>
            <w:tcW w:w="1183" w:type="dxa"/>
          </w:tcPr>
          <w:p w14:paraId="55F9FD0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2019</w:t>
            </w:r>
            <w:r w:rsidRPr="004A34E0">
              <w:rPr>
                <w:vertAlign w:val="superscript"/>
              </w:rPr>
              <w:t>a</w:t>
            </w:r>
          </w:p>
        </w:tc>
        <w:tc>
          <w:tcPr>
            <w:tcW w:w="1599" w:type="dxa"/>
          </w:tcPr>
          <w:p w14:paraId="726CEE7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w:t>
            </w:r>
          </w:p>
        </w:tc>
      </w:tr>
    </w:tbl>
    <w:p w14:paraId="72D0BC88" w14:textId="77777777" w:rsidR="007904E8" w:rsidRPr="004A34E0" w:rsidRDefault="007904E8" w:rsidP="0012010E">
      <w:pPr>
        <w:pStyle w:val="NoteHeading"/>
        <w:rPr>
          <w:rFonts w:eastAsia="Calibri"/>
        </w:rPr>
      </w:pPr>
      <w:proofErr w:type="spellStart"/>
      <w:r w:rsidRPr="004A34E0">
        <w:rPr>
          <w:rFonts w:eastAsia="Calibri"/>
          <w:vertAlign w:val="superscript"/>
        </w:rPr>
        <w:t>a</w:t>
      </w:r>
      <w:proofErr w:type="spellEnd"/>
      <w:r w:rsidRPr="004A34E0">
        <w:rPr>
          <w:rFonts w:eastAsia="Calibri"/>
          <w:vertAlign w:val="superscript"/>
        </w:rPr>
        <w:t xml:space="preserve"> </w:t>
      </w:r>
      <w:r w:rsidRPr="004A34E0">
        <w:rPr>
          <w:rFonts w:eastAsia="Calibri"/>
        </w:rPr>
        <w:t>This is assumed to be representative of the year 2019. However, softwood production estimates rely on ABARES (2020) data on total native forest area from 2016 (7,645ha) and softwood plantation area from 2019 (223,600ha).</w:t>
      </w:r>
    </w:p>
    <w:p w14:paraId="4CDD97BB" w14:textId="77777777" w:rsidR="007904E8" w:rsidRPr="004A34E0" w:rsidRDefault="007904E8" w:rsidP="0012010E">
      <w:pPr>
        <w:pStyle w:val="BodyText12ptBefore"/>
      </w:pPr>
      <w:r w:rsidRPr="004A34E0">
        <w:t xml:space="preserve">Table 73 summarises the uncertainty associated with these results and shows that there is medium uncertainty associated with both the data used and the assumptions necessary to apply this data to the GORCAP EEA region. As with the physical provision of timber, this is because no GOR specific data exists </w:t>
      </w:r>
      <w:r w:rsidRPr="004A34E0">
        <w:lastRenderedPageBreak/>
        <w:t>on the value of timber output and so the method assumes that the value of production from GOR hardwood and softwood plantation forest is representative of Victorian average.</w:t>
      </w:r>
    </w:p>
    <w:p w14:paraId="6C12B12E" w14:textId="77777777" w:rsidR="007904E8" w:rsidRPr="004A34E0" w:rsidRDefault="007904E8" w:rsidP="0012010E">
      <w:pPr>
        <w:pStyle w:val="Caption"/>
      </w:pPr>
      <w:r w:rsidRPr="004A34E0">
        <w:t>Table 73. Uncertainty assessment - monetary value of biomass for timber</w:t>
      </w:r>
    </w:p>
    <w:tbl>
      <w:tblPr>
        <w:tblStyle w:val="TableGrid"/>
        <w:tblW w:w="5000" w:type="pct"/>
        <w:tblLook w:val="04A0" w:firstRow="1" w:lastRow="0" w:firstColumn="1" w:lastColumn="0" w:noHBand="0" w:noVBand="1"/>
      </w:tblPr>
      <w:tblGrid>
        <w:gridCol w:w="1360"/>
        <w:gridCol w:w="3253"/>
        <w:gridCol w:w="4087"/>
        <w:gridCol w:w="939"/>
      </w:tblGrid>
      <w:tr w:rsidR="007904E8" w:rsidRPr="004A34E0" w14:paraId="37E772B1" w14:textId="77777777" w:rsidTr="0012010E">
        <w:trPr>
          <w:cnfStyle w:val="100000000000" w:firstRow="1" w:lastRow="0" w:firstColumn="0" w:lastColumn="0" w:oddVBand="0" w:evenVBand="0" w:oddHBand="0"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705" w:type="pct"/>
          </w:tcPr>
          <w:p w14:paraId="18F26E7C" w14:textId="77777777" w:rsidR="007904E8" w:rsidRPr="004A34E0" w:rsidRDefault="007904E8" w:rsidP="00666947">
            <w:pPr>
              <w:pStyle w:val="TableTextLeft"/>
            </w:pPr>
          </w:p>
        </w:tc>
        <w:tc>
          <w:tcPr>
            <w:tcW w:w="3808" w:type="pct"/>
            <w:gridSpan w:val="2"/>
          </w:tcPr>
          <w:p w14:paraId="27853742"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pPr>
            <w:r w:rsidRPr="004A34E0">
              <w:rPr>
                <w:b/>
              </w:rPr>
              <w:t>Uncertainty in…</w:t>
            </w:r>
          </w:p>
        </w:tc>
        <w:tc>
          <w:tcPr>
            <w:tcW w:w="487" w:type="pct"/>
          </w:tcPr>
          <w:p w14:paraId="3CA598E6" w14:textId="77777777" w:rsidR="007904E8" w:rsidRPr="004A34E0" w:rsidRDefault="007904E8" w:rsidP="00666947">
            <w:pPr>
              <w:pStyle w:val="TableTextLeft"/>
              <w:cnfStyle w:val="100000000000" w:firstRow="1" w:lastRow="0" w:firstColumn="0" w:lastColumn="0" w:oddVBand="0" w:evenVBand="0" w:oddHBand="0" w:evenHBand="0" w:firstRowFirstColumn="0" w:firstRowLastColumn="0" w:lastRowFirstColumn="0" w:lastRowLastColumn="0"/>
              <w:rPr>
                <w:b/>
              </w:rPr>
            </w:pPr>
          </w:p>
        </w:tc>
      </w:tr>
      <w:tr w:rsidR="007904E8" w:rsidRPr="004A34E0" w14:paraId="7E3922DB" w14:textId="77777777" w:rsidTr="0012010E">
        <w:trPr>
          <w:trHeight w:val="247"/>
        </w:trPr>
        <w:tc>
          <w:tcPr>
            <w:cnfStyle w:val="001000000000" w:firstRow="0" w:lastRow="0" w:firstColumn="1" w:lastColumn="0" w:oddVBand="0" w:evenVBand="0" w:oddHBand="0" w:evenHBand="0" w:firstRowFirstColumn="0" w:firstRowLastColumn="0" w:lastRowFirstColumn="0" w:lastRowLastColumn="0"/>
            <w:tcW w:w="705" w:type="pct"/>
            <w:tcBorders>
              <w:top w:val="nil"/>
            </w:tcBorders>
            <w:shd w:val="clear" w:color="auto" w:fill="004C97" w:themeFill="accent1"/>
          </w:tcPr>
          <w:p w14:paraId="4527C08D" w14:textId="77777777" w:rsidR="007904E8" w:rsidRPr="0012010E" w:rsidRDefault="007904E8" w:rsidP="0012010E">
            <w:pPr>
              <w:pStyle w:val="TableHeadingLeft"/>
              <w:rPr>
                <w:color w:val="FFFFFF" w:themeColor="background1"/>
              </w:rPr>
            </w:pPr>
          </w:p>
        </w:tc>
        <w:tc>
          <w:tcPr>
            <w:tcW w:w="1688" w:type="pct"/>
            <w:tcBorders>
              <w:top w:val="nil"/>
            </w:tcBorders>
            <w:shd w:val="clear" w:color="auto" w:fill="004C97" w:themeFill="accent1"/>
          </w:tcPr>
          <w:p w14:paraId="2112A94E" w14:textId="77777777" w:rsidR="007904E8" w:rsidRPr="0012010E" w:rsidRDefault="007904E8" w:rsidP="0012010E">
            <w:pPr>
              <w:pStyle w:val="TableHeadingLeft"/>
              <w:cnfStyle w:val="000000000000" w:firstRow="0" w:lastRow="0" w:firstColumn="0" w:lastColumn="0" w:oddVBand="0" w:evenVBand="0" w:oddHBand="0" w:evenHBand="0" w:firstRowFirstColumn="0" w:firstRowLastColumn="0" w:lastRowFirstColumn="0" w:lastRowLastColumn="0"/>
              <w:rPr>
                <w:color w:val="FFFFFF" w:themeColor="background1"/>
              </w:rPr>
            </w:pPr>
            <w:r w:rsidRPr="0012010E">
              <w:rPr>
                <w:color w:val="FFFFFF" w:themeColor="background1"/>
              </w:rPr>
              <w:t xml:space="preserve">Evidence </w:t>
            </w:r>
          </w:p>
        </w:tc>
        <w:tc>
          <w:tcPr>
            <w:tcW w:w="2120" w:type="pct"/>
            <w:tcBorders>
              <w:top w:val="nil"/>
            </w:tcBorders>
            <w:shd w:val="clear" w:color="auto" w:fill="004C97" w:themeFill="accent1"/>
          </w:tcPr>
          <w:p w14:paraId="63F5E522" w14:textId="77777777" w:rsidR="007904E8" w:rsidRPr="0012010E" w:rsidRDefault="007904E8" w:rsidP="0012010E">
            <w:pPr>
              <w:pStyle w:val="TableHeadingLeft"/>
              <w:cnfStyle w:val="000000000000" w:firstRow="0" w:lastRow="0" w:firstColumn="0" w:lastColumn="0" w:oddVBand="0" w:evenVBand="0" w:oddHBand="0" w:evenHBand="0" w:firstRowFirstColumn="0" w:firstRowLastColumn="0" w:lastRowFirstColumn="0" w:lastRowLastColumn="0"/>
              <w:rPr>
                <w:color w:val="FFFFFF" w:themeColor="background1"/>
              </w:rPr>
            </w:pPr>
            <w:r w:rsidRPr="0012010E">
              <w:rPr>
                <w:color w:val="FFFFFF" w:themeColor="background1"/>
              </w:rPr>
              <w:t>Assumptions</w:t>
            </w:r>
          </w:p>
        </w:tc>
        <w:tc>
          <w:tcPr>
            <w:tcW w:w="487" w:type="pct"/>
            <w:tcBorders>
              <w:top w:val="nil"/>
            </w:tcBorders>
            <w:shd w:val="clear" w:color="auto" w:fill="004C97" w:themeFill="accent1"/>
          </w:tcPr>
          <w:p w14:paraId="6B643459" w14:textId="77777777" w:rsidR="007904E8" w:rsidRPr="0012010E" w:rsidRDefault="007904E8" w:rsidP="0012010E">
            <w:pPr>
              <w:pStyle w:val="TableHeadingLeft"/>
              <w:cnfStyle w:val="000000000000" w:firstRow="0" w:lastRow="0" w:firstColumn="0" w:lastColumn="0" w:oddVBand="0" w:evenVBand="0" w:oddHBand="0" w:evenHBand="0" w:firstRowFirstColumn="0" w:firstRowLastColumn="0" w:lastRowFirstColumn="0" w:lastRowLastColumn="0"/>
              <w:rPr>
                <w:color w:val="FFFFFF" w:themeColor="background1"/>
              </w:rPr>
            </w:pPr>
            <w:r w:rsidRPr="0012010E">
              <w:rPr>
                <w:color w:val="FFFFFF" w:themeColor="background1"/>
              </w:rPr>
              <w:t>Total</w:t>
            </w:r>
          </w:p>
        </w:tc>
      </w:tr>
      <w:tr w:rsidR="007904E8" w:rsidRPr="004A34E0" w14:paraId="474BE9A4" w14:textId="77777777" w:rsidTr="0012010E">
        <w:trPr>
          <w:trHeight w:val="75"/>
        </w:trPr>
        <w:tc>
          <w:tcPr>
            <w:cnfStyle w:val="001000000000" w:firstRow="0" w:lastRow="0" w:firstColumn="1" w:lastColumn="0" w:oddVBand="0" w:evenVBand="0" w:oddHBand="0" w:evenHBand="0" w:firstRowFirstColumn="0" w:firstRowLastColumn="0" w:lastRowFirstColumn="0" w:lastRowLastColumn="0"/>
            <w:tcW w:w="705" w:type="pct"/>
          </w:tcPr>
          <w:p w14:paraId="70FB1461" w14:textId="77777777" w:rsidR="007904E8" w:rsidRPr="004A34E0" w:rsidRDefault="007904E8" w:rsidP="00666947">
            <w:pPr>
              <w:pStyle w:val="TableTextLeft"/>
              <w:rPr>
                <w:b/>
              </w:rPr>
            </w:pPr>
            <w:r w:rsidRPr="004A34E0">
              <w:rPr>
                <w:b/>
              </w:rPr>
              <w:t>Explanation</w:t>
            </w:r>
          </w:p>
        </w:tc>
        <w:tc>
          <w:tcPr>
            <w:tcW w:w="1688" w:type="pct"/>
          </w:tcPr>
          <w:p w14:paraId="6B49D1EF" w14:textId="77777777" w:rsidR="007904E8" w:rsidRPr="004A34E0" w:rsidRDefault="007904E8" w:rsidP="0012010E">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No evidence was found on the value of timber harvesting within the GORCAP region specifically. However, Victorian evidence on the value of timber harvesting from ABARES (2020) is considered to be robust. </w:t>
            </w:r>
          </w:p>
          <w:p w14:paraId="0A07B20B" w14:textId="77777777" w:rsidR="007904E8" w:rsidRPr="004A34E0" w:rsidRDefault="007904E8" w:rsidP="0012010E">
            <w:pPr>
              <w:pStyle w:val="TableTextLeft"/>
              <w:cnfStyle w:val="000000000000" w:firstRow="0" w:lastRow="0" w:firstColumn="0" w:lastColumn="0" w:oddVBand="0" w:evenVBand="0" w:oddHBand="0" w:evenHBand="0" w:firstRowFirstColumn="0" w:firstRowLastColumn="0" w:lastRowFirstColumn="0" w:lastRowLastColumn="0"/>
            </w:pPr>
            <w:r w:rsidRPr="004A34E0">
              <w:t>The percentage of resource rent is based on limited evidence (from DELWP, 2019).</w:t>
            </w:r>
          </w:p>
          <w:p w14:paraId="6445F8FB" w14:textId="77777777" w:rsidR="007904E8" w:rsidRPr="004A34E0" w:rsidRDefault="007904E8" w:rsidP="0012010E">
            <w:pPr>
              <w:pStyle w:val="TableTextLeft"/>
              <w:cnfStyle w:val="000000000000" w:firstRow="0" w:lastRow="0" w:firstColumn="0" w:lastColumn="0" w:oddVBand="0" w:evenVBand="0" w:oddHBand="0" w:evenHBand="0" w:firstRowFirstColumn="0" w:firstRowLastColumn="0" w:lastRowFirstColumn="0" w:lastRowLastColumn="0"/>
            </w:pPr>
          </w:p>
        </w:tc>
        <w:tc>
          <w:tcPr>
            <w:tcW w:w="2120" w:type="pct"/>
          </w:tcPr>
          <w:p w14:paraId="6B6D9CBB" w14:textId="77777777" w:rsidR="007904E8" w:rsidRPr="004A34E0" w:rsidRDefault="007904E8" w:rsidP="0012010E">
            <w:pPr>
              <w:pStyle w:val="TableTextLeft"/>
              <w:cnfStyle w:val="000000000000" w:firstRow="0" w:lastRow="0" w:firstColumn="0" w:lastColumn="0" w:oddVBand="0" w:evenVBand="0" w:oddHBand="0" w:evenHBand="0" w:firstRowFirstColumn="0" w:firstRowLastColumn="0" w:lastRowFirstColumn="0" w:lastRowLastColumn="0"/>
            </w:pPr>
            <w:r w:rsidRPr="004A34E0">
              <w:t>The analysis assumes that harvesting GOR is representative of the Victorian average. The extent to which this is accurate is unclear.</w:t>
            </w:r>
          </w:p>
          <w:p w14:paraId="6722B32F" w14:textId="77777777" w:rsidR="007904E8" w:rsidRPr="004A34E0" w:rsidRDefault="007904E8" w:rsidP="0012010E">
            <w:pPr>
              <w:pStyle w:val="TableTextLeft"/>
              <w:cnfStyle w:val="000000000000" w:firstRow="0" w:lastRow="0" w:firstColumn="0" w:lastColumn="0" w:oddVBand="0" w:evenVBand="0" w:oddHBand="0" w:evenHBand="0" w:firstRowFirstColumn="0" w:firstRowLastColumn="0" w:lastRowFirstColumn="0" w:lastRowLastColumn="0"/>
            </w:pPr>
            <w:r w:rsidRPr="004A34E0">
              <w:t xml:space="preserve">An assumption has been made to estimate per hectare value of softwood production, but this is not deemed to significantly alter the estimates, especially given that there’s only 19ha of softwood forest.  </w:t>
            </w:r>
          </w:p>
          <w:p w14:paraId="3940F8A7" w14:textId="77777777" w:rsidR="007904E8" w:rsidRPr="004A34E0" w:rsidRDefault="007904E8" w:rsidP="0012010E">
            <w:pPr>
              <w:pStyle w:val="TableTextLeft"/>
              <w:cnfStyle w:val="000000000000" w:firstRow="0" w:lastRow="0" w:firstColumn="0" w:lastColumn="0" w:oddVBand="0" w:evenVBand="0" w:oddHBand="0" w:evenHBand="0" w:firstRowFirstColumn="0" w:firstRowLastColumn="0" w:lastRowFirstColumn="0" w:lastRowLastColumn="0"/>
            </w:pPr>
            <w:r w:rsidRPr="004A34E0">
              <w:t>“Resource rent” attributable to ecosystems is assumed to be ten percent of the gross output value based on DELWP (2019) which reviewed existing studies of net expenditure (excluding within industry transfers) in the softwood and hardwood plantation industry</w:t>
            </w:r>
          </w:p>
          <w:p w14:paraId="0C8FEBB3" w14:textId="77777777" w:rsidR="007904E8" w:rsidRPr="004A34E0" w:rsidRDefault="007904E8" w:rsidP="0012010E">
            <w:pPr>
              <w:pStyle w:val="TableTextLeft"/>
              <w:cnfStyle w:val="000000000000" w:firstRow="0" w:lastRow="0" w:firstColumn="0" w:lastColumn="0" w:oddVBand="0" w:evenVBand="0" w:oddHBand="0" w:evenHBand="0" w:firstRowFirstColumn="0" w:firstRowLastColumn="0" w:lastRowFirstColumn="0" w:lastRowLastColumn="0"/>
            </w:pPr>
            <w:r w:rsidRPr="004A34E0">
              <w:t>The monetary values are presented in 2021 terms, uprating the original estimates for inflation.</w:t>
            </w:r>
          </w:p>
        </w:tc>
        <w:tc>
          <w:tcPr>
            <w:tcW w:w="487" w:type="pct"/>
          </w:tcPr>
          <w:p w14:paraId="0851DB04"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Medium</w:t>
            </w:r>
          </w:p>
        </w:tc>
      </w:tr>
      <w:tr w:rsidR="007904E8" w:rsidRPr="004A34E0" w14:paraId="3EF72C38" w14:textId="77777777" w:rsidTr="00DC466A">
        <w:trPr>
          <w:trHeight w:val="194"/>
        </w:trPr>
        <w:tc>
          <w:tcPr>
            <w:cnfStyle w:val="001000000000" w:firstRow="0" w:lastRow="0" w:firstColumn="1" w:lastColumn="0" w:oddVBand="0" w:evenVBand="0" w:oddHBand="0" w:evenHBand="0" w:firstRowFirstColumn="0" w:firstRowLastColumn="0" w:lastRowFirstColumn="0" w:lastRowLastColumn="0"/>
            <w:tcW w:w="705" w:type="pct"/>
            <w:shd w:val="clear" w:color="auto" w:fill="CCDBEA" w:themeFill="background2"/>
          </w:tcPr>
          <w:p w14:paraId="464F1377" w14:textId="77777777" w:rsidR="007904E8" w:rsidRPr="004A34E0" w:rsidRDefault="007904E8" w:rsidP="00666947">
            <w:pPr>
              <w:pStyle w:val="TableTextLeft"/>
              <w:rPr>
                <w:b/>
              </w:rPr>
            </w:pPr>
            <w:r w:rsidRPr="004A34E0">
              <w:rPr>
                <w:b/>
              </w:rPr>
              <w:t xml:space="preserve">Rating </w:t>
            </w:r>
          </w:p>
        </w:tc>
        <w:tc>
          <w:tcPr>
            <w:tcW w:w="1688" w:type="pct"/>
            <w:shd w:val="clear" w:color="auto" w:fill="CCDBEA" w:themeFill="background2"/>
          </w:tcPr>
          <w:p w14:paraId="62AAA2B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w:t>
            </w:r>
          </w:p>
        </w:tc>
        <w:tc>
          <w:tcPr>
            <w:tcW w:w="2120" w:type="pct"/>
            <w:shd w:val="clear" w:color="auto" w:fill="CCDBEA" w:themeFill="background2"/>
          </w:tcPr>
          <w:p w14:paraId="4731CC5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w:t>
            </w:r>
          </w:p>
        </w:tc>
        <w:tc>
          <w:tcPr>
            <w:tcW w:w="487" w:type="pct"/>
            <w:shd w:val="clear" w:color="auto" w:fill="CCDBEA" w:themeFill="background2"/>
          </w:tcPr>
          <w:p w14:paraId="5C79928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4</w:t>
            </w:r>
          </w:p>
        </w:tc>
      </w:tr>
    </w:tbl>
    <w:p w14:paraId="593C46DB" w14:textId="77777777" w:rsidR="007904E8" w:rsidRPr="004A34E0" w:rsidRDefault="007904E8" w:rsidP="00A2745D">
      <w:pPr>
        <w:pStyle w:val="AlphaHeading4"/>
      </w:pPr>
      <w:r w:rsidRPr="004A34E0">
        <w:t xml:space="preserve">Supply and use </w:t>
      </w:r>
    </w:p>
    <w:p w14:paraId="78772A1A" w14:textId="77777777" w:rsidR="007904E8" w:rsidRPr="004A34E0" w:rsidRDefault="007904E8" w:rsidP="007904E8">
      <w:pPr>
        <w:pStyle w:val="BodyText"/>
        <w:rPr>
          <w:rFonts w:eastAsia="Calibri"/>
        </w:rPr>
      </w:pPr>
      <w:r w:rsidRPr="004A34E0">
        <w:rPr>
          <w:rFonts w:eastAsia="Calibri"/>
        </w:rPr>
        <w:t>The forest ecosystem assets within the GORCAP region supplies the biomass for timber, see Table 74. Table 74 also shows that the vast majority of timber production in the region is from plantation forest that is owned by private (i.e., non-Crown) landowners. Whilst there is no harvesting occurring within state forests in 2019, the study team located a small parcel of Crown land within the GORCAP EEA region (inside the Coast and Parks Authority area) that is perpetually licensed to Hancock Victorian Plantations to use as conifer plantation. While it remains Crown land, the State has no role in its management (aside from regulatory oversight) (DELWP, 2019).</w:t>
      </w:r>
    </w:p>
    <w:p w14:paraId="0E9732E4" w14:textId="2AB69E70" w:rsidR="0012010E" w:rsidRDefault="007904E8" w:rsidP="007904E8">
      <w:pPr>
        <w:pStyle w:val="BodyText"/>
        <w:rPr>
          <w:rFonts w:eastAsia="Calibri"/>
        </w:rPr>
      </w:pPr>
      <w:r w:rsidRPr="004A34E0">
        <w:rPr>
          <w:rFonts w:eastAsia="Calibri"/>
        </w:rPr>
        <w:t xml:space="preserve">The direct users of the biomass for timber ecosystem service provided by GOR ecosystem assets is the Victorian timber industry which grows and harvests the timber (primary production). The logs are then processed into primary products such as sawn timber, woodchips, pulp and paper (primary processing) and the primary products are then sold for further processing into secondary products such as furniture and paper packaging (secondary processing) which are sold to consumers (Schirmer et al, 2018). Therefore, downstream businesses and ultimately households benefit from the production and consumption of timber products, but the direct user of the ecosystem service is the timber industry, see Table 74.  </w:t>
      </w:r>
      <w:r w:rsidR="0012010E">
        <w:rPr>
          <w:rFonts w:eastAsia="Calibri"/>
        </w:rPr>
        <w:br w:type="page"/>
      </w:r>
    </w:p>
    <w:p w14:paraId="17F9F8C7" w14:textId="77777777" w:rsidR="007904E8" w:rsidRPr="004A34E0" w:rsidRDefault="007904E8" w:rsidP="0012010E">
      <w:pPr>
        <w:pStyle w:val="Caption"/>
        <w:rPr>
          <w:rFonts w:eastAsia="Calibri"/>
        </w:rPr>
      </w:pPr>
      <w:r w:rsidRPr="004A34E0">
        <w:rPr>
          <w:rFonts w:eastAsia="Calibri"/>
        </w:rPr>
        <w:lastRenderedPageBreak/>
        <w:t>Table 74. Supply and use table for biomass for timber from GORCAP EEA region in 2019</w:t>
      </w:r>
    </w:p>
    <w:tbl>
      <w:tblPr>
        <w:tblStyle w:val="TableGrid"/>
        <w:tblW w:w="0" w:type="auto"/>
        <w:tblLook w:val="04A0" w:firstRow="1" w:lastRow="0" w:firstColumn="1" w:lastColumn="0" w:noHBand="0" w:noVBand="1"/>
      </w:tblPr>
      <w:tblGrid>
        <w:gridCol w:w="1192"/>
        <w:gridCol w:w="841"/>
        <w:gridCol w:w="1367"/>
        <w:gridCol w:w="1331"/>
        <w:gridCol w:w="1407"/>
        <w:gridCol w:w="1061"/>
        <w:gridCol w:w="1234"/>
        <w:gridCol w:w="1206"/>
      </w:tblGrid>
      <w:tr w:rsidR="007904E8" w:rsidRPr="004A34E0" w14:paraId="15D13B58" w14:textId="77777777" w:rsidTr="0012010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2" w:type="dxa"/>
          </w:tcPr>
          <w:p w14:paraId="3099A188" w14:textId="77777777" w:rsidR="007904E8" w:rsidRPr="004A34E0" w:rsidRDefault="007904E8" w:rsidP="007904E8">
            <w:pPr>
              <w:pStyle w:val="TableTextLeft"/>
              <w:keepNext w:val="0"/>
              <w:rPr>
                <w:rFonts w:eastAsia="Calibri"/>
              </w:rPr>
            </w:pPr>
          </w:p>
        </w:tc>
        <w:tc>
          <w:tcPr>
            <w:tcW w:w="841" w:type="dxa"/>
          </w:tcPr>
          <w:p w14:paraId="10D6BAA5"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rPr>
                <w:rFonts w:eastAsia="Calibri"/>
              </w:rPr>
            </w:pPr>
          </w:p>
        </w:tc>
        <w:tc>
          <w:tcPr>
            <w:tcW w:w="1367" w:type="dxa"/>
          </w:tcPr>
          <w:p w14:paraId="18C3166C"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rPr>
                <w:rFonts w:eastAsia="Calibri"/>
              </w:rPr>
            </w:pPr>
            <w:r w:rsidRPr="004A34E0">
              <w:rPr>
                <w:rFonts w:eastAsia="Calibri"/>
                <w:b/>
              </w:rPr>
              <w:t>Metric</w:t>
            </w:r>
          </w:p>
        </w:tc>
        <w:tc>
          <w:tcPr>
            <w:tcW w:w="1331" w:type="dxa"/>
          </w:tcPr>
          <w:p w14:paraId="0F3FF5D8"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rPr>
                <w:rFonts w:eastAsia="Calibri"/>
              </w:rPr>
            </w:pPr>
            <w:r w:rsidRPr="004A34E0">
              <w:rPr>
                <w:rFonts w:eastAsia="Calibri"/>
                <w:b/>
              </w:rPr>
              <w:t>Household</w:t>
            </w:r>
          </w:p>
        </w:tc>
        <w:tc>
          <w:tcPr>
            <w:tcW w:w="1407" w:type="dxa"/>
          </w:tcPr>
          <w:p w14:paraId="23C71352"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rPr>
                <w:rFonts w:eastAsia="Calibri"/>
              </w:rPr>
            </w:pPr>
            <w:r w:rsidRPr="004A34E0">
              <w:rPr>
                <w:rFonts w:eastAsia="Calibri"/>
                <w:b/>
              </w:rPr>
              <w:t>Government</w:t>
            </w:r>
          </w:p>
        </w:tc>
        <w:tc>
          <w:tcPr>
            <w:tcW w:w="1061" w:type="dxa"/>
          </w:tcPr>
          <w:p w14:paraId="273CFEF1"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rPr>
                <w:rFonts w:eastAsia="Calibri"/>
              </w:rPr>
            </w:pPr>
            <w:r w:rsidRPr="004A34E0">
              <w:rPr>
                <w:rFonts w:eastAsia="Calibri"/>
                <w:b/>
              </w:rPr>
              <w:t>Industry</w:t>
            </w:r>
          </w:p>
        </w:tc>
        <w:tc>
          <w:tcPr>
            <w:tcW w:w="2440" w:type="dxa"/>
            <w:gridSpan w:val="2"/>
          </w:tcPr>
          <w:p w14:paraId="6A0D2855" w14:textId="570F3A35"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rPr>
                <w:rFonts w:eastAsia="Calibri"/>
                <w:b/>
              </w:rPr>
            </w:pPr>
            <w:r w:rsidRPr="004A34E0">
              <w:rPr>
                <w:rFonts w:eastAsia="Calibri"/>
                <w:b/>
              </w:rPr>
              <w:t>Ecosystem</w:t>
            </w:r>
            <w:r w:rsidR="0012010E">
              <w:rPr>
                <w:rFonts w:eastAsia="Calibri"/>
                <w:b/>
              </w:rPr>
              <w:t xml:space="preserve"> </w:t>
            </w:r>
            <w:r w:rsidR="0012010E" w:rsidRPr="0012010E">
              <w:rPr>
                <w:rFonts w:eastAsia="Calibri"/>
                <w:color w:val="FFFFFF" w:themeColor="background1"/>
              </w:rPr>
              <w:t>Forests</w:t>
            </w:r>
          </w:p>
        </w:tc>
      </w:tr>
      <w:tr w:rsidR="007904E8" w:rsidRPr="004A34E0" w14:paraId="36F341F2" w14:textId="77777777" w:rsidTr="0012010E">
        <w:tc>
          <w:tcPr>
            <w:cnfStyle w:val="001000000000" w:firstRow="0" w:lastRow="0" w:firstColumn="1" w:lastColumn="0" w:oddVBand="0" w:evenVBand="0" w:oddHBand="0" w:evenHBand="0" w:firstRowFirstColumn="0" w:firstRowLastColumn="0" w:lastRowFirstColumn="0" w:lastRowLastColumn="0"/>
            <w:tcW w:w="1192" w:type="dxa"/>
            <w:tcBorders>
              <w:top w:val="nil"/>
            </w:tcBorders>
            <w:shd w:val="clear" w:color="auto" w:fill="004C97" w:themeFill="accent1"/>
          </w:tcPr>
          <w:p w14:paraId="5EC326F6" w14:textId="77777777" w:rsidR="007904E8" w:rsidRPr="0012010E" w:rsidRDefault="007904E8" w:rsidP="00666947">
            <w:pPr>
              <w:pStyle w:val="TableTextLeft"/>
              <w:rPr>
                <w:rFonts w:eastAsia="Calibri"/>
                <w:color w:val="FFFFFF" w:themeColor="background1"/>
              </w:rPr>
            </w:pPr>
          </w:p>
        </w:tc>
        <w:tc>
          <w:tcPr>
            <w:tcW w:w="841" w:type="dxa"/>
            <w:tcBorders>
              <w:top w:val="nil"/>
            </w:tcBorders>
            <w:shd w:val="clear" w:color="auto" w:fill="004C97" w:themeFill="accent1"/>
          </w:tcPr>
          <w:p w14:paraId="7FBA946A" w14:textId="77777777" w:rsidR="007904E8" w:rsidRPr="0012010E"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p>
        </w:tc>
        <w:tc>
          <w:tcPr>
            <w:tcW w:w="1367" w:type="dxa"/>
            <w:tcBorders>
              <w:top w:val="nil"/>
            </w:tcBorders>
            <w:shd w:val="clear" w:color="auto" w:fill="004C97" w:themeFill="accent1"/>
          </w:tcPr>
          <w:p w14:paraId="33DC99AC" w14:textId="77777777" w:rsidR="007904E8" w:rsidRPr="0012010E"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p>
        </w:tc>
        <w:tc>
          <w:tcPr>
            <w:tcW w:w="1331" w:type="dxa"/>
            <w:tcBorders>
              <w:top w:val="nil"/>
            </w:tcBorders>
            <w:shd w:val="clear" w:color="auto" w:fill="004C97" w:themeFill="accent1"/>
          </w:tcPr>
          <w:p w14:paraId="31003C5E" w14:textId="77777777" w:rsidR="007904E8" w:rsidRPr="0012010E"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p>
        </w:tc>
        <w:tc>
          <w:tcPr>
            <w:tcW w:w="1407" w:type="dxa"/>
            <w:tcBorders>
              <w:top w:val="nil"/>
            </w:tcBorders>
            <w:shd w:val="clear" w:color="auto" w:fill="004C97" w:themeFill="accent1"/>
          </w:tcPr>
          <w:p w14:paraId="7118B6AA" w14:textId="77777777" w:rsidR="007904E8" w:rsidRPr="0012010E"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p>
        </w:tc>
        <w:tc>
          <w:tcPr>
            <w:tcW w:w="1061" w:type="dxa"/>
            <w:tcBorders>
              <w:top w:val="nil"/>
            </w:tcBorders>
            <w:shd w:val="clear" w:color="auto" w:fill="004C97" w:themeFill="accent1"/>
          </w:tcPr>
          <w:p w14:paraId="5C2493C3" w14:textId="77777777" w:rsidR="007904E8" w:rsidRPr="0012010E"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rPr>
            </w:pPr>
          </w:p>
        </w:tc>
        <w:tc>
          <w:tcPr>
            <w:tcW w:w="1234" w:type="dxa"/>
            <w:tcBorders>
              <w:top w:val="nil"/>
            </w:tcBorders>
            <w:shd w:val="clear" w:color="auto" w:fill="004C97" w:themeFill="accent1"/>
          </w:tcPr>
          <w:p w14:paraId="0245915C" w14:textId="77777777" w:rsidR="007904E8" w:rsidRPr="0012010E"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i/>
                <w:color w:val="FFFFFF" w:themeColor="background1"/>
                <w:vertAlign w:val="superscript"/>
              </w:rPr>
            </w:pPr>
            <w:r w:rsidRPr="0012010E">
              <w:rPr>
                <w:rFonts w:eastAsia="Calibri"/>
                <w:i/>
                <w:color w:val="FFFFFF" w:themeColor="background1"/>
              </w:rPr>
              <w:t>Crown</w:t>
            </w:r>
            <w:r w:rsidRPr="0012010E">
              <w:rPr>
                <w:rFonts w:eastAsia="Calibri"/>
                <w:i/>
                <w:color w:val="FFFFFF" w:themeColor="background1"/>
                <w:vertAlign w:val="superscript"/>
              </w:rPr>
              <w:t xml:space="preserve"> </w:t>
            </w:r>
          </w:p>
        </w:tc>
        <w:tc>
          <w:tcPr>
            <w:tcW w:w="1206" w:type="dxa"/>
            <w:tcBorders>
              <w:top w:val="nil"/>
            </w:tcBorders>
            <w:shd w:val="clear" w:color="auto" w:fill="004C97" w:themeFill="accent1"/>
          </w:tcPr>
          <w:p w14:paraId="41E63104" w14:textId="77777777" w:rsidR="007904E8" w:rsidRPr="0012010E"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i/>
                <w:color w:val="FFFFFF" w:themeColor="background1"/>
              </w:rPr>
            </w:pPr>
            <w:r w:rsidRPr="0012010E">
              <w:rPr>
                <w:rFonts w:eastAsia="Calibri"/>
                <w:i/>
                <w:color w:val="FFFFFF" w:themeColor="background1"/>
              </w:rPr>
              <w:t>Non-Crown</w:t>
            </w:r>
          </w:p>
        </w:tc>
      </w:tr>
      <w:tr w:rsidR="007904E8" w:rsidRPr="004A34E0" w14:paraId="3ADC81F7" w14:textId="77777777" w:rsidTr="0012010E">
        <w:tc>
          <w:tcPr>
            <w:cnfStyle w:val="001000000000" w:firstRow="0" w:lastRow="0" w:firstColumn="1" w:lastColumn="0" w:oddVBand="0" w:evenVBand="0" w:oddHBand="0" w:evenHBand="0" w:firstRowFirstColumn="0" w:firstRowLastColumn="0" w:lastRowFirstColumn="0" w:lastRowLastColumn="0"/>
            <w:tcW w:w="1192" w:type="dxa"/>
            <w:vMerge w:val="restart"/>
          </w:tcPr>
          <w:p w14:paraId="2D35A314" w14:textId="77777777" w:rsidR="007904E8" w:rsidRPr="004A34E0" w:rsidRDefault="007904E8" w:rsidP="00666947">
            <w:pPr>
              <w:pStyle w:val="TableTextLeft"/>
              <w:rPr>
                <w:rFonts w:eastAsia="Calibri"/>
              </w:rPr>
            </w:pPr>
            <w:r w:rsidRPr="004A34E0">
              <w:rPr>
                <w:rFonts w:eastAsia="Calibri"/>
              </w:rPr>
              <w:t>Biomass for timber</w:t>
            </w:r>
          </w:p>
        </w:tc>
        <w:tc>
          <w:tcPr>
            <w:tcW w:w="841" w:type="dxa"/>
          </w:tcPr>
          <w:p w14:paraId="7DBDF8A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Supply</w:t>
            </w:r>
          </w:p>
        </w:tc>
        <w:tc>
          <w:tcPr>
            <w:tcW w:w="1367" w:type="dxa"/>
          </w:tcPr>
          <w:p w14:paraId="7BF8F5F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vertAlign w:val="superscript"/>
              </w:rPr>
            </w:pPr>
            <w:r w:rsidRPr="004A34E0">
              <w:rPr>
                <w:rFonts w:eastAsia="Calibri"/>
              </w:rPr>
              <w:t>m</w:t>
            </w:r>
            <w:r w:rsidRPr="004A34E0">
              <w:rPr>
                <w:rFonts w:eastAsia="Calibri"/>
                <w:vertAlign w:val="superscript"/>
              </w:rPr>
              <w:t>3</w:t>
            </w:r>
            <w:r w:rsidRPr="004A34E0">
              <w:rPr>
                <w:rFonts w:eastAsia="Calibri"/>
              </w:rPr>
              <w:t xml:space="preserve"> / yr</w:t>
            </w:r>
          </w:p>
        </w:tc>
        <w:tc>
          <w:tcPr>
            <w:tcW w:w="1331" w:type="dxa"/>
          </w:tcPr>
          <w:p w14:paraId="1900A96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1407" w:type="dxa"/>
          </w:tcPr>
          <w:p w14:paraId="496E749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1061" w:type="dxa"/>
          </w:tcPr>
          <w:p w14:paraId="2D7C490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1234" w:type="dxa"/>
          </w:tcPr>
          <w:p w14:paraId="14099E6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250</w:t>
            </w:r>
          </w:p>
        </w:tc>
        <w:tc>
          <w:tcPr>
            <w:tcW w:w="1206" w:type="dxa"/>
          </w:tcPr>
          <w:p w14:paraId="500DC21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33,000</w:t>
            </w:r>
          </w:p>
        </w:tc>
      </w:tr>
      <w:tr w:rsidR="007904E8" w:rsidRPr="004A34E0" w14:paraId="3A616A78" w14:textId="77777777" w:rsidTr="0012010E">
        <w:tc>
          <w:tcPr>
            <w:cnfStyle w:val="001000000000" w:firstRow="0" w:lastRow="0" w:firstColumn="1" w:lastColumn="0" w:oddVBand="0" w:evenVBand="0" w:oddHBand="0" w:evenHBand="0" w:firstRowFirstColumn="0" w:firstRowLastColumn="0" w:lastRowFirstColumn="0" w:lastRowLastColumn="0"/>
            <w:tcW w:w="1192" w:type="dxa"/>
            <w:vMerge/>
          </w:tcPr>
          <w:p w14:paraId="3872B9BF" w14:textId="77777777" w:rsidR="007904E8" w:rsidRPr="004A34E0" w:rsidRDefault="007904E8" w:rsidP="00666947">
            <w:pPr>
              <w:pStyle w:val="TableTextLeft"/>
              <w:rPr>
                <w:rFonts w:eastAsia="Calibri"/>
              </w:rPr>
            </w:pPr>
          </w:p>
        </w:tc>
        <w:tc>
          <w:tcPr>
            <w:tcW w:w="841" w:type="dxa"/>
          </w:tcPr>
          <w:p w14:paraId="244CA62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Use</w:t>
            </w:r>
          </w:p>
        </w:tc>
        <w:tc>
          <w:tcPr>
            <w:tcW w:w="1367" w:type="dxa"/>
          </w:tcPr>
          <w:p w14:paraId="2B8E46B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m</w:t>
            </w:r>
            <w:r w:rsidRPr="004A34E0">
              <w:rPr>
                <w:rFonts w:eastAsia="Calibri"/>
                <w:vertAlign w:val="superscript"/>
              </w:rPr>
              <w:t>3</w:t>
            </w:r>
            <w:r w:rsidRPr="004A34E0">
              <w:rPr>
                <w:rFonts w:eastAsia="Calibri"/>
              </w:rPr>
              <w:t xml:space="preserve"> / yr</w:t>
            </w:r>
          </w:p>
        </w:tc>
        <w:tc>
          <w:tcPr>
            <w:tcW w:w="1331" w:type="dxa"/>
          </w:tcPr>
          <w:p w14:paraId="0C3B7E3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1407" w:type="dxa"/>
          </w:tcPr>
          <w:p w14:paraId="61661CD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1061" w:type="dxa"/>
          </w:tcPr>
          <w:p w14:paraId="256D063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33,250</w:t>
            </w:r>
          </w:p>
        </w:tc>
        <w:tc>
          <w:tcPr>
            <w:tcW w:w="1234" w:type="dxa"/>
          </w:tcPr>
          <w:p w14:paraId="62939EC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1206" w:type="dxa"/>
          </w:tcPr>
          <w:p w14:paraId="54401B3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r>
      <w:tr w:rsidR="007904E8" w:rsidRPr="004A34E0" w14:paraId="1E8C1883" w14:textId="77777777" w:rsidTr="0012010E">
        <w:tc>
          <w:tcPr>
            <w:cnfStyle w:val="001000000000" w:firstRow="0" w:lastRow="0" w:firstColumn="1" w:lastColumn="0" w:oddVBand="0" w:evenVBand="0" w:oddHBand="0" w:evenHBand="0" w:firstRowFirstColumn="0" w:firstRowLastColumn="0" w:lastRowFirstColumn="0" w:lastRowLastColumn="0"/>
            <w:tcW w:w="1192" w:type="dxa"/>
            <w:vMerge w:val="restart"/>
          </w:tcPr>
          <w:p w14:paraId="463E54BC" w14:textId="77777777" w:rsidR="007904E8" w:rsidRPr="004A34E0" w:rsidRDefault="007904E8" w:rsidP="00666947">
            <w:pPr>
              <w:pStyle w:val="TableTextLeft"/>
              <w:rPr>
                <w:rFonts w:eastAsia="Calibri"/>
              </w:rPr>
            </w:pPr>
            <w:r w:rsidRPr="004A34E0">
              <w:rPr>
                <w:rFonts w:eastAsia="Calibri"/>
              </w:rPr>
              <w:t>Biomass for timber</w:t>
            </w:r>
          </w:p>
        </w:tc>
        <w:tc>
          <w:tcPr>
            <w:tcW w:w="841" w:type="dxa"/>
          </w:tcPr>
          <w:p w14:paraId="604593A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Supply</w:t>
            </w:r>
          </w:p>
        </w:tc>
        <w:tc>
          <w:tcPr>
            <w:tcW w:w="1367" w:type="dxa"/>
          </w:tcPr>
          <w:p w14:paraId="683E41F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 AUD (2021) / yr</w:t>
            </w:r>
          </w:p>
        </w:tc>
        <w:tc>
          <w:tcPr>
            <w:tcW w:w="1331" w:type="dxa"/>
          </w:tcPr>
          <w:p w14:paraId="3775617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1407" w:type="dxa"/>
          </w:tcPr>
          <w:p w14:paraId="2D291009"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1061" w:type="dxa"/>
          </w:tcPr>
          <w:p w14:paraId="1B59022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1234" w:type="dxa"/>
          </w:tcPr>
          <w:p w14:paraId="40B3BC86"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$2,000</w:t>
            </w:r>
          </w:p>
        </w:tc>
        <w:tc>
          <w:tcPr>
            <w:tcW w:w="1206" w:type="dxa"/>
          </w:tcPr>
          <w:p w14:paraId="4A54494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$262,000</w:t>
            </w:r>
          </w:p>
        </w:tc>
      </w:tr>
      <w:tr w:rsidR="007904E8" w:rsidRPr="004A34E0" w14:paraId="444BC8C0" w14:textId="77777777" w:rsidTr="0012010E">
        <w:tc>
          <w:tcPr>
            <w:cnfStyle w:val="001000000000" w:firstRow="0" w:lastRow="0" w:firstColumn="1" w:lastColumn="0" w:oddVBand="0" w:evenVBand="0" w:oddHBand="0" w:evenHBand="0" w:firstRowFirstColumn="0" w:firstRowLastColumn="0" w:lastRowFirstColumn="0" w:lastRowLastColumn="0"/>
            <w:tcW w:w="1192" w:type="dxa"/>
            <w:vMerge/>
          </w:tcPr>
          <w:p w14:paraId="7F952CC2" w14:textId="77777777" w:rsidR="007904E8" w:rsidRPr="004A34E0" w:rsidRDefault="007904E8" w:rsidP="00666947">
            <w:pPr>
              <w:pStyle w:val="TableTextLeft"/>
              <w:rPr>
                <w:rFonts w:eastAsia="Calibri"/>
              </w:rPr>
            </w:pPr>
          </w:p>
        </w:tc>
        <w:tc>
          <w:tcPr>
            <w:tcW w:w="841" w:type="dxa"/>
          </w:tcPr>
          <w:p w14:paraId="18E3002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Use</w:t>
            </w:r>
          </w:p>
        </w:tc>
        <w:tc>
          <w:tcPr>
            <w:tcW w:w="1367" w:type="dxa"/>
          </w:tcPr>
          <w:p w14:paraId="5789540C"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 AUD (2021) / yr</w:t>
            </w:r>
          </w:p>
        </w:tc>
        <w:tc>
          <w:tcPr>
            <w:tcW w:w="1331" w:type="dxa"/>
          </w:tcPr>
          <w:p w14:paraId="4A6A2A93"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1407" w:type="dxa"/>
          </w:tcPr>
          <w:p w14:paraId="65F0178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1061" w:type="dxa"/>
          </w:tcPr>
          <w:p w14:paraId="46C4675F"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4A34E0">
              <w:rPr>
                <w:rFonts w:eastAsia="Calibri"/>
              </w:rPr>
              <w:t>$265,000</w:t>
            </w:r>
          </w:p>
        </w:tc>
        <w:tc>
          <w:tcPr>
            <w:tcW w:w="1234" w:type="dxa"/>
          </w:tcPr>
          <w:p w14:paraId="77BE779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1206" w:type="dxa"/>
          </w:tcPr>
          <w:p w14:paraId="60FF7C2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r>
    </w:tbl>
    <w:p w14:paraId="7379C134" w14:textId="77777777" w:rsidR="007904E8" w:rsidRPr="004A34E0" w:rsidRDefault="007904E8" w:rsidP="007904E8">
      <w:pPr>
        <w:pStyle w:val="Heading3"/>
      </w:pPr>
      <w:bookmarkStart w:id="253" w:name="_Toc98854683"/>
      <w:bookmarkStart w:id="254" w:name="_Toc163547064"/>
      <w:r w:rsidRPr="004A34E0">
        <w:t>Aesthetics</w:t>
      </w:r>
      <w:bookmarkEnd w:id="253"/>
      <w:bookmarkEnd w:id="254"/>
    </w:p>
    <w:p w14:paraId="20F5D37D" w14:textId="77777777" w:rsidR="007904E8" w:rsidRPr="004A34E0" w:rsidRDefault="007904E8" w:rsidP="007904E8">
      <w:pPr>
        <w:pStyle w:val="BodyText"/>
      </w:pPr>
      <w:r w:rsidRPr="004A34E0">
        <w:t xml:space="preserve">Figure 23 (in condition account results) shows the </w:t>
      </w:r>
      <w:proofErr w:type="spellStart"/>
      <w:r w:rsidRPr="004A34E0">
        <w:t>viewscape</w:t>
      </w:r>
      <w:proofErr w:type="spellEnd"/>
      <w:r w:rsidRPr="004A34E0">
        <w:t xml:space="preserve"> from the road of the Great Ocean Road up to the boundary of the GORCAP EEA. Table 75 sets out the type of area (undisturbed or disturbed by human induced land use change) that is visible from the road.</w:t>
      </w:r>
    </w:p>
    <w:p w14:paraId="11BF35F5" w14:textId="77777777" w:rsidR="007904E8" w:rsidRPr="004A34E0" w:rsidRDefault="007904E8" w:rsidP="0012010E">
      <w:pPr>
        <w:pStyle w:val="Caption"/>
      </w:pPr>
      <w:r w:rsidRPr="004A34E0">
        <w:t>Table 75. Type of area that can be viewed from the road of the of the Great Ocean Road up to the boundary of the GORCAP EEA</w:t>
      </w:r>
    </w:p>
    <w:tbl>
      <w:tblPr>
        <w:tblStyle w:val="TableGrid"/>
        <w:tblW w:w="0" w:type="auto"/>
        <w:tblLook w:val="04A0" w:firstRow="1" w:lastRow="0" w:firstColumn="1" w:lastColumn="0" w:noHBand="0" w:noVBand="1"/>
      </w:tblPr>
      <w:tblGrid>
        <w:gridCol w:w="2009"/>
        <w:gridCol w:w="3814"/>
        <w:gridCol w:w="1655"/>
        <w:gridCol w:w="2161"/>
      </w:tblGrid>
      <w:tr w:rsidR="007904E8" w:rsidRPr="004A34E0" w14:paraId="2477979E" w14:textId="77777777" w:rsidTr="0012010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9" w:type="dxa"/>
          </w:tcPr>
          <w:p w14:paraId="791B5C4E" w14:textId="77777777" w:rsidR="007904E8" w:rsidRPr="004A34E0" w:rsidRDefault="007904E8" w:rsidP="007904E8">
            <w:pPr>
              <w:pStyle w:val="TableTextLeft"/>
              <w:keepNext w:val="0"/>
            </w:pPr>
            <w:r w:rsidRPr="004A34E0">
              <w:rPr>
                <w:b/>
              </w:rPr>
              <w:t>Area type</w:t>
            </w:r>
          </w:p>
        </w:tc>
        <w:tc>
          <w:tcPr>
            <w:tcW w:w="3814" w:type="dxa"/>
          </w:tcPr>
          <w:p w14:paraId="29B117E5"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pPr>
          </w:p>
        </w:tc>
        <w:tc>
          <w:tcPr>
            <w:tcW w:w="1655" w:type="dxa"/>
          </w:tcPr>
          <w:p w14:paraId="09EE73E7"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pPr>
            <w:r w:rsidRPr="004A34E0">
              <w:rPr>
                <w:b/>
              </w:rPr>
              <w:t xml:space="preserve">Area (hectares) </w:t>
            </w:r>
          </w:p>
        </w:tc>
        <w:tc>
          <w:tcPr>
            <w:tcW w:w="2161" w:type="dxa"/>
          </w:tcPr>
          <w:p w14:paraId="1BE111E1" w14:textId="77777777" w:rsidR="007904E8" w:rsidRPr="004A34E0" w:rsidRDefault="007904E8" w:rsidP="007904E8">
            <w:pPr>
              <w:pStyle w:val="TableTextLeft"/>
              <w:keepNext w:val="0"/>
              <w:cnfStyle w:val="100000000000" w:firstRow="1" w:lastRow="0" w:firstColumn="0" w:lastColumn="0" w:oddVBand="0" w:evenVBand="0" w:oddHBand="0" w:evenHBand="0" w:firstRowFirstColumn="0" w:firstRowLastColumn="0" w:lastRowFirstColumn="0" w:lastRowLastColumn="0"/>
              <w:rPr>
                <w:b/>
              </w:rPr>
            </w:pPr>
            <w:r w:rsidRPr="004A34E0">
              <w:rPr>
                <w:b/>
              </w:rPr>
              <w:t>Area (percentage)</w:t>
            </w:r>
          </w:p>
        </w:tc>
      </w:tr>
      <w:tr w:rsidR="007904E8" w:rsidRPr="004A34E0" w14:paraId="1D0C2CAC" w14:textId="77777777" w:rsidTr="0012010E">
        <w:tc>
          <w:tcPr>
            <w:cnfStyle w:val="001000000000" w:firstRow="0" w:lastRow="0" w:firstColumn="1" w:lastColumn="0" w:oddVBand="0" w:evenVBand="0" w:oddHBand="0" w:evenHBand="0" w:firstRowFirstColumn="0" w:firstRowLastColumn="0" w:lastRowFirstColumn="0" w:lastRowLastColumn="0"/>
            <w:tcW w:w="2009" w:type="dxa"/>
            <w:vMerge w:val="restart"/>
          </w:tcPr>
          <w:p w14:paraId="1B0048B1" w14:textId="77777777" w:rsidR="007904E8" w:rsidRPr="004A34E0" w:rsidRDefault="007904E8" w:rsidP="00666947">
            <w:pPr>
              <w:pStyle w:val="TableTextLeft"/>
            </w:pPr>
            <w:r w:rsidRPr="004A34E0">
              <w:t xml:space="preserve">Undisturbed </w:t>
            </w:r>
          </w:p>
        </w:tc>
        <w:tc>
          <w:tcPr>
            <w:tcW w:w="3814" w:type="dxa"/>
          </w:tcPr>
          <w:p w14:paraId="74F15BE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Terrestrial</w:t>
            </w:r>
          </w:p>
        </w:tc>
        <w:tc>
          <w:tcPr>
            <w:tcW w:w="1655" w:type="dxa"/>
          </w:tcPr>
          <w:p w14:paraId="6A60AB0D"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37,211</w:t>
            </w:r>
          </w:p>
        </w:tc>
        <w:tc>
          <w:tcPr>
            <w:tcW w:w="2161" w:type="dxa"/>
          </w:tcPr>
          <w:p w14:paraId="198EF9A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19%</w:t>
            </w:r>
          </w:p>
        </w:tc>
      </w:tr>
      <w:tr w:rsidR="007904E8" w:rsidRPr="004A34E0" w14:paraId="4F3A2658" w14:textId="77777777" w:rsidTr="0012010E">
        <w:tc>
          <w:tcPr>
            <w:cnfStyle w:val="001000000000" w:firstRow="0" w:lastRow="0" w:firstColumn="1" w:lastColumn="0" w:oddVBand="0" w:evenVBand="0" w:oddHBand="0" w:evenHBand="0" w:firstRowFirstColumn="0" w:firstRowLastColumn="0" w:lastRowFirstColumn="0" w:lastRowLastColumn="0"/>
            <w:tcW w:w="2009" w:type="dxa"/>
            <w:vMerge/>
          </w:tcPr>
          <w:p w14:paraId="771A9461" w14:textId="77777777" w:rsidR="007904E8" w:rsidRPr="004A34E0" w:rsidRDefault="007904E8" w:rsidP="00666947">
            <w:pPr>
              <w:pStyle w:val="TableTextLeft"/>
            </w:pPr>
          </w:p>
        </w:tc>
        <w:tc>
          <w:tcPr>
            <w:tcW w:w="3814" w:type="dxa"/>
          </w:tcPr>
          <w:p w14:paraId="51BB3B88"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Freshwater / marine / coastal margin</w:t>
            </w:r>
          </w:p>
        </w:tc>
        <w:tc>
          <w:tcPr>
            <w:tcW w:w="1655" w:type="dxa"/>
          </w:tcPr>
          <w:p w14:paraId="16E7B8A2"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123,201</w:t>
            </w:r>
          </w:p>
        </w:tc>
        <w:tc>
          <w:tcPr>
            <w:tcW w:w="2161" w:type="dxa"/>
          </w:tcPr>
          <w:p w14:paraId="52A2EBB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65%</w:t>
            </w:r>
          </w:p>
        </w:tc>
      </w:tr>
      <w:tr w:rsidR="007904E8" w:rsidRPr="004A34E0" w14:paraId="3ABC46CF" w14:textId="77777777" w:rsidTr="0012010E">
        <w:tc>
          <w:tcPr>
            <w:cnfStyle w:val="001000000000" w:firstRow="0" w:lastRow="0" w:firstColumn="1" w:lastColumn="0" w:oddVBand="0" w:evenVBand="0" w:oddHBand="0" w:evenHBand="0" w:firstRowFirstColumn="0" w:firstRowLastColumn="0" w:lastRowFirstColumn="0" w:lastRowLastColumn="0"/>
            <w:tcW w:w="2009" w:type="dxa"/>
            <w:vMerge w:val="restart"/>
          </w:tcPr>
          <w:p w14:paraId="04DDEDC4" w14:textId="77777777" w:rsidR="007904E8" w:rsidRPr="004A34E0" w:rsidRDefault="007904E8" w:rsidP="00666947">
            <w:pPr>
              <w:pStyle w:val="TableTextLeft"/>
            </w:pPr>
            <w:r w:rsidRPr="004A34E0">
              <w:t>Disturbed</w:t>
            </w:r>
          </w:p>
        </w:tc>
        <w:tc>
          <w:tcPr>
            <w:tcW w:w="3814" w:type="dxa"/>
          </w:tcPr>
          <w:p w14:paraId="50F72BFA"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Urban</w:t>
            </w:r>
          </w:p>
        </w:tc>
        <w:tc>
          <w:tcPr>
            <w:tcW w:w="1655" w:type="dxa"/>
          </w:tcPr>
          <w:p w14:paraId="355F035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2,192</w:t>
            </w:r>
          </w:p>
        </w:tc>
        <w:tc>
          <w:tcPr>
            <w:tcW w:w="2161" w:type="dxa"/>
          </w:tcPr>
          <w:p w14:paraId="1910F60E"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w:t>
            </w:r>
          </w:p>
        </w:tc>
      </w:tr>
      <w:tr w:rsidR="007904E8" w:rsidRPr="004A34E0" w14:paraId="0949A40D" w14:textId="77777777" w:rsidTr="0012010E">
        <w:tc>
          <w:tcPr>
            <w:cnfStyle w:val="001000000000" w:firstRow="0" w:lastRow="0" w:firstColumn="1" w:lastColumn="0" w:oddVBand="0" w:evenVBand="0" w:oddHBand="0" w:evenHBand="0" w:firstRowFirstColumn="0" w:firstRowLastColumn="0" w:lastRowFirstColumn="0" w:lastRowLastColumn="0"/>
            <w:tcW w:w="2009" w:type="dxa"/>
            <w:vMerge/>
          </w:tcPr>
          <w:p w14:paraId="63F5573A" w14:textId="77777777" w:rsidR="007904E8" w:rsidRPr="004A34E0" w:rsidRDefault="007904E8" w:rsidP="00666947">
            <w:pPr>
              <w:pStyle w:val="TableTextLeft"/>
            </w:pPr>
          </w:p>
        </w:tc>
        <w:tc>
          <w:tcPr>
            <w:tcW w:w="3814" w:type="dxa"/>
          </w:tcPr>
          <w:p w14:paraId="562038B7"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Agriculture / forestry</w:t>
            </w:r>
          </w:p>
        </w:tc>
        <w:tc>
          <w:tcPr>
            <w:tcW w:w="1655" w:type="dxa"/>
          </w:tcPr>
          <w:p w14:paraId="2D2CACD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28,185</w:t>
            </w:r>
          </w:p>
        </w:tc>
        <w:tc>
          <w:tcPr>
            <w:tcW w:w="2161" w:type="dxa"/>
          </w:tcPr>
          <w:p w14:paraId="25F02860"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t>15%</w:t>
            </w:r>
          </w:p>
        </w:tc>
      </w:tr>
      <w:tr w:rsidR="007904E8" w:rsidRPr="004A34E0" w14:paraId="3424BC38" w14:textId="77777777" w:rsidTr="0012010E">
        <w:tc>
          <w:tcPr>
            <w:cnfStyle w:val="001000000000" w:firstRow="0" w:lastRow="0" w:firstColumn="1" w:lastColumn="0" w:oddVBand="0" w:evenVBand="0" w:oddHBand="0" w:evenHBand="0" w:firstRowFirstColumn="0" w:firstRowLastColumn="0" w:lastRowFirstColumn="0" w:lastRowLastColumn="0"/>
            <w:tcW w:w="5823" w:type="dxa"/>
            <w:gridSpan w:val="2"/>
          </w:tcPr>
          <w:p w14:paraId="69272A89" w14:textId="77777777" w:rsidR="007904E8" w:rsidRPr="004A34E0" w:rsidRDefault="007904E8" w:rsidP="00666947">
            <w:pPr>
              <w:pStyle w:val="TableTextLeft"/>
            </w:pPr>
            <w:r w:rsidRPr="004A34E0">
              <w:rPr>
                <w:b/>
              </w:rPr>
              <w:t>Total</w:t>
            </w:r>
          </w:p>
        </w:tc>
        <w:tc>
          <w:tcPr>
            <w:tcW w:w="1655" w:type="dxa"/>
          </w:tcPr>
          <w:p w14:paraId="1E97C33B"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pPr>
            <w:r w:rsidRPr="004A34E0">
              <w:rPr>
                <w:b/>
              </w:rPr>
              <w:t>190,789</w:t>
            </w:r>
          </w:p>
        </w:tc>
        <w:tc>
          <w:tcPr>
            <w:tcW w:w="2161" w:type="dxa"/>
          </w:tcPr>
          <w:p w14:paraId="3F2972C5" w14:textId="77777777" w:rsidR="007904E8" w:rsidRPr="004A34E0" w:rsidRDefault="007904E8" w:rsidP="00666947">
            <w:pPr>
              <w:pStyle w:val="TableTextLeft"/>
              <w:cnfStyle w:val="000000000000" w:firstRow="0" w:lastRow="0" w:firstColumn="0" w:lastColumn="0" w:oddVBand="0" w:evenVBand="0" w:oddHBand="0" w:evenHBand="0" w:firstRowFirstColumn="0" w:firstRowLastColumn="0" w:lastRowFirstColumn="0" w:lastRowLastColumn="0"/>
              <w:rPr>
                <w:b/>
              </w:rPr>
            </w:pPr>
            <w:r w:rsidRPr="004A34E0">
              <w:rPr>
                <w:b/>
              </w:rPr>
              <w:t>100%</w:t>
            </w:r>
          </w:p>
        </w:tc>
      </w:tr>
    </w:tbl>
    <w:p w14:paraId="6B97AAC5" w14:textId="77777777" w:rsidR="007904E8" w:rsidRPr="004A34E0" w:rsidRDefault="007904E8" w:rsidP="007904E8">
      <w:pPr>
        <w:pStyle w:val="Heading3"/>
      </w:pPr>
      <w:bookmarkStart w:id="255" w:name="_Toc98854684"/>
      <w:bookmarkStart w:id="256" w:name="_Toc163547065"/>
      <w:r w:rsidRPr="004A34E0">
        <w:t>Cultural heritage values</w:t>
      </w:r>
      <w:bookmarkEnd w:id="255"/>
      <w:bookmarkEnd w:id="256"/>
      <w:r w:rsidRPr="004A34E0">
        <w:t xml:space="preserve"> </w:t>
      </w:r>
    </w:p>
    <w:p w14:paraId="347F46F2" w14:textId="77777777" w:rsidR="007904E8" w:rsidRPr="004A34E0" w:rsidRDefault="007904E8" w:rsidP="007904E8">
      <w:pPr>
        <w:pStyle w:val="BodyText"/>
      </w:pPr>
      <w:r w:rsidRPr="004A34E0">
        <w:t>Traditional Owners living cultural heritage</w:t>
      </w:r>
    </w:p>
    <w:p w14:paraId="11D1920D" w14:textId="77777777" w:rsidR="007904E8" w:rsidRPr="004A34E0" w:rsidRDefault="007904E8" w:rsidP="007904E8">
      <w:pPr>
        <w:pStyle w:val="BodyText"/>
      </w:pPr>
      <w:r w:rsidRPr="004A34E0">
        <w:t>The complexity of cultural value and meaning of the natural environment to Traditional Owners is difficult to capture in any decision making framework.</w:t>
      </w:r>
    </w:p>
    <w:p w14:paraId="40A2833A" w14:textId="791E8F33" w:rsidR="007904E8" w:rsidRPr="004A34E0" w:rsidRDefault="007904E8" w:rsidP="007904E8">
      <w:pPr>
        <w:pStyle w:val="BodyText"/>
      </w:pPr>
      <w:r w:rsidRPr="004A34E0">
        <w:t xml:space="preserve">Cultural heritage is distinct to each Traditional Owner group and Country. It is not appropriate to assume shared cultural values between different Traditional Owner groups. The translation of Country for the Great Ocean Road Coast and Parks environmental-economic account is demonstrated through the use of a case study for </w:t>
      </w:r>
      <w:proofErr w:type="spellStart"/>
      <w:r w:rsidRPr="004A34E0">
        <w:t>Wadawurrung</w:t>
      </w:r>
      <w:proofErr w:type="spellEnd"/>
      <w:r w:rsidRPr="004A34E0">
        <w:t xml:space="preserve"> Country following discussion with the </w:t>
      </w:r>
      <w:proofErr w:type="spellStart"/>
      <w:r w:rsidRPr="004A34E0">
        <w:t>Wadawurrung</w:t>
      </w:r>
      <w:proofErr w:type="spellEnd"/>
      <w:r w:rsidRPr="004A34E0">
        <w:t xml:space="preserve"> Traditional Owner Corporation, see Box 1.</w:t>
      </w:r>
    </w:p>
    <w:p w14:paraId="35910F67" w14:textId="77777777" w:rsidR="007904E8" w:rsidRPr="004A34E0" w:rsidRDefault="007904E8" w:rsidP="007904E8">
      <w:pPr>
        <w:pStyle w:val="BodyText"/>
      </w:pPr>
      <w:r w:rsidRPr="004A34E0">
        <w:br w:type="page"/>
      </w:r>
    </w:p>
    <w:tbl>
      <w:tblPr>
        <w:tblStyle w:val="LogoPlaceholder2"/>
        <w:tblW w:w="0" w:type="auto"/>
        <w:tblBorders>
          <w:top w:val="single" w:sz="18" w:space="0" w:color="004C97" w:themeColor="accent1"/>
          <w:left w:val="single" w:sz="18" w:space="0" w:color="004C97" w:themeColor="accent1"/>
          <w:bottom w:val="single" w:sz="18" w:space="0" w:color="004C97" w:themeColor="accent1"/>
          <w:right w:val="single" w:sz="18" w:space="0" w:color="004C97" w:themeColor="accent1"/>
        </w:tblBorders>
        <w:shd w:val="clear" w:color="auto" w:fill="E7F7F8" w:themeFill="accent2" w:themeFillTint="33"/>
        <w:tblLook w:val="04A0" w:firstRow="1" w:lastRow="0" w:firstColumn="1" w:lastColumn="0" w:noHBand="0" w:noVBand="1"/>
      </w:tblPr>
      <w:tblGrid>
        <w:gridCol w:w="9593"/>
      </w:tblGrid>
      <w:tr w:rsidR="007904E8" w:rsidRPr="004A34E0" w14:paraId="1C3A1F78" w14:textId="77777777" w:rsidTr="004D3FC0">
        <w:tc>
          <w:tcPr>
            <w:tcW w:w="10185" w:type="dxa"/>
            <w:shd w:val="clear" w:color="auto" w:fill="E7F7F8" w:themeFill="accent2" w:themeFillTint="33"/>
          </w:tcPr>
          <w:p w14:paraId="1908B943" w14:textId="77777777" w:rsidR="007904E8" w:rsidRPr="004D3FC0" w:rsidRDefault="007904E8" w:rsidP="004D3FC0">
            <w:pPr>
              <w:pStyle w:val="TableTextLeftBold"/>
              <w:spacing w:before="120"/>
            </w:pPr>
            <w:r w:rsidRPr="004D3FC0">
              <w:lastRenderedPageBreak/>
              <w:t xml:space="preserve">Box 1. Recognising the value of living cultural heritage to the </w:t>
            </w:r>
            <w:proofErr w:type="spellStart"/>
            <w:r w:rsidRPr="004D3FC0">
              <w:t>Wadawurrung</w:t>
            </w:r>
            <w:proofErr w:type="spellEnd"/>
            <w:r w:rsidRPr="004D3FC0">
              <w:t xml:space="preserve"> Traditional Owner Group in the GORCAP EEA</w:t>
            </w:r>
          </w:p>
          <w:p w14:paraId="7EB806D1" w14:textId="77777777" w:rsidR="007904E8" w:rsidRPr="004D3FC0" w:rsidRDefault="007904E8" w:rsidP="004D3FC0">
            <w:pPr>
              <w:pStyle w:val="TableTextLeft"/>
              <w:spacing w:before="120"/>
            </w:pPr>
            <w:r w:rsidRPr="004D3FC0">
              <w:t xml:space="preserve">The </w:t>
            </w:r>
            <w:proofErr w:type="spellStart"/>
            <w:r w:rsidRPr="004D3FC0">
              <w:t>Wadawurrung</w:t>
            </w:r>
            <w:proofErr w:type="spellEnd"/>
            <w:r w:rsidRPr="004D3FC0">
              <w:t xml:space="preserve"> Traditional Owner Corporation advised that one appropriate approach to capture Traditional Owners living cultural value in an environmental-economic account is to reference their Country Plan. Specifically, by recognising the objectives to protect tangible attributes of the region’s natural environment for their cultural value. </w:t>
            </w:r>
          </w:p>
          <w:p w14:paraId="74EA8B11" w14:textId="77777777" w:rsidR="007904E8" w:rsidRPr="004A34E0" w:rsidRDefault="007904E8" w:rsidP="004D3FC0">
            <w:pPr>
              <w:pStyle w:val="TableTextLeft"/>
              <w:spacing w:before="120"/>
            </w:pPr>
            <w:r w:rsidRPr="004D3FC0">
              <w:t xml:space="preserve">Excerpts from the </w:t>
            </w:r>
            <w:proofErr w:type="spellStart"/>
            <w:r w:rsidRPr="004D3FC0">
              <w:t>Wadawurrung</w:t>
            </w:r>
            <w:proofErr w:type="spellEnd"/>
            <w:r w:rsidRPr="004A34E0">
              <w:t xml:space="preserve"> Traditional Owners Aboriginal Corporation Country Plan are included verbatim in this case study in order to preserve the intended meaning within the Country Plans. The attributes in the Country Plans are not integrated into the existing structure of the accounts (i.e., as entries into the four sub-accounts on ecosystem extent, status, physical flow and monetary value). Instead, links to the environmental-economic accounting framework are highlighted where these exist, see Table 76 which shows:</w:t>
            </w:r>
          </w:p>
          <w:p w14:paraId="64E5F0DA" w14:textId="77777777" w:rsidR="007904E8" w:rsidRPr="004D3FC0" w:rsidRDefault="007904E8" w:rsidP="004D3FC0">
            <w:pPr>
              <w:pStyle w:val="TableTextBullet"/>
              <w:spacing w:before="120"/>
            </w:pPr>
            <w:r w:rsidRPr="004D3FC0">
              <w:t xml:space="preserve">There is the potential to capture most of the indicators in the </w:t>
            </w:r>
            <w:proofErr w:type="spellStart"/>
            <w:r w:rsidRPr="004D3FC0">
              <w:t>Wadawurrung</w:t>
            </w:r>
            <w:proofErr w:type="spellEnd"/>
            <w:r w:rsidRPr="004D3FC0">
              <w:t xml:space="preserve"> Country Plan within the existing structure of the GORCAP EEA, in order to acknowledge the values and goals that this Traditional Owner Group have for their lands; and</w:t>
            </w:r>
          </w:p>
          <w:p w14:paraId="6455C7C4" w14:textId="77777777" w:rsidR="007904E8" w:rsidRPr="004D3FC0" w:rsidRDefault="007904E8" w:rsidP="004D3FC0">
            <w:pPr>
              <w:pStyle w:val="TableTextBullet"/>
              <w:spacing w:before="120"/>
            </w:pPr>
            <w:r w:rsidRPr="004D3FC0">
              <w:t>There are a handful of indicators that are already captured in the GORCAP EEA. These are: water quality, extent of volcanic grasslands, ironbark and heathlands, forest age, numbers of native animals and threatened species.</w:t>
            </w:r>
          </w:p>
          <w:p w14:paraId="5341BE9B" w14:textId="466D29C1" w:rsidR="007904E8" w:rsidRPr="004D3FC0" w:rsidRDefault="007904E8" w:rsidP="004D3FC0">
            <w:pPr>
              <w:pStyle w:val="TableTextLeft"/>
              <w:spacing w:before="120" w:after="120"/>
            </w:pPr>
            <w:r w:rsidRPr="004A34E0">
              <w:t xml:space="preserve">A partial environmental-economic account for </w:t>
            </w:r>
            <w:proofErr w:type="spellStart"/>
            <w:r w:rsidRPr="004A34E0">
              <w:t>Wadawurrung</w:t>
            </w:r>
            <w:proofErr w:type="spellEnd"/>
            <w:r w:rsidRPr="004A34E0">
              <w:t xml:space="preserve"> Country has been developed based on overlaps between Country Plan indicators and GORCAP EEA metrics, see Table 77. </w:t>
            </w:r>
          </w:p>
        </w:tc>
      </w:tr>
    </w:tbl>
    <w:p w14:paraId="0680D4F4" w14:textId="2A95E32C" w:rsidR="004D3FC0" w:rsidRDefault="004D3FC0" w:rsidP="006945D3">
      <w:pPr>
        <w:pStyle w:val="BodyText"/>
      </w:pPr>
    </w:p>
    <w:p w14:paraId="4AAE6167" w14:textId="1EDB92B3" w:rsidR="004D3FC0" w:rsidRDefault="004D3FC0" w:rsidP="006945D3">
      <w:pPr>
        <w:pStyle w:val="BodyText"/>
        <w:sectPr w:rsidR="004D3FC0" w:rsidSect="00E52A9A">
          <w:headerReference w:type="even" r:id="rId243"/>
          <w:headerReference w:type="default" r:id="rId244"/>
          <w:footerReference w:type="even" r:id="rId245"/>
          <w:footerReference w:type="default" r:id="rId246"/>
          <w:headerReference w:type="first" r:id="rId247"/>
          <w:footerReference w:type="first" r:id="rId248"/>
          <w:pgSz w:w="11907" w:h="16840" w:code="9"/>
          <w:pgMar w:top="1134" w:right="1134" w:bottom="1134" w:left="1134" w:header="283" w:footer="283" w:gutter="0"/>
          <w:cols w:space="284"/>
          <w:docGrid w:linePitch="360"/>
        </w:sectPr>
      </w:pPr>
    </w:p>
    <w:p w14:paraId="266C4911" w14:textId="68978E2E" w:rsidR="00B3051D" w:rsidRPr="00BB46CB" w:rsidRDefault="00B3051D" w:rsidP="00B3051D">
      <w:pPr>
        <w:pStyle w:val="Caption"/>
      </w:pPr>
      <w:r w:rsidRPr="00BB46CB">
        <w:lastRenderedPageBreak/>
        <w:t xml:space="preserve">Table 76. </w:t>
      </w:r>
      <w:r>
        <w:tab/>
      </w:r>
      <w:r w:rsidRPr="00BB46CB">
        <w:t xml:space="preserve">Synergies between the </w:t>
      </w:r>
      <w:proofErr w:type="spellStart"/>
      <w:r w:rsidRPr="00BB46CB">
        <w:t>Wadawurrung</w:t>
      </w:r>
      <w:proofErr w:type="spellEnd"/>
      <w:r w:rsidRPr="00BB46CB">
        <w:t xml:space="preserve"> TO Group Country Plan and the environmental-economic account for the Great Ocean Road Coast and Parks</w:t>
      </w:r>
    </w:p>
    <w:tbl>
      <w:tblPr>
        <w:tblStyle w:val="TableGrid"/>
        <w:tblW w:w="5000" w:type="pct"/>
        <w:tblLook w:val="06A0" w:firstRow="1" w:lastRow="0" w:firstColumn="1" w:lastColumn="0" w:noHBand="1" w:noVBand="1"/>
      </w:tblPr>
      <w:tblGrid>
        <w:gridCol w:w="2456"/>
        <w:gridCol w:w="4231"/>
        <w:gridCol w:w="3707"/>
        <w:gridCol w:w="836"/>
        <w:gridCol w:w="1027"/>
        <w:gridCol w:w="971"/>
        <w:gridCol w:w="1344"/>
      </w:tblGrid>
      <w:tr w:rsidR="007606C7" w:rsidRPr="00BB46CB" w14:paraId="0EA8C33A" w14:textId="77777777" w:rsidTr="00B3051D">
        <w:trPr>
          <w:cnfStyle w:val="100000000000" w:firstRow="1" w:lastRow="0" w:firstColumn="0" w:lastColumn="0" w:oddVBand="0" w:evenVBand="0" w:oddHBand="0"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3566" w:type="pct"/>
            <w:gridSpan w:val="3"/>
            <w:tcBorders>
              <w:bottom w:val="single" w:sz="4" w:space="0" w:color="FFFFFF" w:themeColor="background1"/>
            </w:tcBorders>
            <w:hideMark/>
          </w:tcPr>
          <w:p w14:paraId="3C53DED6" w14:textId="77777777" w:rsidR="007606C7" w:rsidRPr="00BB46CB" w:rsidRDefault="007606C7" w:rsidP="00666947">
            <w:pPr>
              <w:pStyle w:val="TableTextLeft"/>
            </w:pPr>
            <w:proofErr w:type="spellStart"/>
            <w:r w:rsidRPr="00BB46CB">
              <w:rPr>
                <w:b/>
              </w:rPr>
              <w:t>Wadawurrung</w:t>
            </w:r>
            <w:proofErr w:type="spellEnd"/>
            <w:r w:rsidRPr="00BB46CB">
              <w:rPr>
                <w:b/>
              </w:rPr>
              <w:t xml:space="preserve"> Traditional Owners Aboriginal Corporation Priorities </w:t>
            </w:r>
          </w:p>
        </w:tc>
        <w:tc>
          <w:tcPr>
            <w:tcW w:w="1434" w:type="pct"/>
            <w:gridSpan w:val="4"/>
            <w:tcBorders>
              <w:bottom w:val="single" w:sz="4" w:space="0" w:color="FFFFFF" w:themeColor="background1"/>
            </w:tcBorders>
            <w:hideMark/>
          </w:tcPr>
          <w:p w14:paraId="78988810" w14:textId="77777777" w:rsidR="007606C7" w:rsidRPr="00BB46CB" w:rsidRDefault="007606C7" w:rsidP="00666947">
            <w:pPr>
              <w:pStyle w:val="TableTextLeft"/>
              <w:cnfStyle w:val="100000000000" w:firstRow="1" w:lastRow="0" w:firstColumn="0" w:lastColumn="0" w:oddVBand="0" w:evenVBand="0" w:oddHBand="0" w:evenHBand="0" w:firstRowFirstColumn="0" w:firstRowLastColumn="0" w:lastRowFirstColumn="0" w:lastRowLastColumn="0"/>
            </w:pPr>
            <w:r w:rsidRPr="00BB46CB">
              <w:rPr>
                <w:b/>
              </w:rPr>
              <w:t>Potential to be reported in environmental-economic accounting framework</w:t>
            </w:r>
          </w:p>
        </w:tc>
      </w:tr>
      <w:tr w:rsidR="007606C7" w:rsidRPr="00BB46CB" w14:paraId="454D0EAE" w14:textId="77777777" w:rsidTr="00B3051D">
        <w:trPr>
          <w:trHeight w:val="301"/>
        </w:trPr>
        <w:tc>
          <w:tcPr>
            <w:cnfStyle w:val="001000000000" w:firstRow="0" w:lastRow="0" w:firstColumn="1" w:lastColumn="0" w:oddVBand="0" w:evenVBand="0" w:oddHBand="0" w:evenHBand="0" w:firstRowFirstColumn="0" w:firstRowLastColumn="0" w:lastRowFirstColumn="0" w:lastRowLastColumn="0"/>
            <w:tcW w:w="843" w:type="pct"/>
            <w:tcBorders>
              <w:top w:val="single" w:sz="4" w:space="0" w:color="FFFFFF" w:themeColor="background1"/>
            </w:tcBorders>
            <w:shd w:val="clear" w:color="auto" w:fill="004C97" w:themeFill="accent1"/>
            <w:hideMark/>
          </w:tcPr>
          <w:p w14:paraId="7B5653D2" w14:textId="77777777" w:rsidR="007606C7" w:rsidRPr="00B3051D" w:rsidRDefault="007606C7" w:rsidP="00666947">
            <w:pPr>
              <w:pStyle w:val="TableTextLeft"/>
              <w:rPr>
                <w:color w:val="FFFFFF" w:themeColor="background1"/>
              </w:rPr>
            </w:pPr>
            <w:r w:rsidRPr="00B3051D">
              <w:rPr>
                <w:b/>
                <w:color w:val="FFFFFF" w:themeColor="background1"/>
              </w:rPr>
              <w:t>Value</w:t>
            </w:r>
          </w:p>
        </w:tc>
        <w:tc>
          <w:tcPr>
            <w:tcW w:w="1452" w:type="pct"/>
            <w:tcBorders>
              <w:top w:val="single" w:sz="4" w:space="0" w:color="FFFFFF" w:themeColor="background1"/>
            </w:tcBorders>
            <w:shd w:val="clear" w:color="auto" w:fill="004C97" w:themeFill="accent1"/>
            <w:hideMark/>
          </w:tcPr>
          <w:p w14:paraId="39DA91A1" w14:textId="77777777" w:rsidR="007606C7" w:rsidRPr="00B3051D" w:rsidRDefault="007606C7"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B3051D">
              <w:rPr>
                <w:b/>
                <w:color w:val="FFFFFF" w:themeColor="background1"/>
              </w:rPr>
              <w:t> Goal</w:t>
            </w:r>
          </w:p>
        </w:tc>
        <w:tc>
          <w:tcPr>
            <w:tcW w:w="1272" w:type="pct"/>
            <w:tcBorders>
              <w:top w:val="single" w:sz="4" w:space="0" w:color="FFFFFF" w:themeColor="background1"/>
            </w:tcBorders>
            <w:shd w:val="clear" w:color="auto" w:fill="004C97" w:themeFill="accent1"/>
            <w:hideMark/>
          </w:tcPr>
          <w:p w14:paraId="1111AE86" w14:textId="77777777" w:rsidR="007606C7" w:rsidRPr="00B3051D" w:rsidRDefault="007606C7"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B3051D">
              <w:rPr>
                <w:b/>
                <w:color w:val="FFFFFF" w:themeColor="background1"/>
              </w:rPr>
              <w:t>Indicators</w:t>
            </w:r>
          </w:p>
        </w:tc>
        <w:tc>
          <w:tcPr>
            <w:tcW w:w="287" w:type="pct"/>
            <w:tcBorders>
              <w:top w:val="single" w:sz="4" w:space="0" w:color="FFFFFF" w:themeColor="background1"/>
            </w:tcBorders>
            <w:shd w:val="clear" w:color="auto" w:fill="004C97" w:themeFill="accent1"/>
            <w:hideMark/>
          </w:tcPr>
          <w:p w14:paraId="6E6106C5" w14:textId="77777777" w:rsidR="007606C7" w:rsidRPr="00B3051D"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rsidRPr="00B3051D">
              <w:rPr>
                <w:color w:val="FFFFFF" w:themeColor="background1"/>
              </w:rPr>
              <w:t>Asset extent</w:t>
            </w:r>
          </w:p>
        </w:tc>
        <w:tc>
          <w:tcPr>
            <w:tcW w:w="352" w:type="pct"/>
            <w:tcBorders>
              <w:top w:val="single" w:sz="4" w:space="0" w:color="FFFFFF" w:themeColor="background1"/>
            </w:tcBorders>
            <w:shd w:val="clear" w:color="auto" w:fill="004C97" w:themeFill="accent1"/>
            <w:hideMark/>
          </w:tcPr>
          <w:p w14:paraId="1B4DA755" w14:textId="77777777" w:rsidR="007606C7" w:rsidRPr="00B3051D"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rsidRPr="00B3051D">
              <w:rPr>
                <w:color w:val="FFFFFF" w:themeColor="background1"/>
              </w:rPr>
              <w:t>Asset condition</w:t>
            </w:r>
          </w:p>
        </w:tc>
        <w:tc>
          <w:tcPr>
            <w:tcW w:w="333" w:type="pct"/>
            <w:tcBorders>
              <w:top w:val="single" w:sz="4" w:space="0" w:color="FFFFFF" w:themeColor="background1"/>
            </w:tcBorders>
            <w:shd w:val="clear" w:color="auto" w:fill="004C97" w:themeFill="accent1"/>
            <w:hideMark/>
          </w:tcPr>
          <w:p w14:paraId="0D1933C9" w14:textId="77777777" w:rsidR="007606C7" w:rsidRPr="00B3051D"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rsidRPr="00B3051D">
              <w:rPr>
                <w:color w:val="FFFFFF" w:themeColor="background1"/>
              </w:rPr>
              <w:t>Physical flow</w:t>
            </w:r>
          </w:p>
        </w:tc>
        <w:tc>
          <w:tcPr>
            <w:tcW w:w="461" w:type="pct"/>
            <w:tcBorders>
              <w:top w:val="single" w:sz="4" w:space="0" w:color="FFFFFF" w:themeColor="background1"/>
            </w:tcBorders>
            <w:shd w:val="clear" w:color="auto" w:fill="004C97" w:themeFill="accent1"/>
            <w:hideMark/>
          </w:tcPr>
          <w:p w14:paraId="1AE45993" w14:textId="77777777" w:rsidR="007606C7" w:rsidRPr="00B3051D"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rsidRPr="00B3051D">
              <w:rPr>
                <w:color w:val="FFFFFF" w:themeColor="background1"/>
              </w:rPr>
              <w:t>Monetary flow</w:t>
            </w:r>
          </w:p>
        </w:tc>
      </w:tr>
      <w:tr w:rsidR="007606C7" w:rsidRPr="00BB46CB" w14:paraId="4752532A" w14:textId="77777777" w:rsidTr="00B3051D">
        <w:trPr>
          <w:trHeight w:val="435"/>
        </w:trPr>
        <w:tc>
          <w:tcPr>
            <w:cnfStyle w:val="001000000000" w:firstRow="0" w:lastRow="0" w:firstColumn="1" w:lastColumn="0" w:oddVBand="0" w:evenVBand="0" w:oddHBand="0" w:evenHBand="0" w:firstRowFirstColumn="0" w:firstRowLastColumn="0" w:lastRowFirstColumn="0" w:lastRowLastColumn="0"/>
            <w:tcW w:w="843" w:type="pct"/>
            <w:vMerge w:val="restart"/>
            <w:hideMark/>
          </w:tcPr>
          <w:p w14:paraId="3838FE7B" w14:textId="77777777" w:rsidR="007606C7" w:rsidRPr="00BB46CB" w:rsidRDefault="007606C7" w:rsidP="00666947">
            <w:pPr>
              <w:pStyle w:val="TableTextLeft"/>
            </w:pPr>
            <w:proofErr w:type="spellStart"/>
            <w:r w:rsidRPr="00BB46CB">
              <w:rPr>
                <w:b/>
              </w:rPr>
              <w:t>Wadawurrung</w:t>
            </w:r>
            <w:proofErr w:type="spellEnd"/>
            <w:r w:rsidRPr="00BB46CB">
              <w:rPr>
                <w:b/>
              </w:rPr>
              <w:t xml:space="preserve"> culture and people</w:t>
            </w:r>
          </w:p>
        </w:tc>
        <w:tc>
          <w:tcPr>
            <w:tcW w:w="1452" w:type="pct"/>
            <w:vMerge w:val="restart"/>
            <w:hideMark/>
          </w:tcPr>
          <w:p w14:paraId="7D878348"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 xml:space="preserve">By 2025 70% of </w:t>
            </w:r>
            <w:proofErr w:type="spellStart"/>
            <w:r w:rsidRPr="00BB46CB">
              <w:t>Wadawurrung</w:t>
            </w:r>
            <w:proofErr w:type="spellEnd"/>
            <w:r w:rsidRPr="00BB46CB">
              <w:t xml:space="preserve"> Traditional Owners have strong cultural connection and knowledge, we are practicing culture and speaking language</w:t>
            </w:r>
          </w:p>
        </w:tc>
        <w:tc>
          <w:tcPr>
            <w:tcW w:w="1272" w:type="pct"/>
            <w:hideMark/>
          </w:tcPr>
          <w:p w14:paraId="52C44FC0"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 xml:space="preserve">% of </w:t>
            </w:r>
            <w:proofErr w:type="spellStart"/>
            <w:r w:rsidRPr="00BB46CB">
              <w:t>Wadawurrung</w:t>
            </w:r>
            <w:proofErr w:type="spellEnd"/>
            <w:r w:rsidRPr="00BB46CB">
              <w:t xml:space="preserve"> people speaking to each other in language</w:t>
            </w:r>
          </w:p>
        </w:tc>
        <w:tc>
          <w:tcPr>
            <w:tcW w:w="287" w:type="pct"/>
            <w:hideMark/>
          </w:tcPr>
          <w:p w14:paraId="5034567C" w14:textId="2097F995"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352" w:type="pct"/>
            <w:hideMark/>
          </w:tcPr>
          <w:p w14:paraId="02E6B5CE" w14:textId="014E9F4D"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333" w:type="pct"/>
            <w:hideMark/>
          </w:tcPr>
          <w:p w14:paraId="67D962BF" w14:textId="4041FC1A"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461" w:type="pct"/>
            <w:hideMark/>
          </w:tcPr>
          <w:p w14:paraId="19AE1B19" w14:textId="3E7154F4"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r>
      <w:tr w:rsidR="007606C7" w:rsidRPr="00BB46CB" w14:paraId="2FB57138" w14:textId="77777777" w:rsidTr="00B3051D">
        <w:trPr>
          <w:trHeight w:val="458"/>
        </w:trPr>
        <w:tc>
          <w:tcPr>
            <w:cnfStyle w:val="001000000000" w:firstRow="0" w:lastRow="0" w:firstColumn="1" w:lastColumn="0" w:oddVBand="0" w:evenVBand="0" w:oddHBand="0" w:evenHBand="0" w:firstRowFirstColumn="0" w:firstRowLastColumn="0" w:lastRowFirstColumn="0" w:lastRowLastColumn="0"/>
            <w:tcW w:w="843" w:type="pct"/>
            <w:vMerge/>
            <w:hideMark/>
          </w:tcPr>
          <w:p w14:paraId="3C4D5E3B" w14:textId="77777777" w:rsidR="007606C7" w:rsidRPr="00BB46CB" w:rsidRDefault="007606C7" w:rsidP="00666947">
            <w:pPr>
              <w:pStyle w:val="TableTextLeft"/>
            </w:pPr>
          </w:p>
        </w:tc>
        <w:tc>
          <w:tcPr>
            <w:tcW w:w="1452" w:type="pct"/>
            <w:vMerge/>
            <w:hideMark/>
          </w:tcPr>
          <w:p w14:paraId="7F24CD74"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272" w:type="pct"/>
            <w:hideMark/>
          </w:tcPr>
          <w:p w14:paraId="41EADB0B"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Participation in community events (related to environment)</w:t>
            </w:r>
          </w:p>
        </w:tc>
        <w:tc>
          <w:tcPr>
            <w:tcW w:w="287" w:type="pct"/>
            <w:hideMark/>
          </w:tcPr>
          <w:p w14:paraId="69E2113B" w14:textId="1CD4DBFA"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352" w:type="pct"/>
            <w:hideMark/>
          </w:tcPr>
          <w:p w14:paraId="20BBF547" w14:textId="2D07B64D"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333" w:type="pct"/>
            <w:hideMark/>
          </w:tcPr>
          <w:p w14:paraId="65BD6D66" w14:textId="77777777"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r w:rsidRPr="00BB46CB">
              <w:t>○</w:t>
            </w:r>
          </w:p>
        </w:tc>
        <w:tc>
          <w:tcPr>
            <w:tcW w:w="461" w:type="pct"/>
            <w:hideMark/>
          </w:tcPr>
          <w:p w14:paraId="2F1ABC45" w14:textId="1BE96F75"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r>
      <w:tr w:rsidR="007606C7" w:rsidRPr="00BB46CB" w14:paraId="3CA0E9BE" w14:textId="77777777" w:rsidTr="00B3051D">
        <w:trPr>
          <w:trHeight w:val="435"/>
        </w:trPr>
        <w:tc>
          <w:tcPr>
            <w:cnfStyle w:val="001000000000" w:firstRow="0" w:lastRow="0" w:firstColumn="1" w:lastColumn="0" w:oddVBand="0" w:evenVBand="0" w:oddHBand="0" w:evenHBand="0" w:firstRowFirstColumn="0" w:firstRowLastColumn="0" w:lastRowFirstColumn="0" w:lastRowLastColumn="0"/>
            <w:tcW w:w="843" w:type="pct"/>
            <w:hideMark/>
          </w:tcPr>
          <w:p w14:paraId="5EC53620" w14:textId="77777777" w:rsidR="007606C7" w:rsidRPr="00BB46CB" w:rsidRDefault="007606C7" w:rsidP="00666947">
            <w:pPr>
              <w:pStyle w:val="TableTextLeft"/>
            </w:pPr>
            <w:proofErr w:type="spellStart"/>
            <w:r w:rsidRPr="00BB46CB">
              <w:rPr>
                <w:b/>
              </w:rPr>
              <w:t>Wadawurrung</w:t>
            </w:r>
            <w:proofErr w:type="spellEnd"/>
            <w:r w:rsidRPr="00BB46CB">
              <w:rPr>
                <w:b/>
              </w:rPr>
              <w:t xml:space="preserve"> cultural sites and places</w:t>
            </w:r>
          </w:p>
        </w:tc>
        <w:tc>
          <w:tcPr>
            <w:tcW w:w="1452" w:type="pct"/>
            <w:hideMark/>
          </w:tcPr>
          <w:p w14:paraId="4EBA6016"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 xml:space="preserve">By 2029 </w:t>
            </w:r>
            <w:proofErr w:type="spellStart"/>
            <w:r w:rsidRPr="00BB46CB">
              <w:t>Wadawurrung</w:t>
            </w:r>
            <w:proofErr w:type="spellEnd"/>
            <w:r w:rsidRPr="00BB46CB">
              <w:t xml:space="preserve"> people are involved in the management of all known sites</w:t>
            </w:r>
          </w:p>
        </w:tc>
        <w:tc>
          <w:tcPr>
            <w:tcW w:w="1272" w:type="pct"/>
            <w:hideMark/>
          </w:tcPr>
          <w:p w14:paraId="5F050C80"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 of known sites protected</w:t>
            </w:r>
          </w:p>
        </w:tc>
        <w:tc>
          <w:tcPr>
            <w:tcW w:w="287" w:type="pct"/>
            <w:hideMark/>
          </w:tcPr>
          <w:p w14:paraId="5FBD628A" w14:textId="77777777"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r w:rsidRPr="00BB46CB">
              <w:t>○</w:t>
            </w:r>
          </w:p>
        </w:tc>
        <w:tc>
          <w:tcPr>
            <w:tcW w:w="352" w:type="pct"/>
            <w:hideMark/>
          </w:tcPr>
          <w:p w14:paraId="7F7A3261" w14:textId="77777777"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r w:rsidRPr="00BB46CB">
              <w:t>○</w:t>
            </w:r>
          </w:p>
        </w:tc>
        <w:tc>
          <w:tcPr>
            <w:tcW w:w="333" w:type="pct"/>
            <w:hideMark/>
          </w:tcPr>
          <w:p w14:paraId="0DEBA2CF" w14:textId="656599EB"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461" w:type="pct"/>
            <w:hideMark/>
          </w:tcPr>
          <w:p w14:paraId="23D1A483" w14:textId="05CEB1FA"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r>
      <w:tr w:rsidR="007606C7" w:rsidRPr="00BB46CB" w14:paraId="4516840A" w14:textId="77777777" w:rsidTr="00B3051D">
        <w:trPr>
          <w:trHeight w:val="435"/>
        </w:trPr>
        <w:tc>
          <w:tcPr>
            <w:cnfStyle w:val="001000000000" w:firstRow="0" w:lastRow="0" w:firstColumn="1" w:lastColumn="0" w:oddVBand="0" w:evenVBand="0" w:oddHBand="0" w:evenHBand="0" w:firstRowFirstColumn="0" w:firstRowLastColumn="0" w:lastRowFirstColumn="0" w:lastRowLastColumn="0"/>
            <w:tcW w:w="843" w:type="pct"/>
            <w:vMerge w:val="restart"/>
            <w:hideMark/>
          </w:tcPr>
          <w:p w14:paraId="0433E1B0" w14:textId="77777777" w:rsidR="007606C7" w:rsidRPr="00BB46CB" w:rsidRDefault="007606C7" w:rsidP="00666947">
            <w:pPr>
              <w:pStyle w:val="TableTextLeft"/>
            </w:pPr>
            <w:r w:rsidRPr="00BB46CB">
              <w:rPr>
                <w:b/>
              </w:rPr>
              <w:t>Enterprise and employment</w:t>
            </w:r>
          </w:p>
        </w:tc>
        <w:tc>
          <w:tcPr>
            <w:tcW w:w="1452" w:type="pct"/>
            <w:vMerge w:val="restart"/>
            <w:hideMark/>
          </w:tcPr>
          <w:p w14:paraId="5565D13D"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 xml:space="preserve">By 2030, 60% of </w:t>
            </w:r>
            <w:proofErr w:type="spellStart"/>
            <w:r w:rsidRPr="00BB46CB">
              <w:t>Wadawurrung</w:t>
            </w:r>
            <w:proofErr w:type="spellEnd"/>
            <w:r w:rsidRPr="00BB46CB">
              <w:t xml:space="preserve"> people who want to work on Country have jobs or businesses</w:t>
            </w:r>
          </w:p>
        </w:tc>
        <w:tc>
          <w:tcPr>
            <w:tcW w:w="1272" w:type="pct"/>
            <w:hideMark/>
          </w:tcPr>
          <w:p w14:paraId="3E18E2C2"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 xml:space="preserve">Number of </w:t>
            </w:r>
            <w:proofErr w:type="spellStart"/>
            <w:r w:rsidRPr="00BB46CB">
              <w:t>Wadawurrung</w:t>
            </w:r>
            <w:proofErr w:type="spellEnd"/>
            <w:r w:rsidRPr="00BB46CB">
              <w:t xml:space="preserve"> owned businesses (related to environment)</w:t>
            </w:r>
          </w:p>
        </w:tc>
        <w:tc>
          <w:tcPr>
            <w:tcW w:w="287" w:type="pct"/>
            <w:hideMark/>
          </w:tcPr>
          <w:p w14:paraId="5BBFFEE5" w14:textId="658E82FC"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352" w:type="pct"/>
            <w:hideMark/>
          </w:tcPr>
          <w:p w14:paraId="6FA28FE6" w14:textId="2743DC1C"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333" w:type="pct"/>
            <w:hideMark/>
          </w:tcPr>
          <w:p w14:paraId="4A775C4C" w14:textId="77777777"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r w:rsidRPr="00BB46CB">
              <w:t>○</w:t>
            </w:r>
          </w:p>
        </w:tc>
        <w:tc>
          <w:tcPr>
            <w:tcW w:w="461" w:type="pct"/>
            <w:hideMark/>
          </w:tcPr>
          <w:p w14:paraId="601C9F42" w14:textId="715FDA7D"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r>
      <w:tr w:rsidR="007606C7" w:rsidRPr="00BB46CB" w14:paraId="0D25B92D" w14:textId="77777777" w:rsidTr="00B3051D">
        <w:trPr>
          <w:trHeight w:val="435"/>
        </w:trPr>
        <w:tc>
          <w:tcPr>
            <w:cnfStyle w:val="001000000000" w:firstRow="0" w:lastRow="0" w:firstColumn="1" w:lastColumn="0" w:oddVBand="0" w:evenVBand="0" w:oddHBand="0" w:evenHBand="0" w:firstRowFirstColumn="0" w:firstRowLastColumn="0" w:lastRowFirstColumn="0" w:lastRowLastColumn="0"/>
            <w:tcW w:w="843" w:type="pct"/>
            <w:vMerge/>
            <w:hideMark/>
          </w:tcPr>
          <w:p w14:paraId="0BD43E0A" w14:textId="77777777" w:rsidR="007606C7" w:rsidRPr="00BB46CB" w:rsidRDefault="007606C7" w:rsidP="00666947">
            <w:pPr>
              <w:pStyle w:val="TableTextLeft"/>
            </w:pPr>
          </w:p>
        </w:tc>
        <w:tc>
          <w:tcPr>
            <w:tcW w:w="1452" w:type="pct"/>
            <w:vMerge/>
            <w:hideMark/>
          </w:tcPr>
          <w:p w14:paraId="685CC745"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272" w:type="pct"/>
            <w:hideMark/>
          </w:tcPr>
          <w:p w14:paraId="4A558067"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 xml:space="preserve">% of </w:t>
            </w:r>
            <w:proofErr w:type="spellStart"/>
            <w:r w:rsidRPr="00BB46CB">
              <w:t>Wadawurrung</w:t>
            </w:r>
            <w:proofErr w:type="spellEnd"/>
            <w:r w:rsidRPr="00BB46CB">
              <w:t xml:space="preserve"> people employed on-Country (related to environment)</w:t>
            </w:r>
          </w:p>
        </w:tc>
        <w:tc>
          <w:tcPr>
            <w:tcW w:w="287" w:type="pct"/>
            <w:hideMark/>
          </w:tcPr>
          <w:p w14:paraId="4D2BBD31" w14:textId="054DCFB8"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352" w:type="pct"/>
            <w:hideMark/>
          </w:tcPr>
          <w:p w14:paraId="2205EF79" w14:textId="15268550"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333" w:type="pct"/>
            <w:hideMark/>
          </w:tcPr>
          <w:p w14:paraId="58C0B34C" w14:textId="77777777"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r w:rsidRPr="00BB46CB">
              <w:t>○</w:t>
            </w:r>
          </w:p>
        </w:tc>
        <w:tc>
          <w:tcPr>
            <w:tcW w:w="461" w:type="pct"/>
            <w:hideMark/>
          </w:tcPr>
          <w:p w14:paraId="73AB493E" w14:textId="01D4FBC6"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r>
      <w:tr w:rsidR="007606C7" w:rsidRPr="00BB46CB" w14:paraId="59731DEA" w14:textId="77777777" w:rsidTr="00B3051D">
        <w:trPr>
          <w:trHeight w:val="435"/>
        </w:trPr>
        <w:tc>
          <w:tcPr>
            <w:cnfStyle w:val="001000000000" w:firstRow="0" w:lastRow="0" w:firstColumn="1" w:lastColumn="0" w:oddVBand="0" w:evenVBand="0" w:oddHBand="0" w:evenHBand="0" w:firstRowFirstColumn="0" w:firstRowLastColumn="0" w:lastRowFirstColumn="0" w:lastRowLastColumn="0"/>
            <w:tcW w:w="843" w:type="pct"/>
            <w:hideMark/>
          </w:tcPr>
          <w:p w14:paraId="7B3DAB51" w14:textId="77777777" w:rsidR="007606C7" w:rsidRPr="00BB46CB" w:rsidRDefault="007606C7" w:rsidP="00666947">
            <w:pPr>
              <w:pStyle w:val="TableTextLeft"/>
            </w:pPr>
            <w:r w:rsidRPr="00BB46CB">
              <w:rPr>
                <w:b/>
              </w:rPr>
              <w:t>Bush tucker, medicines and resources</w:t>
            </w:r>
          </w:p>
        </w:tc>
        <w:tc>
          <w:tcPr>
            <w:tcW w:w="1452" w:type="pct"/>
            <w:hideMark/>
          </w:tcPr>
          <w:p w14:paraId="07E23692"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 xml:space="preserve">By 2030, there is enough of </w:t>
            </w:r>
            <w:proofErr w:type="spellStart"/>
            <w:r w:rsidRPr="00BB46CB">
              <w:t>Wadawurrung</w:t>
            </w:r>
            <w:proofErr w:type="spellEnd"/>
            <w:r w:rsidRPr="00BB46CB">
              <w:t xml:space="preserve"> People’s favourite bush tucker</w:t>
            </w:r>
          </w:p>
        </w:tc>
        <w:tc>
          <w:tcPr>
            <w:tcW w:w="1272" w:type="pct"/>
            <w:hideMark/>
          </w:tcPr>
          <w:p w14:paraId="0C542123"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 xml:space="preserve">% of </w:t>
            </w:r>
            <w:proofErr w:type="spellStart"/>
            <w:r w:rsidRPr="00BB46CB">
              <w:t>Wadawurrung</w:t>
            </w:r>
            <w:proofErr w:type="spellEnd"/>
            <w:r w:rsidRPr="00BB46CB">
              <w:t xml:space="preserve"> bushtucker available</w:t>
            </w:r>
          </w:p>
        </w:tc>
        <w:tc>
          <w:tcPr>
            <w:tcW w:w="287" w:type="pct"/>
            <w:hideMark/>
          </w:tcPr>
          <w:p w14:paraId="1287E1A2" w14:textId="77777777"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r w:rsidRPr="00BB46CB">
              <w:t>○</w:t>
            </w:r>
          </w:p>
        </w:tc>
        <w:tc>
          <w:tcPr>
            <w:tcW w:w="352" w:type="pct"/>
            <w:hideMark/>
          </w:tcPr>
          <w:p w14:paraId="01E7B3E2" w14:textId="77777777"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r w:rsidRPr="00BB46CB">
              <w:t>○</w:t>
            </w:r>
          </w:p>
        </w:tc>
        <w:tc>
          <w:tcPr>
            <w:tcW w:w="333" w:type="pct"/>
            <w:hideMark/>
          </w:tcPr>
          <w:p w14:paraId="30ECA923" w14:textId="77777777"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r w:rsidRPr="00BB46CB">
              <w:t>○</w:t>
            </w:r>
          </w:p>
        </w:tc>
        <w:tc>
          <w:tcPr>
            <w:tcW w:w="461" w:type="pct"/>
            <w:hideMark/>
          </w:tcPr>
          <w:p w14:paraId="02217ADD" w14:textId="62CB86C3"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r>
      <w:tr w:rsidR="007606C7" w:rsidRPr="00BB46CB" w14:paraId="15A3EC7E" w14:textId="77777777" w:rsidTr="00B3051D">
        <w:trPr>
          <w:trHeight w:val="262"/>
        </w:trPr>
        <w:tc>
          <w:tcPr>
            <w:cnfStyle w:val="001000000000" w:firstRow="0" w:lastRow="0" w:firstColumn="1" w:lastColumn="0" w:oddVBand="0" w:evenVBand="0" w:oddHBand="0" w:evenHBand="0" w:firstRowFirstColumn="0" w:firstRowLastColumn="0" w:lastRowFirstColumn="0" w:lastRowLastColumn="0"/>
            <w:tcW w:w="843" w:type="pct"/>
            <w:vMerge w:val="restart"/>
            <w:hideMark/>
          </w:tcPr>
          <w:p w14:paraId="304F8B9A" w14:textId="77777777" w:rsidR="007606C7" w:rsidRPr="00BB46CB" w:rsidRDefault="007606C7" w:rsidP="00666947">
            <w:pPr>
              <w:pStyle w:val="TableTextLeft"/>
            </w:pPr>
            <w:r w:rsidRPr="00BB46CB">
              <w:rPr>
                <w:b/>
              </w:rPr>
              <w:t>Waterways, Rivers, estuaries and wetlands</w:t>
            </w:r>
          </w:p>
        </w:tc>
        <w:tc>
          <w:tcPr>
            <w:tcW w:w="1452" w:type="pct"/>
            <w:vMerge w:val="restart"/>
            <w:hideMark/>
          </w:tcPr>
          <w:p w14:paraId="76AB6B82"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By 2030, there is enough water in the waterways of that it flows through the system, without barriers and is clean enough to drink</w:t>
            </w:r>
          </w:p>
        </w:tc>
        <w:tc>
          <w:tcPr>
            <w:tcW w:w="1272" w:type="pct"/>
            <w:hideMark/>
          </w:tcPr>
          <w:p w14:paraId="29484EE4"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Water Quality</w:t>
            </w:r>
          </w:p>
        </w:tc>
        <w:tc>
          <w:tcPr>
            <w:tcW w:w="287" w:type="pct"/>
            <w:hideMark/>
          </w:tcPr>
          <w:p w14:paraId="5607539F" w14:textId="34FDCAA6"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352" w:type="pct"/>
            <w:hideMark/>
          </w:tcPr>
          <w:p w14:paraId="721FEFF2" w14:textId="77777777"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r w:rsidRPr="00BB46CB">
              <w:t>●</w:t>
            </w:r>
          </w:p>
        </w:tc>
        <w:tc>
          <w:tcPr>
            <w:tcW w:w="333" w:type="pct"/>
            <w:hideMark/>
          </w:tcPr>
          <w:p w14:paraId="4E451A6A" w14:textId="07540AB0"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461" w:type="pct"/>
            <w:hideMark/>
          </w:tcPr>
          <w:p w14:paraId="4C1325F4" w14:textId="3E2AC73F"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r>
      <w:tr w:rsidR="007606C7" w:rsidRPr="00BB46CB" w14:paraId="186A58E4" w14:textId="77777777" w:rsidTr="00B3051D">
        <w:trPr>
          <w:trHeight w:val="262"/>
        </w:trPr>
        <w:tc>
          <w:tcPr>
            <w:cnfStyle w:val="001000000000" w:firstRow="0" w:lastRow="0" w:firstColumn="1" w:lastColumn="0" w:oddVBand="0" w:evenVBand="0" w:oddHBand="0" w:evenHBand="0" w:firstRowFirstColumn="0" w:firstRowLastColumn="0" w:lastRowFirstColumn="0" w:lastRowLastColumn="0"/>
            <w:tcW w:w="843" w:type="pct"/>
            <w:vMerge/>
            <w:hideMark/>
          </w:tcPr>
          <w:p w14:paraId="4CB451FF" w14:textId="77777777" w:rsidR="007606C7" w:rsidRPr="00BB46CB" w:rsidRDefault="007606C7" w:rsidP="00666947">
            <w:pPr>
              <w:pStyle w:val="TableTextLeft"/>
            </w:pPr>
          </w:p>
        </w:tc>
        <w:tc>
          <w:tcPr>
            <w:tcW w:w="1452" w:type="pct"/>
            <w:vMerge/>
            <w:hideMark/>
          </w:tcPr>
          <w:p w14:paraId="3CBA94A1"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272" w:type="pct"/>
            <w:hideMark/>
          </w:tcPr>
          <w:p w14:paraId="5CE4BB07"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Amount of water</w:t>
            </w:r>
          </w:p>
        </w:tc>
        <w:tc>
          <w:tcPr>
            <w:tcW w:w="287" w:type="pct"/>
            <w:hideMark/>
          </w:tcPr>
          <w:p w14:paraId="4DE7F3E1" w14:textId="77777777"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r w:rsidRPr="00BB46CB">
              <w:t>○</w:t>
            </w:r>
          </w:p>
        </w:tc>
        <w:tc>
          <w:tcPr>
            <w:tcW w:w="352" w:type="pct"/>
            <w:hideMark/>
          </w:tcPr>
          <w:p w14:paraId="5683CDA3" w14:textId="0A2A9667"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333" w:type="pct"/>
            <w:hideMark/>
          </w:tcPr>
          <w:p w14:paraId="1974CA52" w14:textId="1ED8B115"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461" w:type="pct"/>
            <w:hideMark/>
          </w:tcPr>
          <w:p w14:paraId="3082790B" w14:textId="7A0E26ED"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r>
      <w:tr w:rsidR="007606C7" w:rsidRPr="00BB46CB" w14:paraId="630EF900" w14:textId="77777777" w:rsidTr="00B3051D">
        <w:trPr>
          <w:trHeight w:val="262"/>
        </w:trPr>
        <w:tc>
          <w:tcPr>
            <w:cnfStyle w:val="001000000000" w:firstRow="0" w:lastRow="0" w:firstColumn="1" w:lastColumn="0" w:oddVBand="0" w:evenVBand="0" w:oddHBand="0" w:evenHBand="0" w:firstRowFirstColumn="0" w:firstRowLastColumn="0" w:lastRowFirstColumn="0" w:lastRowLastColumn="0"/>
            <w:tcW w:w="843" w:type="pct"/>
            <w:vMerge/>
            <w:hideMark/>
          </w:tcPr>
          <w:p w14:paraId="42E0D7A7" w14:textId="77777777" w:rsidR="007606C7" w:rsidRPr="00BB46CB" w:rsidRDefault="007606C7" w:rsidP="00666947">
            <w:pPr>
              <w:pStyle w:val="TableTextLeft"/>
            </w:pPr>
          </w:p>
        </w:tc>
        <w:tc>
          <w:tcPr>
            <w:tcW w:w="1452" w:type="pct"/>
            <w:vMerge/>
            <w:hideMark/>
          </w:tcPr>
          <w:p w14:paraId="46BDFDAE"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272" w:type="pct"/>
            <w:hideMark/>
          </w:tcPr>
          <w:p w14:paraId="01B9D827"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Cultural flows</w:t>
            </w:r>
          </w:p>
        </w:tc>
        <w:tc>
          <w:tcPr>
            <w:tcW w:w="287" w:type="pct"/>
            <w:hideMark/>
          </w:tcPr>
          <w:p w14:paraId="51A5FEC6" w14:textId="0BF84A10"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352" w:type="pct"/>
            <w:hideMark/>
          </w:tcPr>
          <w:p w14:paraId="682BCB05" w14:textId="77777777"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r w:rsidRPr="00BB46CB">
              <w:t>○</w:t>
            </w:r>
          </w:p>
        </w:tc>
        <w:tc>
          <w:tcPr>
            <w:tcW w:w="333" w:type="pct"/>
            <w:hideMark/>
          </w:tcPr>
          <w:p w14:paraId="73186E88" w14:textId="4F3DF3F2"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461" w:type="pct"/>
            <w:hideMark/>
          </w:tcPr>
          <w:p w14:paraId="0B5550F2" w14:textId="16C4643B"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r>
      <w:tr w:rsidR="007606C7" w:rsidRPr="00BB46CB" w14:paraId="50D27122" w14:textId="77777777" w:rsidTr="00B3051D">
        <w:trPr>
          <w:trHeight w:val="262"/>
        </w:trPr>
        <w:tc>
          <w:tcPr>
            <w:cnfStyle w:val="001000000000" w:firstRow="0" w:lastRow="0" w:firstColumn="1" w:lastColumn="0" w:oddVBand="0" w:evenVBand="0" w:oddHBand="0" w:evenHBand="0" w:firstRowFirstColumn="0" w:firstRowLastColumn="0" w:lastRowFirstColumn="0" w:lastRowLastColumn="0"/>
            <w:tcW w:w="843" w:type="pct"/>
            <w:vMerge/>
            <w:hideMark/>
          </w:tcPr>
          <w:p w14:paraId="507371D4" w14:textId="77777777" w:rsidR="007606C7" w:rsidRPr="00BB46CB" w:rsidRDefault="007606C7" w:rsidP="00666947">
            <w:pPr>
              <w:pStyle w:val="TableTextLeft"/>
            </w:pPr>
          </w:p>
        </w:tc>
        <w:tc>
          <w:tcPr>
            <w:tcW w:w="1452" w:type="pct"/>
            <w:vMerge/>
            <w:hideMark/>
          </w:tcPr>
          <w:p w14:paraId="77E2C361"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272" w:type="pct"/>
            <w:hideMark/>
          </w:tcPr>
          <w:p w14:paraId="516E599F"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 of economic access to water</w:t>
            </w:r>
          </w:p>
        </w:tc>
        <w:tc>
          <w:tcPr>
            <w:tcW w:w="287" w:type="pct"/>
            <w:hideMark/>
          </w:tcPr>
          <w:p w14:paraId="11710C7F" w14:textId="0745F2B2"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352" w:type="pct"/>
            <w:hideMark/>
          </w:tcPr>
          <w:p w14:paraId="38F90E8C" w14:textId="77777777"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r w:rsidRPr="00BB46CB">
              <w:t>○</w:t>
            </w:r>
          </w:p>
        </w:tc>
        <w:tc>
          <w:tcPr>
            <w:tcW w:w="333" w:type="pct"/>
            <w:hideMark/>
          </w:tcPr>
          <w:p w14:paraId="45AFE35B" w14:textId="217C402D"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461" w:type="pct"/>
            <w:hideMark/>
          </w:tcPr>
          <w:p w14:paraId="07B1F360" w14:textId="36B6C9F4"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r>
      <w:tr w:rsidR="007606C7" w:rsidRPr="00BB46CB" w14:paraId="3B3264A7" w14:textId="77777777" w:rsidTr="00B3051D">
        <w:trPr>
          <w:trHeight w:val="262"/>
        </w:trPr>
        <w:tc>
          <w:tcPr>
            <w:cnfStyle w:val="001000000000" w:firstRow="0" w:lastRow="0" w:firstColumn="1" w:lastColumn="0" w:oddVBand="0" w:evenVBand="0" w:oddHBand="0" w:evenHBand="0" w:firstRowFirstColumn="0" w:firstRowLastColumn="0" w:lastRowFirstColumn="0" w:lastRowLastColumn="0"/>
            <w:tcW w:w="843" w:type="pct"/>
            <w:vMerge/>
            <w:hideMark/>
          </w:tcPr>
          <w:p w14:paraId="344AF53A" w14:textId="77777777" w:rsidR="007606C7" w:rsidRPr="00BB46CB" w:rsidRDefault="007606C7" w:rsidP="00666947">
            <w:pPr>
              <w:pStyle w:val="TableTextLeft"/>
            </w:pPr>
          </w:p>
        </w:tc>
        <w:tc>
          <w:tcPr>
            <w:tcW w:w="1452" w:type="pct"/>
            <w:vMerge/>
            <w:hideMark/>
          </w:tcPr>
          <w:p w14:paraId="3AAE7DAC"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272" w:type="pct"/>
            <w:hideMark/>
          </w:tcPr>
          <w:p w14:paraId="531813E3"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Number of artificial barriers in waterways</w:t>
            </w:r>
          </w:p>
        </w:tc>
        <w:tc>
          <w:tcPr>
            <w:tcW w:w="287" w:type="pct"/>
            <w:hideMark/>
          </w:tcPr>
          <w:p w14:paraId="5DBFD496" w14:textId="1D6E53AF"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352" w:type="pct"/>
            <w:hideMark/>
          </w:tcPr>
          <w:p w14:paraId="234B78A1" w14:textId="77777777"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r w:rsidRPr="00BB46CB">
              <w:t>○</w:t>
            </w:r>
          </w:p>
        </w:tc>
        <w:tc>
          <w:tcPr>
            <w:tcW w:w="333" w:type="pct"/>
            <w:hideMark/>
          </w:tcPr>
          <w:p w14:paraId="215F6ED0" w14:textId="2C8D2356"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461" w:type="pct"/>
            <w:hideMark/>
          </w:tcPr>
          <w:p w14:paraId="652AEF7C" w14:textId="3D916E03"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r>
      <w:tr w:rsidR="007606C7" w:rsidRPr="00BB46CB" w14:paraId="1D893E62" w14:textId="77777777" w:rsidTr="0012010E">
        <w:trPr>
          <w:trHeight w:val="262"/>
        </w:trPr>
        <w:tc>
          <w:tcPr>
            <w:cnfStyle w:val="001000000000" w:firstRow="0" w:lastRow="0" w:firstColumn="1" w:lastColumn="0" w:oddVBand="0" w:evenVBand="0" w:oddHBand="0" w:evenHBand="0" w:firstRowFirstColumn="0" w:firstRowLastColumn="0" w:lastRowFirstColumn="0" w:lastRowLastColumn="0"/>
            <w:tcW w:w="843" w:type="pct"/>
            <w:shd w:val="clear" w:color="auto" w:fill="B8E9EC" w:themeFill="accent6"/>
          </w:tcPr>
          <w:p w14:paraId="37E8ECBF" w14:textId="77777777" w:rsidR="007606C7" w:rsidRPr="00BB46CB" w:rsidRDefault="007606C7" w:rsidP="00666947">
            <w:pPr>
              <w:pStyle w:val="TableTextLeft"/>
              <w:rPr>
                <w:b/>
              </w:rPr>
            </w:pPr>
            <w:r w:rsidRPr="00BB46CB">
              <w:rPr>
                <w:b/>
              </w:rPr>
              <w:t>KEY</w:t>
            </w:r>
          </w:p>
        </w:tc>
        <w:tc>
          <w:tcPr>
            <w:tcW w:w="1452" w:type="pct"/>
            <w:shd w:val="clear" w:color="auto" w:fill="B8E9EC" w:themeFill="accent6"/>
          </w:tcPr>
          <w:p w14:paraId="7DCF2F14"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 Metric currently exists within GORCAP EEA</w:t>
            </w:r>
          </w:p>
        </w:tc>
        <w:tc>
          <w:tcPr>
            <w:tcW w:w="2706" w:type="pct"/>
            <w:gridSpan w:val="5"/>
            <w:shd w:val="clear" w:color="auto" w:fill="B8E9EC" w:themeFill="accent6"/>
          </w:tcPr>
          <w:p w14:paraId="104E0E5A"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 Metric for Potential future integration into account</w:t>
            </w:r>
          </w:p>
        </w:tc>
      </w:tr>
    </w:tbl>
    <w:p w14:paraId="352AE51B" w14:textId="77777777" w:rsidR="007606C7" w:rsidRPr="00BB46CB" w:rsidRDefault="007606C7" w:rsidP="007606C7">
      <w:pPr>
        <w:pStyle w:val="BodyText"/>
      </w:pPr>
    </w:p>
    <w:tbl>
      <w:tblPr>
        <w:tblStyle w:val="TableGrid"/>
        <w:tblW w:w="5000" w:type="pct"/>
        <w:tblLook w:val="06A0" w:firstRow="1" w:lastRow="0" w:firstColumn="1" w:lastColumn="0" w:noHBand="1" w:noVBand="1"/>
      </w:tblPr>
      <w:tblGrid>
        <w:gridCol w:w="1509"/>
        <w:gridCol w:w="3430"/>
        <w:gridCol w:w="4608"/>
        <w:gridCol w:w="1233"/>
        <w:gridCol w:w="1265"/>
        <w:gridCol w:w="1256"/>
        <w:gridCol w:w="1271"/>
      </w:tblGrid>
      <w:tr w:rsidR="007606C7" w:rsidRPr="00BB46CB" w14:paraId="42CACE3F" w14:textId="77777777" w:rsidTr="0012010E">
        <w:trPr>
          <w:cnfStyle w:val="100000000000" w:firstRow="1" w:lastRow="0" w:firstColumn="0" w:lastColumn="0" w:oddVBand="0" w:evenVBand="0" w:oddHBand="0"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3275" w:type="pct"/>
            <w:gridSpan w:val="3"/>
            <w:tcBorders>
              <w:bottom w:val="single" w:sz="4" w:space="0" w:color="FFFFFF" w:themeColor="background1"/>
            </w:tcBorders>
            <w:hideMark/>
          </w:tcPr>
          <w:p w14:paraId="49A41CCB" w14:textId="77777777" w:rsidR="007606C7" w:rsidRPr="00BB46CB" w:rsidRDefault="007606C7" w:rsidP="00666947">
            <w:pPr>
              <w:pStyle w:val="TableTextLeft"/>
            </w:pPr>
            <w:proofErr w:type="spellStart"/>
            <w:r w:rsidRPr="00BB46CB">
              <w:rPr>
                <w:b/>
              </w:rPr>
              <w:lastRenderedPageBreak/>
              <w:t>Wadawurrung</w:t>
            </w:r>
            <w:proofErr w:type="spellEnd"/>
            <w:r w:rsidRPr="00BB46CB">
              <w:rPr>
                <w:b/>
              </w:rPr>
              <w:t xml:space="preserve"> Traditional Owners Aboriginal Corporation Priorities </w:t>
            </w:r>
          </w:p>
        </w:tc>
        <w:tc>
          <w:tcPr>
            <w:tcW w:w="1725" w:type="pct"/>
            <w:gridSpan w:val="4"/>
            <w:tcBorders>
              <w:bottom w:val="single" w:sz="4" w:space="0" w:color="FFFFFF" w:themeColor="background1"/>
            </w:tcBorders>
            <w:hideMark/>
          </w:tcPr>
          <w:p w14:paraId="37F1655F" w14:textId="77777777" w:rsidR="007606C7" w:rsidRPr="00BB46CB" w:rsidRDefault="007606C7" w:rsidP="00666947">
            <w:pPr>
              <w:pStyle w:val="TableTextLeft"/>
              <w:cnfStyle w:val="100000000000" w:firstRow="1" w:lastRow="0" w:firstColumn="0" w:lastColumn="0" w:oddVBand="0" w:evenVBand="0" w:oddHBand="0" w:evenHBand="0" w:firstRowFirstColumn="0" w:firstRowLastColumn="0" w:lastRowFirstColumn="0" w:lastRowLastColumn="0"/>
            </w:pPr>
            <w:r w:rsidRPr="00BB46CB">
              <w:rPr>
                <w:b/>
              </w:rPr>
              <w:t>Potential to be reported in environmental-economic accounting framework</w:t>
            </w:r>
          </w:p>
        </w:tc>
      </w:tr>
      <w:tr w:rsidR="007606C7" w:rsidRPr="00BB46CB" w14:paraId="45D8EC68" w14:textId="77777777" w:rsidTr="0012010E">
        <w:trPr>
          <w:trHeight w:val="209"/>
        </w:trPr>
        <w:tc>
          <w:tcPr>
            <w:cnfStyle w:val="001000000000" w:firstRow="0" w:lastRow="0" w:firstColumn="1" w:lastColumn="0" w:oddVBand="0" w:evenVBand="0" w:oddHBand="0" w:evenHBand="0" w:firstRowFirstColumn="0" w:firstRowLastColumn="0" w:lastRowFirstColumn="0" w:lastRowLastColumn="0"/>
            <w:tcW w:w="518" w:type="pct"/>
            <w:tcBorders>
              <w:top w:val="single" w:sz="4" w:space="0" w:color="FFFFFF" w:themeColor="background1"/>
            </w:tcBorders>
            <w:shd w:val="clear" w:color="auto" w:fill="004C97" w:themeFill="accent1"/>
            <w:hideMark/>
          </w:tcPr>
          <w:p w14:paraId="79570D77" w14:textId="77777777" w:rsidR="007606C7" w:rsidRPr="0012010E" w:rsidRDefault="007606C7" w:rsidP="00666947">
            <w:pPr>
              <w:pStyle w:val="TableTextLeft"/>
              <w:rPr>
                <w:color w:val="FFFFFF" w:themeColor="background1"/>
              </w:rPr>
            </w:pPr>
            <w:r w:rsidRPr="0012010E">
              <w:rPr>
                <w:b/>
                <w:color w:val="FFFFFF" w:themeColor="background1"/>
              </w:rPr>
              <w:t>Value</w:t>
            </w:r>
          </w:p>
        </w:tc>
        <w:tc>
          <w:tcPr>
            <w:tcW w:w="1177" w:type="pct"/>
            <w:tcBorders>
              <w:top w:val="single" w:sz="4" w:space="0" w:color="FFFFFF" w:themeColor="background1"/>
            </w:tcBorders>
            <w:shd w:val="clear" w:color="auto" w:fill="004C97" w:themeFill="accent1"/>
            <w:hideMark/>
          </w:tcPr>
          <w:p w14:paraId="1BAC927B" w14:textId="77777777" w:rsidR="007606C7" w:rsidRPr="0012010E" w:rsidRDefault="007606C7"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12010E">
              <w:rPr>
                <w:b/>
                <w:color w:val="FFFFFF" w:themeColor="background1"/>
              </w:rPr>
              <w:t> Goal</w:t>
            </w:r>
          </w:p>
        </w:tc>
        <w:tc>
          <w:tcPr>
            <w:tcW w:w="1581" w:type="pct"/>
            <w:tcBorders>
              <w:top w:val="single" w:sz="4" w:space="0" w:color="FFFFFF" w:themeColor="background1"/>
            </w:tcBorders>
            <w:shd w:val="clear" w:color="auto" w:fill="004C97" w:themeFill="accent1"/>
            <w:hideMark/>
          </w:tcPr>
          <w:p w14:paraId="467C4316" w14:textId="77777777" w:rsidR="007606C7" w:rsidRPr="0012010E" w:rsidRDefault="007606C7"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12010E">
              <w:rPr>
                <w:b/>
                <w:color w:val="FFFFFF" w:themeColor="background1"/>
              </w:rPr>
              <w:t>Indicators</w:t>
            </w:r>
          </w:p>
        </w:tc>
        <w:tc>
          <w:tcPr>
            <w:tcW w:w="423" w:type="pct"/>
            <w:tcBorders>
              <w:top w:val="single" w:sz="4" w:space="0" w:color="FFFFFF" w:themeColor="background1"/>
            </w:tcBorders>
            <w:shd w:val="clear" w:color="auto" w:fill="004C97" w:themeFill="accent1"/>
            <w:hideMark/>
          </w:tcPr>
          <w:p w14:paraId="28268AFF" w14:textId="77777777" w:rsidR="007606C7" w:rsidRPr="0012010E" w:rsidRDefault="007606C7"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12010E">
              <w:rPr>
                <w:color w:val="FFFFFF" w:themeColor="background1"/>
              </w:rPr>
              <w:t>Asset extent</w:t>
            </w:r>
          </w:p>
        </w:tc>
        <w:tc>
          <w:tcPr>
            <w:tcW w:w="434" w:type="pct"/>
            <w:tcBorders>
              <w:top w:val="single" w:sz="4" w:space="0" w:color="FFFFFF" w:themeColor="background1"/>
            </w:tcBorders>
            <w:shd w:val="clear" w:color="auto" w:fill="004C97" w:themeFill="accent1"/>
            <w:hideMark/>
          </w:tcPr>
          <w:p w14:paraId="69AF109B" w14:textId="77777777" w:rsidR="007606C7" w:rsidRPr="0012010E" w:rsidRDefault="007606C7"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12010E">
              <w:rPr>
                <w:color w:val="FFFFFF" w:themeColor="background1"/>
              </w:rPr>
              <w:t>Asset condition</w:t>
            </w:r>
          </w:p>
        </w:tc>
        <w:tc>
          <w:tcPr>
            <w:tcW w:w="431" w:type="pct"/>
            <w:tcBorders>
              <w:top w:val="single" w:sz="4" w:space="0" w:color="FFFFFF" w:themeColor="background1"/>
            </w:tcBorders>
            <w:shd w:val="clear" w:color="auto" w:fill="004C97" w:themeFill="accent1"/>
            <w:hideMark/>
          </w:tcPr>
          <w:p w14:paraId="7C1CFE72" w14:textId="77777777" w:rsidR="007606C7" w:rsidRPr="0012010E" w:rsidRDefault="007606C7"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12010E">
              <w:rPr>
                <w:color w:val="FFFFFF" w:themeColor="background1"/>
              </w:rPr>
              <w:t>Physical flow</w:t>
            </w:r>
          </w:p>
        </w:tc>
        <w:tc>
          <w:tcPr>
            <w:tcW w:w="436" w:type="pct"/>
            <w:tcBorders>
              <w:top w:val="single" w:sz="4" w:space="0" w:color="FFFFFF" w:themeColor="background1"/>
            </w:tcBorders>
            <w:shd w:val="clear" w:color="auto" w:fill="004C97" w:themeFill="accent1"/>
            <w:hideMark/>
          </w:tcPr>
          <w:p w14:paraId="7F5A4A14" w14:textId="77777777" w:rsidR="007606C7" w:rsidRPr="0012010E" w:rsidRDefault="007606C7"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12010E">
              <w:rPr>
                <w:color w:val="FFFFFF" w:themeColor="background1"/>
              </w:rPr>
              <w:t>Monetary flow</w:t>
            </w:r>
          </w:p>
        </w:tc>
      </w:tr>
      <w:tr w:rsidR="007606C7" w:rsidRPr="00BB46CB" w14:paraId="74708C5F" w14:textId="77777777" w:rsidTr="00B3051D">
        <w:trPr>
          <w:trHeight w:val="167"/>
        </w:trPr>
        <w:tc>
          <w:tcPr>
            <w:cnfStyle w:val="001000000000" w:firstRow="0" w:lastRow="0" w:firstColumn="1" w:lastColumn="0" w:oddVBand="0" w:evenVBand="0" w:oddHBand="0" w:evenHBand="0" w:firstRowFirstColumn="0" w:firstRowLastColumn="0" w:lastRowFirstColumn="0" w:lastRowLastColumn="0"/>
            <w:tcW w:w="518" w:type="pct"/>
            <w:vMerge w:val="restart"/>
            <w:hideMark/>
          </w:tcPr>
          <w:p w14:paraId="2DF23776" w14:textId="77777777" w:rsidR="007606C7" w:rsidRPr="00BB46CB" w:rsidRDefault="007606C7" w:rsidP="00666947">
            <w:pPr>
              <w:pStyle w:val="TableTextLeft"/>
            </w:pPr>
            <w:r w:rsidRPr="00BB46CB">
              <w:rPr>
                <w:b/>
              </w:rPr>
              <w:t>Inland Country</w:t>
            </w:r>
          </w:p>
        </w:tc>
        <w:tc>
          <w:tcPr>
            <w:tcW w:w="1177" w:type="pct"/>
            <w:vMerge w:val="restart"/>
            <w:hideMark/>
          </w:tcPr>
          <w:p w14:paraId="40467000"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By 2029, native vegetation extent remains or increases and cultural places are protected</w:t>
            </w:r>
          </w:p>
        </w:tc>
        <w:tc>
          <w:tcPr>
            <w:tcW w:w="1581" w:type="pct"/>
            <w:hideMark/>
          </w:tcPr>
          <w:p w14:paraId="69438A70"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Extent of volcanic grasslands</w:t>
            </w:r>
          </w:p>
        </w:tc>
        <w:tc>
          <w:tcPr>
            <w:tcW w:w="423" w:type="pct"/>
            <w:hideMark/>
          </w:tcPr>
          <w:p w14:paraId="5F22CDBE" w14:textId="5A14B4E7"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r w:rsidRPr="00BB46CB">
              <w:t>●</w:t>
            </w:r>
          </w:p>
        </w:tc>
        <w:tc>
          <w:tcPr>
            <w:tcW w:w="434" w:type="pct"/>
            <w:hideMark/>
          </w:tcPr>
          <w:p w14:paraId="553BD0CF" w14:textId="676CDB28"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431" w:type="pct"/>
            <w:hideMark/>
          </w:tcPr>
          <w:p w14:paraId="72C6666B" w14:textId="5620742F"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436" w:type="pct"/>
            <w:hideMark/>
          </w:tcPr>
          <w:p w14:paraId="4054132D" w14:textId="36160312"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r>
      <w:tr w:rsidR="007606C7" w:rsidRPr="00BB46CB" w14:paraId="5F146D13" w14:textId="77777777" w:rsidTr="00B3051D">
        <w:trPr>
          <w:trHeight w:val="176"/>
        </w:trPr>
        <w:tc>
          <w:tcPr>
            <w:cnfStyle w:val="001000000000" w:firstRow="0" w:lastRow="0" w:firstColumn="1" w:lastColumn="0" w:oddVBand="0" w:evenVBand="0" w:oddHBand="0" w:evenHBand="0" w:firstRowFirstColumn="0" w:firstRowLastColumn="0" w:lastRowFirstColumn="0" w:lastRowLastColumn="0"/>
            <w:tcW w:w="518" w:type="pct"/>
            <w:vMerge/>
            <w:hideMark/>
          </w:tcPr>
          <w:p w14:paraId="1CC60F5A" w14:textId="77777777" w:rsidR="007606C7" w:rsidRPr="00BB46CB" w:rsidRDefault="007606C7" w:rsidP="00666947">
            <w:pPr>
              <w:pStyle w:val="TableTextLeft"/>
            </w:pPr>
          </w:p>
        </w:tc>
        <w:tc>
          <w:tcPr>
            <w:tcW w:w="1177" w:type="pct"/>
            <w:vMerge/>
            <w:hideMark/>
          </w:tcPr>
          <w:p w14:paraId="7547A677"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581" w:type="pct"/>
            <w:hideMark/>
          </w:tcPr>
          <w:p w14:paraId="58CA1AF7"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Age classes of woodlands</w:t>
            </w:r>
          </w:p>
        </w:tc>
        <w:tc>
          <w:tcPr>
            <w:tcW w:w="423" w:type="pct"/>
            <w:hideMark/>
          </w:tcPr>
          <w:p w14:paraId="5C7959C2" w14:textId="058094C5"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434" w:type="pct"/>
            <w:hideMark/>
          </w:tcPr>
          <w:p w14:paraId="36755420" w14:textId="6B2FC85A"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r w:rsidRPr="00BB46CB">
              <w:t>●</w:t>
            </w:r>
          </w:p>
        </w:tc>
        <w:tc>
          <w:tcPr>
            <w:tcW w:w="431" w:type="pct"/>
            <w:hideMark/>
          </w:tcPr>
          <w:p w14:paraId="4E2911A3" w14:textId="23261CF5"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436" w:type="pct"/>
            <w:hideMark/>
          </w:tcPr>
          <w:p w14:paraId="18967508" w14:textId="0831AB04"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r>
      <w:tr w:rsidR="007606C7" w:rsidRPr="00BB46CB" w14:paraId="7F0D01E4" w14:textId="77777777" w:rsidTr="00B3051D">
        <w:trPr>
          <w:trHeight w:val="324"/>
        </w:trPr>
        <w:tc>
          <w:tcPr>
            <w:cnfStyle w:val="001000000000" w:firstRow="0" w:lastRow="0" w:firstColumn="1" w:lastColumn="0" w:oddVBand="0" w:evenVBand="0" w:oddHBand="0" w:evenHBand="0" w:firstRowFirstColumn="0" w:firstRowLastColumn="0" w:lastRowFirstColumn="0" w:lastRowLastColumn="0"/>
            <w:tcW w:w="518" w:type="pct"/>
            <w:vMerge/>
            <w:hideMark/>
          </w:tcPr>
          <w:p w14:paraId="2DA96272" w14:textId="77777777" w:rsidR="007606C7" w:rsidRPr="00BB46CB" w:rsidRDefault="007606C7" w:rsidP="00666947">
            <w:pPr>
              <w:pStyle w:val="TableTextLeft"/>
            </w:pPr>
          </w:p>
        </w:tc>
        <w:tc>
          <w:tcPr>
            <w:tcW w:w="1177" w:type="pct"/>
            <w:vMerge/>
            <w:hideMark/>
          </w:tcPr>
          <w:p w14:paraId="56328282"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581" w:type="pct"/>
            <w:hideMark/>
          </w:tcPr>
          <w:p w14:paraId="6AC59FEC"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 of grasslands with cultural burning</w:t>
            </w:r>
          </w:p>
        </w:tc>
        <w:tc>
          <w:tcPr>
            <w:tcW w:w="423" w:type="pct"/>
            <w:hideMark/>
          </w:tcPr>
          <w:p w14:paraId="3A9513C0" w14:textId="747A5AEB"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434" w:type="pct"/>
            <w:hideMark/>
          </w:tcPr>
          <w:p w14:paraId="04237FB3" w14:textId="0FC41BA4"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r w:rsidRPr="00BB46CB">
              <w:t>○</w:t>
            </w:r>
          </w:p>
        </w:tc>
        <w:tc>
          <w:tcPr>
            <w:tcW w:w="431" w:type="pct"/>
            <w:hideMark/>
          </w:tcPr>
          <w:p w14:paraId="60E6AC6C" w14:textId="71650917"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436" w:type="pct"/>
            <w:hideMark/>
          </w:tcPr>
          <w:p w14:paraId="0C71A67F" w14:textId="77777777"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r>
      <w:tr w:rsidR="007606C7" w:rsidRPr="00BB46CB" w14:paraId="60EFE357" w14:textId="77777777" w:rsidTr="00B3051D">
        <w:trPr>
          <w:trHeight w:val="176"/>
        </w:trPr>
        <w:tc>
          <w:tcPr>
            <w:cnfStyle w:val="001000000000" w:firstRow="0" w:lastRow="0" w:firstColumn="1" w:lastColumn="0" w:oddVBand="0" w:evenVBand="0" w:oddHBand="0" w:evenHBand="0" w:firstRowFirstColumn="0" w:firstRowLastColumn="0" w:lastRowFirstColumn="0" w:lastRowLastColumn="0"/>
            <w:tcW w:w="518" w:type="pct"/>
            <w:vMerge/>
            <w:hideMark/>
          </w:tcPr>
          <w:p w14:paraId="310E8B07" w14:textId="77777777" w:rsidR="007606C7" w:rsidRPr="00BB46CB" w:rsidRDefault="007606C7" w:rsidP="00666947">
            <w:pPr>
              <w:pStyle w:val="TableTextLeft"/>
            </w:pPr>
          </w:p>
        </w:tc>
        <w:tc>
          <w:tcPr>
            <w:tcW w:w="1177" w:type="pct"/>
            <w:vMerge/>
            <w:hideMark/>
          </w:tcPr>
          <w:p w14:paraId="15F8677C"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581" w:type="pct"/>
            <w:hideMark/>
          </w:tcPr>
          <w:p w14:paraId="75A6AEA6"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 of cultural foods in grasslands</w:t>
            </w:r>
          </w:p>
        </w:tc>
        <w:tc>
          <w:tcPr>
            <w:tcW w:w="423" w:type="pct"/>
            <w:hideMark/>
          </w:tcPr>
          <w:p w14:paraId="168715C3" w14:textId="4C1A9F21"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434" w:type="pct"/>
            <w:hideMark/>
          </w:tcPr>
          <w:p w14:paraId="575A8C44" w14:textId="3457A4DB"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431" w:type="pct"/>
            <w:hideMark/>
          </w:tcPr>
          <w:p w14:paraId="47C3EFE8" w14:textId="215C46AB"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r w:rsidRPr="00BB46CB">
              <w:t>○</w:t>
            </w:r>
          </w:p>
        </w:tc>
        <w:tc>
          <w:tcPr>
            <w:tcW w:w="436" w:type="pct"/>
            <w:hideMark/>
          </w:tcPr>
          <w:p w14:paraId="42D78401" w14:textId="77777777"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r>
      <w:tr w:rsidR="007606C7" w:rsidRPr="00BB46CB" w14:paraId="61DE3D0C" w14:textId="77777777" w:rsidTr="00B3051D">
        <w:trPr>
          <w:trHeight w:val="167"/>
        </w:trPr>
        <w:tc>
          <w:tcPr>
            <w:cnfStyle w:val="001000000000" w:firstRow="0" w:lastRow="0" w:firstColumn="1" w:lastColumn="0" w:oddVBand="0" w:evenVBand="0" w:oddHBand="0" w:evenHBand="0" w:firstRowFirstColumn="0" w:firstRowLastColumn="0" w:lastRowFirstColumn="0" w:lastRowLastColumn="0"/>
            <w:tcW w:w="518" w:type="pct"/>
            <w:vMerge w:val="restart"/>
            <w:hideMark/>
          </w:tcPr>
          <w:p w14:paraId="6DF17DA9" w14:textId="77777777" w:rsidR="007606C7" w:rsidRPr="00BB46CB" w:rsidRDefault="007606C7" w:rsidP="00666947">
            <w:pPr>
              <w:pStyle w:val="TableTextLeft"/>
            </w:pPr>
            <w:r w:rsidRPr="00BB46CB">
              <w:rPr>
                <w:b/>
              </w:rPr>
              <w:t>Coastal Country</w:t>
            </w:r>
          </w:p>
        </w:tc>
        <w:tc>
          <w:tcPr>
            <w:tcW w:w="1177" w:type="pct"/>
            <w:vMerge w:val="restart"/>
            <w:hideMark/>
          </w:tcPr>
          <w:p w14:paraId="646E9C4D"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By 2029, native vegetation extent remains or increases and cultural places are protected</w:t>
            </w:r>
          </w:p>
        </w:tc>
        <w:tc>
          <w:tcPr>
            <w:tcW w:w="1581" w:type="pct"/>
            <w:hideMark/>
          </w:tcPr>
          <w:p w14:paraId="026F22FF"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Extent of ironbark and heathlands</w:t>
            </w:r>
          </w:p>
        </w:tc>
        <w:tc>
          <w:tcPr>
            <w:tcW w:w="423" w:type="pct"/>
            <w:hideMark/>
          </w:tcPr>
          <w:p w14:paraId="7C9E4F20" w14:textId="77777777"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r w:rsidRPr="00BB46CB">
              <w:t>●</w:t>
            </w:r>
          </w:p>
        </w:tc>
        <w:tc>
          <w:tcPr>
            <w:tcW w:w="434" w:type="pct"/>
            <w:hideMark/>
          </w:tcPr>
          <w:p w14:paraId="604E6B32" w14:textId="6C0FD12E"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431" w:type="pct"/>
            <w:hideMark/>
          </w:tcPr>
          <w:p w14:paraId="3B735593" w14:textId="35D8C15B"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436" w:type="pct"/>
            <w:hideMark/>
          </w:tcPr>
          <w:p w14:paraId="52A6BE45" w14:textId="577E8C42"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r>
      <w:tr w:rsidR="007606C7" w:rsidRPr="00BB46CB" w14:paraId="7588A7C0" w14:textId="77777777" w:rsidTr="00B3051D">
        <w:trPr>
          <w:trHeight w:val="177"/>
        </w:trPr>
        <w:tc>
          <w:tcPr>
            <w:cnfStyle w:val="001000000000" w:firstRow="0" w:lastRow="0" w:firstColumn="1" w:lastColumn="0" w:oddVBand="0" w:evenVBand="0" w:oddHBand="0" w:evenHBand="0" w:firstRowFirstColumn="0" w:firstRowLastColumn="0" w:lastRowFirstColumn="0" w:lastRowLastColumn="0"/>
            <w:tcW w:w="518" w:type="pct"/>
            <w:vMerge/>
            <w:hideMark/>
          </w:tcPr>
          <w:p w14:paraId="25D8E95A" w14:textId="77777777" w:rsidR="007606C7" w:rsidRPr="00BB46CB" w:rsidRDefault="007606C7" w:rsidP="00666947">
            <w:pPr>
              <w:pStyle w:val="TableTextLeft"/>
            </w:pPr>
          </w:p>
        </w:tc>
        <w:tc>
          <w:tcPr>
            <w:tcW w:w="1177" w:type="pct"/>
            <w:vMerge/>
            <w:hideMark/>
          </w:tcPr>
          <w:p w14:paraId="0D7CDC11"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581" w:type="pct"/>
            <w:hideMark/>
          </w:tcPr>
          <w:p w14:paraId="0A133EC3"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 xml:space="preserve">% of cultural sites assessed by </w:t>
            </w:r>
            <w:proofErr w:type="spellStart"/>
            <w:r w:rsidRPr="00BB46CB">
              <w:t>Wadawurrung</w:t>
            </w:r>
            <w:proofErr w:type="spellEnd"/>
          </w:p>
        </w:tc>
        <w:tc>
          <w:tcPr>
            <w:tcW w:w="423" w:type="pct"/>
            <w:hideMark/>
          </w:tcPr>
          <w:p w14:paraId="1F5B765D" w14:textId="2CD7B5C4"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434" w:type="pct"/>
            <w:hideMark/>
          </w:tcPr>
          <w:p w14:paraId="12D8981E" w14:textId="3C32E830"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r w:rsidRPr="00BB46CB">
              <w:t>○</w:t>
            </w:r>
          </w:p>
        </w:tc>
        <w:tc>
          <w:tcPr>
            <w:tcW w:w="431" w:type="pct"/>
            <w:hideMark/>
          </w:tcPr>
          <w:p w14:paraId="1A507192" w14:textId="08026051"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436" w:type="pct"/>
            <w:hideMark/>
          </w:tcPr>
          <w:p w14:paraId="1B21AA22" w14:textId="5E35C5F6"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r>
      <w:tr w:rsidR="007606C7" w:rsidRPr="00BB46CB" w14:paraId="62A7EF78" w14:textId="77777777" w:rsidTr="00B3051D">
        <w:trPr>
          <w:trHeight w:val="167"/>
        </w:trPr>
        <w:tc>
          <w:tcPr>
            <w:cnfStyle w:val="001000000000" w:firstRow="0" w:lastRow="0" w:firstColumn="1" w:lastColumn="0" w:oddVBand="0" w:evenVBand="0" w:oddHBand="0" w:evenHBand="0" w:firstRowFirstColumn="0" w:firstRowLastColumn="0" w:lastRowFirstColumn="0" w:lastRowLastColumn="0"/>
            <w:tcW w:w="518" w:type="pct"/>
            <w:vMerge/>
            <w:hideMark/>
          </w:tcPr>
          <w:p w14:paraId="169862F2" w14:textId="77777777" w:rsidR="007606C7" w:rsidRPr="00BB46CB" w:rsidRDefault="007606C7" w:rsidP="00666947">
            <w:pPr>
              <w:pStyle w:val="TableTextLeft"/>
            </w:pPr>
          </w:p>
        </w:tc>
        <w:tc>
          <w:tcPr>
            <w:tcW w:w="1177" w:type="pct"/>
            <w:vMerge/>
            <w:hideMark/>
          </w:tcPr>
          <w:p w14:paraId="6F188A7E"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581" w:type="pct"/>
            <w:hideMark/>
          </w:tcPr>
          <w:p w14:paraId="1B8606E7"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Condition of coastal cultural sites</w:t>
            </w:r>
          </w:p>
        </w:tc>
        <w:tc>
          <w:tcPr>
            <w:tcW w:w="423" w:type="pct"/>
            <w:hideMark/>
          </w:tcPr>
          <w:p w14:paraId="7FC37A98" w14:textId="4FF85398"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434" w:type="pct"/>
            <w:hideMark/>
          </w:tcPr>
          <w:p w14:paraId="09431FA5" w14:textId="4F6E3EDE"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r w:rsidRPr="00BB46CB">
              <w:t>○</w:t>
            </w:r>
          </w:p>
        </w:tc>
        <w:tc>
          <w:tcPr>
            <w:tcW w:w="431" w:type="pct"/>
            <w:hideMark/>
          </w:tcPr>
          <w:p w14:paraId="6F21AB52" w14:textId="536EAB74"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436" w:type="pct"/>
            <w:hideMark/>
          </w:tcPr>
          <w:p w14:paraId="79B65355" w14:textId="57B4750E"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r>
      <w:tr w:rsidR="007606C7" w:rsidRPr="00BB46CB" w14:paraId="3A980BD3" w14:textId="77777777" w:rsidTr="00B3051D">
        <w:trPr>
          <w:trHeight w:val="167"/>
        </w:trPr>
        <w:tc>
          <w:tcPr>
            <w:cnfStyle w:val="001000000000" w:firstRow="0" w:lastRow="0" w:firstColumn="1" w:lastColumn="0" w:oddVBand="0" w:evenVBand="0" w:oddHBand="0" w:evenHBand="0" w:firstRowFirstColumn="0" w:firstRowLastColumn="0" w:lastRowFirstColumn="0" w:lastRowLastColumn="0"/>
            <w:tcW w:w="518" w:type="pct"/>
            <w:vMerge/>
            <w:hideMark/>
          </w:tcPr>
          <w:p w14:paraId="5F9AB7B7" w14:textId="77777777" w:rsidR="007606C7" w:rsidRPr="00BB46CB" w:rsidRDefault="007606C7" w:rsidP="00666947">
            <w:pPr>
              <w:pStyle w:val="TableTextLeft"/>
            </w:pPr>
          </w:p>
        </w:tc>
        <w:tc>
          <w:tcPr>
            <w:tcW w:w="1177" w:type="pct"/>
            <w:vMerge/>
            <w:hideMark/>
          </w:tcPr>
          <w:p w14:paraId="4D86E19D"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581" w:type="pct"/>
            <w:hideMark/>
          </w:tcPr>
          <w:p w14:paraId="4A8A20B9"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Increased breeding of shorebirds</w:t>
            </w:r>
          </w:p>
        </w:tc>
        <w:tc>
          <w:tcPr>
            <w:tcW w:w="423" w:type="pct"/>
            <w:hideMark/>
          </w:tcPr>
          <w:p w14:paraId="30162722" w14:textId="40FB73DA"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434" w:type="pct"/>
            <w:hideMark/>
          </w:tcPr>
          <w:p w14:paraId="5CE81998" w14:textId="30652111"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r w:rsidRPr="00BB46CB">
              <w:t>○</w:t>
            </w:r>
          </w:p>
        </w:tc>
        <w:tc>
          <w:tcPr>
            <w:tcW w:w="431" w:type="pct"/>
            <w:hideMark/>
          </w:tcPr>
          <w:p w14:paraId="4F2AB8AE" w14:textId="32B25707"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436" w:type="pct"/>
            <w:hideMark/>
          </w:tcPr>
          <w:p w14:paraId="34FBCA98" w14:textId="7EC176D0"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r>
      <w:tr w:rsidR="007606C7" w:rsidRPr="00BB46CB" w14:paraId="1390EF51" w14:textId="77777777" w:rsidTr="00B3051D">
        <w:trPr>
          <w:trHeight w:val="106"/>
        </w:trPr>
        <w:tc>
          <w:tcPr>
            <w:cnfStyle w:val="001000000000" w:firstRow="0" w:lastRow="0" w:firstColumn="1" w:lastColumn="0" w:oddVBand="0" w:evenVBand="0" w:oddHBand="0" w:evenHBand="0" w:firstRowFirstColumn="0" w:firstRowLastColumn="0" w:lastRowFirstColumn="0" w:lastRowLastColumn="0"/>
            <w:tcW w:w="518" w:type="pct"/>
            <w:vMerge w:val="restart"/>
            <w:hideMark/>
          </w:tcPr>
          <w:p w14:paraId="760A78FD" w14:textId="77777777" w:rsidR="007606C7" w:rsidRPr="00BB46CB" w:rsidRDefault="007606C7" w:rsidP="00666947">
            <w:pPr>
              <w:pStyle w:val="TableTextLeft"/>
            </w:pPr>
            <w:r w:rsidRPr="00BB46CB">
              <w:rPr>
                <w:b/>
              </w:rPr>
              <w:t>Sea Country</w:t>
            </w:r>
          </w:p>
        </w:tc>
        <w:tc>
          <w:tcPr>
            <w:tcW w:w="1177" w:type="pct"/>
            <w:vMerge w:val="restart"/>
            <w:hideMark/>
          </w:tcPr>
          <w:p w14:paraId="0AD06BDD"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By 2030, the sea life in species, the seaweed and water quality remains at 2020 numbers and levels</w:t>
            </w:r>
          </w:p>
        </w:tc>
        <w:tc>
          <w:tcPr>
            <w:tcW w:w="1581" w:type="pct"/>
            <w:hideMark/>
          </w:tcPr>
          <w:p w14:paraId="78C6AAC3"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 of kelp forest and dependent sea life</w:t>
            </w:r>
          </w:p>
        </w:tc>
        <w:tc>
          <w:tcPr>
            <w:tcW w:w="423" w:type="pct"/>
            <w:hideMark/>
          </w:tcPr>
          <w:p w14:paraId="789204DB" w14:textId="6D9E2A4F"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r w:rsidRPr="00BB46CB">
              <w:t>○</w:t>
            </w:r>
          </w:p>
        </w:tc>
        <w:tc>
          <w:tcPr>
            <w:tcW w:w="434" w:type="pct"/>
            <w:hideMark/>
          </w:tcPr>
          <w:p w14:paraId="14D135E1" w14:textId="4C4D2891"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r w:rsidRPr="00BB46CB">
              <w:t>○</w:t>
            </w:r>
          </w:p>
        </w:tc>
        <w:tc>
          <w:tcPr>
            <w:tcW w:w="431" w:type="pct"/>
            <w:hideMark/>
          </w:tcPr>
          <w:p w14:paraId="390CB701" w14:textId="471A2B20"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436" w:type="pct"/>
            <w:hideMark/>
          </w:tcPr>
          <w:p w14:paraId="37D57908" w14:textId="51F54C68"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r>
      <w:tr w:rsidR="007606C7" w:rsidRPr="00BB46CB" w14:paraId="68D83347" w14:textId="77777777" w:rsidTr="00B3051D">
        <w:trPr>
          <w:trHeight w:val="106"/>
        </w:trPr>
        <w:tc>
          <w:tcPr>
            <w:cnfStyle w:val="001000000000" w:firstRow="0" w:lastRow="0" w:firstColumn="1" w:lastColumn="0" w:oddVBand="0" w:evenVBand="0" w:oddHBand="0" w:evenHBand="0" w:firstRowFirstColumn="0" w:firstRowLastColumn="0" w:lastRowFirstColumn="0" w:lastRowLastColumn="0"/>
            <w:tcW w:w="518" w:type="pct"/>
            <w:vMerge/>
            <w:hideMark/>
          </w:tcPr>
          <w:p w14:paraId="3A39ADE0" w14:textId="77777777" w:rsidR="007606C7" w:rsidRPr="00BB46CB" w:rsidRDefault="007606C7" w:rsidP="00666947">
            <w:pPr>
              <w:pStyle w:val="TableTextLeft"/>
            </w:pPr>
          </w:p>
        </w:tc>
        <w:tc>
          <w:tcPr>
            <w:tcW w:w="1177" w:type="pct"/>
            <w:vMerge/>
            <w:hideMark/>
          </w:tcPr>
          <w:p w14:paraId="51D02DBC"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581" w:type="pct"/>
            <w:hideMark/>
          </w:tcPr>
          <w:p w14:paraId="3A776A73"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 of sea grass with sea grass dependent fish</w:t>
            </w:r>
          </w:p>
        </w:tc>
        <w:tc>
          <w:tcPr>
            <w:tcW w:w="423" w:type="pct"/>
            <w:hideMark/>
          </w:tcPr>
          <w:p w14:paraId="123B9FDD" w14:textId="53E401B8"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r w:rsidRPr="00BB46CB">
              <w:t>○</w:t>
            </w:r>
          </w:p>
        </w:tc>
        <w:tc>
          <w:tcPr>
            <w:tcW w:w="434" w:type="pct"/>
            <w:hideMark/>
          </w:tcPr>
          <w:p w14:paraId="14708BD9" w14:textId="691641F6"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r w:rsidRPr="00BB46CB">
              <w:t>○</w:t>
            </w:r>
          </w:p>
        </w:tc>
        <w:tc>
          <w:tcPr>
            <w:tcW w:w="431" w:type="pct"/>
            <w:hideMark/>
          </w:tcPr>
          <w:p w14:paraId="3CB1BDE7" w14:textId="15ED6F55"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436" w:type="pct"/>
            <w:hideMark/>
          </w:tcPr>
          <w:p w14:paraId="09CF17FE" w14:textId="50D4D81C"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r>
      <w:tr w:rsidR="007606C7" w:rsidRPr="00BB46CB" w14:paraId="25E4924D" w14:textId="77777777" w:rsidTr="00B3051D">
        <w:trPr>
          <w:trHeight w:val="106"/>
        </w:trPr>
        <w:tc>
          <w:tcPr>
            <w:cnfStyle w:val="001000000000" w:firstRow="0" w:lastRow="0" w:firstColumn="1" w:lastColumn="0" w:oddVBand="0" w:evenVBand="0" w:oddHBand="0" w:evenHBand="0" w:firstRowFirstColumn="0" w:firstRowLastColumn="0" w:lastRowFirstColumn="0" w:lastRowLastColumn="0"/>
            <w:tcW w:w="518" w:type="pct"/>
            <w:vMerge/>
            <w:hideMark/>
          </w:tcPr>
          <w:p w14:paraId="493419FC" w14:textId="77777777" w:rsidR="007606C7" w:rsidRPr="00BB46CB" w:rsidRDefault="007606C7" w:rsidP="00666947">
            <w:pPr>
              <w:pStyle w:val="TableTextLeft"/>
            </w:pPr>
          </w:p>
        </w:tc>
        <w:tc>
          <w:tcPr>
            <w:tcW w:w="1177" w:type="pct"/>
            <w:vMerge/>
            <w:hideMark/>
          </w:tcPr>
          <w:p w14:paraId="6ED5C7AA"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581" w:type="pct"/>
            <w:hideMark/>
          </w:tcPr>
          <w:p w14:paraId="1A59ACE9"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 xml:space="preserve">% of </w:t>
            </w:r>
            <w:proofErr w:type="spellStart"/>
            <w:r w:rsidRPr="00BB46CB">
              <w:t>Wadawurrung</w:t>
            </w:r>
            <w:proofErr w:type="spellEnd"/>
            <w:r w:rsidRPr="00BB46CB">
              <w:t xml:space="preserve"> people accessing sea resources</w:t>
            </w:r>
          </w:p>
        </w:tc>
        <w:tc>
          <w:tcPr>
            <w:tcW w:w="423" w:type="pct"/>
            <w:hideMark/>
          </w:tcPr>
          <w:p w14:paraId="7D4B2CB3" w14:textId="107387E9"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434" w:type="pct"/>
            <w:hideMark/>
          </w:tcPr>
          <w:p w14:paraId="47FEC8DC" w14:textId="3B31B20A"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431" w:type="pct"/>
            <w:hideMark/>
          </w:tcPr>
          <w:p w14:paraId="146C8740" w14:textId="7C87EC8A"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r w:rsidRPr="00BB46CB">
              <w:t>○</w:t>
            </w:r>
          </w:p>
        </w:tc>
        <w:tc>
          <w:tcPr>
            <w:tcW w:w="436" w:type="pct"/>
            <w:hideMark/>
          </w:tcPr>
          <w:p w14:paraId="228D683C" w14:textId="058A7235"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r>
      <w:tr w:rsidR="007606C7" w:rsidRPr="00BB46CB" w14:paraId="5F666C71" w14:textId="77777777" w:rsidTr="00B3051D">
        <w:trPr>
          <w:trHeight w:val="106"/>
        </w:trPr>
        <w:tc>
          <w:tcPr>
            <w:cnfStyle w:val="001000000000" w:firstRow="0" w:lastRow="0" w:firstColumn="1" w:lastColumn="0" w:oddVBand="0" w:evenVBand="0" w:oddHBand="0" w:evenHBand="0" w:firstRowFirstColumn="0" w:firstRowLastColumn="0" w:lastRowFirstColumn="0" w:lastRowLastColumn="0"/>
            <w:tcW w:w="518" w:type="pct"/>
            <w:vMerge w:val="restart"/>
            <w:hideMark/>
          </w:tcPr>
          <w:p w14:paraId="4CCD58E8" w14:textId="77777777" w:rsidR="007606C7" w:rsidRPr="00BB46CB" w:rsidRDefault="007606C7" w:rsidP="00666947">
            <w:pPr>
              <w:pStyle w:val="TableTextLeft"/>
            </w:pPr>
            <w:r w:rsidRPr="00BB46CB">
              <w:rPr>
                <w:b/>
              </w:rPr>
              <w:t>Native Animals</w:t>
            </w:r>
          </w:p>
        </w:tc>
        <w:tc>
          <w:tcPr>
            <w:tcW w:w="1177" w:type="pct"/>
            <w:vMerge w:val="restart"/>
            <w:hideMark/>
          </w:tcPr>
          <w:p w14:paraId="7CD89A50"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By 2030, no more of our native animals have become threatened; by 2035, at least one threatened species is no longer threatened</w:t>
            </w:r>
          </w:p>
        </w:tc>
        <w:tc>
          <w:tcPr>
            <w:tcW w:w="1581" w:type="pct"/>
            <w:hideMark/>
          </w:tcPr>
          <w:p w14:paraId="1CA4EDB2"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Numbers of different types of native animals</w:t>
            </w:r>
          </w:p>
        </w:tc>
        <w:tc>
          <w:tcPr>
            <w:tcW w:w="423" w:type="pct"/>
            <w:hideMark/>
          </w:tcPr>
          <w:p w14:paraId="7E3F783D" w14:textId="2B4C0956"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434" w:type="pct"/>
            <w:hideMark/>
          </w:tcPr>
          <w:p w14:paraId="63F4AD4D" w14:textId="77777777"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r w:rsidRPr="00BB46CB">
              <w:t>●</w:t>
            </w:r>
          </w:p>
        </w:tc>
        <w:tc>
          <w:tcPr>
            <w:tcW w:w="431" w:type="pct"/>
            <w:hideMark/>
          </w:tcPr>
          <w:p w14:paraId="3CA9479A" w14:textId="1F0EF6EB"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436" w:type="pct"/>
            <w:hideMark/>
          </w:tcPr>
          <w:p w14:paraId="452CB69D" w14:textId="1C236493"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r>
      <w:tr w:rsidR="007606C7" w:rsidRPr="00BB46CB" w14:paraId="0A32B72F" w14:textId="77777777" w:rsidTr="00B3051D">
        <w:trPr>
          <w:trHeight w:val="106"/>
        </w:trPr>
        <w:tc>
          <w:tcPr>
            <w:cnfStyle w:val="001000000000" w:firstRow="0" w:lastRow="0" w:firstColumn="1" w:lastColumn="0" w:oddVBand="0" w:evenVBand="0" w:oddHBand="0" w:evenHBand="0" w:firstRowFirstColumn="0" w:firstRowLastColumn="0" w:lastRowFirstColumn="0" w:lastRowLastColumn="0"/>
            <w:tcW w:w="518" w:type="pct"/>
            <w:vMerge/>
            <w:hideMark/>
          </w:tcPr>
          <w:p w14:paraId="775B08DC" w14:textId="77777777" w:rsidR="007606C7" w:rsidRPr="00BB46CB" w:rsidRDefault="007606C7" w:rsidP="00666947">
            <w:pPr>
              <w:pStyle w:val="TableTextLeft"/>
            </w:pPr>
          </w:p>
        </w:tc>
        <w:tc>
          <w:tcPr>
            <w:tcW w:w="1177" w:type="pct"/>
            <w:vMerge/>
            <w:hideMark/>
          </w:tcPr>
          <w:p w14:paraId="7A6FC9A4"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581" w:type="pct"/>
            <w:hideMark/>
          </w:tcPr>
          <w:p w14:paraId="2D97A42C"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Numbers of threatened species: Striped Legless Lizard, Golden Sun Moth, Growling Grass Frog</w:t>
            </w:r>
          </w:p>
        </w:tc>
        <w:tc>
          <w:tcPr>
            <w:tcW w:w="423" w:type="pct"/>
            <w:hideMark/>
          </w:tcPr>
          <w:p w14:paraId="2D81EEBF" w14:textId="14D60EA8"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434" w:type="pct"/>
            <w:hideMark/>
          </w:tcPr>
          <w:p w14:paraId="6CB0E927" w14:textId="77777777"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r w:rsidRPr="00BB46CB">
              <w:t>●</w:t>
            </w:r>
          </w:p>
        </w:tc>
        <w:tc>
          <w:tcPr>
            <w:tcW w:w="431" w:type="pct"/>
            <w:hideMark/>
          </w:tcPr>
          <w:p w14:paraId="59ED8037" w14:textId="72FCFFCC"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436" w:type="pct"/>
            <w:hideMark/>
          </w:tcPr>
          <w:p w14:paraId="075CB259" w14:textId="6EEE1ADC"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r>
      <w:tr w:rsidR="007606C7" w:rsidRPr="00BB46CB" w14:paraId="3D6AFA25" w14:textId="77777777" w:rsidTr="00B3051D">
        <w:trPr>
          <w:trHeight w:val="106"/>
        </w:trPr>
        <w:tc>
          <w:tcPr>
            <w:cnfStyle w:val="001000000000" w:firstRow="0" w:lastRow="0" w:firstColumn="1" w:lastColumn="0" w:oddVBand="0" w:evenVBand="0" w:oddHBand="0" w:evenHBand="0" w:firstRowFirstColumn="0" w:firstRowLastColumn="0" w:lastRowFirstColumn="0" w:lastRowLastColumn="0"/>
            <w:tcW w:w="518" w:type="pct"/>
            <w:vMerge/>
            <w:hideMark/>
          </w:tcPr>
          <w:p w14:paraId="56AA380D" w14:textId="77777777" w:rsidR="007606C7" w:rsidRPr="00BB46CB" w:rsidRDefault="007606C7" w:rsidP="00666947">
            <w:pPr>
              <w:pStyle w:val="TableTextLeft"/>
            </w:pPr>
          </w:p>
        </w:tc>
        <w:tc>
          <w:tcPr>
            <w:tcW w:w="1177" w:type="pct"/>
            <w:vMerge/>
            <w:hideMark/>
          </w:tcPr>
          <w:p w14:paraId="5B352A7B"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581" w:type="pct"/>
            <w:hideMark/>
          </w:tcPr>
          <w:p w14:paraId="4DB73F4C" w14:textId="265EDED9" w:rsidR="007606C7" w:rsidRPr="00BB46CB" w:rsidRDefault="007606C7" w:rsidP="0012010E">
            <w:pPr>
              <w:pStyle w:val="TableTextLeft"/>
              <w:cnfStyle w:val="000000000000" w:firstRow="0" w:lastRow="0" w:firstColumn="0" w:lastColumn="0" w:oddVBand="0" w:evenVBand="0" w:oddHBand="0" w:evenHBand="0" w:firstRowFirstColumn="0" w:firstRowLastColumn="0" w:lastRowFirstColumn="0" w:lastRowLastColumn="0"/>
            </w:pPr>
            <w:r w:rsidRPr="00BB46CB">
              <w:t xml:space="preserve">Number of </w:t>
            </w:r>
            <w:proofErr w:type="spellStart"/>
            <w:r w:rsidRPr="00BB46CB">
              <w:t>Wadawurrung</w:t>
            </w:r>
            <w:proofErr w:type="spellEnd"/>
            <w:r w:rsidRPr="00BB46CB">
              <w:t xml:space="preserve"> people who know and are looking after their totemic animals</w:t>
            </w:r>
          </w:p>
        </w:tc>
        <w:tc>
          <w:tcPr>
            <w:tcW w:w="423" w:type="pct"/>
            <w:hideMark/>
          </w:tcPr>
          <w:p w14:paraId="0A04326F" w14:textId="3F895D63"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434" w:type="pct"/>
            <w:hideMark/>
          </w:tcPr>
          <w:p w14:paraId="5E0F8E69" w14:textId="77777777"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r w:rsidRPr="00BB46CB">
              <w:t>○</w:t>
            </w:r>
          </w:p>
        </w:tc>
        <w:tc>
          <w:tcPr>
            <w:tcW w:w="431" w:type="pct"/>
            <w:hideMark/>
          </w:tcPr>
          <w:p w14:paraId="15D733EE" w14:textId="13D0755C"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436" w:type="pct"/>
            <w:hideMark/>
          </w:tcPr>
          <w:p w14:paraId="7BEFE682" w14:textId="3F330E75" w:rsidR="007606C7" w:rsidRPr="00BB46CB" w:rsidRDefault="007606C7" w:rsidP="0012010E">
            <w:pPr>
              <w:pStyle w:val="TableTextLeft"/>
              <w:jc w:val="center"/>
              <w:cnfStyle w:val="000000000000" w:firstRow="0" w:lastRow="0" w:firstColumn="0" w:lastColumn="0" w:oddVBand="0" w:evenVBand="0" w:oddHBand="0" w:evenHBand="0" w:firstRowFirstColumn="0" w:firstRowLastColumn="0" w:lastRowFirstColumn="0" w:lastRowLastColumn="0"/>
            </w:pPr>
          </w:p>
        </w:tc>
      </w:tr>
      <w:tr w:rsidR="007606C7" w:rsidRPr="00BB46CB" w14:paraId="63C2DB46" w14:textId="77777777" w:rsidTr="0012010E">
        <w:trPr>
          <w:trHeight w:val="106"/>
        </w:trPr>
        <w:tc>
          <w:tcPr>
            <w:cnfStyle w:val="001000000000" w:firstRow="0" w:lastRow="0" w:firstColumn="1" w:lastColumn="0" w:oddVBand="0" w:evenVBand="0" w:oddHBand="0" w:evenHBand="0" w:firstRowFirstColumn="0" w:firstRowLastColumn="0" w:lastRowFirstColumn="0" w:lastRowLastColumn="0"/>
            <w:tcW w:w="518" w:type="pct"/>
            <w:shd w:val="clear" w:color="auto" w:fill="B8E9EC" w:themeFill="accent6"/>
          </w:tcPr>
          <w:p w14:paraId="4C0B2D17" w14:textId="77777777" w:rsidR="007606C7" w:rsidRPr="00BB46CB" w:rsidRDefault="007606C7" w:rsidP="00666947">
            <w:pPr>
              <w:pStyle w:val="TableTextLeft"/>
            </w:pPr>
            <w:r w:rsidRPr="00BB46CB">
              <w:rPr>
                <w:b/>
              </w:rPr>
              <w:t>KEY</w:t>
            </w:r>
          </w:p>
        </w:tc>
        <w:tc>
          <w:tcPr>
            <w:tcW w:w="4482" w:type="pct"/>
            <w:gridSpan w:val="6"/>
            <w:shd w:val="clear" w:color="auto" w:fill="B8E9EC" w:themeFill="accent6"/>
          </w:tcPr>
          <w:p w14:paraId="63CDA86A"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 Metric currently exists within GORCAP EEA          ○ Metric for Potential future integration into account</w:t>
            </w:r>
          </w:p>
        </w:tc>
      </w:tr>
    </w:tbl>
    <w:p w14:paraId="4562F46E" w14:textId="77777777" w:rsidR="007606C7" w:rsidRPr="00BB46CB" w:rsidRDefault="007606C7" w:rsidP="007606C7">
      <w:pPr>
        <w:pStyle w:val="BodyText"/>
      </w:pPr>
    </w:p>
    <w:p w14:paraId="0047FE4D" w14:textId="77777777" w:rsidR="007606C7" w:rsidRPr="00BB46CB" w:rsidRDefault="007606C7" w:rsidP="00B3051D">
      <w:pPr>
        <w:pStyle w:val="Caption"/>
      </w:pPr>
      <w:r w:rsidRPr="00BB46CB">
        <w:lastRenderedPageBreak/>
        <w:t xml:space="preserve">Table 77. Partial environmental-economic account for </w:t>
      </w:r>
      <w:proofErr w:type="spellStart"/>
      <w:r w:rsidRPr="00BB46CB">
        <w:t>Wadawurrung</w:t>
      </w:r>
      <w:proofErr w:type="spellEnd"/>
      <w:r w:rsidRPr="00BB46CB">
        <w:t xml:space="preserve"> Country based on overlaps between Country Plan indicators and GORCAP EEA metrics </w:t>
      </w:r>
    </w:p>
    <w:tbl>
      <w:tblPr>
        <w:tblStyle w:val="TableGrid"/>
        <w:tblW w:w="5000" w:type="pct"/>
        <w:tblLook w:val="04A0" w:firstRow="1" w:lastRow="0" w:firstColumn="1" w:lastColumn="0" w:noHBand="0" w:noVBand="1"/>
      </w:tblPr>
      <w:tblGrid>
        <w:gridCol w:w="3768"/>
        <w:gridCol w:w="1309"/>
        <w:gridCol w:w="2460"/>
        <w:gridCol w:w="857"/>
        <w:gridCol w:w="2573"/>
        <w:gridCol w:w="1886"/>
        <w:gridCol w:w="1719"/>
      </w:tblGrid>
      <w:tr w:rsidR="007606C7" w:rsidRPr="00BB46CB" w14:paraId="6D7E79D8" w14:textId="77777777" w:rsidTr="00B3051D">
        <w:trPr>
          <w:cnfStyle w:val="100000000000" w:firstRow="1" w:lastRow="0" w:firstColumn="0" w:lastColumn="0" w:oddVBand="0" w:evenVBand="0" w:oddHBand="0"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293" w:type="pct"/>
          </w:tcPr>
          <w:p w14:paraId="6B37D945" w14:textId="77777777" w:rsidR="007606C7" w:rsidRPr="00BB46CB" w:rsidRDefault="007606C7" w:rsidP="00666947">
            <w:pPr>
              <w:pStyle w:val="TableTextLeft"/>
            </w:pPr>
            <w:r w:rsidRPr="00BB46CB">
              <w:rPr>
                <w:b/>
              </w:rPr>
              <w:t xml:space="preserve">Associated </w:t>
            </w:r>
            <w:proofErr w:type="spellStart"/>
            <w:r w:rsidRPr="00BB46CB">
              <w:rPr>
                <w:b/>
              </w:rPr>
              <w:t>Wadawurrung</w:t>
            </w:r>
            <w:proofErr w:type="spellEnd"/>
            <w:r w:rsidRPr="00BB46CB">
              <w:rPr>
                <w:b/>
              </w:rPr>
              <w:t xml:space="preserve"> Country Plan Indicator </w:t>
            </w:r>
          </w:p>
        </w:tc>
        <w:tc>
          <w:tcPr>
            <w:tcW w:w="449" w:type="pct"/>
          </w:tcPr>
          <w:p w14:paraId="58971F28" w14:textId="77777777" w:rsidR="007606C7" w:rsidRPr="00BB46CB" w:rsidRDefault="007606C7" w:rsidP="00666947">
            <w:pPr>
              <w:pStyle w:val="TableTextLeft"/>
              <w:cnfStyle w:val="100000000000" w:firstRow="1" w:lastRow="0" w:firstColumn="0" w:lastColumn="0" w:oddVBand="0" w:evenVBand="0" w:oddHBand="0" w:evenHBand="0" w:firstRowFirstColumn="0" w:firstRowLastColumn="0" w:lastRowFirstColumn="0" w:lastRowLastColumn="0"/>
            </w:pPr>
            <w:r w:rsidRPr="00BB46CB">
              <w:rPr>
                <w:b/>
              </w:rPr>
              <w:t>Resolution</w:t>
            </w:r>
          </w:p>
        </w:tc>
        <w:tc>
          <w:tcPr>
            <w:tcW w:w="844" w:type="pct"/>
          </w:tcPr>
          <w:p w14:paraId="38931B5F" w14:textId="77777777" w:rsidR="007606C7" w:rsidRPr="00BB46CB" w:rsidRDefault="007606C7" w:rsidP="00666947">
            <w:pPr>
              <w:pStyle w:val="TableTextLeft"/>
              <w:cnfStyle w:val="100000000000" w:firstRow="1" w:lastRow="0" w:firstColumn="0" w:lastColumn="0" w:oddVBand="0" w:evenVBand="0" w:oddHBand="0" w:evenHBand="0" w:firstRowFirstColumn="0" w:firstRowLastColumn="0" w:lastRowFirstColumn="0" w:lastRowLastColumn="0"/>
            </w:pPr>
            <w:r w:rsidRPr="00BB46CB">
              <w:rPr>
                <w:b/>
              </w:rPr>
              <w:t>Source</w:t>
            </w:r>
          </w:p>
        </w:tc>
        <w:tc>
          <w:tcPr>
            <w:tcW w:w="294" w:type="pct"/>
          </w:tcPr>
          <w:p w14:paraId="7E8DDD2E" w14:textId="77777777" w:rsidR="007606C7" w:rsidRPr="00BB46CB" w:rsidRDefault="007606C7" w:rsidP="00666947">
            <w:pPr>
              <w:pStyle w:val="TableTextLeft"/>
              <w:cnfStyle w:val="100000000000" w:firstRow="1" w:lastRow="0" w:firstColumn="0" w:lastColumn="0" w:oddVBand="0" w:evenVBand="0" w:oddHBand="0" w:evenHBand="0" w:firstRowFirstColumn="0" w:firstRowLastColumn="0" w:lastRowFirstColumn="0" w:lastRowLastColumn="0"/>
            </w:pPr>
            <w:r w:rsidRPr="00BB46CB">
              <w:rPr>
                <w:b/>
              </w:rPr>
              <w:t>Year</w:t>
            </w:r>
          </w:p>
        </w:tc>
        <w:tc>
          <w:tcPr>
            <w:tcW w:w="883" w:type="pct"/>
          </w:tcPr>
          <w:p w14:paraId="236B2D77" w14:textId="77777777" w:rsidR="007606C7" w:rsidRPr="00BB46CB" w:rsidRDefault="007606C7" w:rsidP="00666947">
            <w:pPr>
              <w:pStyle w:val="TableTextLeft"/>
              <w:cnfStyle w:val="100000000000" w:firstRow="1" w:lastRow="0" w:firstColumn="0" w:lastColumn="0" w:oddVBand="0" w:evenVBand="0" w:oddHBand="0" w:evenHBand="0" w:firstRowFirstColumn="0" w:firstRowLastColumn="0" w:lastRowFirstColumn="0" w:lastRowLastColumn="0"/>
            </w:pPr>
            <w:r w:rsidRPr="00BB46CB">
              <w:rPr>
                <w:b/>
              </w:rPr>
              <w:t>Metric</w:t>
            </w:r>
          </w:p>
        </w:tc>
        <w:tc>
          <w:tcPr>
            <w:tcW w:w="647" w:type="pct"/>
          </w:tcPr>
          <w:p w14:paraId="61BBFC87" w14:textId="77777777" w:rsidR="007606C7" w:rsidRPr="00BB46CB" w:rsidRDefault="007606C7" w:rsidP="00666947">
            <w:pPr>
              <w:pStyle w:val="TableTextLeft"/>
              <w:cnfStyle w:val="100000000000" w:firstRow="1" w:lastRow="0" w:firstColumn="0" w:lastColumn="0" w:oddVBand="0" w:evenVBand="0" w:oddHBand="0" w:evenHBand="0" w:firstRowFirstColumn="0" w:firstRowLastColumn="0" w:lastRowFirstColumn="0" w:lastRowLastColumn="0"/>
            </w:pPr>
            <w:r w:rsidRPr="00BB46CB">
              <w:rPr>
                <w:b/>
              </w:rPr>
              <w:t>Extent / Condition Score</w:t>
            </w:r>
          </w:p>
        </w:tc>
        <w:tc>
          <w:tcPr>
            <w:tcW w:w="590" w:type="pct"/>
          </w:tcPr>
          <w:p w14:paraId="03D3C022" w14:textId="77777777" w:rsidR="007606C7" w:rsidRPr="00BB46CB" w:rsidRDefault="007606C7" w:rsidP="00666947">
            <w:pPr>
              <w:pStyle w:val="TableTextLeft"/>
              <w:cnfStyle w:val="100000000000" w:firstRow="1" w:lastRow="0" w:firstColumn="0" w:lastColumn="0" w:oddVBand="0" w:evenVBand="0" w:oddHBand="0" w:evenHBand="0" w:firstRowFirstColumn="0" w:firstRowLastColumn="0" w:lastRowFirstColumn="0" w:lastRowLastColumn="0"/>
              <w:rPr>
                <w:b/>
              </w:rPr>
            </w:pPr>
            <w:r w:rsidRPr="00BB46CB">
              <w:rPr>
                <w:b/>
              </w:rPr>
              <w:t>Uncertainty</w:t>
            </w:r>
          </w:p>
        </w:tc>
      </w:tr>
      <w:tr w:rsidR="007606C7" w:rsidRPr="00BB46CB" w14:paraId="509494B8" w14:textId="77777777" w:rsidTr="00B3051D">
        <w:trPr>
          <w:trHeight w:val="55"/>
        </w:trPr>
        <w:tc>
          <w:tcPr>
            <w:cnfStyle w:val="001000000000" w:firstRow="0" w:lastRow="0" w:firstColumn="1" w:lastColumn="0" w:oddVBand="0" w:evenVBand="0" w:oddHBand="0" w:evenHBand="0" w:firstRowFirstColumn="0" w:firstRowLastColumn="0" w:lastRowFirstColumn="0" w:lastRowLastColumn="0"/>
            <w:tcW w:w="5000" w:type="pct"/>
            <w:gridSpan w:val="7"/>
            <w:shd w:val="clear" w:color="auto" w:fill="201547" w:themeFill="text2"/>
          </w:tcPr>
          <w:p w14:paraId="281534BA" w14:textId="77777777" w:rsidR="007606C7" w:rsidRPr="00B3051D" w:rsidRDefault="007606C7" w:rsidP="00666947">
            <w:pPr>
              <w:pStyle w:val="TableTextLeft"/>
              <w:rPr>
                <w:i/>
                <w:color w:val="FFFFFF" w:themeColor="background1"/>
              </w:rPr>
            </w:pPr>
            <w:r w:rsidRPr="00B3051D">
              <w:rPr>
                <w:i/>
                <w:color w:val="FFFFFF" w:themeColor="background1"/>
              </w:rPr>
              <w:t>Waterways, Rivers, Estuaries and Wetlands</w:t>
            </w:r>
          </w:p>
        </w:tc>
      </w:tr>
      <w:tr w:rsidR="007606C7" w:rsidRPr="00BB46CB" w14:paraId="1D67E7DC" w14:textId="77777777" w:rsidTr="00B3051D">
        <w:trPr>
          <w:trHeight w:val="55"/>
        </w:trPr>
        <w:tc>
          <w:tcPr>
            <w:cnfStyle w:val="001000000000" w:firstRow="0" w:lastRow="0" w:firstColumn="1" w:lastColumn="0" w:oddVBand="0" w:evenVBand="0" w:oddHBand="0" w:evenHBand="0" w:firstRowFirstColumn="0" w:firstRowLastColumn="0" w:lastRowFirstColumn="0" w:lastRowLastColumn="0"/>
            <w:tcW w:w="1293" w:type="pct"/>
          </w:tcPr>
          <w:p w14:paraId="6F1A25D1" w14:textId="77777777" w:rsidR="007606C7" w:rsidRPr="00BB46CB" w:rsidRDefault="007606C7" w:rsidP="00666947">
            <w:pPr>
              <w:pStyle w:val="TableTextLeft"/>
            </w:pPr>
            <w:r w:rsidRPr="00BB46CB">
              <w:t>Water Quality</w:t>
            </w:r>
          </w:p>
        </w:tc>
        <w:tc>
          <w:tcPr>
            <w:tcW w:w="449" w:type="pct"/>
          </w:tcPr>
          <w:p w14:paraId="5929ADFF"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1:25k</w:t>
            </w:r>
          </w:p>
        </w:tc>
        <w:tc>
          <w:tcPr>
            <w:tcW w:w="844" w:type="pct"/>
          </w:tcPr>
          <w:p w14:paraId="2F04FF35"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DELWP (2021b)</w:t>
            </w:r>
          </w:p>
        </w:tc>
        <w:tc>
          <w:tcPr>
            <w:tcW w:w="294" w:type="pct"/>
          </w:tcPr>
          <w:p w14:paraId="6DBF597C"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2021</w:t>
            </w:r>
          </w:p>
        </w:tc>
        <w:tc>
          <w:tcPr>
            <w:tcW w:w="883" w:type="pct"/>
          </w:tcPr>
          <w:p w14:paraId="60D8E3F4"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Score 0-50</w:t>
            </w:r>
          </w:p>
        </w:tc>
        <w:tc>
          <w:tcPr>
            <w:tcW w:w="647" w:type="pct"/>
          </w:tcPr>
          <w:p w14:paraId="7BADF5DB"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29 (poor)</w:t>
            </w:r>
            <w:r w:rsidRPr="00BB46CB">
              <w:rPr>
                <w:vertAlign w:val="superscript"/>
              </w:rPr>
              <w:t>a</w:t>
            </w:r>
          </w:p>
        </w:tc>
        <w:tc>
          <w:tcPr>
            <w:tcW w:w="590" w:type="pct"/>
          </w:tcPr>
          <w:p w14:paraId="5BBDDA2D"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Medium</w:t>
            </w:r>
          </w:p>
        </w:tc>
      </w:tr>
      <w:tr w:rsidR="007606C7" w:rsidRPr="00BB46CB" w14:paraId="6B538943" w14:textId="77777777" w:rsidTr="00B3051D">
        <w:trPr>
          <w:trHeight w:val="55"/>
        </w:trPr>
        <w:tc>
          <w:tcPr>
            <w:cnfStyle w:val="001000000000" w:firstRow="0" w:lastRow="0" w:firstColumn="1" w:lastColumn="0" w:oddVBand="0" w:evenVBand="0" w:oddHBand="0" w:evenHBand="0" w:firstRowFirstColumn="0" w:firstRowLastColumn="0" w:lastRowFirstColumn="0" w:lastRowLastColumn="0"/>
            <w:tcW w:w="5000" w:type="pct"/>
            <w:gridSpan w:val="7"/>
            <w:shd w:val="clear" w:color="auto" w:fill="201547" w:themeFill="text2"/>
          </w:tcPr>
          <w:p w14:paraId="3636B1E6" w14:textId="77777777" w:rsidR="007606C7" w:rsidRPr="00BB46CB" w:rsidRDefault="007606C7" w:rsidP="00666947">
            <w:pPr>
              <w:pStyle w:val="TableTextLeft"/>
            </w:pPr>
            <w:r w:rsidRPr="00BB46CB">
              <w:rPr>
                <w:i/>
              </w:rPr>
              <w:t>Inland Country</w:t>
            </w:r>
          </w:p>
        </w:tc>
      </w:tr>
      <w:tr w:rsidR="007606C7" w:rsidRPr="00BB46CB" w14:paraId="2DF8E81D" w14:textId="77777777" w:rsidTr="00B3051D">
        <w:trPr>
          <w:trHeight w:val="55"/>
        </w:trPr>
        <w:tc>
          <w:tcPr>
            <w:cnfStyle w:val="001000000000" w:firstRow="0" w:lastRow="0" w:firstColumn="1" w:lastColumn="0" w:oddVBand="0" w:evenVBand="0" w:oddHBand="0" w:evenHBand="0" w:firstRowFirstColumn="0" w:firstRowLastColumn="0" w:lastRowFirstColumn="0" w:lastRowLastColumn="0"/>
            <w:tcW w:w="1293" w:type="pct"/>
          </w:tcPr>
          <w:p w14:paraId="7EC5BED4" w14:textId="77777777" w:rsidR="007606C7" w:rsidRPr="00BB46CB" w:rsidRDefault="007606C7" w:rsidP="00666947">
            <w:pPr>
              <w:pStyle w:val="TableTextLeft"/>
            </w:pPr>
            <w:r w:rsidRPr="00BB46CB">
              <w:t>Extent of volcanic grasslands</w:t>
            </w:r>
          </w:p>
        </w:tc>
        <w:tc>
          <w:tcPr>
            <w:tcW w:w="449" w:type="pct"/>
          </w:tcPr>
          <w:p w14:paraId="0336D603"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25m</w:t>
            </w:r>
          </w:p>
        </w:tc>
        <w:tc>
          <w:tcPr>
            <w:tcW w:w="844" w:type="pct"/>
          </w:tcPr>
          <w:p w14:paraId="69BCE277"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DELWP (2018c; 2020b)</w:t>
            </w:r>
          </w:p>
        </w:tc>
        <w:tc>
          <w:tcPr>
            <w:tcW w:w="294" w:type="pct"/>
          </w:tcPr>
          <w:p w14:paraId="0E48E3F9"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2019</w:t>
            </w:r>
          </w:p>
        </w:tc>
        <w:tc>
          <w:tcPr>
            <w:tcW w:w="883" w:type="pct"/>
          </w:tcPr>
          <w:p w14:paraId="1D5E91CA"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Hectares</w:t>
            </w:r>
          </w:p>
        </w:tc>
        <w:tc>
          <w:tcPr>
            <w:tcW w:w="647" w:type="pct"/>
          </w:tcPr>
          <w:p w14:paraId="500BAD0D"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0</w:t>
            </w:r>
          </w:p>
        </w:tc>
        <w:tc>
          <w:tcPr>
            <w:tcW w:w="590" w:type="pct"/>
          </w:tcPr>
          <w:p w14:paraId="6AFAAE2D"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Medium</w:t>
            </w:r>
          </w:p>
        </w:tc>
      </w:tr>
      <w:tr w:rsidR="007606C7" w:rsidRPr="00BB46CB" w14:paraId="036C0AF5" w14:textId="77777777" w:rsidTr="00B3051D">
        <w:trPr>
          <w:trHeight w:val="55"/>
        </w:trPr>
        <w:tc>
          <w:tcPr>
            <w:cnfStyle w:val="001000000000" w:firstRow="0" w:lastRow="0" w:firstColumn="1" w:lastColumn="0" w:oddVBand="0" w:evenVBand="0" w:oddHBand="0" w:evenHBand="0" w:firstRowFirstColumn="0" w:firstRowLastColumn="0" w:lastRowFirstColumn="0" w:lastRowLastColumn="0"/>
            <w:tcW w:w="1293" w:type="pct"/>
            <w:vMerge w:val="restart"/>
          </w:tcPr>
          <w:p w14:paraId="40ED6C70" w14:textId="77777777" w:rsidR="007606C7" w:rsidRPr="00BB46CB" w:rsidRDefault="007606C7" w:rsidP="00666947">
            <w:pPr>
              <w:pStyle w:val="TableTextLeft"/>
            </w:pPr>
            <w:r w:rsidRPr="00BB46CB">
              <w:t>Age classes of woodlands</w:t>
            </w:r>
          </w:p>
        </w:tc>
        <w:tc>
          <w:tcPr>
            <w:tcW w:w="449" w:type="pct"/>
            <w:vMerge w:val="restart"/>
          </w:tcPr>
          <w:p w14:paraId="6F65DE99"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1:25k</w:t>
            </w:r>
          </w:p>
        </w:tc>
        <w:tc>
          <w:tcPr>
            <w:tcW w:w="844" w:type="pct"/>
            <w:vMerge w:val="restart"/>
          </w:tcPr>
          <w:p w14:paraId="32199296"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DELWP (2021e)</w:t>
            </w:r>
          </w:p>
        </w:tc>
        <w:tc>
          <w:tcPr>
            <w:tcW w:w="294" w:type="pct"/>
            <w:vMerge w:val="restart"/>
          </w:tcPr>
          <w:p w14:paraId="1A1959D7"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2021</w:t>
            </w:r>
          </w:p>
        </w:tc>
        <w:tc>
          <w:tcPr>
            <w:tcW w:w="883" w:type="pct"/>
          </w:tcPr>
          <w:p w14:paraId="59983C4F"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 forest late mature</w:t>
            </w:r>
          </w:p>
        </w:tc>
        <w:tc>
          <w:tcPr>
            <w:tcW w:w="647" w:type="pct"/>
          </w:tcPr>
          <w:p w14:paraId="404E8D2C"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47.8%</w:t>
            </w:r>
          </w:p>
        </w:tc>
        <w:tc>
          <w:tcPr>
            <w:tcW w:w="590" w:type="pct"/>
          </w:tcPr>
          <w:p w14:paraId="208AAF19"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Low</w:t>
            </w:r>
          </w:p>
        </w:tc>
      </w:tr>
      <w:tr w:rsidR="007606C7" w:rsidRPr="00BB46CB" w14:paraId="11F3893D" w14:textId="77777777" w:rsidTr="00B3051D">
        <w:trPr>
          <w:trHeight w:val="55"/>
        </w:trPr>
        <w:tc>
          <w:tcPr>
            <w:cnfStyle w:val="001000000000" w:firstRow="0" w:lastRow="0" w:firstColumn="1" w:lastColumn="0" w:oddVBand="0" w:evenVBand="0" w:oddHBand="0" w:evenHBand="0" w:firstRowFirstColumn="0" w:firstRowLastColumn="0" w:lastRowFirstColumn="0" w:lastRowLastColumn="0"/>
            <w:tcW w:w="1293" w:type="pct"/>
            <w:vMerge/>
          </w:tcPr>
          <w:p w14:paraId="62ED074F" w14:textId="77777777" w:rsidR="007606C7" w:rsidRPr="00BB46CB" w:rsidRDefault="007606C7" w:rsidP="00666947">
            <w:pPr>
              <w:pStyle w:val="TableTextLeft"/>
            </w:pPr>
          </w:p>
        </w:tc>
        <w:tc>
          <w:tcPr>
            <w:tcW w:w="449" w:type="pct"/>
            <w:vMerge/>
          </w:tcPr>
          <w:p w14:paraId="3A3E4548"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844" w:type="pct"/>
            <w:vMerge/>
          </w:tcPr>
          <w:p w14:paraId="01F49DFF"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94" w:type="pct"/>
            <w:vMerge/>
          </w:tcPr>
          <w:p w14:paraId="205DF404"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883" w:type="pct"/>
          </w:tcPr>
          <w:p w14:paraId="4F66EFA8"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 forest mature</w:t>
            </w:r>
          </w:p>
        </w:tc>
        <w:tc>
          <w:tcPr>
            <w:tcW w:w="647" w:type="pct"/>
          </w:tcPr>
          <w:p w14:paraId="3B04E556"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22.1%</w:t>
            </w:r>
          </w:p>
        </w:tc>
        <w:tc>
          <w:tcPr>
            <w:tcW w:w="590" w:type="pct"/>
          </w:tcPr>
          <w:p w14:paraId="45DEDDE6"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Low</w:t>
            </w:r>
          </w:p>
        </w:tc>
      </w:tr>
      <w:tr w:rsidR="007606C7" w:rsidRPr="00BB46CB" w14:paraId="5F878650" w14:textId="77777777" w:rsidTr="00B3051D">
        <w:trPr>
          <w:trHeight w:val="55"/>
        </w:trPr>
        <w:tc>
          <w:tcPr>
            <w:cnfStyle w:val="001000000000" w:firstRow="0" w:lastRow="0" w:firstColumn="1" w:lastColumn="0" w:oddVBand="0" w:evenVBand="0" w:oddHBand="0" w:evenHBand="0" w:firstRowFirstColumn="0" w:firstRowLastColumn="0" w:lastRowFirstColumn="0" w:lastRowLastColumn="0"/>
            <w:tcW w:w="1293" w:type="pct"/>
            <w:vMerge/>
          </w:tcPr>
          <w:p w14:paraId="46E4A3FB" w14:textId="77777777" w:rsidR="007606C7" w:rsidRPr="00BB46CB" w:rsidRDefault="007606C7" w:rsidP="00666947">
            <w:pPr>
              <w:pStyle w:val="TableTextLeft"/>
            </w:pPr>
          </w:p>
        </w:tc>
        <w:tc>
          <w:tcPr>
            <w:tcW w:w="449" w:type="pct"/>
            <w:vMerge/>
          </w:tcPr>
          <w:p w14:paraId="4C739E36"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844" w:type="pct"/>
            <w:vMerge/>
          </w:tcPr>
          <w:p w14:paraId="0A896925"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94" w:type="pct"/>
            <w:vMerge/>
          </w:tcPr>
          <w:p w14:paraId="549356A7"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883" w:type="pct"/>
          </w:tcPr>
          <w:p w14:paraId="337036EF"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 forest regenerating</w:t>
            </w:r>
          </w:p>
        </w:tc>
        <w:tc>
          <w:tcPr>
            <w:tcW w:w="647" w:type="pct"/>
          </w:tcPr>
          <w:p w14:paraId="72F848BC"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0.3%</w:t>
            </w:r>
          </w:p>
        </w:tc>
        <w:tc>
          <w:tcPr>
            <w:tcW w:w="590" w:type="pct"/>
          </w:tcPr>
          <w:p w14:paraId="3A0B534D"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Low</w:t>
            </w:r>
          </w:p>
        </w:tc>
      </w:tr>
      <w:tr w:rsidR="007606C7" w:rsidRPr="00BB46CB" w14:paraId="645EB803" w14:textId="77777777" w:rsidTr="00B3051D">
        <w:trPr>
          <w:trHeight w:val="55"/>
        </w:trPr>
        <w:tc>
          <w:tcPr>
            <w:cnfStyle w:val="001000000000" w:firstRow="0" w:lastRow="0" w:firstColumn="1" w:lastColumn="0" w:oddVBand="0" w:evenVBand="0" w:oddHBand="0" w:evenHBand="0" w:firstRowFirstColumn="0" w:firstRowLastColumn="0" w:lastRowFirstColumn="0" w:lastRowLastColumn="0"/>
            <w:tcW w:w="1293" w:type="pct"/>
            <w:vMerge/>
          </w:tcPr>
          <w:p w14:paraId="6D38A6FE" w14:textId="77777777" w:rsidR="007606C7" w:rsidRPr="00BB46CB" w:rsidRDefault="007606C7" w:rsidP="00666947">
            <w:pPr>
              <w:pStyle w:val="TableTextLeft"/>
            </w:pPr>
          </w:p>
        </w:tc>
        <w:tc>
          <w:tcPr>
            <w:tcW w:w="449" w:type="pct"/>
            <w:vMerge/>
          </w:tcPr>
          <w:p w14:paraId="316B48BF"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844" w:type="pct"/>
            <w:vMerge/>
          </w:tcPr>
          <w:p w14:paraId="7BD2A591"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94" w:type="pct"/>
            <w:vMerge/>
          </w:tcPr>
          <w:p w14:paraId="5B26B83D"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883" w:type="pct"/>
          </w:tcPr>
          <w:p w14:paraId="7776F311"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 forest regrowth</w:t>
            </w:r>
          </w:p>
        </w:tc>
        <w:tc>
          <w:tcPr>
            <w:tcW w:w="647" w:type="pct"/>
          </w:tcPr>
          <w:p w14:paraId="2957DD7F"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0.9%</w:t>
            </w:r>
          </w:p>
        </w:tc>
        <w:tc>
          <w:tcPr>
            <w:tcW w:w="590" w:type="pct"/>
          </w:tcPr>
          <w:p w14:paraId="2AD9109A"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Low</w:t>
            </w:r>
          </w:p>
        </w:tc>
      </w:tr>
      <w:tr w:rsidR="007606C7" w:rsidRPr="00BB46CB" w14:paraId="025270C6" w14:textId="77777777" w:rsidTr="00B3051D">
        <w:trPr>
          <w:trHeight w:val="55"/>
        </w:trPr>
        <w:tc>
          <w:tcPr>
            <w:cnfStyle w:val="001000000000" w:firstRow="0" w:lastRow="0" w:firstColumn="1" w:lastColumn="0" w:oddVBand="0" w:evenVBand="0" w:oddHBand="0" w:evenHBand="0" w:firstRowFirstColumn="0" w:firstRowLastColumn="0" w:lastRowFirstColumn="0" w:lastRowLastColumn="0"/>
            <w:tcW w:w="1293" w:type="pct"/>
            <w:vMerge/>
          </w:tcPr>
          <w:p w14:paraId="20C643A7" w14:textId="77777777" w:rsidR="007606C7" w:rsidRPr="00BB46CB" w:rsidRDefault="007606C7" w:rsidP="00666947">
            <w:pPr>
              <w:pStyle w:val="TableTextLeft"/>
            </w:pPr>
          </w:p>
        </w:tc>
        <w:tc>
          <w:tcPr>
            <w:tcW w:w="449" w:type="pct"/>
            <w:vMerge/>
          </w:tcPr>
          <w:p w14:paraId="711E1B1B"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844" w:type="pct"/>
            <w:vMerge/>
          </w:tcPr>
          <w:p w14:paraId="2B02D8EA"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94" w:type="pct"/>
            <w:vMerge/>
          </w:tcPr>
          <w:p w14:paraId="27485776"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883" w:type="pct"/>
          </w:tcPr>
          <w:p w14:paraId="1D50042A"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 forest senescent</w:t>
            </w:r>
          </w:p>
        </w:tc>
        <w:tc>
          <w:tcPr>
            <w:tcW w:w="647" w:type="pct"/>
          </w:tcPr>
          <w:p w14:paraId="21BC7EE0"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27.2%</w:t>
            </w:r>
          </w:p>
        </w:tc>
        <w:tc>
          <w:tcPr>
            <w:tcW w:w="590" w:type="pct"/>
          </w:tcPr>
          <w:p w14:paraId="575C1304"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Low</w:t>
            </w:r>
          </w:p>
        </w:tc>
      </w:tr>
      <w:tr w:rsidR="007606C7" w:rsidRPr="00BB46CB" w14:paraId="38975D38" w14:textId="77777777" w:rsidTr="00B3051D">
        <w:trPr>
          <w:trHeight w:val="55"/>
        </w:trPr>
        <w:tc>
          <w:tcPr>
            <w:cnfStyle w:val="001000000000" w:firstRow="0" w:lastRow="0" w:firstColumn="1" w:lastColumn="0" w:oddVBand="0" w:evenVBand="0" w:oddHBand="0" w:evenHBand="0" w:firstRowFirstColumn="0" w:firstRowLastColumn="0" w:lastRowFirstColumn="0" w:lastRowLastColumn="0"/>
            <w:tcW w:w="1293" w:type="pct"/>
            <w:vMerge/>
          </w:tcPr>
          <w:p w14:paraId="2FBD1A1F" w14:textId="77777777" w:rsidR="007606C7" w:rsidRPr="00BB46CB" w:rsidRDefault="007606C7" w:rsidP="00666947">
            <w:pPr>
              <w:pStyle w:val="TableTextLeft"/>
            </w:pPr>
          </w:p>
        </w:tc>
        <w:tc>
          <w:tcPr>
            <w:tcW w:w="449" w:type="pct"/>
            <w:vMerge/>
          </w:tcPr>
          <w:p w14:paraId="049FE7F7"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844" w:type="pct"/>
            <w:vMerge/>
          </w:tcPr>
          <w:p w14:paraId="0592AAE7"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94" w:type="pct"/>
            <w:vMerge/>
          </w:tcPr>
          <w:p w14:paraId="66B30DEC"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883" w:type="pct"/>
          </w:tcPr>
          <w:p w14:paraId="7E2A04CD"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 forest uneven-aged</w:t>
            </w:r>
          </w:p>
        </w:tc>
        <w:tc>
          <w:tcPr>
            <w:tcW w:w="647" w:type="pct"/>
          </w:tcPr>
          <w:p w14:paraId="2D072628"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1.7%</w:t>
            </w:r>
          </w:p>
        </w:tc>
        <w:tc>
          <w:tcPr>
            <w:tcW w:w="590" w:type="pct"/>
          </w:tcPr>
          <w:p w14:paraId="064FA5C6"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Low</w:t>
            </w:r>
          </w:p>
        </w:tc>
      </w:tr>
      <w:tr w:rsidR="007606C7" w:rsidRPr="00BB46CB" w14:paraId="29A031D6" w14:textId="77777777" w:rsidTr="00B3051D">
        <w:trPr>
          <w:trHeight w:val="40"/>
        </w:trPr>
        <w:tc>
          <w:tcPr>
            <w:cnfStyle w:val="001000000000" w:firstRow="0" w:lastRow="0" w:firstColumn="1" w:lastColumn="0" w:oddVBand="0" w:evenVBand="0" w:oddHBand="0" w:evenHBand="0" w:firstRowFirstColumn="0" w:firstRowLastColumn="0" w:lastRowFirstColumn="0" w:lastRowLastColumn="0"/>
            <w:tcW w:w="5000" w:type="pct"/>
            <w:gridSpan w:val="7"/>
            <w:shd w:val="clear" w:color="auto" w:fill="201547" w:themeFill="text2"/>
          </w:tcPr>
          <w:p w14:paraId="21E00157" w14:textId="77777777" w:rsidR="007606C7" w:rsidRPr="00B3051D" w:rsidRDefault="007606C7" w:rsidP="00666947">
            <w:pPr>
              <w:pStyle w:val="TableTextLeft"/>
              <w:rPr>
                <w:i/>
                <w:color w:val="FFFFFF" w:themeColor="background1"/>
              </w:rPr>
            </w:pPr>
            <w:r w:rsidRPr="00B3051D">
              <w:rPr>
                <w:i/>
                <w:color w:val="FFFFFF" w:themeColor="background1"/>
              </w:rPr>
              <w:t>Coastal Country</w:t>
            </w:r>
          </w:p>
        </w:tc>
      </w:tr>
      <w:tr w:rsidR="007606C7" w:rsidRPr="00BB46CB" w14:paraId="3296A8BB" w14:textId="77777777" w:rsidTr="00B3051D">
        <w:trPr>
          <w:trHeight w:val="193"/>
        </w:trPr>
        <w:tc>
          <w:tcPr>
            <w:cnfStyle w:val="001000000000" w:firstRow="0" w:lastRow="0" w:firstColumn="1" w:lastColumn="0" w:oddVBand="0" w:evenVBand="0" w:oddHBand="0" w:evenHBand="0" w:firstRowFirstColumn="0" w:firstRowLastColumn="0" w:lastRowFirstColumn="0" w:lastRowLastColumn="0"/>
            <w:tcW w:w="1293" w:type="pct"/>
          </w:tcPr>
          <w:p w14:paraId="01A4A04F" w14:textId="77777777" w:rsidR="007606C7" w:rsidRPr="00BB46CB" w:rsidRDefault="007606C7" w:rsidP="00666947">
            <w:pPr>
              <w:pStyle w:val="TableTextLeft"/>
            </w:pPr>
            <w:r w:rsidRPr="00BB46CB">
              <w:t>Extent of ironbark</w:t>
            </w:r>
          </w:p>
        </w:tc>
        <w:tc>
          <w:tcPr>
            <w:tcW w:w="449" w:type="pct"/>
          </w:tcPr>
          <w:p w14:paraId="23A6A7B4"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25m</w:t>
            </w:r>
          </w:p>
        </w:tc>
        <w:tc>
          <w:tcPr>
            <w:tcW w:w="844" w:type="pct"/>
          </w:tcPr>
          <w:p w14:paraId="4B7C764A"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DELWP (2018c; 2020b)</w:t>
            </w:r>
          </w:p>
        </w:tc>
        <w:tc>
          <w:tcPr>
            <w:tcW w:w="294" w:type="pct"/>
          </w:tcPr>
          <w:p w14:paraId="00D2C852"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2019</w:t>
            </w:r>
          </w:p>
        </w:tc>
        <w:tc>
          <w:tcPr>
            <w:tcW w:w="883" w:type="pct"/>
          </w:tcPr>
          <w:p w14:paraId="315B9BE6"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Hectares</w:t>
            </w:r>
          </w:p>
        </w:tc>
        <w:tc>
          <w:tcPr>
            <w:tcW w:w="647" w:type="pct"/>
          </w:tcPr>
          <w:p w14:paraId="2278A38B"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0</w:t>
            </w:r>
          </w:p>
        </w:tc>
        <w:tc>
          <w:tcPr>
            <w:tcW w:w="590" w:type="pct"/>
          </w:tcPr>
          <w:p w14:paraId="0926DA70"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Medium</w:t>
            </w:r>
          </w:p>
        </w:tc>
      </w:tr>
      <w:tr w:rsidR="007606C7" w:rsidRPr="00BB46CB" w14:paraId="423FC9F3" w14:textId="77777777" w:rsidTr="00B3051D">
        <w:trPr>
          <w:trHeight w:val="193"/>
        </w:trPr>
        <w:tc>
          <w:tcPr>
            <w:cnfStyle w:val="001000000000" w:firstRow="0" w:lastRow="0" w:firstColumn="1" w:lastColumn="0" w:oddVBand="0" w:evenVBand="0" w:oddHBand="0" w:evenHBand="0" w:firstRowFirstColumn="0" w:firstRowLastColumn="0" w:lastRowFirstColumn="0" w:lastRowLastColumn="0"/>
            <w:tcW w:w="1293" w:type="pct"/>
          </w:tcPr>
          <w:p w14:paraId="58D3EC4E" w14:textId="77777777" w:rsidR="007606C7" w:rsidRPr="00BB46CB" w:rsidRDefault="007606C7" w:rsidP="00666947">
            <w:pPr>
              <w:pStyle w:val="TableTextLeft"/>
            </w:pPr>
            <w:r w:rsidRPr="00BB46CB">
              <w:t>Extent of heathlands</w:t>
            </w:r>
          </w:p>
        </w:tc>
        <w:tc>
          <w:tcPr>
            <w:tcW w:w="449" w:type="pct"/>
          </w:tcPr>
          <w:p w14:paraId="551D50C7"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25m</w:t>
            </w:r>
          </w:p>
        </w:tc>
        <w:tc>
          <w:tcPr>
            <w:tcW w:w="844" w:type="pct"/>
          </w:tcPr>
          <w:p w14:paraId="60B0BBC1"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DELWP (2018c; 2020b)</w:t>
            </w:r>
          </w:p>
        </w:tc>
        <w:tc>
          <w:tcPr>
            <w:tcW w:w="294" w:type="pct"/>
          </w:tcPr>
          <w:p w14:paraId="771FD6AB"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2019</w:t>
            </w:r>
          </w:p>
        </w:tc>
        <w:tc>
          <w:tcPr>
            <w:tcW w:w="883" w:type="pct"/>
          </w:tcPr>
          <w:p w14:paraId="1B7B4C1E"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Hectares</w:t>
            </w:r>
          </w:p>
        </w:tc>
        <w:tc>
          <w:tcPr>
            <w:tcW w:w="647" w:type="pct"/>
          </w:tcPr>
          <w:p w14:paraId="6423E740"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149</w:t>
            </w:r>
          </w:p>
        </w:tc>
        <w:tc>
          <w:tcPr>
            <w:tcW w:w="590" w:type="pct"/>
          </w:tcPr>
          <w:p w14:paraId="506B5F9C"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Medium</w:t>
            </w:r>
          </w:p>
        </w:tc>
      </w:tr>
      <w:tr w:rsidR="007606C7" w:rsidRPr="00BB46CB" w14:paraId="5E2FB994" w14:textId="77777777" w:rsidTr="00B3051D">
        <w:trPr>
          <w:trHeight w:val="40"/>
        </w:trPr>
        <w:tc>
          <w:tcPr>
            <w:cnfStyle w:val="001000000000" w:firstRow="0" w:lastRow="0" w:firstColumn="1" w:lastColumn="0" w:oddVBand="0" w:evenVBand="0" w:oddHBand="0" w:evenHBand="0" w:firstRowFirstColumn="0" w:firstRowLastColumn="0" w:lastRowFirstColumn="0" w:lastRowLastColumn="0"/>
            <w:tcW w:w="5000" w:type="pct"/>
            <w:gridSpan w:val="7"/>
            <w:shd w:val="clear" w:color="auto" w:fill="201547" w:themeFill="text2"/>
          </w:tcPr>
          <w:p w14:paraId="243346CC" w14:textId="77777777" w:rsidR="007606C7" w:rsidRPr="00BB46CB" w:rsidRDefault="007606C7" w:rsidP="00666947">
            <w:pPr>
              <w:pStyle w:val="TableTextLeft"/>
              <w:rPr>
                <w:i/>
              </w:rPr>
            </w:pPr>
            <w:r w:rsidRPr="00BB46CB">
              <w:rPr>
                <w:i/>
              </w:rPr>
              <w:t>Native Animals</w:t>
            </w:r>
          </w:p>
        </w:tc>
      </w:tr>
      <w:tr w:rsidR="007606C7" w:rsidRPr="00BB46CB" w14:paraId="1FBF1597" w14:textId="77777777" w:rsidTr="00B3051D">
        <w:trPr>
          <w:trHeight w:val="193"/>
        </w:trPr>
        <w:tc>
          <w:tcPr>
            <w:cnfStyle w:val="001000000000" w:firstRow="0" w:lastRow="0" w:firstColumn="1" w:lastColumn="0" w:oddVBand="0" w:evenVBand="0" w:oddHBand="0" w:evenHBand="0" w:firstRowFirstColumn="0" w:firstRowLastColumn="0" w:lastRowFirstColumn="0" w:lastRowLastColumn="0"/>
            <w:tcW w:w="1293" w:type="pct"/>
          </w:tcPr>
          <w:p w14:paraId="67EF48D1" w14:textId="77777777" w:rsidR="007606C7" w:rsidRPr="00BB46CB" w:rsidRDefault="007606C7" w:rsidP="00666947">
            <w:pPr>
              <w:pStyle w:val="TableTextLeft"/>
            </w:pPr>
            <w:r w:rsidRPr="00BB46CB">
              <w:t>Numbers of threatened species - flora</w:t>
            </w:r>
          </w:p>
        </w:tc>
        <w:tc>
          <w:tcPr>
            <w:tcW w:w="449" w:type="pct"/>
          </w:tcPr>
          <w:p w14:paraId="61C962E6"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Point data</w:t>
            </w:r>
          </w:p>
        </w:tc>
        <w:tc>
          <w:tcPr>
            <w:tcW w:w="844" w:type="pct"/>
          </w:tcPr>
          <w:p w14:paraId="05E3FDC1"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DELWP (2021)</w:t>
            </w:r>
          </w:p>
        </w:tc>
        <w:tc>
          <w:tcPr>
            <w:tcW w:w="294" w:type="pct"/>
          </w:tcPr>
          <w:p w14:paraId="168A93AE"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2021</w:t>
            </w:r>
          </w:p>
        </w:tc>
        <w:tc>
          <w:tcPr>
            <w:tcW w:w="883" w:type="pct"/>
          </w:tcPr>
          <w:p w14:paraId="5D504763"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Species count</w:t>
            </w:r>
          </w:p>
        </w:tc>
        <w:tc>
          <w:tcPr>
            <w:tcW w:w="647" w:type="pct"/>
          </w:tcPr>
          <w:p w14:paraId="6BCF7E40"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44</w:t>
            </w:r>
          </w:p>
        </w:tc>
        <w:tc>
          <w:tcPr>
            <w:tcW w:w="590" w:type="pct"/>
          </w:tcPr>
          <w:p w14:paraId="122B3C90"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Medium</w:t>
            </w:r>
          </w:p>
        </w:tc>
      </w:tr>
      <w:tr w:rsidR="007606C7" w:rsidRPr="00BB46CB" w14:paraId="33F8E912" w14:textId="77777777" w:rsidTr="00B3051D">
        <w:trPr>
          <w:trHeight w:val="55"/>
        </w:trPr>
        <w:tc>
          <w:tcPr>
            <w:cnfStyle w:val="001000000000" w:firstRow="0" w:lastRow="0" w:firstColumn="1" w:lastColumn="0" w:oddVBand="0" w:evenVBand="0" w:oddHBand="0" w:evenHBand="0" w:firstRowFirstColumn="0" w:firstRowLastColumn="0" w:lastRowFirstColumn="0" w:lastRowLastColumn="0"/>
            <w:tcW w:w="1293" w:type="pct"/>
          </w:tcPr>
          <w:p w14:paraId="00ABFAF4" w14:textId="77777777" w:rsidR="007606C7" w:rsidRPr="00BB46CB" w:rsidRDefault="007606C7" w:rsidP="00666947">
            <w:pPr>
              <w:pStyle w:val="TableTextLeft"/>
            </w:pPr>
            <w:r w:rsidRPr="00BB46CB">
              <w:t>Numbers of threatened species - fauna</w:t>
            </w:r>
          </w:p>
        </w:tc>
        <w:tc>
          <w:tcPr>
            <w:tcW w:w="449" w:type="pct"/>
          </w:tcPr>
          <w:p w14:paraId="60C725DA"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Point data</w:t>
            </w:r>
          </w:p>
        </w:tc>
        <w:tc>
          <w:tcPr>
            <w:tcW w:w="844" w:type="pct"/>
          </w:tcPr>
          <w:p w14:paraId="5303F36A"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DELWP (2021)</w:t>
            </w:r>
          </w:p>
        </w:tc>
        <w:tc>
          <w:tcPr>
            <w:tcW w:w="294" w:type="pct"/>
          </w:tcPr>
          <w:p w14:paraId="599DF8EE"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2021</w:t>
            </w:r>
          </w:p>
        </w:tc>
        <w:tc>
          <w:tcPr>
            <w:tcW w:w="883" w:type="pct"/>
          </w:tcPr>
          <w:p w14:paraId="1C63B0FC"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Species count</w:t>
            </w:r>
          </w:p>
        </w:tc>
        <w:tc>
          <w:tcPr>
            <w:tcW w:w="647" w:type="pct"/>
          </w:tcPr>
          <w:p w14:paraId="378963F4"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48</w:t>
            </w:r>
          </w:p>
        </w:tc>
        <w:tc>
          <w:tcPr>
            <w:tcW w:w="590" w:type="pct"/>
          </w:tcPr>
          <w:p w14:paraId="2CCC4828"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Medium</w:t>
            </w:r>
          </w:p>
        </w:tc>
      </w:tr>
    </w:tbl>
    <w:p w14:paraId="23F25678" w14:textId="10B78A33" w:rsidR="007606C7" w:rsidRPr="00BB46CB" w:rsidRDefault="007606C7" w:rsidP="00B3051D">
      <w:pPr>
        <w:pStyle w:val="NoteHeading"/>
      </w:pPr>
      <w:proofErr w:type="spellStart"/>
      <w:r w:rsidRPr="00BB46CB">
        <w:rPr>
          <w:vertAlign w:val="superscript"/>
        </w:rPr>
        <w:t>a</w:t>
      </w:r>
      <w:proofErr w:type="spellEnd"/>
      <w:r w:rsidRPr="00BB46CB">
        <w:rPr>
          <w:vertAlign w:val="superscript"/>
        </w:rPr>
        <w:t xml:space="preserve"> </w:t>
      </w:r>
      <w:r w:rsidRPr="00BB46CB">
        <w:t xml:space="preserve">The 2010 value for water quality was 30 (moderate) on the 0-50 scoring scale, based on DELWP (2010). </w:t>
      </w:r>
    </w:p>
    <w:p w14:paraId="22EC068C" w14:textId="77777777" w:rsidR="007606C7" w:rsidRPr="00BB46CB" w:rsidRDefault="007606C7" w:rsidP="007606C7">
      <w:pPr>
        <w:pStyle w:val="BodyText"/>
        <w:sectPr w:rsidR="007606C7" w:rsidRPr="00BB46CB" w:rsidSect="00E52A9A">
          <w:headerReference w:type="even" r:id="rId249"/>
          <w:headerReference w:type="default" r:id="rId250"/>
          <w:footerReference w:type="even" r:id="rId251"/>
          <w:footerReference w:type="default" r:id="rId252"/>
          <w:pgSz w:w="16840" w:h="11907" w:orient="landscape" w:code="9"/>
          <w:pgMar w:top="1134" w:right="1134" w:bottom="1134" w:left="1134" w:header="283" w:footer="283" w:gutter="0"/>
          <w:cols w:space="284"/>
          <w:docGrid w:linePitch="360"/>
        </w:sectPr>
      </w:pPr>
    </w:p>
    <w:p w14:paraId="1F0A9CD6" w14:textId="77777777" w:rsidR="007606C7" w:rsidRPr="00BB46CB" w:rsidRDefault="007606C7" w:rsidP="00B3051D">
      <w:pPr>
        <w:pStyle w:val="Heading4"/>
      </w:pPr>
      <w:bookmarkStart w:id="323" w:name="_Toc163547066"/>
      <w:bookmarkStart w:id="324" w:name="_Toc98854685"/>
      <w:r w:rsidRPr="00BB46CB">
        <w:lastRenderedPageBreak/>
        <w:t>Historic and contemporary non-Indigenous cultural heritage</w:t>
      </w:r>
      <w:bookmarkEnd w:id="323"/>
      <w:r w:rsidRPr="00BB46CB">
        <w:t xml:space="preserve"> </w:t>
      </w:r>
    </w:p>
    <w:p w14:paraId="752F71E4" w14:textId="77777777" w:rsidR="007606C7" w:rsidRPr="00BB46CB" w:rsidRDefault="007606C7" w:rsidP="007606C7">
      <w:pPr>
        <w:pStyle w:val="BodyText"/>
      </w:pPr>
      <w:r w:rsidRPr="00BB46CB">
        <w:t xml:space="preserve">Table 78 shows the number of assets of non-Indigenous historic cultural heritage that are features of the ecosystem assets of the GORCAP EEA and therefore are important in co-producing the recreational and tourism experience for visitors to the region, in combination with ecosystem assets. </w:t>
      </w:r>
    </w:p>
    <w:p w14:paraId="383121DA" w14:textId="77777777" w:rsidR="007606C7" w:rsidRPr="00BB46CB" w:rsidRDefault="007606C7" w:rsidP="00270081">
      <w:pPr>
        <w:pStyle w:val="Caption"/>
      </w:pPr>
      <w:r w:rsidRPr="00BB46CB">
        <w:t>Table 78. Condition indicators and socio-economic characteristics reflecting capacity of GOR ecosystems to provide non-Indigenous historic cultural value</w:t>
      </w:r>
    </w:p>
    <w:tbl>
      <w:tblPr>
        <w:tblStyle w:val="TableGrid"/>
        <w:tblW w:w="5000" w:type="pct"/>
        <w:tblLook w:val="04A0" w:firstRow="1" w:lastRow="0" w:firstColumn="1" w:lastColumn="0" w:noHBand="0" w:noVBand="1"/>
      </w:tblPr>
      <w:tblGrid>
        <w:gridCol w:w="1655"/>
        <w:gridCol w:w="1655"/>
        <w:gridCol w:w="919"/>
        <w:gridCol w:w="1456"/>
        <w:gridCol w:w="1321"/>
        <w:gridCol w:w="1227"/>
        <w:gridCol w:w="1406"/>
      </w:tblGrid>
      <w:tr w:rsidR="007606C7" w:rsidRPr="00BB46CB" w14:paraId="1AB8164B" w14:textId="77777777" w:rsidTr="00B305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8" w:type="pct"/>
            <w:gridSpan w:val="2"/>
            <w:vMerge w:val="restart"/>
          </w:tcPr>
          <w:p w14:paraId="3F67E364" w14:textId="77777777" w:rsidR="007606C7" w:rsidRPr="00BB46CB" w:rsidRDefault="007606C7" w:rsidP="00666947">
            <w:pPr>
              <w:pStyle w:val="TableTextLeft"/>
              <w:keepNext w:val="0"/>
            </w:pPr>
            <w:r w:rsidRPr="00BB46CB">
              <w:rPr>
                <w:b/>
              </w:rPr>
              <w:t>Condition category / Indicator</w:t>
            </w:r>
          </w:p>
        </w:tc>
        <w:tc>
          <w:tcPr>
            <w:tcW w:w="487" w:type="pct"/>
            <w:vMerge w:val="restart"/>
          </w:tcPr>
          <w:p w14:paraId="0F8B41A2" w14:textId="77777777" w:rsidR="007606C7" w:rsidRPr="00BB46CB" w:rsidRDefault="007606C7" w:rsidP="00666947">
            <w:pPr>
              <w:pStyle w:val="TableTextLeft"/>
              <w:keepNext w:val="0"/>
              <w:cnfStyle w:val="100000000000" w:firstRow="1" w:lastRow="0" w:firstColumn="0" w:lastColumn="0" w:oddVBand="0" w:evenVBand="0" w:oddHBand="0" w:evenHBand="0" w:firstRowFirstColumn="0" w:firstRowLastColumn="0" w:lastRowFirstColumn="0" w:lastRowLastColumn="0"/>
            </w:pPr>
            <w:r w:rsidRPr="00BB46CB">
              <w:rPr>
                <w:b/>
              </w:rPr>
              <w:t>Year</w:t>
            </w:r>
          </w:p>
        </w:tc>
        <w:tc>
          <w:tcPr>
            <w:tcW w:w="765" w:type="pct"/>
            <w:tcBorders>
              <w:bottom w:val="single" w:sz="4" w:space="0" w:color="FFFFFF" w:themeColor="background1"/>
            </w:tcBorders>
          </w:tcPr>
          <w:p w14:paraId="6C619035" w14:textId="77777777" w:rsidR="007606C7" w:rsidRPr="00BB46CB" w:rsidRDefault="007606C7" w:rsidP="00666947">
            <w:pPr>
              <w:pStyle w:val="TableTextLeft"/>
              <w:keepNext w:val="0"/>
              <w:cnfStyle w:val="100000000000" w:firstRow="1" w:lastRow="0" w:firstColumn="0" w:lastColumn="0" w:oddVBand="0" w:evenVBand="0" w:oddHBand="0" w:evenHBand="0" w:firstRowFirstColumn="0" w:firstRowLastColumn="0" w:lastRowFirstColumn="0" w:lastRowLastColumn="0"/>
            </w:pPr>
            <w:r w:rsidRPr="00BB46CB">
              <w:rPr>
                <w:b/>
              </w:rPr>
              <w:t>Metric</w:t>
            </w:r>
          </w:p>
        </w:tc>
        <w:tc>
          <w:tcPr>
            <w:tcW w:w="2010" w:type="pct"/>
            <w:gridSpan w:val="3"/>
            <w:tcBorders>
              <w:bottom w:val="single" w:sz="4" w:space="0" w:color="FFFFFF" w:themeColor="background1"/>
            </w:tcBorders>
          </w:tcPr>
          <w:p w14:paraId="75E62F78" w14:textId="77777777" w:rsidR="007606C7" w:rsidRPr="00BB46CB" w:rsidRDefault="007606C7" w:rsidP="00666947">
            <w:pPr>
              <w:pStyle w:val="TableTextLeft"/>
              <w:keepNext w:val="0"/>
              <w:cnfStyle w:val="100000000000" w:firstRow="1" w:lastRow="0" w:firstColumn="0" w:lastColumn="0" w:oddVBand="0" w:evenVBand="0" w:oddHBand="0" w:evenHBand="0" w:firstRowFirstColumn="0" w:firstRowLastColumn="0" w:lastRowFirstColumn="0" w:lastRowLastColumn="0"/>
              <w:rPr>
                <w:b/>
              </w:rPr>
            </w:pPr>
            <w:r w:rsidRPr="00BB46CB">
              <w:rPr>
                <w:b/>
              </w:rPr>
              <w:t>Estimate</w:t>
            </w:r>
          </w:p>
        </w:tc>
      </w:tr>
      <w:tr w:rsidR="00B3051D" w:rsidRPr="00BB46CB" w14:paraId="36D1848D" w14:textId="77777777" w:rsidTr="00B3051D">
        <w:tc>
          <w:tcPr>
            <w:cnfStyle w:val="001000000000" w:firstRow="0" w:lastRow="0" w:firstColumn="1" w:lastColumn="0" w:oddVBand="0" w:evenVBand="0" w:oddHBand="0" w:evenHBand="0" w:firstRowFirstColumn="0" w:firstRowLastColumn="0" w:lastRowFirstColumn="0" w:lastRowLastColumn="0"/>
            <w:tcW w:w="1738" w:type="pct"/>
            <w:gridSpan w:val="2"/>
            <w:vMerge/>
          </w:tcPr>
          <w:p w14:paraId="233BECED" w14:textId="77777777" w:rsidR="007606C7" w:rsidRPr="00BB46CB" w:rsidRDefault="007606C7" w:rsidP="00666947">
            <w:pPr>
              <w:pStyle w:val="TableTextLeft"/>
              <w:rPr>
                <w:b/>
              </w:rPr>
            </w:pPr>
          </w:p>
        </w:tc>
        <w:tc>
          <w:tcPr>
            <w:tcW w:w="487" w:type="pct"/>
            <w:vMerge/>
          </w:tcPr>
          <w:p w14:paraId="4CFD03FB"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765" w:type="pct"/>
            <w:tcBorders>
              <w:top w:val="single" w:sz="4" w:space="0" w:color="FFFFFF" w:themeColor="background1"/>
            </w:tcBorders>
            <w:shd w:val="clear" w:color="auto" w:fill="004C97" w:themeFill="accent1"/>
          </w:tcPr>
          <w:p w14:paraId="218EA3C1" w14:textId="77777777" w:rsidR="007606C7" w:rsidRPr="00B3051D" w:rsidRDefault="007606C7"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p>
        </w:tc>
        <w:tc>
          <w:tcPr>
            <w:tcW w:w="695" w:type="pct"/>
            <w:tcBorders>
              <w:top w:val="single" w:sz="4" w:space="0" w:color="FFFFFF" w:themeColor="background1"/>
            </w:tcBorders>
            <w:shd w:val="clear" w:color="auto" w:fill="004C97" w:themeFill="accent1"/>
          </w:tcPr>
          <w:p w14:paraId="782CE858" w14:textId="77777777" w:rsidR="007606C7" w:rsidRPr="00B3051D" w:rsidRDefault="007606C7" w:rsidP="00666947">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r w:rsidRPr="00B3051D">
              <w:rPr>
                <w:color w:val="FFFFFF" w:themeColor="background1"/>
              </w:rPr>
              <w:t>Non-GORCAPA</w:t>
            </w:r>
          </w:p>
        </w:tc>
        <w:tc>
          <w:tcPr>
            <w:tcW w:w="576" w:type="pct"/>
            <w:tcBorders>
              <w:top w:val="single" w:sz="4" w:space="0" w:color="FFFFFF" w:themeColor="background1"/>
            </w:tcBorders>
            <w:shd w:val="clear" w:color="auto" w:fill="004C97" w:themeFill="accent1"/>
          </w:tcPr>
          <w:p w14:paraId="6DDA71E0" w14:textId="77777777" w:rsidR="007606C7" w:rsidRPr="00B3051D" w:rsidRDefault="007606C7" w:rsidP="00666947">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r w:rsidRPr="00B3051D">
              <w:rPr>
                <w:color w:val="FFFFFF" w:themeColor="background1"/>
              </w:rPr>
              <w:t>GORCAPA</w:t>
            </w:r>
          </w:p>
        </w:tc>
        <w:tc>
          <w:tcPr>
            <w:tcW w:w="740" w:type="pct"/>
            <w:tcBorders>
              <w:top w:val="single" w:sz="4" w:space="0" w:color="FFFFFF" w:themeColor="background1"/>
            </w:tcBorders>
            <w:shd w:val="clear" w:color="auto" w:fill="004C97" w:themeFill="accent1"/>
          </w:tcPr>
          <w:p w14:paraId="704F8C98" w14:textId="77777777" w:rsidR="007606C7" w:rsidRPr="00B3051D" w:rsidRDefault="007606C7" w:rsidP="00666947">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r w:rsidRPr="00B3051D">
              <w:rPr>
                <w:color w:val="FFFFFF" w:themeColor="background1"/>
              </w:rPr>
              <w:t>Total GORCAP EEA</w:t>
            </w:r>
          </w:p>
        </w:tc>
      </w:tr>
      <w:tr w:rsidR="007606C7" w:rsidRPr="00BB46CB" w14:paraId="36590D97" w14:textId="77777777" w:rsidTr="00B3051D">
        <w:trPr>
          <w:trHeight w:val="219"/>
        </w:trPr>
        <w:tc>
          <w:tcPr>
            <w:cnfStyle w:val="001000000000" w:firstRow="0" w:lastRow="0" w:firstColumn="1" w:lastColumn="0" w:oddVBand="0" w:evenVBand="0" w:oddHBand="0" w:evenHBand="0" w:firstRowFirstColumn="0" w:firstRowLastColumn="0" w:lastRowFirstColumn="0" w:lastRowLastColumn="0"/>
            <w:tcW w:w="5000" w:type="pct"/>
            <w:gridSpan w:val="7"/>
            <w:shd w:val="clear" w:color="auto" w:fill="201547" w:themeFill="text2"/>
          </w:tcPr>
          <w:p w14:paraId="1ED6ED44" w14:textId="77777777" w:rsidR="007606C7" w:rsidRPr="00BB46CB" w:rsidRDefault="007606C7" w:rsidP="00666947">
            <w:pPr>
              <w:pStyle w:val="TableTextLeft"/>
            </w:pPr>
            <w:r w:rsidRPr="00B3051D">
              <w:rPr>
                <w:i/>
                <w:color w:val="FFFFFF" w:themeColor="background1"/>
              </w:rPr>
              <w:t>Socio-economic characteristics – Non-Indigenous cultural assets</w:t>
            </w:r>
          </w:p>
        </w:tc>
      </w:tr>
      <w:tr w:rsidR="007606C7" w:rsidRPr="00BB46CB" w14:paraId="70C71256" w14:textId="77777777" w:rsidTr="00BD33CB">
        <w:trPr>
          <w:trHeight w:val="219"/>
        </w:trPr>
        <w:tc>
          <w:tcPr>
            <w:cnfStyle w:val="001000000000" w:firstRow="0" w:lastRow="0" w:firstColumn="1" w:lastColumn="0" w:oddVBand="0" w:evenVBand="0" w:oddHBand="0" w:evenHBand="0" w:firstRowFirstColumn="0" w:firstRowLastColumn="0" w:lastRowFirstColumn="0" w:lastRowLastColumn="0"/>
            <w:tcW w:w="1738" w:type="pct"/>
            <w:gridSpan w:val="2"/>
          </w:tcPr>
          <w:p w14:paraId="116B2310" w14:textId="77777777" w:rsidR="007606C7" w:rsidRPr="00BB46CB" w:rsidRDefault="007606C7" w:rsidP="00666947">
            <w:pPr>
              <w:pStyle w:val="TableTextLeft"/>
            </w:pPr>
            <w:r w:rsidRPr="00BB46CB">
              <w:t xml:space="preserve">Assets of historical cultural heritage </w:t>
            </w:r>
          </w:p>
        </w:tc>
        <w:tc>
          <w:tcPr>
            <w:tcW w:w="487" w:type="pct"/>
          </w:tcPr>
          <w:p w14:paraId="562CE20C"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2021</w:t>
            </w:r>
          </w:p>
        </w:tc>
        <w:tc>
          <w:tcPr>
            <w:tcW w:w="765" w:type="pct"/>
          </w:tcPr>
          <w:p w14:paraId="12E8B9E8"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Count</w:t>
            </w:r>
          </w:p>
        </w:tc>
        <w:tc>
          <w:tcPr>
            <w:tcW w:w="695" w:type="pct"/>
          </w:tcPr>
          <w:p w14:paraId="0530C111"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36</w:t>
            </w:r>
          </w:p>
        </w:tc>
        <w:tc>
          <w:tcPr>
            <w:tcW w:w="576" w:type="pct"/>
          </w:tcPr>
          <w:p w14:paraId="3A6B5D1A"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129</w:t>
            </w:r>
          </w:p>
        </w:tc>
        <w:tc>
          <w:tcPr>
            <w:tcW w:w="740" w:type="pct"/>
          </w:tcPr>
          <w:p w14:paraId="43DF8390"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165</w:t>
            </w:r>
          </w:p>
        </w:tc>
      </w:tr>
      <w:tr w:rsidR="007606C7" w:rsidRPr="00BB46CB" w14:paraId="012466AF" w14:textId="77777777" w:rsidTr="00BD33CB">
        <w:trPr>
          <w:trHeight w:val="219"/>
        </w:trPr>
        <w:tc>
          <w:tcPr>
            <w:cnfStyle w:val="001000000000" w:firstRow="0" w:lastRow="0" w:firstColumn="1" w:lastColumn="0" w:oddVBand="0" w:evenVBand="0" w:oddHBand="0" w:evenHBand="0" w:firstRowFirstColumn="0" w:firstRowLastColumn="0" w:lastRowFirstColumn="0" w:lastRowLastColumn="0"/>
            <w:tcW w:w="869" w:type="pct"/>
          </w:tcPr>
          <w:p w14:paraId="20176415" w14:textId="77777777" w:rsidR="007606C7" w:rsidRPr="00BB46CB" w:rsidRDefault="007606C7" w:rsidP="00666947">
            <w:pPr>
              <w:pStyle w:val="TableTextLeft"/>
            </w:pPr>
          </w:p>
        </w:tc>
        <w:tc>
          <w:tcPr>
            <w:tcW w:w="869" w:type="pct"/>
          </w:tcPr>
          <w:p w14:paraId="3C673067"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Shipwrecks</w:t>
            </w:r>
          </w:p>
        </w:tc>
        <w:tc>
          <w:tcPr>
            <w:tcW w:w="487" w:type="pct"/>
          </w:tcPr>
          <w:p w14:paraId="5DB8B0CA"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2021</w:t>
            </w:r>
          </w:p>
        </w:tc>
        <w:tc>
          <w:tcPr>
            <w:tcW w:w="765" w:type="pct"/>
          </w:tcPr>
          <w:p w14:paraId="11631944"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Count</w:t>
            </w:r>
          </w:p>
        </w:tc>
        <w:tc>
          <w:tcPr>
            <w:tcW w:w="695" w:type="pct"/>
          </w:tcPr>
          <w:p w14:paraId="21CCFE0D"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4</w:t>
            </w:r>
          </w:p>
        </w:tc>
        <w:tc>
          <w:tcPr>
            <w:tcW w:w="576" w:type="pct"/>
          </w:tcPr>
          <w:p w14:paraId="503B02FA"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30</w:t>
            </w:r>
          </w:p>
        </w:tc>
        <w:tc>
          <w:tcPr>
            <w:tcW w:w="740" w:type="pct"/>
          </w:tcPr>
          <w:p w14:paraId="02EE0AE3"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34</w:t>
            </w:r>
          </w:p>
        </w:tc>
      </w:tr>
    </w:tbl>
    <w:p w14:paraId="1C578082" w14:textId="77777777" w:rsidR="007606C7" w:rsidRPr="00BB46CB" w:rsidRDefault="007606C7" w:rsidP="007606C7">
      <w:pPr>
        <w:pStyle w:val="Heading3"/>
      </w:pPr>
      <w:bookmarkStart w:id="325" w:name="_Toc163547067"/>
      <w:r w:rsidRPr="00BB46CB">
        <w:t>Existence / Option value</w:t>
      </w:r>
      <w:bookmarkEnd w:id="324"/>
      <w:bookmarkEnd w:id="325"/>
    </w:p>
    <w:p w14:paraId="63E9C6AD" w14:textId="77777777" w:rsidR="007606C7" w:rsidRPr="00BB46CB" w:rsidRDefault="007606C7" w:rsidP="007606C7">
      <w:pPr>
        <w:pStyle w:val="BodyText"/>
      </w:pPr>
      <w:r w:rsidRPr="00BB46CB">
        <w:t xml:space="preserve">The information in Table 79 demonstrates the capacity of the ecosystems within the GORCAP EEA region to provide an option value to society (i.e., valuing the prospective future use of flora/fauna in the region for tourism or medicinal research purposes) as well as an existence (i.e., intrinsic value, independent of society’s use) and what is at risk of being lost should these ecosystems be degraded. This is captured through the importance of the area for threatened flora/fauna (i.e., the area has a high capacity to provide an existence/option value if there are a significant number of threatened species) as well as the extent of governance and management practices to protect the biodiversity (species and ecosystems) within the region which will partly reflect its existence and option value. </w:t>
      </w:r>
    </w:p>
    <w:p w14:paraId="1A77D7AE" w14:textId="77777777" w:rsidR="007606C7" w:rsidRPr="00BB46CB" w:rsidRDefault="007606C7" w:rsidP="00270081">
      <w:pPr>
        <w:pStyle w:val="Caption"/>
      </w:pPr>
      <w:r w:rsidRPr="00BB46CB">
        <w:t>Table 79. Condition indicators and socio-economic characteristics reflecting capacity of GOR ecosystems to provide an existence/option value</w:t>
      </w:r>
    </w:p>
    <w:tbl>
      <w:tblPr>
        <w:tblStyle w:val="TableGrid"/>
        <w:tblW w:w="5000" w:type="pct"/>
        <w:tblLook w:val="04A0" w:firstRow="1" w:lastRow="0" w:firstColumn="1" w:lastColumn="0" w:noHBand="0" w:noVBand="1"/>
      </w:tblPr>
      <w:tblGrid>
        <w:gridCol w:w="3327"/>
        <w:gridCol w:w="915"/>
        <w:gridCol w:w="1451"/>
        <w:gridCol w:w="1317"/>
        <w:gridCol w:w="1227"/>
        <w:gridCol w:w="1402"/>
      </w:tblGrid>
      <w:tr w:rsidR="007606C7" w:rsidRPr="00BB46CB" w14:paraId="690E31FF" w14:textId="77777777" w:rsidTr="00B305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8" w:type="pct"/>
            <w:vMerge w:val="restart"/>
          </w:tcPr>
          <w:p w14:paraId="67FA8600" w14:textId="77777777" w:rsidR="007606C7" w:rsidRPr="00BB46CB" w:rsidRDefault="007606C7" w:rsidP="00666947">
            <w:pPr>
              <w:pStyle w:val="TableTextLeft"/>
              <w:keepNext w:val="0"/>
            </w:pPr>
            <w:r w:rsidRPr="00BB46CB">
              <w:rPr>
                <w:b/>
              </w:rPr>
              <w:t>Condition category / Indicator</w:t>
            </w:r>
          </w:p>
        </w:tc>
        <w:tc>
          <w:tcPr>
            <w:tcW w:w="487" w:type="pct"/>
            <w:vMerge w:val="restart"/>
          </w:tcPr>
          <w:p w14:paraId="10F391BC" w14:textId="77777777" w:rsidR="007606C7" w:rsidRPr="00BB46CB" w:rsidRDefault="007606C7" w:rsidP="00666947">
            <w:pPr>
              <w:pStyle w:val="TableTextLeft"/>
              <w:keepNext w:val="0"/>
              <w:cnfStyle w:val="100000000000" w:firstRow="1" w:lastRow="0" w:firstColumn="0" w:lastColumn="0" w:oddVBand="0" w:evenVBand="0" w:oddHBand="0" w:evenHBand="0" w:firstRowFirstColumn="0" w:firstRowLastColumn="0" w:lastRowFirstColumn="0" w:lastRowLastColumn="0"/>
            </w:pPr>
            <w:r w:rsidRPr="00BB46CB">
              <w:rPr>
                <w:b/>
              </w:rPr>
              <w:t>Year</w:t>
            </w:r>
          </w:p>
        </w:tc>
        <w:tc>
          <w:tcPr>
            <w:tcW w:w="765" w:type="pct"/>
            <w:tcBorders>
              <w:bottom w:val="single" w:sz="4" w:space="0" w:color="FFFFFF" w:themeColor="background1"/>
            </w:tcBorders>
          </w:tcPr>
          <w:p w14:paraId="6B2A9AB5" w14:textId="77777777" w:rsidR="007606C7" w:rsidRPr="00BB46CB" w:rsidRDefault="007606C7" w:rsidP="00666947">
            <w:pPr>
              <w:pStyle w:val="TableTextLeft"/>
              <w:keepNext w:val="0"/>
              <w:cnfStyle w:val="100000000000" w:firstRow="1" w:lastRow="0" w:firstColumn="0" w:lastColumn="0" w:oddVBand="0" w:evenVBand="0" w:oddHBand="0" w:evenHBand="0" w:firstRowFirstColumn="0" w:firstRowLastColumn="0" w:lastRowFirstColumn="0" w:lastRowLastColumn="0"/>
            </w:pPr>
            <w:r w:rsidRPr="00BB46CB">
              <w:rPr>
                <w:b/>
              </w:rPr>
              <w:t>Metric</w:t>
            </w:r>
          </w:p>
        </w:tc>
        <w:tc>
          <w:tcPr>
            <w:tcW w:w="2010" w:type="pct"/>
            <w:gridSpan w:val="3"/>
            <w:tcBorders>
              <w:bottom w:val="single" w:sz="4" w:space="0" w:color="FFFFFF" w:themeColor="background1"/>
            </w:tcBorders>
          </w:tcPr>
          <w:p w14:paraId="5C7E018C" w14:textId="77777777" w:rsidR="007606C7" w:rsidRPr="00BB46CB" w:rsidRDefault="007606C7" w:rsidP="00666947">
            <w:pPr>
              <w:pStyle w:val="TableTextLeft"/>
              <w:keepNext w:val="0"/>
              <w:cnfStyle w:val="100000000000" w:firstRow="1" w:lastRow="0" w:firstColumn="0" w:lastColumn="0" w:oddVBand="0" w:evenVBand="0" w:oddHBand="0" w:evenHBand="0" w:firstRowFirstColumn="0" w:firstRowLastColumn="0" w:lastRowFirstColumn="0" w:lastRowLastColumn="0"/>
              <w:rPr>
                <w:b/>
              </w:rPr>
            </w:pPr>
            <w:r w:rsidRPr="00BB46CB">
              <w:rPr>
                <w:b/>
              </w:rPr>
              <w:t>Estimate</w:t>
            </w:r>
          </w:p>
        </w:tc>
      </w:tr>
      <w:tr w:rsidR="007606C7" w:rsidRPr="00BB46CB" w14:paraId="0A2F31C9" w14:textId="77777777" w:rsidTr="00B3051D">
        <w:tc>
          <w:tcPr>
            <w:cnfStyle w:val="001000000000" w:firstRow="0" w:lastRow="0" w:firstColumn="1" w:lastColumn="0" w:oddVBand="0" w:evenVBand="0" w:oddHBand="0" w:evenHBand="0" w:firstRowFirstColumn="0" w:firstRowLastColumn="0" w:lastRowFirstColumn="0" w:lastRowLastColumn="0"/>
            <w:tcW w:w="1738" w:type="pct"/>
            <w:vMerge/>
          </w:tcPr>
          <w:p w14:paraId="60A0F12E" w14:textId="77777777" w:rsidR="007606C7" w:rsidRPr="00BB46CB" w:rsidRDefault="007606C7" w:rsidP="00666947">
            <w:pPr>
              <w:pStyle w:val="TableTextLeft"/>
              <w:rPr>
                <w:b/>
              </w:rPr>
            </w:pPr>
          </w:p>
        </w:tc>
        <w:tc>
          <w:tcPr>
            <w:tcW w:w="487" w:type="pct"/>
            <w:vMerge/>
          </w:tcPr>
          <w:p w14:paraId="195160FB"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765" w:type="pct"/>
            <w:tcBorders>
              <w:top w:val="single" w:sz="4" w:space="0" w:color="FFFFFF" w:themeColor="background1"/>
            </w:tcBorders>
            <w:shd w:val="clear" w:color="auto" w:fill="004C97" w:themeFill="accent1"/>
          </w:tcPr>
          <w:p w14:paraId="62024CE8" w14:textId="77777777" w:rsidR="007606C7" w:rsidRPr="00B3051D" w:rsidRDefault="007606C7"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p>
        </w:tc>
        <w:tc>
          <w:tcPr>
            <w:tcW w:w="695" w:type="pct"/>
            <w:tcBorders>
              <w:top w:val="single" w:sz="4" w:space="0" w:color="FFFFFF" w:themeColor="background1"/>
            </w:tcBorders>
            <w:shd w:val="clear" w:color="auto" w:fill="004C97" w:themeFill="accent1"/>
          </w:tcPr>
          <w:p w14:paraId="0D4D4450" w14:textId="77777777" w:rsidR="007606C7" w:rsidRPr="00B3051D" w:rsidRDefault="007606C7" w:rsidP="00666947">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r w:rsidRPr="00B3051D">
              <w:rPr>
                <w:color w:val="FFFFFF" w:themeColor="background1"/>
              </w:rPr>
              <w:t>Non-GORCAPA</w:t>
            </w:r>
          </w:p>
        </w:tc>
        <w:tc>
          <w:tcPr>
            <w:tcW w:w="576" w:type="pct"/>
            <w:tcBorders>
              <w:top w:val="single" w:sz="4" w:space="0" w:color="FFFFFF" w:themeColor="background1"/>
            </w:tcBorders>
            <w:shd w:val="clear" w:color="auto" w:fill="004C97" w:themeFill="accent1"/>
          </w:tcPr>
          <w:p w14:paraId="68427758" w14:textId="77777777" w:rsidR="007606C7" w:rsidRPr="00B3051D" w:rsidRDefault="007606C7" w:rsidP="00666947">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r w:rsidRPr="00B3051D">
              <w:rPr>
                <w:color w:val="FFFFFF" w:themeColor="background1"/>
              </w:rPr>
              <w:t>GORCAPA</w:t>
            </w:r>
          </w:p>
        </w:tc>
        <w:tc>
          <w:tcPr>
            <w:tcW w:w="740" w:type="pct"/>
            <w:tcBorders>
              <w:top w:val="single" w:sz="4" w:space="0" w:color="FFFFFF" w:themeColor="background1"/>
            </w:tcBorders>
            <w:shd w:val="clear" w:color="auto" w:fill="004C97" w:themeFill="accent1"/>
          </w:tcPr>
          <w:p w14:paraId="58E95358" w14:textId="77777777" w:rsidR="007606C7" w:rsidRPr="00B3051D" w:rsidRDefault="007606C7" w:rsidP="00666947">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r w:rsidRPr="00B3051D">
              <w:rPr>
                <w:color w:val="FFFFFF" w:themeColor="background1"/>
              </w:rPr>
              <w:t>Total GORCAP EEA</w:t>
            </w:r>
          </w:p>
        </w:tc>
      </w:tr>
      <w:tr w:rsidR="007606C7" w:rsidRPr="00BB46CB" w14:paraId="3AEF12FB" w14:textId="77777777" w:rsidTr="00B3051D">
        <w:trPr>
          <w:trHeight w:val="219"/>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201547" w:themeFill="text2"/>
          </w:tcPr>
          <w:p w14:paraId="4F95A530" w14:textId="77777777" w:rsidR="007606C7" w:rsidRPr="00B3051D" w:rsidRDefault="007606C7" w:rsidP="00666947">
            <w:pPr>
              <w:pStyle w:val="TableTextLeft"/>
              <w:rPr>
                <w:color w:val="FFFFFF" w:themeColor="background1"/>
              </w:rPr>
            </w:pPr>
            <w:r w:rsidRPr="00B3051D">
              <w:rPr>
                <w:i/>
                <w:color w:val="FFFFFF" w:themeColor="background1"/>
              </w:rPr>
              <w:t>Ecological condition - Biodiversity</w:t>
            </w:r>
          </w:p>
        </w:tc>
      </w:tr>
      <w:tr w:rsidR="007606C7" w:rsidRPr="00BB46CB" w14:paraId="4C91561C" w14:textId="77777777" w:rsidTr="00BD33CB">
        <w:trPr>
          <w:trHeight w:val="219"/>
        </w:trPr>
        <w:tc>
          <w:tcPr>
            <w:cnfStyle w:val="001000000000" w:firstRow="0" w:lastRow="0" w:firstColumn="1" w:lastColumn="0" w:oddVBand="0" w:evenVBand="0" w:oddHBand="0" w:evenHBand="0" w:firstRowFirstColumn="0" w:firstRowLastColumn="0" w:lastRowFirstColumn="0" w:lastRowLastColumn="0"/>
            <w:tcW w:w="1738" w:type="pct"/>
          </w:tcPr>
          <w:p w14:paraId="00B7FA49" w14:textId="77777777" w:rsidR="007606C7" w:rsidRPr="00BB46CB" w:rsidRDefault="007606C7" w:rsidP="00666947">
            <w:pPr>
              <w:pStyle w:val="TableTextLeft"/>
            </w:pPr>
            <w:r w:rsidRPr="00BB46CB">
              <w:t>Native vegetation condition</w:t>
            </w:r>
          </w:p>
        </w:tc>
        <w:tc>
          <w:tcPr>
            <w:tcW w:w="487" w:type="pct"/>
          </w:tcPr>
          <w:p w14:paraId="2D09607E"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2017</w:t>
            </w:r>
          </w:p>
        </w:tc>
        <w:tc>
          <w:tcPr>
            <w:tcW w:w="765" w:type="pct"/>
          </w:tcPr>
          <w:p w14:paraId="5BC78E6D"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Score 1 -100</w:t>
            </w:r>
          </w:p>
        </w:tc>
        <w:tc>
          <w:tcPr>
            <w:tcW w:w="695" w:type="pct"/>
          </w:tcPr>
          <w:p w14:paraId="11AFC9F9"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29</w:t>
            </w:r>
          </w:p>
        </w:tc>
        <w:tc>
          <w:tcPr>
            <w:tcW w:w="576" w:type="pct"/>
          </w:tcPr>
          <w:p w14:paraId="1FE41380"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73</w:t>
            </w:r>
          </w:p>
        </w:tc>
        <w:tc>
          <w:tcPr>
            <w:tcW w:w="740" w:type="pct"/>
          </w:tcPr>
          <w:p w14:paraId="0BCCD844"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45</w:t>
            </w:r>
          </w:p>
        </w:tc>
      </w:tr>
      <w:tr w:rsidR="007606C7" w:rsidRPr="00BB46CB" w14:paraId="0EE8EC23" w14:textId="77777777" w:rsidTr="00BD33CB">
        <w:trPr>
          <w:trHeight w:val="219"/>
        </w:trPr>
        <w:tc>
          <w:tcPr>
            <w:cnfStyle w:val="001000000000" w:firstRow="0" w:lastRow="0" w:firstColumn="1" w:lastColumn="0" w:oddVBand="0" w:evenVBand="0" w:oddHBand="0" w:evenHBand="0" w:firstRowFirstColumn="0" w:firstRowLastColumn="0" w:lastRowFirstColumn="0" w:lastRowLastColumn="0"/>
            <w:tcW w:w="1738" w:type="pct"/>
          </w:tcPr>
          <w:p w14:paraId="7EA14CDB" w14:textId="77777777" w:rsidR="007606C7" w:rsidRPr="00BB46CB" w:rsidRDefault="007606C7" w:rsidP="00666947">
            <w:pPr>
              <w:pStyle w:val="TableTextLeft"/>
            </w:pPr>
            <w:r w:rsidRPr="00BB46CB">
              <w:t>Habitat status for threatened species</w:t>
            </w:r>
          </w:p>
        </w:tc>
        <w:tc>
          <w:tcPr>
            <w:tcW w:w="487" w:type="pct"/>
          </w:tcPr>
          <w:p w14:paraId="0D0E61DA"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2016</w:t>
            </w:r>
          </w:p>
        </w:tc>
        <w:tc>
          <w:tcPr>
            <w:tcW w:w="765" w:type="pct"/>
          </w:tcPr>
          <w:p w14:paraId="7BCC9812"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Score 1-100</w:t>
            </w:r>
          </w:p>
        </w:tc>
        <w:tc>
          <w:tcPr>
            <w:tcW w:w="695" w:type="pct"/>
          </w:tcPr>
          <w:p w14:paraId="72F2ED5C"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54</w:t>
            </w:r>
          </w:p>
        </w:tc>
        <w:tc>
          <w:tcPr>
            <w:tcW w:w="576" w:type="pct"/>
          </w:tcPr>
          <w:p w14:paraId="6C88E851"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77</w:t>
            </w:r>
          </w:p>
        </w:tc>
        <w:tc>
          <w:tcPr>
            <w:tcW w:w="740" w:type="pct"/>
          </w:tcPr>
          <w:p w14:paraId="5B455C0B"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63</w:t>
            </w:r>
          </w:p>
        </w:tc>
      </w:tr>
      <w:tr w:rsidR="007606C7" w:rsidRPr="00BB46CB" w14:paraId="511143BA" w14:textId="77777777" w:rsidTr="00BD33CB">
        <w:trPr>
          <w:trHeight w:val="219"/>
        </w:trPr>
        <w:tc>
          <w:tcPr>
            <w:cnfStyle w:val="001000000000" w:firstRow="0" w:lastRow="0" w:firstColumn="1" w:lastColumn="0" w:oddVBand="0" w:evenVBand="0" w:oddHBand="0" w:evenHBand="0" w:firstRowFirstColumn="0" w:firstRowLastColumn="0" w:lastRowFirstColumn="0" w:lastRowLastColumn="0"/>
            <w:tcW w:w="1738" w:type="pct"/>
          </w:tcPr>
          <w:p w14:paraId="18B7C1E6" w14:textId="77777777" w:rsidR="007606C7" w:rsidRPr="00BB46CB" w:rsidRDefault="007606C7" w:rsidP="00666947">
            <w:pPr>
              <w:pStyle w:val="TableTextLeft"/>
            </w:pPr>
            <w:r w:rsidRPr="00BB46CB">
              <w:t>Threatened flora</w:t>
            </w:r>
          </w:p>
        </w:tc>
        <w:tc>
          <w:tcPr>
            <w:tcW w:w="487" w:type="pct"/>
          </w:tcPr>
          <w:p w14:paraId="5C965D75"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2021</w:t>
            </w:r>
          </w:p>
        </w:tc>
        <w:tc>
          <w:tcPr>
            <w:tcW w:w="765" w:type="pct"/>
          </w:tcPr>
          <w:p w14:paraId="0F8C4798"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Species count</w:t>
            </w:r>
          </w:p>
        </w:tc>
        <w:tc>
          <w:tcPr>
            <w:tcW w:w="695" w:type="pct"/>
          </w:tcPr>
          <w:p w14:paraId="13A34FE3"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63</w:t>
            </w:r>
          </w:p>
        </w:tc>
        <w:tc>
          <w:tcPr>
            <w:tcW w:w="576" w:type="pct"/>
          </w:tcPr>
          <w:p w14:paraId="7B3C7DBF"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72</w:t>
            </w:r>
          </w:p>
        </w:tc>
        <w:tc>
          <w:tcPr>
            <w:tcW w:w="740" w:type="pct"/>
          </w:tcPr>
          <w:p w14:paraId="5AB0F0C3"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89</w:t>
            </w:r>
          </w:p>
        </w:tc>
      </w:tr>
      <w:tr w:rsidR="007606C7" w:rsidRPr="00BB46CB" w14:paraId="23C9CC9B" w14:textId="77777777" w:rsidTr="00BD33CB">
        <w:trPr>
          <w:trHeight w:val="219"/>
        </w:trPr>
        <w:tc>
          <w:tcPr>
            <w:cnfStyle w:val="001000000000" w:firstRow="0" w:lastRow="0" w:firstColumn="1" w:lastColumn="0" w:oddVBand="0" w:evenVBand="0" w:oddHBand="0" w:evenHBand="0" w:firstRowFirstColumn="0" w:firstRowLastColumn="0" w:lastRowFirstColumn="0" w:lastRowLastColumn="0"/>
            <w:tcW w:w="1738" w:type="pct"/>
          </w:tcPr>
          <w:p w14:paraId="1E601D13" w14:textId="77777777" w:rsidR="007606C7" w:rsidRPr="00BB46CB" w:rsidRDefault="007606C7" w:rsidP="00666947">
            <w:pPr>
              <w:pStyle w:val="TableTextLeft"/>
            </w:pPr>
            <w:r w:rsidRPr="00BB46CB">
              <w:t>Threatened fauna</w:t>
            </w:r>
          </w:p>
        </w:tc>
        <w:tc>
          <w:tcPr>
            <w:tcW w:w="487" w:type="pct"/>
          </w:tcPr>
          <w:p w14:paraId="684827F5"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2021</w:t>
            </w:r>
          </w:p>
        </w:tc>
        <w:tc>
          <w:tcPr>
            <w:tcW w:w="765" w:type="pct"/>
          </w:tcPr>
          <w:p w14:paraId="3331DBD7"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Species count</w:t>
            </w:r>
          </w:p>
        </w:tc>
        <w:tc>
          <w:tcPr>
            <w:tcW w:w="695" w:type="pct"/>
          </w:tcPr>
          <w:p w14:paraId="1ACB87EC"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53</w:t>
            </w:r>
          </w:p>
        </w:tc>
        <w:tc>
          <w:tcPr>
            <w:tcW w:w="576" w:type="pct"/>
          </w:tcPr>
          <w:p w14:paraId="0D2A20C9"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64</w:t>
            </w:r>
          </w:p>
        </w:tc>
        <w:tc>
          <w:tcPr>
            <w:tcW w:w="740" w:type="pct"/>
          </w:tcPr>
          <w:p w14:paraId="24386D67"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70</w:t>
            </w:r>
          </w:p>
        </w:tc>
      </w:tr>
      <w:tr w:rsidR="007606C7" w:rsidRPr="00BB46CB" w14:paraId="1722624C" w14:textId="77777777" w:rsidTr="00B3051D">
        <w:trPr>
          <w:trHeight w:val="219"/>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201547" w:themeFill="text2"/>
          </w:tcPr>
          <w:p w14:paraId="0FBB1507" w14:textId="77777777" w:rsidR="007606C7" w:rsidRPr="00B3051D" w:rsidRDefault="007606C7" w:rsidP="00666947">
            <w:pPr>
              <w:pStyle w:val="TableTextLeft"/>
              <w:rPr>
                <w:color w:val="FFFFFF" w:themeColor="background1"/>
              </w:rPr>
            </w:pPr>
            <w:r w:rsidRPr="00B3051D">
              <w:rPr>
                <w:i/>
                <w:color w:val="FFFFFF" w:themeColor="background1"/>
              </w:rPr>
              <w:t>Socio-economic characteristics - Governance and management</w:t>
            </w:r>
          </w:p>
        </w:tc>
      </w:tr>
      <w:tr w:rsidR="007606C7" w:rsidRPr="00BB46CB" w14:paraId="273D2983" w14:textId="77777777" w:rsidTr="00BD33CB">
        <w:trPr>
          <w:trHeight w:val="219"/>
        </w:trPr>
        <w:tc>
          <w:tcPr>
            <w:cnfStyle w:val="001000000000" w:firstRow="0" w:lastRow="0" w:firstColumn="1" w:lastColumn="0" w:oddVBand="0" w:evenVBand="0" w:oddHBand="0" w:evenHBand="0" w:firstRowFirstColumn="0" w:firstRowLastColumn="0" w:lastRowFirstColumn="0" w:lastRowLastColumn="0"/>
            <w:tcW w:w="1738" w:type="pct"/>
          </w:tcPr>
          <w:p w14:paraId="1D21AC4B" w14:textId="77777777" w:rsidR="007606C7" w:rsidRPr="00BB46CB" w:rsidRDefault="007606C7" w:rsidP="00666947">
            <w:pPr>
              <w:pStyle w:val="TableTextLeft"/>
            </w:pPr>
            <w:proofErr w:type="spellStart"/>
            <w:r w:rsidRPr="00BB46CB">
              <w:t>CoastCare</w:t>
            </w:r>
            <w:proofErr w:type="spellEnd"/>
          </w:p>
        </w:tc>
        <w:tc>
          <w:tcPr>
            <w:tcW w:w="487" w:type="pct"/>
          </w:tcPr>
          <w:p w14:paraId="2FDB72F1"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2021</w:t>
            </w:r>
          </w:p>
        </w:tc>
        <w:tc>
          <w:tcPr>
            <w:tcW w:w="765" w:type="pct"/>
          </w:tcPr>
          <w:p w14:paraId="10D55C26"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Number people</w:t>
            </w:r>
          </w:p>
        </w:tc>
        <w:tc>
          <w:tcPr>
            <w:tcW w:w="695" w:type="pct"/>
          </w:tcPr>
          <w:p w14:paraId="643CD40D"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w:t>
            </w:r>
          </w:p>
        </w:tc>
        <w:tc>
          <w:tcPr>
            <w:tcW w:w="576" w:type="pct"/>
          </w:tcPr>
          <w:p w14:paraId="0C9FE40C"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w:t>
            </w:r>
          </w:p>
        </w:tc>
        <w:tc>
          <w:tcPr>
            <w:tcW w:w="740" w:type="pct"/>
          </w:tcPr>
          <w:p w14:paraId="6CFC545B"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1,300</w:t>
            </w:r>
          </w:p>
        </w:tc>
      </w:tr>
      <w:tr w:rsidR="007606C7" w:rsidRPr="00BB46CB" w14:paraId="147D16C1" w14:textId="77777777" w:rsidTr="00BD33CB">
        <w:trPr>
          <w:trHeight w:val="219"/>
        </w:trPr>
        <w:tc>
          <w:tcPr>
            <w:cnfStyle w:val="001000000000" w:firstRow="0" w:lastRow="0" w:firstColumn="1" w:lastColumn="0" w:oddVBand="0" w:evenVBand="0" w:oddHBand="0" w:evenHBand="0" w:firstRowFirstColumn="0" w:firstRowLastColumn="0" w:lastRowFirstColumn="0" w:lastRowLastColumn="0"/>
            <w:tcW w:w="1738" w:type="pct"/>
          </w:tcPr>
          <w:p w14:paraId="706E4334" w14:textId="77777777" w:rsidR="007606C7" w:rsidRPr="00BB46CB" w:rsidRDefault="007606C7" w:rsidP="00666947">
            <w:pPr>
              <w:pStyle w:val="TableTextLeft"/>
            </w:pPr>
            <w:r w:rsidRPr="00BB46CB">
              <w:t>Community stewardship</w:t>
            </w:r>
          </w:p>
        </w:tc>
        <w:tc>
          <w:tcPr>
            <w:tcW w:w="487" w:type="pct"/>
          </w:tcPr>
          <w:p w14:paraId="51152012"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2021</w:t>
            </w:r>
          </w:p>
        </w:tc>
        <w:tc>
          <w:tcPr>
            <w:tcW w:w="765" w:type="pct"/>
          </w:tcPr>
          <w:p w14:paraId="327C27E2"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Number groups</w:t>
            </w:r>
          </w:p>
        </w:tc>
        <w:tc>
          <w:tcPr>
            <w:tcW w:w="695" w:type="pct"/>
          </w:tcPr>
          <w:p w14:paraId="6012DEAB"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w:t>
            </w:r>
          </w:p>
        </w:tc>
        <w:tc>
          <w:tcPr>
            <w:tcW w:w="576" w:type="pct"/>
          </w:tcPr>
          <w:p w14:paraId="4EF53098"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w:t>
            </w:r>
          </w:p>
        </w:tc>
        <w:tc>
          <w:tcPr>
            <w:tcW w:w="740" w:type="pct"/>
          </w:tcPr>
          <w:p w14:paraId="2F561554"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51</w:t>
            </w:r>
          </w:p>
        </w:tc>
      </w:tr>
      <w:tr w:rsidR="007606C7" w:rsidRPr="00BB46CB" w14:paraId="6BBCBB5F" w14:textId="77777777" w:rsidTr="00BD33CB">
        <w:trPr>
          <w:trHeight w:val="219"/>
        </w:trPr>
        <w:tc>
          <w:tcPr>
            <w:cnfStyle w:val="001000000000" w:firstRow="0" w:lastRow="0" w:firstColumn="1" w:lastColumn="0" w:oddVBand="0" w:evenVBand="0" w:oddHBand="0" w:evenHBand="0" w:firstRowFirstColumn="0" w:firstRowLastColumn="0" w:lastRowFirstColumn="0" w:lastRowLastColumn="0"/>
            <w:tcW w:w="1738" w:type="pct"/>
          </w:tcPr>
          <w:p w14:paraId="1DDE986C" w14:textId="77777777" w:rsidR="007606C7" w:rsidRPr="00BB46CB" w:rsidRDefault="007606C7" w:rsidP="00666947">
            <w:pPr>
              <w:pStyle w:val="TableTextLeft"/>
            </w:pPr>
            <w:r w:rsidRPr="00BB46CB">
              <w:t>National parks and nature reserves</w:t>
            </w:r>
          </w:p>
        </w:tc>
        <w:tc>
          <w:tcPr>
            <w:tcW w:w="487" w:type="pct"/>
          </w:tcPr>
          <w:p w14:paraId="7F8A2472"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2021</w:t>
            </w:r>
          </w:p>
        </w:tc>
        <w:tc>
          <w:tcPr>
            <w:tcW w:w="765" w:type="pct"/>
          </w:tcPr>
          <w:p w14:paraId="71A538F9"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Ha</w:t>
            </w:r>
          </w:p>
        </w:tc>
        <w:tc>
          <w:tcPr>
            <w:tcW w:w="695" w:type="pct"/>
          </w:tcPr>
          <w:p w14:paraId="6A87A98E"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w:t>
            </w:r>
          </w:p>
        </w:tc>
        <w:tc>
          <w:tcPr>
            <w:tcW w:w="576" w:type="pct"/>
          </w:tcPr>
          <w:p w14:paraId="7180AB96"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w:t>
            </w:r>
          </w:p>
        </w:tc>
        <w:tc>
          <w:tcPr>
            <w:tcW w:w="740" w:type="pct"/>
          </w:tcPr>
          <w:p w14:paraId="7043951F"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33,400</w:t>
            </w:r>
          </w:p>
        </w:tc>
      </w:tr>
      <w:tr w:rsidR="007606C7" w:rsidRPr="00BB46CB" w14:paraId="212ED904" w14:textId="77777777" w:rsidTr="00BD33CB">
        <w:trPr>
          <w:trHeight w:val="219"/>
        </w:trPr>
        <w:tc>
          <w:tcPr>
            <w:cnfStyle w:val="001000000000" w:firstRow="0" w:lastRow="0" w:firstColumn="1" w:lastColumn="0" w:oddVBand="0" w:evenVBand="0" w:oddHBand="0" w:evenHBand="0" w:firstRowFirstColumn="0" w:firstRowLastColumn="0" w:lastRowFirstColumn="0" w:lastRowLastColumn="0"/>
            <w:tcW w:w="1738" w:type="pct"/>
          </w:tcPr>
          <w:p w14:paraId="426D281E" w14:textId="77777777" w:rsidR="007606C7" w:rsidRPr="00BB46CB" w:rsidRDefault="007606C7" w:rsidP="00666947">
            <w:pPr>
              <w:pStyle w:val="TableTextLeft"/>
            </w:pPr>
            <w:r w:rsidRPr="00BB46CB">
              <w:lastRenderedPageBreak/>
              <w:t>Other conservation reserves</w:t>
            </w:r>
          </w:p>
        </w:tc>
        <w:tc>
          <w:tcPr>
            <w:tcW w:w="487" w:type="pct"/>
          </w:tcPr>
          <w:p w14:paraId="70A8E36F"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2021</w:t>
            </w:r>
          </w:p>
        </w:tc>
        <w:tc>
          <w:tcPr>
            <w:tcW w:w="765" w:type="pct"/>
          </w:tcPr>
          <w:p w14:paraId="1A29FFAE"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Ha</w:t>
            </w:r>
          </w:p>
        </w:tc>
        <w:tc>
          <w:tcPr>
            <w:tcW w:w="695" w:type="pct"/>
          </w:tcPr>
          <w:p w14:paraId="58426E7B"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w:t>
            </w:r>
          </w:p>
        </w:tc>
        <w:tc>
          <w:tcPr>
            <w:tcW w:w="576" w:type="pct"/>
          </w:tcPr>
          <w:p w14:paraId="07954E56"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w:t>
            </w:r>
          </w:p>
        </w:tc>
        <w:tc>
          <w:tcPr>
            <w:tcW w:w="740" w:type="pct"/>
          </w:tcPr>
          <w:p w14:paraId="05EAF111"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7,500</w:t>
            </w:r>
          </w:p>
        </w:tc>
      </w:tr>
    </w:tbl>
    <w:p w14:paraId="77A5C6F4" w14:textId="77777777" w:rsidR="007606C7" w:rsidRPr="00BB46CB" w:rsidRDefault="007606C7" w:rsidP="007606C7">
      <w:pPr>
        <w:pStyle w:val="Heading3"/>
      </w:pPr>
      <w:bookmarkStart w:id="326" w:name="_Toc98854686"/>
      <w:bookmarkStart w:id="327" w:name="_Toc163547068"/>
      <w:r w:rsidRPr="00BB46CB">
        <w:t>Social / community cohesion</w:t>
      </w:r>
      <w:bookmarkEnd w:id="326"/>
      <w:bookmarkEnd w:id="327"/>
    </w:p>
    <w:p w14:paraId="2DCE6452" w14:textId="77777777" w:rsidR="007606C7" w:rsidRPr="00BB46CB" w:rsidRDefault="007606C7" w:rsidP="007606C7">
      <w:pPr>
        <w:pStyle w:val="BodyText"/>
      </w:pPr>
      <w:r w:rsidRPr="00BB46CB">
        <w:t xml:space="preserve">There are approximately 80 community groups that are dependent on or interact with ecosystems, consisting mostly of volunteer groups (51 community groups, associations, friends of groups, networks), see Table 80. For further detail on these groups, see Annex 12.   </w:t>
      </w:r>
    </w:p>
    <w:p w14:paraId="61EB63FF" w14:textId="77777777" w:rsidR="007606C7" w:rsidRPr="00BB46CB" w:rsidRDefault="007606C7" w:rsidP="00270081">
      <w:pPr>
        <w:pStyle w:val="Caption"/>
      </w:pPr>
      <w:r w:rsidRPr="00BB46CB">
        <w:t>Table 80. Numbers and type of community groups within the GORCAP EEA region</w:t>
      </w:r>
    </w:p>
    <w:tbl>
      <w:tblPr>
        <w:tblStyle w:val="TableGrid"/>
        <w:tblW w:w="5000" w:type="pct"/>
        <w:tblLook w:val="04A0" w:firstRow="1" w:lastRow="0" w:firstColumn="1" w:lastColumn="0" w:noHBand="0" w:noVBand="1"/>
      </w:tblPr>
      <w:tblGrid>
        <w:gridCol w:w="4845"/>
        <w:gridCol w:w="4794"/>
      </w:tblGrid>
      <w:tr w:rsidR="007606C7" w:rsidRPr="00BB46CB" w14:paraId="62B65576" w14:textId="77777777" w:rsidTr="00BD33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3" w:type="pct"/>
          </w:tcPr>
          <w:p w14:paraId="1915F7EF" w14:textId="77777777" w:rsidR="007606C7" w:rsidRPr="00BB46CB" w:rsidRDefault="007606C7" w:rsidP="007606C7">
            <w:pPr>
              <w:pStyle w:val="TableTextLeft"/>
              <w:keepNext w:val="0"/>
            </w:pPr>
            <w:r w:rsidRPr="00BB46CB">
              <w:rPr>
                <w:b/>
              </w:rPr>
              <w:t>Type</w:t>
            </w:r>
          </w:p>
        </w:tc>
        <w:tc>
          <w:tcPr>
            <w:tcW w:w="2487" w:type="pct"/>
          </w:tcPr>
          <w:p w14:paraId="7AD5449E" w14:textId="77777777" w:rsidR="007606C7" w:rsidRPr="00BB46CB" w:rsidRDefault="007606C7" w:rsidP="007606C7">
            <w:pPr>
              <w:pStyle w:val="TableTextLeft"/>
              <w:keepNext w:val="0"/>
              <w:cnfStyle w:val="100000000000" w:firstRow="1" w:lastRow="0" w:firstColumn="0" w:lastColumn="0" w:oddVBand="0" w:evenVBand="0" w:oddHBand="0" w:evenHBand="0" w:firstRowFirstColumn="0" w:firstRowLastColumn="0" w:lastRowFirstColumn="0" w:lastRowLastColumn="0"/>
              <w:rPr>
                <w:b/>
              </w:rPr>
            </w:pPr>
            <w:r w:rsidRPr="00BB46CB">
              <w:rPr>
                <w:b/>
              </w:rPr>
              <w:t>Number</w:t>
            </w:r>
          </w:p>
        </w:tc>
      </w:tr>
      <w:tr w:rsidR="007606C7" w:rsidRPr="00BB46CB" w14:paraId="41E71CA7" w14:textId="77777777" w:rsidTr="00BD33CB">
        <w:trPr>
          <w:trHeight w:val="219"/>
        </w:trPr>
        <w:tc>
          <w:tcPr>
            <w:cnfStyle w:val="001000000000" w:firstRow="0" w:lastRow="0" w:firstColumn="1" w:lastColumn="0" w:oddVBand="0" w:evenVBand="0" w:oddHBand="0" w:evenHBand="0" w:firstRowFirstColumn="0" w:firstRowLastColumn="0" w:lastRowFirstColumn="0" w:lastRowLastColumn="0"/>
            <w:tcW w:w="2513" w:type="pct"/>
          </w:tcPr>
          <w:p w14:paraId="07F977A6" w14:textId="77777777" w:rsidR="007606C7" w:rsidRPr="00BB46CB" w:rsidRDefault="007606C7" w:rsidP="00666947">
            <w:pPr>
              <w:pStyle w:val="TableTextLeft"/>
            </w:pPr>
            <w:r w:rsidRPr="00BB46CB">
              <w:t>Boating</w:t>
            </w:r>
          </w:p>
        </w:tc>
        <w:tc>
          <w:tcPr>
            <w:tcW w:w="2487" w:type="pct"/>
          </w:tcPr>
          <w:p w14:paraId="086FBE60"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2</w:t>
            </w:r>
          </w:p>
        </w:tc>
      </w:tr>
      <w:tr w:rsidR="007606C7" w:rsidRPr="00BB46CB" w14:paraId="51365A2B" w14:textId="77777777" w:rsidTr="00BD33CB">
        <w:tc>
          <w:tcPr>
            <w:cnfStyle w:val="001000000000" w:firstRow="0" w:lastRow="0" w:firstColumn="1" w:lastColumn="0" w:oddVBand="0" w:evenVBand="0" w:oddHBand="0" w:evenHBand="0" w:firstRowFirstColumn="0" w:firstRowLastColumn="0" w:lastRowFirstColumn="0" w:lastRowLastColumn="0"/>
            <w:tcW w:w="2513" w:type="pct"/>
          </w:tcPr>
          <w:p w14:paraId="5A42F9D9" w14:textId="77777777" w:rsidR="007606C7" w:rsidRPr="00BB46CB" w:rsidRDefault="007606C7" w:rsidP="00666947">
            <w:pPr>
              <w:pStyle w:val="TableTextLeft"/>
            </w:pPr>
            <w:r w:rsidRPr="00BB46CB">
              <w:t>Cycling</w:t>
            </w:r>
          </w:p>
        </w:tc>
        <w:tc>
          <w:tcPr>
            <w:tcW w:w="2487" w:type="pct"/>
          </w:tcPr>
          <w:p w14:paraId="5677E919"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5</w:t>
            </w:r>
          </w:p>
        </w:tc>
      </w:tr>
      <w:tr w:rsidR="007606C7" w:rsidRPr="00BB46CB" w14:paraId="4182EDA7" w14:textId="77777777" w:rsidTr="00BD33CB">
        <w:tc>
          <w:tcPr>
            <w:cnfStyle w:val="001000000000" w:firstRow="0" w:lastRow="0" w:firstColumn="1" w:lastColumn="0" w:oddVBand="0" w:evenVBand="0" w:oddHBand="0" w:evenHBand="0" w:firstRowFirstColumn="0" w:firstRowLastColumn="0" w:lastRowFirstColumn="0" w:lastRowLastColumn="0"/>
            <w:tcW w:w="2513" w:type="pct"/>
          </w:tcPr>
          <w:p w14:paraId="2D2E07A7" w14:textId="77777777" w:rsidR="007606C7" w:rsidRPr="00BB46CB" w:rsidRDefault="007606C7" w:rsidP="00666947">
            <w:pPr>
              <w:pStyle w:val="TableTextLeft"/>
            </w:pPr>
            <w:r w:rsidRPr="00BB46CB">
              <w:t>Fishing</w:t>
            </w:r>
          </w:p>
        </w:tc>
        <w:tc>
          <w:tcPr>
            <w:tcW w:w="2487" w:type="pct"/>
          </w:tcPr>
          <w:p w14:paraId="59E857F3"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2</w:t>
            </w:r>
          </w:p>
        </w:tc>
      </w:tr>
      <w:tr w:rsidR="007606C7" w:rsidRPr="00BB46CB" w14:paraId="2999CE86" w14:textId="77777777" w:rsidTr="00BD33CB">
        <w:tc>
          <w:tcPr>
            <w:cnfStyle w:val="001000000000" w:firstRow="0" w:lastRow="0" w:firstColumn="1" w:lastColumn="0" w:oddVBand="0" w:evenVBand="0" w:oddHBand="0" w:evenHBand="0" w:firstRowFirstColumn="0" w:firstRowLastColumn="0" w:lastRowFirstColumn="0" w:lastRowLastColumn="0"/>
            <w:tcW w:w="2513" w:type="pct"/>
          </w:tcPr>
          <w:p w14:paraId="56E3FA7B" w14:textId="77777777" w:rsidR="007606C7" w:rsidRPr="00BB46CB" w:rsidRDefault="007606C7" w:rsidP="00666947">
            <w:pPr>
              <w:pStyle w:val="TableTextLeft"/>
            </w:pPr>
            <w:r w:rsidRPr="00BB46CB">
              <w:t>Golf</w:t>
            </w:r>
          </w:p>
        </w:tc>
        <w:tc>
          <w:tcPr>
            <w:tcW w:w="2487" w:type="pct"/>
          </w:tcPr>
          <w:p w14:paraId="030D2039"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6</w:t>
            </w:r>
          </w:p>
        </w:tc>
      </w:tr>
      <w:tr w:rsidR="007606C7" w:rsidRPr="00BB46CB" w14:paraId="02A54871" w14:textId="77777777" w:rsidTr="00BD33CB">
        <w:tc>
          <w:tcPr>
            <w:cnfStyle w:val="001000000000" w:firstRow="0" w:lastRow="0" w:firstColumn="1" w:lastColumn="0" w:oddVBand="0" w:evenVBand="0" w:oddHBand="0" w:evenHBand="0" w:firstRowFirstColumn="0" w:firstRowLastColumn="0" w:lastRowFirstColumn="0" w:lastRowLastColumn="0"/>
            <w:tcW w:w="2513" w:type="pct"/>
          </w:tcPr>
          <w:p w14:paraId="0C94BDC8" w14:textId="77777777" w:rsidR="007606C7" w:rsidRPr="00BB46CB" w:rsidRDefault="007606C7" w:rsidP="00666947">
            <w:pPr>
              <w:pStyle w:val="TableTextLeft"/>
            </w:pPr>
            <w:r w:rsidRPr="00BB46CB">
              <w:t>Surf Lifesaving</w:t>
            </w:r>
          </w:p>
        </w:tc>
        <w:tc>
          <w:tcPr>
            <w:tcW w:w="2487" w:type="pct"/>
          </w:tcPr>
          <w:p w14:paraId="414156A1"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7</w:t>
            </w:r>
          </w:p>
        </w:tc>
      </w:tr>
      <w:tr w:rsidR="007606C7" w:rsidRPr="00BB46CB" w14:paraId="19BC67D7" w14:textId="77777777" w:rsidTr="00BD33CB">
        <w:tc>
          <w:tcPr>
            <w:cnfStyle w:val="001000000000" w:firstRow="0" w:lastRow="0" w:firstColumn="1" w:lastColumn="0" w:oddVBand="0" w:evenVBand="0" w:oddHBand="0" w:evenHBand="0" w:firstRowFirstColumn="0" w:firstRowLastColumn="0" w:lastRowFirstColumn="0" w:lastRowLastColumn="0"/>
            <w:tcW w:w="2513" w:type="pct"/>
          </w:tcPr>
          <w:p w14:paraId="19D8C463" w14:textId="77777777" w:rsidR="007606C7" w:rsidRPr="00BB46CB" w:rsidRDefault="007606C7" w:rsidP="00666947">
            <w:pPr>
              <w:pStyle w:val="TableTextLeft"/>
            </w:pPr>
            <w:r w:rsidRPr="00BB46CB">
              <w:t>Surfing</w:t>
            </w:r>
          </w:p>
        </w:tc>
        <w:tc>
          <w:tcPr>
            <w:tcW w:w="2487" w:type="pct"/>
          </w:tcPr>
          <w:p w14:paraId="2BF2B953"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2</w:t>
            </w:r>
          </w:p>
        </w:tc>
      </w:tr>
      <w:tr w:rsidR="007606C7" w:rsidRPr="00BB46CB" w14:paraId="324F57E8" w14:textId="77777777" w:rsidTr="00BD33CB">
        <w:tc>
          <w:tcPr>
            <w:cnfStyle w:val="001000000000" w:firstRow="0" w:lastRow="0" w:firstColumn="1" w:lastColumn="0" w:oddVBand="0" w:evenVBand="0" w:oddHBand="0" w:evenHBand="0" w:firstRowFirstColumn="0" w:firstRowLastColumn="0" w:lastRowFirstColumn="0" w:lastRowLastColumn="0"/>
            <w:tcW w:w="2513" w:type="pct"/>
          </w:tcPr>
          <w:p w14:paraId="6BE86FE8" w14:textId="77777777" w:rsidR="007606C7" w:rsidRPr="00BB46CB" w:rsidRDefault="007606C7" w:rsidP="00666947">
            <w:pPr>
              <w:pStyle w:val="TableTextLeft"/>
            </w:pPr>
            <w:r w:rsidRPr="00BB46CB">
              <w:t>Volunteer groups</w:t>
            </w:r>
          </w:p>
        </w:tc>
        <w:tc>
          <w:tcPr>
            <w:tcW w:w="2487" w:type="pct"/>
          </w:tcPr>
          <w:p w14:paraId="4F19F817"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51</w:t>
            </w:r>
          </w:p>
        </w:tc>
      </w:tr>
      <w:tr w:rsidR="007606C7" w:rsidRPr="00BB46CB" w14:paraId="2853DF53" w14:textId="77777777" w:rsidTr="00BD33CB">
        <w:tc>
          <w:tcPr>
            <w:cnfStyle w:val="001000000000" w:firstRow="0" w:lastRow="0" w:firstColumn="1" w:lastColumn="0" w:oddVBand="0" w:evenVBand="0" w:oddHBand="0" w:evenHBand="0" w:firstRowFirstColumn="0" w:firstRowLastColumn="0" w:lastRowFirstColumn="0" w:lastRowLastColumn="0"/>
            <w:tcW w:w="2513" w:type="pct"/>
          </w:tcPr>
          <w:p w14:paraId="28EC390C" w14:textId="77777777" w:rsidR="007606C7" w:rsidRPr="00BB46CB" w:rsidRDefault="007606C7" w:rsidP="00666947">
            <w:pPr>
              <w:pStyle w:val="TableTextLeft"/>
            </w:pPr>
            <w:r w:rsidRPr="00BB46CB">
              <w:t>Walking</w:t>
            </w:r>
          </w:p>
        </w:tc>
        <w:tc>
          <w:tcPr>
            <w:tcW w:w="2487" w:type="pct"/>
          </w:tcPr>
          <w:p w14:paraId="09554C11"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2</w:t>
            </w:r>
          </w:p>
        </w:tc>
      </w:tr>
      <w:tr w:rsidR="007606C7" w:rsidRPr="00BB46CB" w14:paraId="23AB57CD" w14:textId="77777777" w:rsidTr="00BD33CB">
        <w:trPr>
          <w:trHeight w:val="67"/>
        </w:trPr>
        <w:tc>
          <w:tcPr>
            <w:cnfStyle w:val="001000000000" w:firstRow="0" w:lastRow="0" w:firstColumn="1" w:lastColumn="0" w:oddVBand="0" w:evenVBand="0" w:oddHBand="0" w:evenHBand="0" w:firstRowFirstColumn="0" w:firstRowLastColumn="0" w:lastRowFirstColumn="0" w:lastRowLastColumn="0"/>
            <w:tcW w:w="2513" w:type="pct"/>
            <w:shd w:val="clear" w:color="auto" w:fill="B8E9EC" w:themeFill="accent6"/>
          </w:tcPr>
          <w:p w14:paraId="34AB4101" w14:textId="77777777" w:rsidR="007606C7" w:rsidRPr="00BB46CB" w:rsidRDefault="007606C7" w:rsidP="00666947">
            <w:pPr>
              <w:pStyle w:val="TableTextLeft"/>
            </w:pPr>
            <w:r w:rsidRPr="00BB46CB">
              <w:rPr>
                <w:b/>
              </w:rPr>
              <w:t>Total</w:t>
            </w:r>
          </w:p>
        </w:tc>
        <w:tc>
          <w:tcPr>
            <w:tcW w:w="2487" w:type="pct"/>
            <w:shd w:val="clear" w:color="auto" w:fill="B8E9EC" w:themeFill="accent6"/>
          </w:tcPr>
          <w:p w14:paraId="28E992A4"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rPr>
                <w:b/>
              </w:rPr>
            </w:pPr>
            <w:r w:rsidRPr="00BB46CB">
              <w:rPr>
                <w:b/>
              </w:rPr>
              <w:t>77</w:t>
            </w:r>
          </w:p>
        </w:tc>
      </w:tr>
    </w:tbl>
    <w:p w14:paraId="5661C106" w14:textId="77777777" w:rsidR="007606C7" w:rsidRPr="00BB46CB" w:rsidRDefault="007606C7" w:rsidP="007606C7">
      <w:pPr>
        <w:pStyle w:val="BodyText"/>
      </w:pPr>
      <w:r w:rsidRPr="00BB46CB">
        <w:t xml:space="preserve">Data from the </w:t>
      </w:r>
      <w:proofErr w:type="spellStart"/>
      <w:r w:rsidRPr="00BB46CB">
        <w:t>Coastcare</w:t>
      </w:r>
      <w:proofErr w:type="spellEnd"/>
      <w:r w:rsidRPr="00BB46CB">
        <w:t xml:space="preserve"> initiative (pers. comm DELWP’s </w:t>
      </w:r>
      <w:proofErr w:type="spellStart"/>
      <w:r w:rsidRPr="00BB46CB">
        <w:t>Coastcare</w:t>
      </w:r>
      <w:proofErr w:type="spellEnd"/>
      <w:r w:rsidRPr="00BB46CB">
        <w:t xml:space="preserve"> Victoria co-ordinator) shows that there are approximately 52 groups consisting of 1,300 individuals who are supported by </w:t>
      </w:r>
      <w:proofErr w:type="spellStart"/>
      <w:r w:rsidRPr="00BB46CB">
        <w:t>Coastcare</w:t>
      </w:r>
      <w:proofErr w:type="spellEnd"/>
      <w:r w:rsidRPr="00BB46CB">
        <w:t xml:space="preserve"> in the Bellarine to Nelson region which covers (but extend beyond) the GORCAP EEA area.</w:t>
      </w:r>
      <w:r w:rsidRPr="00BB46CB">
        <w:rPr>
          <w:vertAlign w:val="superscript"/>
        </w:rPr>
        <w:footnoteReference w:id="71"/>
      </w:r>
      <w:r w:rsidRPr="00BB46CB">
        <w:t xml:space="preserve"> Some of these groups could include the volunteer groups in Table 80 above.  </w:t>
      </w:r>
    </w:p>
    <w:p w14:paraId="7F36F332" w14:textId="77777777" w:rsidR="007606C7" w:rsidRPr="00BB46CB" w:rsidRDefault="007606C7" w:rsidP="007606C7">
      <w:pPr>
        <w:pStyle w:val="BodyText"/>
      </w:pPr>
      <w:r w:rsidRPr="00BB46CB">
        <w:t xml:space="preserve">Information has been obtained from Parks Victoria’s </w:t>
      </w:r>
      <w:proofErr w:type="spellStart"/>
      <w:r w:rsidRPr="00BB46CB">
        <w:t>ParkConnect</w:t>
      </w:r>
      <w:proofErr w:type="spellEnd"/>
      <w:r w:rsidRPr="00BB46CB">
        <w:t xml:space="preserve"> database (pers. comm. George Smith, Parks Victoria, 2021) on volunteering engagement for Great Otway National Park and Bay of Islands Coastal Park. Table 81 shows that in 2019 there were a total of 560 volunteers across 61 groups providing 2,355 volunteer hours in these two parks. It’s unclear the extent to which these are different groups / volunteers or the same groups volunteering multiple times. The volunteering activities include walking, weed removal / control, clean-ups, campground hosting, camera monitoring, committee meetings, revegetation, koala counts, environmental repairs, working bee’s, surveys, species monitoring (including hooded plover, metallic sun orchid), track maintenance / clearing.</w:t>
      </w:r>
    </w:p>
    <w:p w14:paraId="7A1CB434" w14:textId="77777777" w:rsidR="007606C7" w:rsidRPr="00BB46CB" w:rsidRDefault="007606C7" w:rsidP="00270081">
      <w:pPr>
        <w:pStyle w:val="Caption"/>
      </w:pPr>
      <w:r w:rsidRPr="00BB46CB">
        <w:t xml:space="preserve">Table 81. Volunteer engagement in Great Otway National Park and Bay of Islands Coastal Park in 2019 (Parks Victoria, 2021) </w:t>
      </w:r>
    </w:p>
    <w:tbl>
      <w:tblPr>
        <w:tblStyle w:val="TableGrid"/>
        <w:tblW w:w="5000" w:type="pct"/>
        <w:tblLook w:val="04A0" w:firstRow="1" w:lastRow="0" w:firstColumn="1" w:lastColumn="0" w:noHBand="0" w:noVBand="1"/>
      </w:tblPr>
      <w:tblGrid>
        <w:gridCol w:w="2117"/>
        <w:gridCol w:w="2770"/>
        <w:gridCol w:w="2225"/>
        <w:gridCol w:w="2527"/>
      </w:tblGrid>
      <w:tr w:rsidR="007606C7" w:rsidRPr="00BB46CB" w14:paraId="68B2283C" w14:textId="77777777" w:rsidTr="00BD33CB">
        <w:trPr>
          <w:cnfStyle w:val="100000000000" w:firstRow="1" w:lastRow="0" w:firstColumn="0" w:lastColumn="0" w:oddVBand="0" w:evenVBand="0" w:oddHBand="0" w:evenHBand="0" w:firstRowFirstColumn="0" w:firstRowLastColumn="0" w:lastRowFirstColumn="0" w:lastRowLastColumn="0"/>
          <w:trHeight w:val="95"/>
        </w:trPr>
        <w:tc>
          <w:tcPr>
            <w:cnfStyle w:val="001000000000" w:firstRow="0" w:lastRow="0" w:firstColumn="1" w:lastColumn="0" w:oddVBand="0" w:evenVBand="0" w:oddHBand="0" w:evenHBand="0" w:firstRowFirstColumn="0" w:firstRowLastColumn="0" w:lastRowFirstColumn="0" w:lastRowLastColumn="0"/>
            <w:tcW w:w="1098" w:type="pct"/>
          </w:tcPr>
          <w:p w14:paraId="664CF088" w14:textId="77777777" w:rsidR="007606C7" w:rsidRPr="00BB46CB" w:rsidRDefault="007606C7" w:rsidP="007606C7">
            <w:pPr>
              <w:pStyle w:val="TableTextLeft"/>
              <w:keepNext w:val="0"/>
            </w:pPr>
            <w:r w:rsidRPr="00BB46CB">
              <w:rPr>
                <w:b/>
              </w:rPr>
              <w:t>Period</w:t>
            </w:r>
          </w:p>
        </w:tc>
        <w:tc>
          <w:tcPr>
            <w:tcW w:w="1437" w:type="pct"/>
          </w:tcPr>
          <w:p w14:paraId="30B47BA8" w14:textId="77777777" w:rsidR="007606C7" w:rsidRPr="00BB46CB" w:rsidRDefault="007606C7" w:rsidP="007606C7">
            <w:pPr>
              <w:pStyle w:val="TableTextLeft"/>
              <w:keepNext w:val="0"/>
              <w:cnfStyle w:val="100000000000" w:firstRow="1" w:lastRow="0" w:firstColumn="0" w:lastColumn="0" w:oddVBand="0" w:evenVBand="0" w:oddHBand="0" w:evenHBand="0" w:firstRowFirstColumn="0" w:firstRowLastColumn="0" w:lastRowFirstColumn="0" w:lastRowLastColumn="0"/>
            </w:pPr>
            <w:r w:rsidRPr="00BB46CB">
              <w:rPr>
                <w:b/>
              </w:rPr>
              <w:t>Number volunteer groups</w:t>
            </w:r>
          </w:p>
        </w:tc>
        <w:tc>
          <w:tcPr>
            <w:tcW w:w="1154" w:type="pct"/>
          </w:tcPr>
          <w:p w14:paraId="16F8A53D" w14:textId="77777777" w:rsidR="007606C7" w:rsidRPr="00BB46CB" w:rsidRDefault="007606C7" w:rsidP="007606C7">
            <w:pPr>
              <w:pStyle w:val="TableTextLeft"/>
              <w:keepNext w:val="0"/>
              <w:cnfStyle w:val="100000000000" w:firstRow="1" w:lastRow="0" w:firstColumn="0" w:lastColumn="0" w:oddVBand="0" w:evenVBand="0" w:oddHBand="0" w:evenHBand="0" w:firstRowFirstColumn="0" w:firstRowLastColumn="0" w:lastRowFirstColumn="0" w:lastRowLastColumn="0"/>
            </w:pPr>
            <w:r w:rsidRPr="00BB46CB">
              <w:rPr>
                <w:b/>
              </w:rPr>
              <w:t>Number Volunteers</w:t>
            </w:r>
          </w:p>
        </w:tc>
        <w:tc>
          <w:tcPr>
            <w:tcW w:w="1312" w:type="pct"/>
          </w:tcPr>
          <w:p w14:paraId="5BE7DA64" w14:textId="77777777" w:rsidR="007606C7" w:rsidRPr="00BB46CB" w:rsidRDefault="007606C7" w:rsidP="007606C7">
            <w:pPr>
              <w:pStyle w:val="TableTextLeft"/>
              <w:keepNext w:val="0"/>
              <w:cnfStyle w:val="100000000000" w:firstRow="1" w:lastRow="0" w:firstColumn="0" w:lastColumn="0" w:oddVBand="0" w:evenVBand="0" w:oddHBand="0" w:evenHBand="0" w:firstRowFirstColumn="0" w:firstRowLastColumn="0" w:lastRowFirstColumn="0" w:lastRowLastColumn="0"/>
              <w:rPr>
                <w:b/>
              </w:rPr>
            </w:pPr>
            <w:r w:rsidRPr="00BB46CB">
              <w:rPr>
                <w:b/>
              </w:rPr>
              <w:t>Number volunteer hours</w:t>
            </w:r>
          </w:p>
        </w:tc>
      </w:tr>
      <w:tr w:rsidR="007606C7" w:rsidRPr="00BB46CB" w14:paraId="0B5EF4C6" w14:textId="77777777" w:rsidTr="00BD33CB">
        <w:trPr>
          <w:trHeight w:val="89"/>
        </w:trPr>
        <w:tc>
          <w:tcPr>
            <w:cnfStyle w:val="001000000000" w:firstRow="0" w:lastRow="0" w:firstColumn="1" w:lastColumn="0" w:oddVBand="0" w:evenVBand="0" w:oddHBand="0" w:evenHBand="0" w:firstRowFirstColumn="0" w:firstRowLastColumn="0" w:lastRowFirstColumn="0" w:lastRowLastColumn="0"/>
            <w:tcW w:w="1098" w:type="pct"/>
          </w:tcPr>
          <w:p w14:paraId="15BE73F2" w14:textId="77777777" w:rsidR="007606C7" w:rsidRPr="00BB46CB" w:rsidRDefault="007606C7" w:rsidP="00666947">
            <w:pPr>
              <w:pStyle w:val="TableTextLeft"/>
            </w:pPr>
            <w:r w:rsidRPr="00BB46CB">
              <w:t>Quarter 1</w:t>
            </w:r>
          </w:p>
        </w:tc>
        <w:tc>
          <w:tcPr>
            <w:tcW w:w="1437" w:type="pct"/>
          </w:tcPr>
          <w:p w14:paraId="4672BED7"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12</w:t>
            </w:r>
          </w:p>
        </w:tc>
        <w:tc>
          <w:tcPr>
            <w:tcW w:w="1154" w:type="pct"/>
          </w:tcPr>
          <w:p w14:paraId="3B10133A"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116</w:t>
            </w:r>
          </w:p>
        </w:tc>
        <w:tc>
          <w:tcPr>
            <w:tcW w:w="1312" w:type="pct"/>
          </w:tcPr>
          <w:p w14:paraId="72BE58BB"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283</w:t>
            </w:r>
          </w:p>
        </w:tc>
      </w:tr>
      <w:tr w:rsidR="007606C7" w:rsidRPr="00BB46CB" w14:paraId="790BF2D6" w14:textId="77777777" w:rsidTr="00BD33CB">
        <w:trPr>
          <w:trHeight w:val="95"/>
        </w:trPr>
        <w:tc>
          <w:tcPr>
            <w:cnfStyle w:val="001000000000" w:firstRow="0" w:lastRow="0" w:firstColumn="1" w:lastColumn="0" w:oddVBand="0" w:evenVBand="0" w:oddHBand="0" w:evenHBand="0" w:firstRowFirstColumn="0" w:firstRowLastColumn="0" w:lastRowFirstColumn="0" w:lastRowLastColumn="0"/>
            <w:tcW w:w="1098" w:type="pct"/>
          </w:tcPr>
          <w:p w14:paraId="54E106B4" w14:textId="77777777" w:rsidR="007606C7" w:rsidRPr="00BB46CB" w:rsidRDefault="007606C7" w:rsidP="00666947">
            <w:pPr>
              <w:pStyle w:val="TableTextLeft"/>
            </w:pPr>
            <w:r w:rsidRPr="00BB46CB">
              <w:t>Quarter 2</w:t>
            </w:r>
          </w:p>
        </w:tc>
        <w:tc>
          <w:tcPr>
            <w:tcW w:w="1437" w:type="pct"/>
          </w:tcPr>
          <w:p w14:paraId="57CAF8C3"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16</w:t>
            </w:r>
          </w:p>
        </w:tc>
        <w:tc>
          <w:tcPr>
            <w:tcW w:w="1154" w:type="pct"/>
          </w:tcPr>
          <w:p w14:paraId="20B634B9"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126</w:t>
            </w:r>
          </w:p>
        </w:tc>
        <w:tc>
          <w:tcPr>
            <w:tcW w:w="1312" w:type="pct"/>
          </w:tcPr>
          <w:p w14:paraId="0911558F"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553</w:t>
            </w:r>
          </w:p>
        </w:tc>
      </w:tr>
      <w:tr w:rsidR="007606C7" w:rsidRPr="00BB46CB" w14:paraId="45DA83C8" w14:textId="77777777" w:rsidTr="00BD33CB">
        <w:trPr>
          <w:trHeight w:val="35"/>
        </w:trPr>
        <w:tc>
          <w:tcPr>
            <w:cnfStyle w:val="001000000000" w:firstRow="0" w:lastRow="0" w:firstColumn="1" w:lastColumn="0" w:oddVBand="0" w:evenVBand="0" w:oddHBand="0" w:evenHBand="0" w:firstRowFirstColumn="0" w:firstRowLastColumn="0" w:lastRowFirstColumn="0" w:lastRowLastColumn="0"/>
            <w:tcW w:w="1098" w:type="pct"/>
          </w:tcPr>
          <w:p w14:paraId="5A6FFC2B" w14:textId="77777777" w:rsidR="007606C7" w:rsidRPr="00BB46CB" w:rsidRDefault="007606C7" w:rsidP="00666947">
            <w:pPr>
              <w:pStyle w:val="TableTextLeft"/>
            </w:pPr>
            <w:r w:rsidRPr="00BB46CB">
              <w:t>Quarter 3</w:t>
            </w:r>
          </w:p>
        </w:tc>
        <w:tc>
          <w:tcPr>
            <w:tcW w:w="1437" w:type="pct"/>
          </w:tcPr>
          <w:p w14:paraId="1529E45A"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16</w:t>
            </w:r>
          </w:p>
        </w:tc>
        <w:tc>
          <w:tcPr>
            <w:tcW w:w="1154" w:type="pct"/>
          </w:tcPr>
          <w:p w14:paraId="032A054D"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164</w:t>
            </w:r>
          </w:p>
        </w:tc>
        <w:tc>
          <w:tcPr>
            <w:tcW w:w="1312" w:type="pct"/>
          </w:tcPr>
          <w:p w14:paraId="7E19FBB6"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669</w:t>
            </w:r>
          </w:p>
        </w:tc>
      </w:tr>
      <w:tr w:rsidR="007606C7" w:rsidRPr="00BB46CB" w14:paraId="71A72C4B" w14:textId="77777777" w:rsidTr="00BD33CB">
        <w:trPr>
          <w:trHeight w:val="67"/>
        </w:trPr>
        <w:tc>
          <w:tcPr>
            <w:cnfStyle w:val="001000000000" w:firstRow="0" w:lastRow="0" w:firstColumn="1" w:lastColumn="0" w:oddVBand="0" w:evenVBand="0" w:oddHBand="0" w:evenHBand="0" w:firstRowFirstColumn="0" w:firstRowLastColumn="0" w:lastRowFirstColumn="0" w:lastRowLastColumn="0"/>
            <w:tcW w:w="1098" w:type="pct"/>
          </w:tcPr>
          <w:p w14:paraId="6AFE7A94" w14:textId="77777777" w:rsidR="007606C7" w:rsidRPr="00BB46CB" w:rsidRDefault="007606C7" w:rsidP="00666947">
            <w:pPr>
              <w:pStyle w:val="TableTextLeft"/>
            </w:pPr>
            <w:r w:rsidRPr="00BB46CB">
              <w:t>Quarter 4</w:t>
            </w:r>
          </w:p>
        </w:tc>
        <w:tc>
          <w:tcPr>
            <w:tcW w:w="1437" w:type="pct"/>
          </w:tcPr>
          <w:p w14:paraId="3FB16153"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17</w:t>
            </w:r>
          </w:p>
        </w:tc>
        <w:tc>
          <w:tcPr>
            <w:tcW w:w="1154" w:type="pct"/>
          </w:tcPr>
          <w:p w14:paraId="12EF73D0"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154</w:t>
            </w:r>
          </w:p>
        </w:tc>
        <w:tc>
          <w:tcPr>
            <w:tcW w:w="1312" w:type="pct"/>
          </w:tcPr>
          <w:p w14:paraId="073AB10E"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850</w:t>
            </w:r>
          </w:p>
        </w:tc>
      </w:tr>
      <w:tr w:rsidR="007606C7" w:rsidRPr="00BB46CB" w14:paraId="6F91CCED" w14:textId="77777777" w:rsidTr="00BD33CB">
        <w:trPr>
          <w:trHeight w:val="88"/>
        </w:trPr>
        <w:tc>
          <w:tcPr>
            <w:cnfStyle w:val="001000000000" w:firstRow="0" w:lastRow="0" w:firstColumn="1" w:lastColumn="0" w:oddVBand="0" w:evenVBand="0" w:oddHBand="0" w:evenHBand="0" w:firstRowFirstColumn="0" w:firstRowLastColumn="0" w:lastRowFirstColumn="0" w:lastRowLastColumn="0"/>
            <w:tcW w:w="1098" w:type="pct"/>
          </w:tcPr>
          <w:p w14:paraId="355B1AA7" w14:textId="77777777" w:rsidR="007606C7" w:rsidRPr="00BB46CB" w:rsidRDefault="007606C7" w:rsidP="00666947">
            <w:pPr>
              <w:pStyle w:val="TableTextLeft"/>
            </w:pPr>
            <w:r w:rsidRPr="00BB46CB">
              <w:rPr>
                <w:b/>
              </w:rPr>
              <w:t>Total</w:t>
            </w:r>
          </w:p>
        </w:tc>
        <w:tc>
          <w:tcPr>
            <w:tcW w:w="1437" w:type="pct"/>
          </w:tcPr>
          <w:p w14:paraId="031A579B"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rPr>
                <w:b/>
              </w:rPr>
              <w:t>61</w:t>
            </w:r>
          </w:p>
        </w:tc>
        <w:tc>
          <w:tcPr>
            <w:tcW w:w="1154" w:type="pct"/>
          </w:tcPr>
          <w:p w14:paraId="249F8E1B"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rPr>
                <w:b/>
              </w:rPr>
              <w:t>560</w:t>
            </w:r>
          </w:p>
        </w:tc>
        <w:tc>
          <w:tcPr>
            <w:tcW w:w="1312" w:type="pct"/>
          </w:tcPr>
          <w:p w14:paraId="181B6F84"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rPr>
                <w:b/>
              </w:rPr>
            </w:pPr>
            <w:r w:rsidRPr="00BB46CB">
              <w:rPr>
                <w:b/>
              </w:rPr>
              <w:t>2,355</w:t>
            </w:r>
          </w:p>
        </w:tc>
      </w:tr>
    </w:tbl>
    <w:p w14:paraId="476FA638" w14:textId="77777777" w:rsidR="007606C7" w:rsidRPr="00BB46CB" w:rsidRDefault="007606C7" w:rsidP="007606C7">
      <w:pPr>
        <w:pStyle w:val="BodyText"/>
        <w:sectPr w:rsidR="007606C7" w:rsidRPr="00BB46CB" w:rsidSect="00E52A9A">
          <w:headerReference w:type="even" r:id="rId253"/>
          <w:headerReference w:type="default" r:id="rId254"/>
          <w:footerReference w:type="even" r:id="rId255"/>
          <w:footerReference w:type="default" r:id="rId256"/>
          <w:pgSz w:w="11907" w:h="16840" w:code="9"/>
          <w:pgMar w:top="1134" w:right="1134" w:bottom="1134" w:left="1134" w:header="283" w:footer="283" w:gutter="0"/>
          <w:cols w:space="284"/>
          <w:docGrid w:linePitch="360"/>
        </w:sectPr>
      </w:pPr>
    </w:p>
    <w:p w14:paraId="21489194" w14:textId="77777777" w:rsidR="007606C7" w:rsidRPr="00BB46CB" w:rsidRDefault="007606C7" w:rsidP="0004232F">
      <w:pPr>
        <w:pStyle w:val="Heading1"/>
      </w:pPr>
      <w:bookmarkStart w:id="328" w:name="_Toc98854687"/>
      <w:bookmarkStart w:id="329" w:name="_Toc163547069"/>
      <w:r w:rsidRPr="00BB46CB">
        <w:lastRenderedPageBreak/>
        <w:t>Discussion</w:t>
      </w:r>
      <w:bookmarkEnd w:id="328"/>
      <w:bookmarkEnd w:id="329"/>
    </w:p>
    <w:p w14:paraId="7805AF6E" w14:textId="77777777" w:rsidR="007606C7" w:rsidRPr="00BB46CB" w:rsidRDefault="007606C7" w:rsidP="007606C7">
      <w:pPr>
        <w:pStyle w:val="Heading2"/>
      </w:pPr>
      <w:bookmarkStart w:id="330" w:name="_Toc98854688"/>
      <w:bookmarkStart w:id="331" w:name="_Toc163547070"/>
      <w:r w:rsidRPr="00BB46CB">
        <w:t>Stock assessment</w:t>
      </w:r>
      <w:bookmarkEnd w:id="330"/>
      <w:bookmarkEnd w:id="331"/>
      <w:r w:rsidRPr="00BB46CB">
        <w:t xml:space="preserve"> </w:t>
      </w:r>
    </w:p>
    <w:p w14:paraId="0D2818E8" w14:textId="77777777" w:rsidR="007606C7" w:rsidRPr="00BB46CB" w:rsidRDefault="007606C7" w:rsidP="007606C7">
      <w:pPr>
        <w:pStyle w:val="Heading3"/>
      </w:pPr>
      <w:bookmarkStart w:id="332" w:name="_Toc98854689"/>
      <w:bookmarkStart w:id="333" w:name="_Toc163547071"/>
      <w:r w:rsidRPr="00BB46CB">
        <w:t>Ecosystem extent</w:t>
      </w:r>
      <w:bookmarkEnd w:id="332"/>
      <w:bookmarkEnd w:id="333"/>
    </w:p>
    <w:p w14:paraId="56503F31" w14:textId="77777777" w:rsidR="007606C7" w:rsidRPr="00BB46CB" w:rsidRDefault="007606C7" w:rsidP="007606C7">
      <w:pPr>
        <w:pStyle w:val="BodyText"/>
      </w:pPr>
      <w:r w:rsidRPr="00BB46CB">
        <w:t>The analysis of ecosystem extent in the GORCAP EEA shows that the region of interest covers nearly 200,000 hectares and that:</w:t>
      </w:r>
    </w:p>
    <w:p w14:paraId="5F951C81" w14:textId="77777777" w:rsidR="007606C7" w:rsidRPr="00BB46CB" w:rsidRDefault="007606C7" w:rsidP="007606C7">
      <w:pPr>
        <w:pStyle w:val="ListBullet"/>
      </w:pPr>
      <w:r w:rsidRPr="00BB46CB">
        <w:t xml:space="preserve">This consists mostly of marine (approximately 128,000 hectares or 64 per cent) ecosystems, which are on Crown land (i.e., the seabed is Crown land). Much of the marine ecosystem area is classified by its geomorphological characteristics rather than biotic / ecological characteristics with sand (approximately 57,000 hectares) and rock (approximately 8,000 hectares) and sediments comprising fifty-five per cent of the marine area. Significant marine ecosystem assets by area include kelp beds (approximately 9,000 hectares) and by level of existing scientific research (from an ecosystem services perspective that can be readily incorporated into this GORCAP EEA) include seagrass (approximately 1,000 hectares).  </w:t>
      </w:r>
    </w:p>
    <w:p w14:paraId="76737BAB" w14:textId="77777777" w:rsidR="007606C7" w:rsidRPr="00BB46CB" w:rsidRDefault="007606C7" w:rsidP="007606C7">
      <w:pPr>
        <w:pStyle w:val="ListBullet"/>
      </w:pPr>
      <w:r w:rsidRPr="00BB46CB">
        <w:t xml:space="preserve">Forest areas make up the largest terrestrial ecosystem type within the GORCAP EEA region (approximately 36,000 hectares or 18 per cent), whilst farmland (approximately 27,000 hectares or 14 per cent) also occupies a significant area within the GORCAP EEA region. </w:t>
      </w:r>
    </w:p>
    <w:p w14:paraId="475C4429" w14:textId="77777777" w:rsidR="007606C7" w:rsidRPr="00BB46CB" w:rsidRDefault="007606C7" w:rsidP="007606C7">
      <w:pPr>
        <w:pStyle w:val="ListBullet"/>
      </w:pPr>
      <w:r w:rsidRPr="00BB46CB">
        <w:t>Other significant terrestrial ecosystems by level of existing scientific research (from an ecosystem services perspective that can be readily incorporated into this GORCAP EEA) include coastal margins (approximately 850 hectares of natural low cover (coastal foredunes), 540 hectares of estuaries, 75 hectares of saltmarsh and 4 hectares of mangrove) as well as freshwater and (inland) wetlands (approximately 1,600 hectares);</w:t>
      </w:r>
    </w:p>
    <w:p w14:paraId="39AFA83F" w14:textId="77777777" w:rsidR="007606C7" w:rsidRPr="00BB46CB" w:rsidRDefault="007606C7" w:rsidP="007606C7">
      <w:pPr>
        <w:pStyle w:val="ListBullet"/>
      </w:pPr>
      <w:r w:rsidRPr="00BB46CB">
        <w:t>The distribution of ecosystems shows that farmland dominates land cover to the extreme east (near Torquay) and west (between Peterborough and Allansford), with mixed farmland, forestry and freshwater between Peterborough and Apollo Bay. Forestry dominates land cover from Anglesea to Wye River and the Great Otway National Park. Coastal margins (saltmarsh and mangrove), although small in total area is distributed along much of the coast.</w:t>
      </w:r>
    </w:p>
    <w:p w14:paraId="22D63A14" w14:textId="77777777" w:rsidR="007606C7" w:rsidRPr="00BB46CB" w:rsidRDefault="007606C7" w:rsidP="007606C7">
      <w:pPr>
        <w:pStyle w:val="Heading3"/>
      </w:pPr>
      <w:bookmarkStart w:id="334" w:name="_Toc98854690"/>
      <w:bookmarkStart w:id="335" w:name="_Toc163547072"/>
      <w:r w:rsidRPr="00BB46CB">
        <w:t>Ecosystem condition</w:t>
      </w:r>
      <w:bookmarkEnd w:id="334"/>
      <w:bookmarkEnd w:id="335"/>
    </w:p>
    <w:p w14:paraId="0F7EC5CB" w14:textId="77777777" w:rsidR="007606C7" w:rsidRPr="00BB46CB" w:rsidRDefault="007606C7" w:rsidP="007606C7">
      <w:pPr>
        <w:pStyle w:val="BodyText"/>
      </w:pPr>
      <w:r w:rsidRPr="00BB46CB" w:rsidDel="008715B2">
        <w:t>Key insights from the information compiled in the ecosystem condition account are:</w:t>
      </w:r>
    </w:p>
    <w:p w14:paraId="0D76BCE3" w14:textId="77777777" w:rsidR="007606C7" w:rsidRPr="00BB46CB" w:rsidRDefault="007606C7" w:rsidP="007606C7">
      <w:pPr>
        <w:pStyle w:val="ListBullet"/>
      </w:pPr>
      <w:r w:rsidRPr="00BB46CB">
        <w:t xml:space="preserve">Native vegetation condition scores (measured from 0-100) (DELWP 2017) across the GORCAP EEA study area generally reflect the level of vegetation disturbance (Figure 14 and Table 23). Private land within the study area scores very low (29) whilst the proposed GORCAPA area, which includes large areas of National Park and other less disturbed land uses, has a much higher mean score (73). The mean score across the whole GORCAP EEA study area is low (45) which reflects the large proportion of land which has been cleared, predominately for agriculture (13.7% of the study area). These figures highlight the level of native vegetation condition degradation outside of public land conservation areas and the importance of such conservation areas in protecting the provision of ecosystem services from forested areas.  </w:t>
      </w:r>
    </w:p>
    <w:p w14:paraId="1F391686" w14:textId="77777777" w:rsidR="007606C7" w:rsidRPr="00BB46CB" w:rsidRDefault="007606C7" w:rsidP="007606C7">
      <w:pPr>
        <w:pStyle w:val="ListBullet"/>
      </w:pPr>
      <w:r w:rsidRPr="00BB46CB">
        <w:t>Habitat importance for threatened species is measured using ‘Strategic Biodiversity Values’ data (DELWP 2016c). The data combines information on important areas for threatened flora and fauna, levels of depletion, connectivity, vegetation types and condition to provide a view of relative biodiversity importance within the landscape (Figure 15 and Table 24). The data tells a similar story to the native vegetation condition scores, with the level of disturbance to native vegetation being the main driver of low scores. Within the GORCAP EEA study area the proposed GORCAPA area houses the most important habitats for threatened flora and fauna (mean score of 73) whilst the non-GORCAPA area provides relatively less important habitat (mean score of 29). These figures highlight the importance of National Parks and other conservation reserves in providing habitat services for threatened flora and fauna within the GORCAP EEA area.</w:t>
      </w:r>
    </w:p>
    <w:p w14:paraId="6C21E626" w14:textId="77777777" w:rsidR="007606C7" w:rsidRPr="00BB46CB" w:rsidRDefault="007606C7" w:rsidP="007606C7">
      <w:pPr>
        <w:pStyle w:val="ListBullet"/>
      </w:pPr>
      <w:r w:rsidRPr="00BB46CB">
        <w:t xml:space="preserve">Data from the Victorian Biodiversity Atlas (DELWP 2021) records the observation of 89 individual species of threatened flora and 70 individual species of threatened fauna located within the GORCAP EEA study area (Figures 16 &amp; 17 and Tables 25 &amp; 26). The GORCAPA area contains records for 72 individual species of threatened flora (11 of which are endangered) and 64 individual species of threatened fauna (5 of which are critically endangered).  </w:t>
      </w:r>
    </w:p>
    <w:p w14:paraId="6B8726FB" w14:textId="77777777" w:rsidR="007606C7" w:rsidRPr="00BB46CB" w:rsidRDefault="007606C7" w:rsidP="007606C7">
      <w:pPr>
        <w:pStyle w:val="ListBullet"/>
      </w:pPr>
      <w:r w:rsidRPr="00BB46CB">
        <w:lastRenderedPageBreak/>
        <w:t>Live above ground biomass data across Victoria’s forested areas has been created by the Victorian Forest Monitoring Program (DELWP 2018b) to inform Victoria’s State of the Forest reporting (Figure 18). The data is available from 2008 – 2017 and is the combination of long time series Landsat imagery combined with on ground forest plot measurements. Change in above ground biomass data over time provides information on the impact of major disturbances such as land clearing, droughts, bushfires and forest harvesting. The data for the GORCAP EEA area shows a stable level of biomass from 2012 until 2016 where the impact of the Wye River fire can be observed (Figure 28) which reduces  average above ground biomass by 3% (when the impact is averaged across the entire GORCAP EEA study area). Approximately half of the biomass lost due to the Wye River fire was regained the following year as vegetation recovered.</w:t>
      </w:r>
    </w:p>
    <w:p w14:paraId="3AEF49AB" w14:textId="77777777" w:rsidR="007606C7" w:rsidRPr="00BB46CB" w:rsidRDefault="007606C7" w:rsidP="007606C7">
      <w:pPr>
        <w:pStyle w:val="ListBullet"/>
      </w:pPr>
      <w:r w:rsidRPr="00BB46CB">
        <w:t xml:space="preserve">The Otway Ranges is one of the most landslide prone areas of Victoria (Dahlhaus 2003) as such the eco-system service of erosion regulation provided by forests in the GORCAP EEA study area is highly important. Over 41,000 hectares of land is classified as highly or very highly susceptible to landslip (DJPR and </w:t>
      </w:r>
      <w:proofErr w:type="spellStart"/>
      <w:r w:rsidRPr="00BB46CB">
        <w:t>A.Miner</w:t>
      </w:r>
      <w:proofErr w:type="spellEnd"/>
      <w:r w:rsidRPr="00BB46CB">
        <w:t xml:space="preserve"> 2017) within the GORCAP EEA study area, this comprises 58% of the terrestrial land within the study area (Figure 19). Slopes cleared of native vegetation are generally more susceptible to landslip as pasture species have far less root density and depth than forest species and thus less cohesive strength.</w:t>
      </w:r>
    </w:p>
    <w:p w14:paraId="08EA00E9" w14:textId="77777777" w:rsidR="007606C7" w:rsidRPr="00BB46CB" w:rsidRDefault="007606C7" w:rsidP="007606C7">
      <w:pPr>
        <w:pStyle w:val="ListBullet"/>
      </w:pPr>
      <w:r w:rsidRPr="00BB46CB">
        <w:t xml:space="preserve">Coastal acid sulphate soils (CASS) occur naturally across large parts of Victoria’s coastline and if left undisturbed pose little risk to the environment and built assets. If disturbed however water draining from such sites can become highly corrosive damaging ecosystems and built assets. The GORCAP EEA study area has approximately 3,850 hectares of land at risk of CASS (Figure 19). The Victorian Coast Acid Sulphate Soils strategy (DELWP 2009) helps landowners and land/water managers to avoid disturbing CASS. Undisturbed natural environments provide soil regulation ecosystem services protecting built assets and the environment from CASS. </w:t>
      </w:r>
    </w:p>
    <w:p w14:paraId="1431B1AE" w14:textId="77777777" w:rsidR="007606C7" w:rsidRPr="00BB46CB" w:rsidRDefault="007606C7" w:rsidP="007606C7">
      <w:pPr>
        <w:pStyle w:val="ListBullet"/>
      </w:pPr>
      <w:r w:rsidRPr="00BB46CB">
        <w:t>The Victorian Index of Stream Condition (ISC) (DELWP 2010) brings together data from a variety of sources to give a detailed overview of river and stream condition. The ISC is made up of five sub-indices: hydrology, streamside zone, physical form, water quality and aquatic life.  The 2010 ISC data shows that within the GOR AAE study area 41% of the streams and rivers were in good to excellent condition, 25% in moderate condition and 29% in poor to very poor condition. The mean GORCAP EEA study area 2010 ISC score was 34 out of 50 (Figure 20 and Table 28.</w:t>
      </w:r>
    </w:p>
    <w:p w14:paraId="517A1B2E" w14:textId="77777777" w:rsidR="007606C7" w:rsidRPr="00BB46CB" w:rsidRDefault="007606C7" w:rsidP="007606C7">
      <w:pPr>
        <w:pStyle w:val="ListBullet"/>
      </w:pPr>
      <w:r w:rsidRPr="00BB46CB">
        <w:t>The Victorian Index of Estuary Condition (IEC) (DELWP 2021b) assesses five themes to give an overall score: physical form, hydrology, water quality and fish. Each theme contains multiple measurements. The data provided for the GORCAP EEA is preliminary only as the IEC project is yet to reach completion.  The 2021 IEC data shows that of the 16 estuaries within the GORCAP EEA study area 4 were in good condition, 8 were in moderate condition, 2 were in poor condition and 2 didn’t have data made available (Table 29). The two estuaries in poor condition had the largest proportion of urban land within their catchment area (average 2.7%), the moderate condition estuaries had less urban area as a proportion of their catchments (average 0.8%) and the estuaries in good condition had the least proportion of urban area in their catchments (average 0.4%). These results highlight the importance of natural ecosystems for their ability to provide a range of eco-system services that maintain estuary and waterway health.</w:t>
      </w:r>
    </w:p>
    <w:p w14:paraId="54718BAD" w14:textId="77777777" w:rsidR="007606C7" w:rsidRPr="00BB46CB" w:rsidRDefault="007606C7" w:rsidP="007606C7">
      <w:pPr>
        <w:pStyle w:val="ListBullet"/>
      </w:pPr>
      <w:r w:rsidRPr="00BB46CB">
        <w:t>There is a significant volume of carbon stored in the GORCAP EEA region totalling 35.5 million tonnes of carbon dioxide equivalent (Figure 22). 24.5 million tonnes of that is stored within the proposed GORCAPA area (69% of the total volume yet just 36% of the terrestrial landmass within the GORCAP EEA study area) and 11 million tonnes stored within the proposed non-GORCAPA area (31% of the total volume yet 64% of the terrestrial landmass within the GORCAP EEA study area).</w:t>
      </w:r>
    </w:p>
    <w:p w14:paraId="23084F21" w14:textId="77777777" w:rsidR="007606C7" w:rsidRPr="00BB46CB" w:rsidRDefault="007606C7" w:rsidP="007606C7">
      <w:pPr>
        <w:pStyle w:val="ListBullet"/>
      </w:pPr>
      <w:r w:rsidRPr="00BB46CB">
        <w:t xml:space="preserve">Views from the Great Ocean Road were assessed using the ArcGIS 3D analyst extension visibility tool and a digital elevation model. 87per cent of the views from the GOR were outside of the proposed GORCAPA region, this is largely because the most visible locations from the GOR are to the ocean, of which the majority is outside of the proposed GORCAPA area. The stretch of GOR that travels immediately alongside the ocean between Aireys Inlet and Apollo Bay provides extensive views of the ocean from many locations thus dominating the viewability numbers (Figure 23).     </w:t>
      </w:r>
    </w:p>
    <w:p w14:paraId="10D07251" w14:textId="77777777" w:rsidR="007606C7" w:rsidRPr="00BB46CB" w:rsidRDefault="007606C7" w:rsidP="007606C7">
      <w:pPr>
        <w:pStyle w:val="ListBullet"/>
      </w:pPr>
      <w:r w:rsidRPr="00BB46CB">
        <w:t>Light pollution is commonly expressed using the Bortle scale, a nine level numeric scale that measures the night sky’s brightness through visibility of celestial objects with level 1 being a true dark sky with no interference through to 9 being a typical inner city location where only the brightest stars are visible. The majority of the GORCAP EEA is class 2 with isolated areas of higher scores associated with light pollution from the major regional centres. The map shown on Figure 24 (Stare 2021) shows light pollution mapped by radiance which is measured in watts per square meter per steradian.</w:t>
      </w:r>
    </w:p>
    <w:p w14:paraId="27BE5249" w14:textId="77777777" w:rsidR="007606C7" w:rsidRPr="00BB46CB" w:rsidRDefault="007606C7" w:rsidP="007606C7">
      <w:pPr>
        <w:pStyle w:val="BodyText12ptBefore"/>
      </w:pPr>
      <w:r w:rsidRPr="00BB46CB">
        <w:lastRenderedPageBreak/>
        <w:t xml:space="preserve">Including broader (socio-economic) metrics is important from a policy/management perspective as it provides for an understanding of the underlying drivers of differences in ecosystem service provision across space (and time if these metrics / the account is developed for different time periods) and to consider how opportunities to boost ecosystem service provision can be delivered in a way that does not reduce ecological integrity and/or provides for net gains in societal welfare (e.g. raised boardwalks for recreation etc). </w:t>
      </w:r>
    </w:p>
    <w:p w14:paraId="4B679196" w14:textId="77777777" w:rsidR="007606C7" w:rsidRPr="00BB46CB" w:rsidRDefault="007606C7" w:rsidP="007606C7">
      <w:pPr>
        <w:pStyle w:val="BodyText"/>
      </w:pPr>
      <w:r w:rsidRPr="00BB46CB">
        <w:t>The ecological, social and economic metrics need to be considered together to provide decision makers with a picture of the characteristics that are supporting ecosystem service provision within an area. . Such information also serves as an evidence base for decision makers to consider how to boost net societal welfare in an area, including if the trade-offs associated with doing so are acceptable and if certain constraints might be appropriate (beyond existing regulatory constraints). For example, consideration might be given to whether it is appropriate to add new access footpaths to an area in an environmentally sensitive way so that people can enjoy recreational activities in the area. A strong sustainability argument might lead to no trade-offs being allowed in an area such that additional recreational access can only be granted if certain ecological outcomes can be sustained. Alternatively, a weak(-er) sustainability argument might allow some loss of biodiversity so long as net societal welfare increases due to the additional recreational visits (bearing in mind that there is no point in putting in new access paths if this will degrade the habitat / biodiversity to an extent where recreational visits would not be boosted / boosted sufficiently to lead to net gains in welfare).</w:t>
      </w:r>
    </w:p>
    <w:p w14:paraId="5F4903E1" w14:textId="77777777" w:rsidR="007606C7" w:rsidRPr="00BB46CB" w:rsidRDefault="007606C7" w:rsidP="007606C7">
      <w:pPr>
        <w:pStyle w:val="Heading2"/>
      </w:pPr>
      <w:bookmarkStart w:id="336" w:name="_Toc98854691"/>
      <w:bookmarkStart w:id="337" w:name="_Toc163547073"/>
      <w:r w:rsidRPr="00BB46CB">
        <w:t>Flow assessment</w:t>
      </w:r>
      <w:bookmarkEnd w:id="336"/>
      <w:bookmarkEnd w:id="337"/>
      <w:r w:rsidRPr="00BB46CB">
        <w:t xml:space="preserve">  </w:t>
      </w:r>
    </w:p>
    <w:p w14:paraId="0F26A728" w14:textId="77777777" w:rsidR="007606C7" w:rsidRPr="00BB46CB" w:rsidRDefault="007606C7" w:rsidP="007606C7">
      <w:pPr>
        <w:pStyle w:val="Heading3"/>
      </w:pPr>
      <w:bookmarkStart w:id="338" w:name="_Toc98854692"/>
      <w:bookmarkStart w:id="339" w:name="_Toc163547074"/>
      <w:r w:rsidRPr="00BB46CB">
        <w:t>Coastal protection</w:t>
      </w:r>
      <w:bookmarkEnd w:id="338"/>
      <w:bookmarkEnd w:id="339"/>
      <w:r w:rsidRPr="00BB46CB">
        <w:t xml:space="preserve"> </w:t>
      </w:r>
    </w:p>
    <w:p w14:paraId="58E769E5" w14:textId="77777777" w:rsidR="007606C7" w:rsidRPr="00BB46CB" w:rsidRDefault="007606C7" w:rsidP="007606C7">
      <w:pPr>
        <w:pStyle w:val="BodyText"/>
      </w:pPr>
      <w:r w:rsidRPr="00BB46CB">
        <w:t>Coastal and marine habitats including mangrove, saltmarsh, seagrass and dune systems provide coastal protection services by absorbing / dissipating wave and tidal energy, acting as a natural buffer that reduces the risk to people and property associated with storm surges events, sea inundation and coastal erosion.</w:t>
      </w:r>
    </w:p>
    <w:p w14:paraId="40D65128" w14:textId="77777777" w:rsidR="007606C7" w:rsidRPr="00BB46CB" w:rsidRDefault="007606C7" w:rsidP="007606C7">
      <w:pPr>
        <w:pStyle w:val="BodyText"/>
      </w:pPr>
      <w:r w:rsidRPr="00BB46CB">
        <w:t>Based on analytical approach taken the results suggest that there is a coastal protection service provided by seagrass, saltmarsh, mangrove and/or geomorphology ecosystems where these exist within the GORCAP EEA region, which is along most (239 kilometres) of the GORCAP EEA region coastline, and that saltmarsh and geomorphology in particular could be providing notable reductions in hazards exposure in the region (up to 4 per cent based on saltmarsh or geomorphology areas alone). Whilst estimates have also been produced for the following outputs, there is a high degree of uncertainty associated with these (primarily because the underlying analysis is built using global datasets and assumptions) which should be recognised if using this information to inform decision making:</w:t>
      </w:r>
    </w:p>
    <w:p w14:paraId="78F432A3" w14:textId="77777777" w:rsidR="007606C7" w:rsidRPr="00BB46CB" w:rsidRDefault="007606C7" w:rsidP="007606C7">
      <w:pPr>
        <w:pStyle w:val="ListBullet"/>
      </w:pPr>
      <w:r w:rsidRPr="00BB46CB">
        <w:t>Total area benefitting from coastal hazard exposure reduction (75,300 hectares) across the GORCAP EEA region</w:t>
      </w:r>
    </w:p>
    <w:p w14:paraId="4B477F84" w14:textId="77777777" w:rsidR="007606C7" w:rsidRPr="00BB46CB" w:rsidRDefault="007606C7" w:rsidP="007606C7">
      <w:pPr>
        <w:pStyle w:val="ListBullet"/>
      </w:pPr>
      <w:r w:rsidRPr="00BB46CB">
        <w:t>Percentage change in coastal hazard exposure by area and length of coastline (1 per cent reduction along 3 km, 2 per cent along 2 km; 3 per cent along 1 km, 4 per cent along 20 km, 5 per cent along 121 km, 6 per cent along 46 km, 7 per cent along 23 km, 8 per cent along 15 km and 9 per cent along 8 km);</w:t>
      </w:r>
    </w:p>
    <w:p w14:paraId="10F3BECD" w14:textId="77777777" w:rsidR="007606C7" w:rsidRPr="00BB46CB" w:rsidRDefault="007606C7" w:rsidP="007606C7">
      <w:pPr>
        <w:pStyle w:val="ListBullet"/>
      </w:pPr>
      <w:r w:rsidRPr="00BB46CB">
        <w:t>The monetary value of this based on replacement cost of built infrastructure providing equivalent exposure reductions of between $2.6 million per year and $10.2 million per year which is assumed to benefit the government on the basis that it would fall onto the public sector to provide the replacement built infrastructure (as it is a public good).</w:t>
      </w:r>
    </w:p>
    <w:p w14:paraId="71EB7BC3" w14:textId="77777777" w:rsidR="007606C7" w:rsidRPr="00BB46CB" w:rsidRDefault="007606C7" w:rsidP="007606C7">
      <w:pPr>
        <w:pStyle w:val="BodyText12ptBefore"/>
      </w:pPr>
      <w:r w:rsidRPr="00BB46CB">
        <w:t xml:space="preserve">In terms of relevance for the strategic planning of the Authority, the coastal wetland areas within the GORCAP EEA region are on Crown land which means that the ecological status (extent and health) of these assets and therefore the sustained provision of this service is potentially dependent on the Authorities management (where this falls within the Coast and Parks area). Whilst the detailed results on the geographic scale and magnitude of exposure reduction along the coastline of the GORCAP EEA region are uncertain, the link between the existence of these ecosystems and a coastal protection service is well established in the scientific literature. The GORCAPA should note that the existence of these ecosystems is likely to be particularly important in areas where the following coincide: </w:t>
      </w:r>
    </w:p>
    <w:p w14:paraId="71F7D801" w14:textId="77777777" w:rsidR="007606C7" w:rsidRPr="00BB46CB" w:rsidRDefault="007606C7" w:rsidP="007606C7">
      <w:pPr>
        <w:pStyle w:val="ListBullet"/>
      </w:pPr>
      <w:r w:rsidRPr="00BB46CB">
        <w:t>There are multiple coastal wetland types / areas (of seagrass, saltmarsh, mangrove) and geomorphology in close proximity which the Carnell et al (2019) study suggests leads to cumulative reductions in coastal exposure.</w:t>
      </w:r>
    </w:p>
    <w:p w14:paraId="4C269B6B" w14:textId="77777777" w:rsidR="007606C7" w:rsidRPr="00BB46CB" w:rsidRDefault="007606C7" w:rsidP="007606C7">
      <w:pPr>
        <w:pStyle w:val="ListBullet"/>
      </w:pPr>
      <w:r w:rsidRPr="00BB46CB">
        <w:t>Existing risk management measures protecting the coastline from coastal exposure are inadequate.</w:t>
      </w:r>
    </w:p>
    <w:p w14:paraId="002537DC" w14:textId="77777777" w:rsidR="007606C7" w:rsidRPr="00BB46CB" w:rsidRDefault="007606C7" w:rsidP="007606C7">
      <w:pPr>
        <w:pStyle w:val="ListBullet"/>
      </w:pPr>
      <w:r w:rsidRPr="00BB46CB">
        <w:lastRenderedPageBreak/>
        <w:t>The total value of (residential and commercial) property and infrastructure (including the road of the Great Ocean Road) in close proximity to the coastline is significant.</w:t>
      </w:r>
    </w:p>
    <w:p w14:paraId="2EDC9A30" w14:textId="77777777" w:rsidR="007606C7" w:rsidRPr="00BB46CB" w:rsidRDefault="007606C7" w:rsidP="007606C7">
      <w:pPr>
        <w:pStyle w:val="BodyText12ptBefore"/>
      </w:pPr>
      <w:r w:rsidRPr="00BB46CB">
        <w:t>The future risk of coastal hazard events and the potential associated damages will be altered by climate change. Actions to deal with potential climate change impacts on the Victorian coastlines were considered under the Victorian Coastal Strategy 2008. As a result, Victorian planning provisions require that authorities to plan for possible sea level rise of 0.8 metres by 2100 and for the combined effects of tides, storm surges, coastal processes and local conditions. As the risk of coastal hazards increases in the future, the extent and condition (e.g., stability and health) of coastal ecosystem assets for coastal protection services will become more important.</w:t>
      </w:r>
    </w:p>
    <w:p w14:paraId="6013DDCE" w14:textId="77777777" w:rsidR="007606C7" w:rsidRPr="00BB46CB" w:rsidRDefault="007606C7" w:rsidP="007606C7">
      <w:pPr>
        <w:pStyle w:val="Heading3"/>
      </w:pPr>
      <w:bookmarkStart w:id="340" w:name="_Toc98854693"/>
      <w:bookmarkStart w:id="341" w:name="_Toc163547075"/>
      <w:r w:rsidRPr="00BB46CB">
        <w:t>Education</w:t>
      </w:r>
      <w:bookmarkEnd w:id="340"/>
      <w:bookmarkEnd w:id="341"/>
      <w:r w:rsidRPr="00BB46CB">
        <w:t xml:space="preserve"> </w:t>
      </w:r>
    </w:p>
    <w:p w14:paraId="7531232A" w14:textId="77777777" w:rsidR="007606C7" w:rsidRPr="00BB46CB" w:rsidRDefault="007606C7" w:rsidP="007606C7">
      <w:pPr>
        <w:pStyle w:val="BodyText"/>
      </w:pPr>
      <w:r w:rsidRPr="00BB46CB">
        <w:t xml:space="preserve">The natural environment provides the opportunity to “learn about the characteristics of living systems” (EEA, 2018). Whilst learning about the natural environment can occur through everyday interactions with the outdoors, the focus of this assessment is on formal education, such as school trips and “citizen science” projects. </w:t>
      </w:r>
    </w:p>
    <w:p w14:paraId="791F01B5" w14:textId="77777777" w:rsidR="007606C7" w:rsidRPr="00BB46CB" w:rsidRDefault="007606C7" w:rsidP="007606C7">
      <w:pPr>
        <w:pStyle w:val="BodyText"/>
      </w:pPr>
      <w:r w:rsidRPr="00BB46CB">
        <w:t>Information from DET’s Student Activity Locator (2021) shows that there were a total of 32,844 student visitors across 714 educational trips to the natural environment within the GORCAP EEA region in 2019. The key hotspots for educational visits in 2019 were Anglesea (11,270 visitors), Torquay (6,854 visitors), Warrnambool (4,646 visitors), Lorne (3,910 visitors), Princetown (1,794 visitors), Airey’s Inlet (1,702 visitors) and Apollo Bay (1,564 visitors). These numbers alone signify the importance of the region in providing an educational experience for Victorian’s that relates to the natural environment.</w:t>
      </w:r>
    </w:p>
    <w:p w14:paraId="35917BE8" w14:textId="77777777" w:rsidR="007606C7" w:rsidRPr="00BB46CB" w:rsidRDefault="007606C7" w:rsidP="007606C7">
      <w:pPr>
        <w:pStyle w:val="BodyText"/>
      </w:pPr>
      <w:r w:rsidRPr="00BB46CB">
        <w:t xml:space="preserve">Expenditures on educational activities are assumed to provide a lower bound estimate of the value of outdoor education on common economic assumption that if benefits were not perceived to be greater than costs then the activity would not be undertaken in the first place (UKNEA, 2011; </w:t>
      </w:r>
      <w:proofErr w:type="spellStart"/>
      <w:r w:rsidRPr="00BB46CB">
        <w:t>eftec</w:t>
      </w:r>
      <w:proofErr w:type="spellEnd"/>
      <w:r w:rsidRPr="00BB46CB">
        <w:t>, 2011; Mourato, 2011). The activity expenditure associated with educational trips to the GORCAP EEA region is estimated to be $0.5 million per year. The estimated contribution of ecosystems within the GORCAP EEA region to education and training GVA is $2.6 million in 2019. However, neither of these approaches to valuation capture the true economic value of educational benefits associated with these trips (an area for potential future research) and so this range is considered to be an underestimate of the economic value of these visits.</w:t>
      </w:r>
    </w:p>
    <w:p w14:paraId="294B5690" w14:textId="77777777" w:rsidR="007606C7" w:rsidRPr="00BB46CB" w:rsidRDefault="007606C7" w:rsidP="007606C7">
      <w:pPr>
        <w:pStyle w:val="Heading3"/>
      </w:pPr>
      <w:bookmarkStart w:id="342" w:name="_Toc98854694"/>
      <w:bookmarkStart w:id="343" w:name="_Toc163547076"/>
      <w:r w:rsidRPr="00BB46CB">
        <w:t>Biomass for food</w:t>
      </w:r>
      <w:bookmarkEnd w:id="342"/>
      <w:bookmarkEnd w:id="343"/>
    </w:p>
    <w:p w14:paraId="4A449FA3" w14:textId="77777777" w:rsidR="007606C7" w:rsidRPr="00BB46CB" w:rsidRDefault="007606C7" w:rsidP="007606C7">
      <w:pPr>
        <w:pStyle w:val="BodyText"/>
        <w:rPr>
          <w:rFonts w:eastAsia="Calibri"/>
        </w:rPr>
      </w:pPr>
      <w:r w:rsidRPr="00BB46CB">
        <w:rPr>
          <w:rFonts w:eastAsia="Calibri"/>
        </w:rPr>
        <w:t>Commercial production of crop, livestock, fish, crustacean and mollusc biomass in the GORCAP region is supported by terrestrial, freshwater and marine ecosystems which provide a range of ecological functions that enable species to live and grow. Analysis for this GORCAP EEA suggests that:</w:t>
      </w:r>
    </w:p>
    <w:p w14:paraId="45AD1B70" w14:textId="77777777" w:rsidR="007606C7" w:rsidRPr="00BB46CB" w:rsidRDefault="007606C7" w:rsidP="007606C7">
      <w:pPr>
        <w:pStyle w:val="ListBullet"/>
        <w:rPr>
          <w:rFonts w:eastAsia="Calibri"/>
        </w:rPr>
      </w:pPr>
      <w:r w:rsidRPr="00BB46CB">
        <w:rPr>
          <w:rFonts w:eastAsia="Calibri"/>
        </w:rPr>
        <w:t>Agriculture</w:t>
      </w:r>
      <w:r w:rsidRPr="00BB46CB">
        <w:rPr>
          <w:rFonts w:eastAsia="Calibri"/>
          <w:b/>
        </w:rPr>
        <w:t>:</w:t>
      </w:r>
      <w:r w:rsidRPr="00BB46CB">
        <w:rPr>
          <w:rFonts w:eastAsia="Calibri"/>
        </w:rPr>
        <w:t xml:space="preserve"> the</w:t>
      </w:r>
      <w:r w:rsidRPr="00BB46CB">
        <w:rPr>
          <w:rFonts w:eastAsia="Calibri"/>
          <w:b/>
        </w:rPr>
        <w:t xml:space="preserve"> </w:t>
      </w:r>
      <w:r w:rsidRPr="00BB46CB">
        <w:rPr>
          <w:rFonts w:eastAsia="Calibri"/>
        </w:rPr>
        <w:t>analysis suggests that there is a substantial agricultural production within the GORCAP EEA region (assuming that the type of agricultural production in the GORCAP EEA region is representative of the broader production within Victoria) including 28,000 tonnes of arable output (crops and hay) and 160,000 livestock valued at around $11 million a year based on a resource rent (i.e., isolating the contribution of the ecosystem from other inputs such as labour and machinery).</w:t>
      </w:r>
    </w:p>
    <w:p w14:paraId="1D026EC2" w14:textId="77777777" w:rsidR="007606C7" w:rsidRPr="00BB46CB" w:rsidRDefault="007606C7" w:rsidP="007606C7">
      <w:pPr>
        <w:pStyle w:val="ListBullet"/>
        <w:rPr>
          <w:rFonts w:eastAsia="Calibri"/>
        </w:rPr>
      </w:pPr>
      <w:r w:rsidRPr="00BB46CB">
        <w:rPr>
          <w:rFonts w:eastAsia="Calibri"/>
        </w:rPr>
        <w:t>Fisheries - wild fish harvest</w:t>
      </w:r>
      <w:r w:rsidRPr="00BB46CB">
        <w:rPr>
          <w:rFonts w:eastAsia="Calibri"/>
          <w:b/>
        </w:rPr>
        <w:t xml:space="preserve">: </w:t>
      </w:r>
      <w:r w:rsidRPr="00BB46CB">
        <w:rPr>
          <w:rFonts w:eastAsia="Calibri"/>
        </w:rPr>
        <w:t xml:space="preserve">The seagrass ecosystems in the region support annual biomass enhancement of wild fish stocks that is caught by commercial fishers of approximately 2,500 kilograms per year through contributing to the diet of these fish. This is valued at approximately $0.007 million per year based on a resource rent approach. (Mangrove and saltmarsh in the GORCAP EEA are also assessed but are estimated to provide a negligible role in supporting commercial fisheries).  The reason that this is a relatively low value is that it is capturing the value of the supporting service provided by seagrass in contributing to the diet of fish, which is one contributory factor in the life cycle of these fish stocks. Also, this value isolates the contribution of the seagrass from other inputs (machinery, labour) to production which contribute to the value of fisheries production. This information can be used as part of the business case for demonstrating the value of seagrass (along with the value of the many other ecosystem services that this ecosystem provides). </w:t>
      </w:r>
    </w:p>
    <w:p w14:paraId="015FBE81" w14:textId="77777777" w:rsidR="007606C7" w:rsidRPr="00BB46CB" w:rsidRDefault="007606C7" w:rsidP="007606C7">
      <w:pPr>
        <w:pStyle w:val="ListBullet"/>
        <w:rPr>
          <w:rFonts w:eastAsia="Calibri"/>
        </w:rPr>
      </w:pPr>
      <w:r w:rsidRPr="00BB46CB">
        <w:rPr>
          <w:rFonts w:eastAsia="Calibri"/>
        </w:rPr>
        <w:t>Fisheries - wild invertebrate harvest (abalone)</w:t>
      </w:r>
      <w:r w:rsidRPr="00BB46CB">
        <w:rPr>
          <w:rFonts w:eastAsia="Calibri"/>
          <w:b/>
        </w:rPr>
        <w:t xml:space="preserve">: </w:t>
      </w:r>
      <w:r w:rsidRPr="00BB46CB">
        <w:rPr>
          <w:rFonts w:eastAsia="Calibri"/>
        </w:rPr>
        <w:t>the analysis suggests that there is an estimated 269 tonnes (269,000 kilograms) or abalone harvested in the GORCAP EEA region valued at approximately $0.3 million a year based on a resource rent (i.e., isolating the contribution of the ecosystem from other inputs such as labour and machinery).</w:t>
      </w:r>
    </w:p>
    <w:p w14:paraId="511C0CEA" w14:textId="77777777" w:rsidR="007606C7" w:rsidRPr="00BB46CB" w:rsidRDefault="007606C7" w:rsidP="007606C7">
      <w:pPr>
        <w:pStyle w:val="Heading3"/>
      </w:pPr>
      <w:bookmarkStart w:id="344" w:name="_Toc98854695"/>
      <w:bookmarkStart w:id="345" w:name="_Toc163547077"/>
      <w:r w:rsidRPr="00BB46CB">
        <w:lastRenderedPageBreak/>
        <w:t>Global climate regulation</w:t>
      </w:r>
      <w:bookmarkEnd w:id="344"/>
      <w:bookmarkEnd w:id="345"/>
    </w:p>
    <w:p w14:paraId="3C2853BC" w14:textId="77777777" w:rsidR="007606C7" w:rsidRPr="00BB46CB" w:rsidRDefault="007606C7" w:rsidP="007606C7">
      <w:pPr>
        <w:pStyle w:val="BodyText"/>
      </w:pPr>
      <w:r w:rsidRPr="00BB46CB">
        <w:t>Vegetation within the GOR terrestrial and marine ecosystem</w:t>
      </w:r>
      <w:r w:rsidRPr="00BB46CB">
        <w:rPr>
          <w:vertAlign w:val="superscript"/>
        </w:rPr>
        <w:footnoteReference w:id="72"/>
      </w:r>
      <w:r w:rsidRPr="00BB46CB">
        <w:t xml:space="preserve"> sequesters carbon dioxide from the atmosphere and stores it as organic carbon in plant biomass (trunks, branches, foliage and roots) and soil.  The global climate regulating service of ecosystem assets in the GORCAP EEA region is measured through the tonnes of carbon (CO2e) retained across the region and separately the tonnes of carbon (CO2e) sequestered annually and the analysis shows:  </w:t>
      </w:r>
    </w:p>
    <w:p w14:paraId="722139B9" w14:textId="77777777" w:rsidR="007606C7" w:rsidRPr="00BB46CB" w:rsidRDefault="007606C7" w:rsidP="007606C7">
      <w:pPr>
        <w:pStyle w:val="ListBullet"/>
      </w:pPr>
      <w:r w:rsidRPr="00BB46CB">
        <w:t>Carbon retention:</w:t>
      </w:r>
      <w:r w:rsidRPr="00BB46CB">
        <w:rPr>
          <w:rFonts w:eastAsia="Calibri"/>
        </w:rPr>
        <w:t xml:space="preserve"> under the retention approach, the ecosystem service is conceptualised as the retention of carbon in an ecosystem (i.e., the avoided release of carbon). This is </w:t>
      </w:r>
      <w:r w:rsidRPr="00BB46CB">
        <w:t>quantified by measuring the stock of carbon in an ecosystem over an accounting period, converted into an annual flow using an annuity approach. The results show an estimated 35 million tonnes of carbon dioxide equivalent is stored in the ecosystems of the GOR, which provides an annual value of $63 million to $182 million per year.</w:t>
      </w:r>
    </w:p>
    <w:p w14:paraId="7FB053A8" w14:textId="77777777" w:rsidR="007606C7" w:rsidRPr="00BB46CB" w:rsidRDefault="007606C7" w:rsidP="007606C7">
      <w:pPr>
        <w:pStyle w:val="ListBullet"/>
      </w:pPr>
      <w:r w:rsidRPr="00BB46CB">
        <w:t>Carbon sequestration: this approach measures the gross</w:t>
      </w:r>
      <w:r w:rsidRPr="00BB46CB">
        <w:rPr>
          <w:b/>
        </w:rPr>
        <w:t xml:space="preserve"> </w:t>
      </w:r>
      <w:r w:rsidRPr="00BB46CB">
        <w:t>annual addition to carbon stocks within the GORCAP region.</w:t>
      </w:r>
      <w:r w:rsidRPr="00BB46CB">
        <w:rPr>
          <w:vertAlign w:val="superscript"/>
        </w:rPr>
        <w:footnoteReference w:id="73"/>
      </w:r>
      <w:r w:rsidRPr="00BB46CB">
        <w:t xml:space="preserve"> That is, the removal of carbon from the atmosphere and storage in plant biomass as an ecological function. An estimated 133,000 tonnes of carbon (CO2e) is sequestered annually at a value of $5.8 million to $16.8 million per year by some of the ecosystems of the GORCAP EEA, specifically freshwater and (inland) wetlands, coastal margin and forest which represent about twenty percent of the total area of the region. This sequestration is mostly (125,000 tonnes / $5.5 million to $15.8 million per year) by the forests across the region that are on Crown land and which could therefore be under the management responsibility of the GOR Coast and Parks Authority now or at some point in the future.   </w:t>
      </w:r>
    </w:p>
    <w:p w14:paraId="2A865223" w14:textId="77777777" w:rsidR="007606C7" w:rsidRPr="00BB46CB" w:rsidRDefault="007606C7" w:rsidP="007606C7">
      <w:pPr>
        <w:pStyle w:val="Heading3"/>
      </w:pPr>
      <w:bookmarkStart w:id="346" w:name="_Toc98854696"/>
      <w:bookmarkStart w:id="347" w:name="_Toc163547078"/>
      <w:r w:rsidRPr="00BB46CB">
        <w:t>Recreation and tourism</w:t>
      </w:r>
      <w:bookmarkEnd w:id="346"/>
      <w:bookmarkEnd w:id="347"/>
    </w:p>
    <w:p w14:paraId="7E09D729" w14:textId="77777777" w:rsidR="007606C7" w:rsidRPr="00BB46CB" w:rsidRDefault="007606C7" w:rsidP="007606C7">
      <w:pPr>
        <w:pStyle w:val="BodyText"/>
      </w:pPr>
      <w:r w:rsidRPr="00BB46CB">
        <w:t>The ecosystem assets of the GOR provide an opportunity for tourism and recreation. Tourism is generally interpreted as involving overnight stays, potentially of visitors from abroad, and recreation is more usually associated with day trips (UN, 2014). The physical provision of recreation and tourism from ecosystem assets is captured through recreational participation in ecosystem specific activities.</w:t>
      </w:r>
    </w:p>
    <w:p w14:paraId="5A9046EA" w14:textId="77777777" w:rsidR="007606C7" w:rsidRPr="00BB46CB" w:rsidRDefault="007606C7" w:rsidP="007606C7">
      <w:pPr>
        <w:pStyle w:val="BodyText"/>
      </w:pPr>
      <w:r w:rsidRPr="00BB46CB">
        <w:t>The estimated total visitors that can be attributed to the existence of ecosystems within the GORCAP EEA region is 3.9 million per year in 2019 including domestic daytrip (2.1million), domestic overnight (1.6 million) and international (0.2 million) across the LGA’s within the GORCAP EEA region. Approximately half of these visits are estimated to be to the Surf Coast (1.8 million). Whilst the LGA areas cover a larger area than the boundary of the GORCAP EEA, the expectation is that this figure is a suitable representation of the number of visits taken to the GORCAP EEA region given that Parks Victoria data obtained for this GORCAP EEA estimates 2.2 million visits to the Twelve Apostles alone in 2019.</w:t>
      </w:r>
      <w:r w:rsidRPr="00BB46CB">
        <w:rPr>
          <w:vertAlign w:val="superscript"/>
        </w:rPr>
        <w:footnoteReference w:id="74"/>
      </w:r>
      <w:r w:rsidRPr="00BB46CB">
        <w:t xml:space="preserve"> Approximately 375,000 of these visits are estimated to be “active visits” that meet certain physical activity guidelines (and therefore provide a health benefit).</w:t>
      </w:r>
    </w:p>
    <w:p w14:paraId="6BFD6522" w14:textId="77777777" w:rsidR="007606C7" w:rsidRPr="00BB46CB" w:rsidRDefault="007606C7" w:rsidP="007606C7">
      <w:pPr>
        <w:pStyle w:val="BodyText"/>
      </w:pPr>
      <w:r w:rsidRPr="00BB46CB">
        <w:t>The economic value of recreation and tourism in the GORCAP EEA region is approximately $560 million a year in 2019 based on the estimated:</w:t>
      </w:r>
    </w:p>
    <w:p w14:paraId="731DB94B" w14:textId="77777777" w:rsidR="007606C7" w:rsidRPr="00BB46CB" w:rsidRDefault="007606C7" w:rsidP="007606C7">
      <w:pPr>
        <w:pStyle w:val="ListBullet"/>
        <w:rPr>
          <w:b/>
        </w:rPr>
      </w:pPr>
      <w:r w:rsidRPr="00BB46CB">
        <w:t>Welfare value (based on travel cost) of recreation within the GORCAP EEA region of $514 million in 2019</w:t>
      </w:r>
      <w:r w:rsidRPr="00BB46CB">
        <w:rPr>
          <w:b/>
        </w:rPr>
        <w:t>.</w:t>
      </w:r>
    </w:p>
    <w:p w14:paraId="565A5A78" w14:textId="77777777" w:rsidR="007606C7" w:rsidRPr="00BB46CB" w:rsidRDefault="007606C7" w:rsidP="007606C7">
      <w:pPr>
        <w:pStyle w:val="ListBullet"/>
        <w:rPr>
          <w:b/>
        </w:rPr>
      </w:pPr>
      <w:r w:rsidRPr="00BB46CB">
        <w:t>Improved productivity of the Australian labour force from “active visits” by</w:t>
      </w:r>
      <w:r w:rsidRPr="00BB46CB">
        <w:rPr>
          <w:b/>
        </w:rPr>
        <w:t xml:space="preserve"> </w:t>
      </w:r>
      <w:r w:rsidRPr="00BB46CB">
        <w:t xml:space="preserve">domestic visitors of $39 million in 2019. </w:t>
      </w:r>
    </w:p>
    <w:p w14:paraId="634DA0E8" w14:textId="77777777" w:rsidR="007606C7" w:rsidRPr="00BB46CB" w:rsidRDefault="007606C7" w:rsidP="007606C7">
      <w:pPr>
        <w:pStyle w:val="ListBullet"/>
        <w:rPr>
          <w:b/>
        </w:rPr>
      </w:pPr>
      <w:r w:rsidRPr="00BB46CB">
        <w:t>Avoided medical costs to Australian households and government of $7 million in 2019 from “active visits” by</w:t>
      </w:r>
      <w:r w:rsidRPr="00BB46CB">
        <w:rPr>
          <w:b/>
        </w:rPr>
        <w:t xml:space="preserve"> </w:t>
      </w:r>
      <w:r w:rsidRPr="00BB46CB">
        <w:t>domestic visitors.</w:t>
      </w:r>
    </w:p>
    <w:p w14:paraId="3422D307" w14:textId="77777777" w:rsidR="007606C7" w:rsidRPr="00BB46CB" w:rsidRDefault="007606C7" w:rsidP="007606C7">
      <w:pPr>
        <w:pStyle w:val="BodyText12ptBefore"/>
      </w:pPr>
      <w:r w:rsidRPr="00BB46CB">
        <w:t xml:space="preserve">The estimated contribution of ecosystems within the GORCAP EEA region to GVA is $61 million per year in 2019. In order to avoid double counting the benefits generated by the natural environment, the GVA </w:t>
      </w:r>
      <w:r w:rsidRPr="00BB46CB">
        <w:lastRenderedPageBreak/>
        <w:t>estimates should not be added to the welfare estimates. This is because households make the expenditures (which generate GVA) because of the welfare benefits they enjoy from engaging with the natural environment (i.e., the market is capturing a proportion of their consumer surplus). The productivity benefits (to industry) and avoided medical costs (to government and households) are deemed to be suitable to add to the welfare value because these are different (indirect) outcomes / benefits to the (direct) wellbeing benefit of engaging with the natural environment.</w:t>
      </w:r>
    </w:p>
    <w:p w14:paraId="370678DA" w14:textId="77777777" w:rsidR="007606C7" w:rsidRPr="00BB46CB" w:rsidRDefault="007606C7" w:rsidP="007606C7">
      <w:pPr>
        <w:pStyle w:val="BodyText"/>
      </w:pPr>
    </w:p>
    <w:p w14:paraId="6EAAAB4D" w14:textId="77777777" w:rsidR="00CB5B4C" w:rsidRDefault="00CB5B4C"/>
    <w:tbl>
      <w:tblPr>
        <w:tblStyle w:val="PullOutBoxTable"/>
        <w:tblW w:w="0" w:type="auto"/>
        <w:tblCellSpacing w:w="142" w:type="dxa"/>
        <w:tblBorders>
          <w:top w:val="single" w:sz="18" w:space="0" w:color="004C97" w:themeColor="accent1"/>
          <w:left w:val="single" w:sz="18" w:space="0" w:color="004C97" w:themeColor="accent1"/>
          <w:bottom w:val="single" w:sz="18" w:space="0" w:color="004C97" w:themeColor="accent1"/>
          <w:right w:val="single" w:sz="18" w:space="0" w:color="004C97" w:themeColor="accent1"/>
        </w:tblBorders>
        <w:shd w:val="clear" w:color="auto" w:fill="E7F7F8" w:themeFill="accent2" w:themeFillTint="33"/>
        <w:tblCellMar>
          <w:top w:w="0" w:type="dxa"/>
          <w:left w:w="0" w:type="dxa"/>
          <w:bottom w:w="0" w:type="dxa"/>
          <w:right w:w="0" w:type="dxa"/>
        </w:tblCellMar>
        <w:tblLook w:val="04A0" w:firstRow="1" w:lastRow="0" w:firstColumn="1" w:lastColumn="0" w:noHBand="0" w:noVBand="1"/>
      </w:tblPr>
      <w:tblGrid>
        <w:gridCol w:w="9593"/>
      </w:tblGrid>
      <w:tr w:rsidR="007606C7" w:rsidRPr="00BB46CB" w14:paraId="521A392E" w14:textId="77777777" w:rsidTr="00CB5B4C">
        <w:trPr>
          <w:tblCellSpacing w:w="142" w:type="dxa"/>
        </w:trPr>
        <w:tc>
          <w:tcPr>
            <w:tcW w:w="9593" w:type="dxa"/>
            <w:shd w:val="clear" w:color="auto" w:fill="E7F7F8" w:themeFill="accent2" w:themeFillTint="33"/>
          </w:tcPr>
          <w:p w14:paraId="0E571DB6" w14:textId="77777777" w:rsidR="007606C7" w:rsidRPr="00CB5B4C" w:rsidRDefault="007606C7" w:rsidP="00455E8D">
            <w:pPr>
              <w:pStyle w:val="TableTextLeftBold"/>
              <w:spacing w:before="0"/>
            </w:pPr>
            <w:r w:rsidRPr="00CB5B4C">
              <w:t>Box 2. The impact of COVID-19 on recreation and tourism in the GORCAP EEA region</w:t>
            </w:r>
          </w:p>
          <w:p w14:paraId="3F1B92C7" w14:textId="77777777" w:rsidR="007606C7" w:rsidRPr="00CB5B4C" w:rsidRDefault="007606C7" w:rsidP="00CB5B4C">
            <w:pPr>
              <w:pStyle w:val="TableTextLeft"/>
            </w:pPr>
            <w:r w:rsidRPr="00CB5B4C">
              <w:t>The information in Table 82 reflects the impact of COVID-19 on tourism in the Great Ocean Road Tourism region in 2020 (DJPR, 2020), showing a significant drop in domestic and international visits compared to 2019. Reporting the 2020 figures in the GORCAP EEA would significantly under-estimate the value of the Great Ocean Road in supporting tourism in normal (i.e., non-COVID) times. Given this and the fact that the most recent year for which all key tourism statistics are available is 2018-19, the GORCAP EEA reports 2019 figures for recreation and tourism (in line with other ecosystem services).</w:t>
            </w:r>
          </w:p>
          <w:p w14:paraId="1FDAB6F5" w14:textId="77777777" w:rsidR="007606C7" w:rsidRPr="00CB5B4C" w:rsidRDefault="007606C7" w:rsidP="00270081">
            <w:pPr>
              <w:pStyle w:val="Caption"/>
            </w:pPr>
            <w:r w:rsidRPr="00CB5B4C">
              <w:t>Table 82. Recreational and tourism participation to GOR Tourism Region for 2019 and 2020 (DJPR, 2020a)</w:t>
            </w:r>
          </w:p>
          <w:tbl>
            <w:tblPr>
              <w:tblStyle w:val="TableGrid"/>
              <w:tblW w:w="10034" w:type="dxa"/>
              <w:tblLook w:val="04A0" w:firstRow="1" w:lastRow="0" w:firstColumn="1" w:lastColumn="0" w:noHBand="0" w:noVBand="1"/>
            </w:tblPr>
            <w:tblGrid>
              <w:gridCol w:w="1577"/>
              <w:gridCol w:w="3166"/>
              <w:gridCol w:w="2127"/>
              <w:gridCol w:w="3164"/>
            </w:tblGrid>
            <w:tr w:rsidR="007606C7" w:rsidRPr="00CB5B4C" w14:paraId="7DB8B356" w14:textId="77777777" w:rsidTr="00CB5B4C">
              <w:trPr>
                <w:cnfStyle w:val="100000000000" w:firstRow="1" w:lastRow="0" w:firstColumn="0" w:lastColumn="0" w:oddVBand="0" w:evenVBand="0" w:oddHBand="0"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1577" w:type="dxa"/>
                </w:tcPr>
                <w:p w14:paraId="1B69345E" w14:textId="77777777" w:rsidR="007606C7" w:rsidRPr="00CB5B4C" w:rsidRDefault="007606C7" w:rsidP="00CB5B4C">
                  <w:pPr>
                    <w:pStyle w:val="TableHeadingLeft"/>
                  </w:pPr>
                  <w:r w:rsidRPr="00CB5B4C">
                    <w:t>Type</w:t>
                  </w:r>
                </w:p>
              </w:tc>
              <w:tc>
                <w:tcPr>
                  <w:tcW w:w="3166" w:type="dxa"/>
                  <w:tcBorders>
                    <w:bottom w:val="single" w:sz="8" w:space="0" w:color="201547" w:themeColor="text2"/>
                  </w:tcBorders>
                </w:tcPr>
                <w:p w14:paraId="2E0ACC7F" w14:textId="77777777" w:rsidR="007606C7" w:rsidRPr="00CB5B4C" w:rsidRDefault="007606C7" w:rsidP="00CB5B4C">
                  <w:pPr>
                    <w:pStyle w:val="TableHeadingLeft"/>
                    <w:cnfStyle w:val="100000000000" w:firstRow="1" w:lastRow="0" w:firstColumn="0" w:lastColumn="0" w:oddVBand="0" w:evenVBand="0" w:oddHBand="0" w:evenHBand="0" w:firstRowFirstColumn="0" w:firstRowLastColumn="0" w:lastRowFirstColumn="0" w:lastRowLastColumn="0"/>
                  </w:pPr>
                </w:p>
              </w:tc>
              <w:tc>
                <w:tcPr>
                  <w:tcW w:w="2127" w:type="dxa"/>
                  <w:tcBorders>
                    <w:bottom w:val="single" w:sz="8" w:space="0" w:color="201547" w:themeColor="text2"/>
                  </w:tcBorders>
                </w:tcPr>
                <w:p w14:paraId="6F53EF83" w14:textId="77777777" w:rsidR="007606C7" w:rsidRPr="00CB5B4C" w:rsidRDefault="007606C7" w:rsidP="00CB5B4C">
                  <w:pPr>
                    <w:pStyle w:val="TableHeadingLeft"/>
                    <w:cnfStyle w:val="100000000000" w:firstRow="1" w:lastRow="0" w:firstColumn="0" w:lastColumn="0" w:oddVBand="0" w:evenVBand="0" w:oddHBand="0" w:evenHBand="0" w:firstRowFirstColumn="0" w:firstRowLastColumn="0" w:lastRowFirstColumn="0" w:lastRowLastColumn="0"/>
                  </w:pPr>
                  <w:r w:rsidRPr="00CB5B4C">
                    <w:t>2019 (Y.E.)</w:t>
                  </w:r>
                </w:p>
              </w:tc>
              <w:tc>
                <w:tcPr>
                  <w:tcW w:w="3164" w:type="dxa"/>
                  <w:tcBorders>
                    <w:bottom w:val="single" w:sz="8" w:space="0" w:color="201547" w:themeColor="text2"/>
                  </w:tcBorders>
                </w:tcPr>
                <w:p w14:paraId="02186A75" w14:textId="77777777" w:rsidR="007606C7" w:rsidRPr="00CB5B4C" w:rsidRDefault="007606C7" w:rsidP="00CB5B4C">
                  <w:pPr>
                    <w:pStyle w:val="TableHeadingLeft"/>
                    <w:cnfStyle w:val="100000000000" w:firstRow="1" w:lastRow="0" w:firstColumn="0" w:lastColumn="0" w:oddVBand="0" w:evenVBand="0" w:oddHBand="0" w:evenHBand="0" w:firstRowFirstColumn="0" w:firstRowLastColumn="0" w:lastRowFirstColumn="0" w:lastRowLastColumn="0"/>
                  </w:pPr>
                  <w:r w:rsidRPr="00CB5B4C">
                    <w:t>2020 (Y.E.)</w:t>
                  </w:r>
                </w:p>
              </w:tc>
            </w:tr>
            <w:tr w:rsidR="007606C7" w:rsidRPr="00CB5B4C" w14:paraId="17998C1E" w14:textId="77777777" w:rsidTr="00CB5B4C">
              <w:trPr>
                <w:trHeight w:val="274"/>
              </w:trPr>
              <w:tc>
                <w:tcPr>
                  <w:cnfStyle w:val="001000000000" w:firstRow="0" w:lastRow="0" w:firstColumn="1" w:lastColumn="0" w:oddVBand="0" w:evenVBand="0" w:oddHBand="0" w:evenHBand="0" w:firstRowFirstColumn="0" w:firstRowLastColumn="0" w:lastRowFirstColumn="0" w:lastRowLastColumn="0"/>
                  <w:tcW w:w="1577" w:type="dxa"/>
                  <w:vMerge w:val="restart"/>
                </w:tcPr>
                <w:p w14:paraId="31C4EA39" w14:textId="77777777" w:rsidR="007606C7" w:rsidRPr="00CB5B4C" w:rsidRDefault="007606C7" w:rsidP="00666947">
                  <w:pPr>
                    <w:pStyle w:val="TableTextLeft"/>
                  </w:pPr>
                  <w:r w:rsidRPr="00CB5B4C">
                    <w:t>Domestic</w:t>
                  </w:r>
                </w:p>
              </w:tc>
              <w:tc>
                <w:tcPr>
                  <w:tcW w:w="3166" w:type="dxa"/>
                  <w:tcBorders>
                    <w:right w:val="single" w:sz="8" w:space="0" w:color="201547" w:themeColor="text2"/>
                  </w:tcBorders>
                  <w:shd w:val="clear" w:color="auto" w:fill="FFFFFF" w:themeFill="background1"/>
                </w:tcPr>
                <w:p w14:paraId="6A5A608D" w14:textId="77777777" w:rsidR="007606C7" w:rsidRPr="00CB5B4C"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CB5B4C">
                    <w:t>Daytrip visitors (000’s)</w:t>
                  </w:r>
                </w:p>
              </w:tc>
              <w:tc>
                <w:tcPr>
                  <w:tcW w:w="2127" w:type="dxa"/>
                  <w:tcBorders>
                    <w:left w:val="single" w:sz="8" w:space="0" w:color="201547" w:themeColor="text2"/>
                    <w:right w:val="single" w:sz="8" w:space="0" w:color="201547" w:themeColor="text2"/>
                  </w:tcBorders>
                  <w:shd w:val="clear" w:color="auto" w:fill="FFFFFF" w:themeFill="background1"/>
                </w:tcPr>
                <w:p w14:paraId="2836E4E1" w14:textId="77777777" w:rsidR="007606C7" w:rsidRPr="00CB5B4C"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CB5B4C">
                    <w:t>3,877</w:t>
                  </w:r>
                </w:p>
              </w:tc>
              <w:tc>
                <w:tcPr>
                  <w:tcW w:w="3164" w:type="dxa"/>
                  <w:tcBorders>
                    <w:left w:val="single" w:sz="8" w:space="0" w:color="201547" w:themeColor="text2"/>
                  </w:tcBorders>
                  <w:shd w:val="clear" w:color="auto" w:fill="FFFFFF" w:themeFill="background1"/>
                </w:tcPr>
                <w:p w14:paraId="5CF7558B" w14:textId="77777777" w:rsidR="007606C7" w:rsidRPr="00CB5B4C"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CB5B4C">
                    <w:t>2,356</w:t>
                  </w:r>
                </w:p>
              </w:tc>
            </w:tr>
            <w:tr w:rsidR="007606C7" w:rsidRPr="00CB5B4C" w14:paraId="719C666C" w14:textId="77777777" w:rsidTr="00CB5B4C">
              <w:trPr>
                <w:trHeight w:val="274"/>
              </w:trPr>
              <w:tc>
                <w:tcPr>
                  <w:cnfStyle w:val="001000000000" w:firstRow="0" w:lastRow="0" w:firstColumn="1" w:lastColumn="0" w:oddVBand="0" w:evenVBand="0" w:oddHBand="0" w:evenHBand="0" w:firstRowFirstColumn="0" w:firstRowLastColumn="0" w:lastRowFirstColumn="0" w:lastRowLastColumn="0"/>
                  <w:tcW w:w="1577" w:type="dxa"/>
                  <w:vMerge/>
                </w:tcPr>
                <w:p w14:paraId="78A10D79" w14:textId="77777777" w:rsidR="007606C7" w:rsidRPr="00CB5B4C" w:rsidRDefault="007606C7" w:rsidP="00666947">
                  <w:pPr>
                    <w:pStyle w:val="TableTextLeft"/>
                  </w:pPr>
                </w:p>
              </w:tc>
              <w:tc>
                <w:tcPr>
                  <w:tcW w:w="3166" w:type="dxa"/>
                  <w:tcBorders>
                    <w:right w:val="single" w:sz="8" w:space="0" w:color="201547" w:themeColor="text2"/>
                  </w:tcBorders>
                  <w:shd w:val="clear" w:color="auto" w:fill="FFFFFF" w:themeFill="background1"/>
                </w:tcPr>
                <w:p w14:paraId="558ECC19" w14:textId="77777777" w:rsidR="007606C7" w:rsidRPr="00CB5B4C"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CB5B4C">
                    <w:t>Overnight visitors (000's)</w:t>
                  </w:r>
                </w:p>
              </w:tc>
              <w:tc>
                <w:tcPr>
                  <w:tcW w:w="2127" w:type="dxa"/>
                  <w:tcBorders>
                    <w:left w:val="single" w:sz="8" w:space="0" w:color="201547" w:themeColor="text2"/>
                    <w:right w:val="single" w:sz="8" w:space="0" w:color="201547" w:themeColor="text2"/>
                  </w:tcBorders>
                  <w:shd w:val="clear" w:color="auto" w:fill="FFFFFF" w:themeFill="background1"/>
                </w:tcPr>
                <w:p w14:paraId="6238BFB5" w14:textId="77777777" w:rsidR="007606C7" w:rsidRPr="00CB5B4C"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CB5B4C">
                    <w:t>2,715</w:t>
                  </w:r>
                </w:p>
              </w:tc>
              <w:tc>
                <w:tcPr>
                  <w:tcW w:w="3164" w:type="dxa"/>
                  <w:tcBorders>
                    <w:left w:val="single" w:sz="8" w:space="0" w:color="201547" w:themeColor="text2"/>
                  </w:tcBorders>
                  <w:shd w:val="clear" w:color="auto" w:fill="FFFFFF" w:themeFill="background1"/>
                </w:tcPr>
                <w:p w14:paraId="361F80C9" w14:textId="77777777" w:rsidR="007606C7" w:rsidRPr="00CB5B4C"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CB5B4C">
                    <w:t>1,758</w:t>
                  </w:r>
                </w:p>
              </w:tc>
            </w:tr>
            <w:tr w:rsidR="007606C7" w:rsidRPr="00CB5B4C" w14:paraId="633D1DB1" w14:textId="77777777" w:rsidTr="00CB5B4C">
              <w:trPr>
                <w:trHeight w:val="292"/>
              </w:trPr>
              <w:tc>
                <w:tcPr>
                  <w:cnfStyle w:val="001000000000" w:firstRow="0" w:lastRow="0" w:firstColumn="1" w:lastColumn="0" w:oddVBand="0" w:evenVBand="0" w:oddHBand="0" w:evenHBand="0" w:firstRowFirstColumn="0" w:firstRowLastColumn="0" w:lastRowFirstColumn="0" w:lastRowLastColumn="0"/>
                  <w:tcW w:w="1577" w:type="dxa"/>
                  <w:vMerge/>
                </w:tcPr>
                <w:p w14:paraId="18124169" w14:textId="77777777" w:rsidR="007606C7" w:rsidRPr="00CB5B4C" w:rsidRDefault="007606C7" w:rsidP="00666947">
                  <w:pPr>
                    <w:pStyle w:val="TableTextLeft"/>
                  </w:pPr>
                </w:p>
              </w:tc>
              <w:tc>
                <w:tcPr>
                  <w:tcW w:w="3166" w:type="dxa"/>
                  <w:tcBorders>
                    <w:right w:val="single" w:sz="8" w:space="0" w:color="201547" w:themeColor="text2"/>
                  </w:tcBorders>
                  <w:shd w:val="clear" w:color="auto" w:fill="FFFFFF" w:themeFill="background1"/>
                </w:tcPr>
                <w:p w14:paraId="0F641C82" w14:textId="77777777" w:rsidR="007606C7" w:rsidRPr="00CB5B4C"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CB5B4C">
                    <w:t>Visitor nights (000's)</w:t>
                  </w:r>
                </w:p>
              </w:tc>
              <w:tc>
                <w:tcPr>
                  <w:tcW w:w="2127" w:type="dxa"/>
                  <w:tcBorders>
                    <w:left w:val="single" w:sz="8" w:space="0" w:color="201547" w:themeColor="text2"/>
                    <w:right w:val="single" w:sz="8" w:space="0" w:color="201547" w:themeColor="text2"/>
                  </w:tcBorders>
                  <w:shd w:val="clear" w:color="auto" w:fill="FFFFFF" w:themeFill="background1"/>
                </w:tcPr>
                <w:p w14:paraId="0EA66605" w14:textId="77777777" w:rsidR="007606C7" w:rsidRPr="00CB5B4C"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CB5B4C">
                    <w:t>7,145</w:t>
                  </w:r>
                </w:p>
              </w:tc>
              <w:tc>
                <w:tcPr>
                  <w:tcW w:w="3164" w:type="dxa"/>
                  <w:tcBorders>
                    <w:left w:val="single" w:sz="8" w:space="0" w:color="201547" w:themeColor="text2"/>
                  </w:tcBorders>
                  <w:shd w:val="clear" w:color="auto" w:fill="FFFFFF" w:themeFill="background1"/>
                </w:tcPr>
                <w:p w14:paraId="20A48989" w14:textId="77777777" w:rsidR="007606C7" w:rsidRPr="00CB5B4C"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CB5B4C">
                    <w:t>6,174</w:t>
                  </w:r>
                </w:p>
              </w:tc>
            </w:tr>
            <w:tr w:rsidR="007606C7" w:rsidRPr="00CB5B4C" w14:paraId="57D5096E" w14:textId="77777777" w:rsidTr="00CB5B4C">
              <w:trPr>
                <w:trHeight w:val="274"/>
              </w:trPr>
              <w:tc>
                <w:tcPr>
                  <w:cnfStyle w:val="001000000000" w:firstRow="0" w:lastRow="0" w:firstColumn="1" w:lastColumn="0" w:oddVBand="0" w:evenVBand="0" w:oddHBand="0" w:evenHBand="0" w:firstRowFirstColumn="0" w:firstRowLastColumn="0" w:lastRowFirstColumn="0" w:lastRowLastColumn="0"/>
                  <w:tcW w:w="1577" w:type="dxa"/>
                  <w:vMerge/>
                </w:tcPr>
                <w:p w14:paraId="3AA8EFBC" w14:textId="77777777" w:rsidR="007606C7" w:rsidRPr="00CB5B4C" w:rsidRDefault="007606C7" w:rsidP="00666947">
                  <w:pPr>
                    <w:pStyle w:val="TableTextLeft"/>
                  </w:pPr>
                </w:p>
              </w:tc>
              <w:tc>
                <w:tcPr>
                  <w:tcW w:w="3166" w:type="dxa"/>
                  <w:tcBorders>
                    <w:right w:val="single" w:sz="8" w:space="0" w:color="201547" w:themeColor="text2"/>
                  </w:tcBorders>
                  <w:shd w:val="clear" w:color="auto" w:fill="FFFFFF" w:themeFill="background1"/>
                </w:tcPr>
                <w:p w14:paraId="7E01D05E" w14:textId="77777777" w:rsidR="007606C7" w:rsidRPr="00CB5B4C"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CB5B4C">
                    <w:t>Length of stay (nights)</w:t>
                  </w:r>
                </w:p>
              </w:tc>
              <w:tc>
                <w:tcPr>
                  <w:tcW w:w="2127" w:type="dxa"/>
                  <w:tcBorders>
                    <w:left w:val="single" w:sz="8" w:space="0" w:color="201547" w:themeColor="text2"/>
                    <w:right w:val="single" w:sz="8" w:space="0" w:color="201547" w:themeColor="text2"/>
                  </w:tcBorders>
                  <w:shd w:val="clear" w:color="auto" w:fill="FFFFFF" w:themeFill="background1"/>
                </w:tcPr>
                <w:p w14:paraId="26A39485" w14:textId="77777777" w:rsidR="007606C7" w:rsidRPr="00CB5B4C"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CB5B4C">
                    <w:t>2.6</w:t>
                  </w:r>
                </w:p>
              </w:tc>
              <w:tc>
                <w:tcPr>
                  <w:tcW w:w="3164" w:type="dxa"/>
                  <w:tcBorders>
                    <w:left w:val="single" w:sz="8" w:space="0" w:color="201547" w:themeColor="text2"/>
                  </w:tcBorders>
                  <w:shd w:val="clear" w:color="auto" w:fill="FFFFFF" w:themeFill="background1"/>
                </w:tcPr>
                <w:p w14:paraId="6C857B38" w14:textId="77777777" w:rsidR="007606C7" w:rsidRPr="00CB5B4C"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CB5B4C">
                    <w:t>3.5</w:t>
                  </w:r>
                </w:p>
              </w:tc>
            </w:tr>
            <w:tr w:rsidR="007606C7" w:rsidRPr="00CB5B4C" w14:paraId="4F34953E" w14:textId="77777777" w:rsidTr="00CB5B4C">
              <w:trPr>
                <w:trHeight w:val="257"/>
              </w:trPr>
              <w:tc>
                <w:tcPr>
                  <w:cnfStyle w:val="001000000000" w:firstRow="0" w:lastRow="0" w:firstColumn="1" w:lastColumn="0" w:oddVBand="0" w:evenVBand="0" w:oddHBand="0" w:evenHBand="0" w:firstRowFirstColumn="0" w:firstRowLastColumn="0" w:lastRowFirstColumn="0" w:lastRowLastColumn="0"/>
                  <w:tcW w:w="1577" w:type="dxa"/>
                  <w:vMerge w:val="restart"/>
                </w:tcPr>
                <w:p w14:paraId="22D7A4FE" w14:textId="77777777" w:rsidR="007606C7" w:rsidRPr="00CB5B4C" w:rsidRDefault="007606C7" w:rsidP="00666947">
                  <w:pPr>
                    <w:pStyle w:val="TableTextLeft"/>
                  </w:pPr>
                  <w:r w:rsidRPr="00CB5B4C">
                    <w:t>International</w:t>
                  </w:r>
                </w:p>
              </w:tc>
              <w:tc>
                <w:tcPr>
                  <w:tcW w:w="3166" w:type="dxa"/>
                  <w:tcBorders>
                    <w:right w:val="single" w:sz="8" w:space="0" w:color="201547" w:themeColor="text2"/>
                  </w:tcBorders>
                  <w:shd w:val="clear" w:color="auto" w:fill="FFFFFF" w:themeFill="background1"/>
                </w:tcPr>
                <w:p w14:paraId="45E16A8E" w14:textId="77777777" w:rsidR="007606C7" w:rsidRPr="00CB5B4C"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CB5B4C">
                    <w:t>Overnight visitors (000's)</w:t>
                  </w:r>
                </w:p>
              </w:tc>
              <w:tc>
                <w:tcPr>
                  <w:tcW w:w="2127" w:type="dxa"/>
                  <w:tcBorders>
                    <w:left w:val="single" w:sz="8" w:space="0" w:color="201547" w:themeColor="text2"/>
                    <w:right w:val="single" w:sz="8" w:space="0" w:color="201547" w:themeColor="text2"/>
                  </w:tcBorders>
                  <w:shd w:val="clear" w:color="auto" w:fill="FFFFFF" w:themeFill="background1"/>
                </w:tcPr>
                <w:p w14:paraId="73C1B1F5" w14:textId="77777777" w:rsidR="007606C7" w:rsidRPr="00CB5B4C"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CB5B4C">
                    <w:t>244</w:t>
                  </w:r>
                </w:p>
              </w:tc>
              <w:tc>
                <w:tcPr>
                  <w:tcW w:w="3164" w:type="dxa"/>
                  <w:tcBorders>
                    <w:left w:val="single" w:sz="8" w:space="0" w:color="201547" w:themeColor="text2"/>
                  </w:tcBorders>
                  <w:shd w:val="clear" w:color="auto" w:fill="FFFFFF" w:themeFill="background1"/>
                </w:tcPr>
                <w:p w14:paraId="68D5052E" w14:textId="77777777" w:rsidR="007606C7" w:rsidRPr="00CB5B4C"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CB5B4C">
                    <w:t>135</w:t>
                  </w:r>
                </w:p>
              </w:tc>
            </w:tr>
            <w:tr w:rsidR="007606C7" w:rsidRPr="00CB5B4C" w14:paraId="27A2436E" w14:textId="77777777" w:rsidTr="00CB5B4C">
              <w:trPr>
                <w:trHeight w:val="292"/>
              </w:trPr>
              <w:tc>
                <w:tcPr>
                  <w:cnfStyle w:val="001000000000" w:firstRow="0" w:lastRow="0" w:firstColumn="1" w:lastColumn="0" w:oddVBand="0" w:evenVBand="0" w:oddHBand="0" w:evenHBand="0" w:firstRowFirstColumn="0" w:firstRowLastColumn="0" w:lastRowFirstColumn="0" w:lastRowLastColumn="0"/>
                  <w:tcW w:w="1577" w:type="dxa"/>
                  <w:vMerge/>
                </w:tcPr>
                <w:p w14:paraId="2F4E5C11" w14:textId="77777777" w:rsidR="007606C7" w:rsidRPr="00CB5B4C" w:rsidRDefault="007606C7" w:rsidP="00666947">
                  <w:pPr>
                    <w:pStyle w:val="TableTextLeft"/>
                  </w:pPr>
                </w:p>
              </w:tc>
              <w:tc>
                <w:tcPr>
                  <w:tcW w:w="3166" w:type="dxa"/>
                  <w:tcBorders>
                    <w:right w:val="single" w:sz="8" w:space="0" w:color="201547" w:themeColor="text2"/>
                  </w:tcBorders>
                  <w:shd w:val="clear" w:color="auto" w:fill="FFFFFF" w:themeFill="background1"/>
                </w:tcPr>
                <w:p w14:paraId="6C2ECB45" w14:textId="77777777" w:rsidR="007606C7" w:rsidRPr="00CB5B4C"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CB5B4C">
                    <w:t>Visitor nights (000's)</w:t>
                  </w:r>
                </w:p>
              </w:tc>
              <w:tc>
                <w:tcPr>
                  <w:tcW w:w="2127" w:type="dxa"/>
                  <w:tcBorders>
                    <w:left w:val="single" w:sz="8" w:space="0" w:color="201547" w:themeColor="text2"/>
                    <w:right w:val="single" w:sz="8" w:space="0" w:color="201547" w:themeColor="text2"/>
                  </w:tcBorders>
                  <w:shd w:val="clear" w:color="auto" w:fill="FFFFFF" w:themeFill="background1"/>
                </w:tcPr>
                <w:p w14:paraId="5A3900C3" w14:textId="77777777" w:rsidR="007606C7" w:rsidRPr="00CB5B4C"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CB5B4C">
                    <w:t>1,048</w:t>
                  </w:r>
                </w:p>
              </w:tc>
              <w:tc>
                <w:tcPr>
                  <w:tcW w:w="3164" w:type="dxa"/>
                  <w:tcBorders>
                    <w:left w:val="single" w:sz="8" w:space="0" w:color="201547" w:themeColor="text2"/>
                  </w:tcBorders>
                  <w:shd w:val="clear" w:color="auto" w:fill="FFFFFF" w:themeFill="background1"/>
                </w:tcPr>
                <w:p w14:paraId="57DF2BDB" w14:textId="77777777" w:rsidR="007606C7" w:rsidRPr="00CB5B4C"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CB5B4C">
                    <w:t>634</w:t>
                  </w:r>
                </w:p>
              </w:tc>
            </w:tr>
            <w:tr w:rsidR="007606C7" w:rsidRPr="00CB5B4C" w14:paraId="676B6F22" w14:textId="77777777" w:rsidTr="00CB5B4C">
              <w:trPr>
                <w:trHeight w:val="274"/>
              </w:trPr>
              <w:tc>
                <w:tcPr>
                  <w:cnfStyle w:val="001000000000" w:firstRow="0" w:lastRow="0" w:firstColumn="1" w:lastColumn="0" w:oddVBand="0" w:evenVBand="0" w:oddHBand="0" w:evenHBand="0" w:firstRowFirstColumn="0" w:firstRowLastColumn="0" w:lastRowFirstColumn="0" w:lastRowLastColumn="0"/>
                  <w:tcW w:w="1577" w:type="dxa"/>
                  <w:vMerge/>
                </w:tcPr>
                <w:p w14:paraId="1701A8C2" w14:textId="77777777" w:rsidR="007606C7" w:rsidRPr="00CB5B4C" w:rsidRDefault="007606C7" w:rsidP="00666947">
                  <w:pPr>
                    <w:pStyle w:val="TableTextLeft"/>
                  </w:pPr>
                </w:p>
              </w:tc>
              <w:tc>
                <w:tcPr>
                  <w:tcW w:w="3166" w:type="dxa"/>
                  <w:tcBorders>
                    <w:right w:val="single" w:sz="8" w:space="0" w:color="201547" w:themeColor="text2"/>
                  </w:tcBorders>
                  <w:shd w:val="clear" w:color="auto" w:fill="FFFFFF" w:themeFill="background1"/>
                </w:tcPr>
                <w:p w14:paraId="35B3CD21" w14:textId="77777777" w:rsidR="007606C7" w:rsidRPr="00CB5B4C"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CB5B4C">
                    <w:t>Length of stay (nights)</w:t>
                  </w:r>
                </w:p>
              </w:tc>
              <w:tc>
                <w:tcPr>
                  <w:tcW w:w="2127" w:type="dxa"/>
                  <w:tcBorders>
                    <w:left w:val="single" w:sz="8" w:space="0" w:color="201547" w:themeColor="text2"/>
                    <w:right w:val="single" w:sz="8" w:space="0" w:color="201547" w:themeColor="text2"/>
                  </w:tcBorders>
                  <w:shd w:val="clear" w:color="auto" w:fill="FFFFFF" w:themeFill="background1"/>
                </w:tcPr>
                <w:p w14:paraId="4DD13CBC" w14:textId="77777777" w:rsidR="007606C7" w:rsidRPr="00CB5B4C"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CB5B4C">
                    <w:t>4.3</w:t>
                  </w:r>
                </w:p>
              </w:tc>
              <w:tc>
                <w:tcPr>
                  <w:tcW w:w="3164" w:type="dxa"/>
                  <w:tcBorders>
                    <w:left w:val="single" w:sz="8" w:space="0" w:color="201547" w:themeColor="text2"/>
                  </w:tcBorders>
                  <w:shd w:val="clear" w:color="auto" w:fill="FFFFFF" w:themeFill="background1"/>
                </w:tcPr>
                <w:p w14:paraId="6F13D8A7" w14:textId="77777777" w:rsidR="007606C7" w:rsidRPr="00CB5B4C"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CB5B4C">
                    <w:t>4.7</w:t>
                  </w:r>
                </w:p>
              </w:tc>
            </w:tr>
          </w:tbl>
          <w:p w14:paraId="7386CFCB" w14:textId="77777777" w:rsidR="007606C7" w:rsidRPr="00CB5B4C" w:rsidRDefault="007606C7" w:rsidP="00CB5B4C">
            <w:pPr>
              <w:pStyle w:val="TableTextLeft"/>
              <w:spacing w:before="240"/>
            </w:pPr>
            <w:r w:rsidRPr="00CB5B4C">
              <w:t xml:space="preserve">Parks Victoria visitation data to Twelve Apostles and Loch Ard Gorge for 2019 and 2020 shows a 64 per cent and 66 per cent decrease in visitation respectively, see Table 83.  </w:t>
            </w:r>
          </w:p>
          <w:p w14:paraId="15DE8D45" w14:textId="77777777" w:rsidR="007606C7" w:rsidRPr="00CB5B4C" w:rsidRDefault="007606C7" w:rsidP="00270081">
            <w:pPr>
              <w:pStyle w:val="Caption"/>
            </w:pPr>
            <w:r w:rsidRPr="00CB5B4C">
              <w:t>Table 83. Site specific visitation within GORCAP EEA region in 2019 and 2020 (Parks Victoria, 2021)</w:t>
            </w:r>
          </w:p>
          <w:tbl>
            <w:tblPr>
              <w:tblStyle w:val="TableGrid"/>
              <w:tblW w:w="10115" w:type="dxa"/>
              <w:tblLook w:val="04A0" w:firstRow="1" w:lastRow="0" w:firstColumn="1" w:lastColumn="0" w:noHBand="0" w:noVBand="1"/>
            </w:tblPr>
            <w:tblGrid>
              <w:gridCol w:w="1773"/>
              <w:gridCol w:w="2262"/>
              <w:gridCol w:w="1417"/>
              <w:gridCol w:w="1276"/>
              <w:gridCol w:w="3387"/>
            </w:tblGrid>
            <w:tr w:rsidR="007606C7" w:rsidRPr="00CB5B4C" w14:paraId="393A1C6E" w14:textId="77777777" w:rsidTr="00455E8D">
              <w:trPr>
                <w:cnfStyle w:val="100000000000" w:firstRow="1" w:lastRow="0" w:firstColumn="0" w:lastColumn="0" w:oddVBand="0" w:evenVBand="0" w:oddHBand="0"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1773" w:type="dxa"/>
                </w:tcPr>
                <w:p w14:paraId="0A5F0258" w14:textId="77777777" w:rsidR="007606C7" w:rsidRPr="00CB5B4C" w:rsidRDefault="007606C7" w:rsidP="00CB5B4C">
                  <w:pPr>
                    <w:pStyle w:val="TableHeadingLeft"/>
                  </w:pPr>
                </w:p>
              </w:tc>
              <w:tc>
                <w:tcPr>
                  <w:tcW w:w="2262" w:type="dxa"/>
                </w:tcPr>
                <w:p w14:paraId="79E9A861" w14:textId="77777777" w:rsidR="007606C7" w:rsidRPr="00CB5B4C" w:rsidRDefault="007606C7" w:rsidP="00CB5B4C">
                  <w:pPr>
                    <w:pStyle w:val="TableHeadingLeft"/>
                    <w:cnfStyle w:val="100000000000" w:firstRow="1" w:lastRow="0" w:firstColumn="0" w:lastColumn="0" w:oddVBand="0" w:evenVBand="0" w:oddHBand="0" w:evenHBand="0" w:firstRowFirstColumn="0" w:firstRowLastColumn="0" w:lastRowFirstColumn="0" w:lastRowLastColumn="0"/>
                  </w:pPr>
                </w:p>
              </w:tc>
              <w:tc>
                <w:tcPr>
                  <w:tcW w:w="2693" w:type="dxa"/>
                  <w:gridSpan w:val="2"/>
                  <w:tcBorders>
                    <w:bottom w:val="single" w:sz="4" w:space="0" w:color="FFFFFF" w:themeColor="background1"/>
                  </w:tcBorders>
                </w:tcPr>
                <w:p w14:paraId="13ED9D35" w14:textId="77777777" w:rsidR="007606C7" w:rsidRPr="00CB5B4C" w:rsidRDefault="007606C7" w:rsidP="00CB5B4C">
                  <w:pPr>
                    <w:pStyle w:val="TableHeadingLeft"/>
                    <w:cnfStyle w:val="100000000000" w:firstRow="1" w:lastRow="0" w:firstColumn="0" w:lastColumn="0" w:oddVBand="0" w:evenVBand="0" w:oddHBand="0" w:evenHBand="0" w:firstRowFirstColumn="0" w:firstRowLastColumn="0" w:lastRowFirstColumn="0" w:lastRowLastColumn="0"/>
                  </w:pPr>
                  <w:r w:rsidRPr="00CB5B4C">
                    <w:t>Year</w:t>
                  </w:r>
                </w:p>
              </w:tc>
              <w:tc>
                <w:tcPr>
                  <w:tcW w:w="3387" w:type="dxa"/>
                  <w:vMerge w:val="restart"/>
                </w:tcPr>
                <w:p w14:paraId="1DB4B96C" w14:textId="1BE2B536" w:rsidR="007606C7" w:rsidRPr="00CB5B4C" w:rsidRDefault="007606C7" w:rsidP="00455E8D">
                  <w:pPr>
                    <w:pStyle w:val="TableHeadingLeft"/>
                    <w:ind w:left="170"/>
                    <w:cnfStyle w:val="100000000000" w:firstRow="1" w:lastRow="0" w:firstColumn="0" w:lastColumn="0" w:oddVBand="0" w:evenVBand="0" w:oddHBand="0" w:evenHBand="0" w:firstRowFirstColumn="0" w:firstRowLastColumn="0" w:lastRowFirstColumn="0" w:lastRowLastColumn="0"/>
                  </w:pPr>
                  <w:r w:rsidRPr="00CB5B4C">
                    <w:t>Annual change</w:t>
                  </w:r>
                  <w:r w:rsidR="00455E8D">
                    <w:br/>
                  </w:r>
                  <w:r w:rsidRPr="00CB5B4C">
                    <w:t>(2020 vs 2019)</w:t>
                  </w:r>
                </w:p>
              </w:tc>
            </w:tr>
            <w:tr w:rsidR="00455E8D" w:rsidRPr="00CB5B4C" w14:paraId="196C82C1" w14:textId="77777777" w:rsidTr="00455E8D">
              <w:trPr>
                <w:trHeight w:val="274"/>
              </w:trPr>
              <w:tc>
                <w:tcPr>
                  <w:cnfStyle w:val="001000000000" w:firstRow="0" w:lastRow="0" w:firstColumn="1" w:lastColumn="0" w:oddVBand="0" w:evenVBand="0" w:oddHBand="0" w:evenHBand="0" w:firstRowFirstColumn="0" w:firstRowLastColumn="0" w:lastRowFirstColumn="0" w:lastRowLastColumn="0"/>
                  <w:tcW w:w="1773" w:type="dxa"/>
                  <w:tcBorders>
                    <w:top w:val="nil"/>
                  </w:tcBorders>
                  <w:shd w:val="clear" w:color="auto" w:fill="004C97" w:themeFill="accent1"/>
                </w:tcPr>
                <w:p w14:paraId="05618AA5" w14:textId="77777777" w:rsidR="007606C7" w:rsidRPr="00CB5B4C" w:rsidRDefault="007606C7" w:rsidP="00666947">
                  <w:pPr>
                    <w:pStyle w:val="TableTextLeft"/>
                  </w:pPr>
                </w:p>
              </w:tc>
              <w:tc>
                <w:tcPr>
                  <w:tcW w:w="2262" w:type="dxa"/>
                  <w:tcBorders>
                    <w:top w:val="nil"/>
                  </w:tcBorders>
                  <w:shd w:val="clear" w:color="auto" w:fill="004C97" w:themeFill="accent1"/>
                </w:tcPr>
                <w:p w14:paraId="0A1097E3" w14:textId="77777777" w:rsidR="007606C7" w:rsidRPr="00CB5B4C"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417" w:type="dxa"/>
                  <w:tcBorders>
                    <w:top w:val="single" w:sz="4" w:space="0" w:color="FFFFFF" w:themeColor="background1"/>
                  </w:tcBorders>
                  <w:shd w:val="clear" w:color="auto" w:fill="004C97" w:themeFill="accent1"/>
                </w:tcPr>
                <w:p w14:paraId="399F9EEE" w14:textId="77777777" w:rsidR="007606C7" w:rsidRPr="00CB5B4C" w:rsidRDefault="007606C7"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CB5B4C">
                    <w:rPr>
                      <w:b/>
                      <w:color w:val="FFFFFF" w:themeColor="background1"/>
                    </w:rPr>
                    <w:t>2019</w:t>
                  </w:r>
                </w:p>
              </w:tc>
              <w:tc>
                <w:tcPr>
                  <w:tcW w:w="1276" w:type="dxa"/>
                  <w:tcBorders>
                    <w:top w:val="single" w:sz="4" w:space="0" w:color="FFFFFF" w:themeColor="background1"/>
                  </w:tcBorders>
                  <w:shd w:val="clear" w:color="auto" w:fill="004C97" w:themeFill="accent1"/>
                </w:tcPr>
                <w:p w14:paraId="3BA0E488" w14:textId="77777777" w:rsidR="007606C7" w:rsidRPr="00CB5B4C" w:rsidRDefault="007606C7" w:rsidP="00666947">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00CB5B4C">
                    <w:rPr>
                      <w:b/>
                      <w:color w:val="FFFFFF" w:themeColor="background1"/>
                    </w:rPr>
                    <w:t>2020</w:t>
                  </w:r>
                </w:p>
              </w:tc>
              <w:tc>
                <w:tcPr>
                  <w:tcW w:w="3387" w:type="dxa"/>
                  <w:vMerge/>
                </w:tcPr>
                <w:p w14:paraId="266C079B" w14:textId="77777777" w:rsidR="007606C7" w:rsidRPr="00CB5B4C" w:rsidRDefault="007606C7" w:rsidP="00455E8D">
                  <w:pPr>
                    <w:pStyle w:val="TableTextLeft"/>
                    <w:ind w:left="170"/>
                    <w:cnfStyle w:val="000000000000" w:firstRow="0" w:lastRow="0" w:firstColumn="0" w:lastColumn="0" w:oddVBand="0" w:evenVBand="0" w:oddHBand="0" w:evenHBand="0" w:firstRowFirstColumn="0" w:firstRowLastColumn="0" w:lastRowFirstColumn="0" w:lastRowLastColumn="0"/>
                    <w:rPr>
                      <w:b/>
                    </w:rPr>
                  </w:pPr>
                </w:p>
              </w:tc>
            </w:tr>
            <w:tr w:rsidR="007606C7" w:rsidRPr="00CB5B4C" w14:paraId="2E5B98D3" w14:textId="77777777" w:rsidTr="00455E8D">
              <w:trPr>
                <w:trHeight w:val="245"/>
              </w:trPr>
              <w:tc>
                <w:tcPr>
                  <w:cnfStyle w:val="001000000000" w:firstRow="0" w:lastRow="0" w:firstColumn="1" w:lastColumn="0" w:oddVBand="0" w:evenVBand="0" w:oddHBand="0" w:evenHBand="0" w:firstRowFirstColumn="0" w:firstRowLastColumn="0" w:lastRowFirstColumn="0" w:lastRowLastColumn="0"/>
                  <w:tcW w:w="1773" w:type="dxa"/>
                  <w:vMerge w:val="restart"/>
                </w:tcPr>
                <w:p w14:paraId="72E0D77D" w14:textId="77777777" w:rsidR="007606C7" w:rsidRPr="00CB5B4C" w:rsidRDefault="007606C7" w:rsidP="00666947">
                  <w:pPr>
                    <w:pStyle w:val="TableTextLeft"/>
                  </w:pPr>
                  <w:r w:rsidRPr="00CB5B4C">
                    <w:t>Total visits (000’s)</w:t>
                  </w:r>
                </w:p>
              </w:tc>
              <w:tc>
                <w:tcPr>
                  <w:tcW w:w="2262" w:type="dxa"/>
                  <w:shd w:val="clear" w:color="auto" w:fill="FFFFFF" w:themeFill="background1"/>
                </w:tcPr>
                <w:p w14:paraId="36B7CB26" w14:textId="77777777" w:rsidR="007606C7" w:rsidRPr="00CB5B4C"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CB5B4C">
                    <w:t>Twelve Apostles</w:t>
                  </w:r>
                </w:p>
              </w:tc>
              <w:tc>
                <w:tcPr>
                  <w:tcW w:w="1417" w:type="dxa"/>
                  <w:shd w:val="clear" w:color="auto" w:fill="FFFFFF" w:themeFill="background1"/>
                </w:tcPr>
                <w:p w14:paraId="43F94AA5" w14:textId="77777777" w:rsidR="007606C7" w:rsidRPr="00CB5B4C"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CB5B4C">
                    <w:t>2,207</w:t>
                  </w:r>
                </w:p>
              </w:tc>
              <w:tc>
                <w:tcPr>
                  <w:tcW w:w="1276" w:type="dxa"/>
                  <w:shd w:val="clear" w:color="auto" w:fill="FFFFFF" w:themeFill="background1"/>
                </w:tcPr>
                <w:p w14:paraId="4DB16D9D" w14:textId="77777777" w:rsidR="007606C7" w:rsidRPr="00CB5B4C"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CB5B4C">
                    <w:t>791</w:t>
                  </w:r>
                </w:p>
              </w:tc>
              <w:tc>
                <w:tcPr>
                  <w:tcW w:w="3387" w:type="dxa"/>
                  <w:shd w:val="clear" w:color="auto" w:fill="FFFFFF" w:themeFill="background1"/>
                </w:tcPr>
                <w:p w14:paraId="2AC6F96D" w14:textId="77777777" w:rsidR="007606C7" w:rsidRPr="00CB5B4C" w:rsidRDefault="007606C7" w:rsidP="00455E8D">
                  <w:pPr>
                    <w:pStyle w:val="TableTextLeft"/>
                    <w:ind w:left="170"/>
                    <w:cnfStyle w:val="000000000000" w:firstRow="0" w:lastRow="0" w:firstColumn="0" w:lastColumn="0" w:oddVBand="0" w:evenVBand="0" w:oddHBand="0" w:evenHBand="0" w:firstRowFirstColumn="0" w:firstRowLastColumn="0" w:lastRowFirstColumn="0" w:lastRowLastColumn="0"/>
                  </w:pPr>
                  <w:r w:rsidRPr="00CB5B4C">
                    <w:t>-64%</w:t>
                  </w:r>
                </w:p>
              </w:tc>
            </w:tr>
            <w:tr w:rsidR="007606C7" w:rsidRPr="00CB5B4C" w14:paraId="3F472922" w14:textId="77777777" w:rsidTr="00455E8D">
              <w:trPr>
                <w:trHeight w:val="293"/>
              </w:trPr>
              <w:tc>
                <w:tcPr>
                  <w:cnfStyle w:val="001000000000" w:firstRow="0" w:lastRow="0" w:firstColumn="1" w:lastColumn="0" w:oddVBand="0" w:evenVBand="0" w:oddHBand="0" w:evenHBand="0" w:firstRowFirstColumn="0" w:firstRowLastColumn="0" w:lastRowFirstColumn="0" w:lastRowLastColumn="0"/>
                  <w:tcW w:w="1773" w:type="dxa"/>
                  <w:vMerge/>
                </w:tcPr>
                <w:p w14:paraId="0B02A269" w14:textId="77777777" w:rsidR="007606C7" w:rsidRPr="00CB5B4C" w:rsidRDefault="007606C7" w:rsidP="00666947">
                  <w:pPr>
                    <w:pStyle w:val="TableTextLeft"/>
                  </w:pPr>
                </w:p>
              </w:tc>
              <w:tc>
                <w:tcPr>
                  <w:tcW w:w="2262" w:type="dxa"/>
                  <w:shd w:val="clear" w:color="auto" w:fill="FFFFFF" w:themeFill="background1"/>
                </w:tcPr>
                <w:p w14:paraId="7F1D3BC1" w14:textId="77777777" w:rsidR="007606C7" w:rsidRPr="00CB5B4C"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CB5B4C">
                    <w:t>Loch Ard Gorge</w:t>
                  </w:r>
                </w:p>
              </w:tc>
              <w:tc>
                <w:tcPr>
                  <w:tcW w:w="1417" w:type="dxa"/>
                  <w:shd w:val="clear" w:color="auto" w:fill="FFFFFF" w:themeFill="background1"/>
                </w:tcPr>
                <w:p w14:paraId="1F8A625C" w14:textId="77777777" w:rsidR="007606C7" w:rsidRPr="00CB5B4C"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CB5B4C">
                    <w:t xml:space="preserve">1,132 </w:t>
                  </w:r>
                </w:p>
              </w:tc>
              <w:tc>
                <w:tcPr>
                  <w:tcW w:w="1276" w:type="dxa"/>
                  <w:shd w:val="clear" w:color="auto" w:fill="FFFFFF" w:themeFill="background1"/>
                </w:tcPr>
                <w:p w14:paraId="1AEC3805" w14:textId="77777777" w:rsidR="007606C7" w:rsidRPr="00CB5B4C"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CB5B4C">
                    <w:t>452</w:t>
                  </w:r>
                </w:p>
              </w:tc>
              <w:tc>
                <w:tcPr>
                  <w:tcW w:w="3387" w:type="dxa"/>
                  <w:shd w:val="clear" w:color="auto" w:fill="FFFFFF" w:themeFill="background1"/>
                </w:tcPr>
                <w:p w14:paraId="732DCE10" w14:textId="77777777" w:rsidR="007606C7" w:rsidRPr="00CB5B4C" w:rsidRDefault="007606C7" w:rsidP="00455E8D">
                  <w:pPr>
                    <w:pStyle w:val="TableTextLeft"/>
                    <w:ind w:left="170"/>
                    <w:cnfStyle w:val="000000000000" w:firstRow="0" w:lastRow="0" w:firstColumn="0" w:lastColumn="0" w:oddVBand="0" w:evenVBand="0" w:oddHBand="0" w:evenHBand="0" w:firstRowFirstColumn="0" w:firstRowLastColumn="0" w:lastRowFirstColumn="0" w:lastRowLastColumn="0"/>
                  </w:pPr>
                  <w:r w:rsidRPr="00CB5B4C">
                    <w:t>-66%</w:t>
                  </w:r>
                </w:p>
              </w:tc>
            </w:tr>
          </w:tbl>
          <w:p w14:paraId="69C04370" w14:textId="77777777" w:rsidR="007606C7" w:rsidRPr="00CB5B4C" w:rsidRDefault="007606C7" w:rsidP="00CB5B4C">
            <w:pPr>
              <w:pStyle w:val="TableTextLeft"/>
              <w:spacing w:before="240"/>
            </w:pPr>
            <w:r w:rsidRPr="00CB5B4C">
              <w:t xml:space="preserve">Figure 37 shows the daily visitation to Twelve Apostles and Loch Ard Gorge over the period January 2020 when the Australian international border was still open (it closed on 20th March 2020) to April 2021 and illustrates the effect of COVID-19 restrictions on visitation.  </w:t>
            </w:r>
          </w:p>
          <w:p w14:paraId="0FE7FE7A" w14:textId="77777777" w:rsidR="007606C7" w:rsidRPr="00BB46CB" w:rsidRDefault="007606C7" w:rsidP="00CB5B4C">
            <w:pPr>
              <w:pStyle w:val="TableTextLeft"/>
              <w:rPr>
                <w:b/>
              </w:rPr>
            </w:pPr>
            <w:r w:rsidRPr="00CB5B4C">
              <w:t>Whilst the medium to longer term impacts on tourism visitation to the region are unclear, it is reasonable to assume that the region has the potential to attract tourism visits to at least pre-COVID levels (and beyond). Analysis for the Great Ocean Road regional tourism board forecast that the Great Ocean Road region will return to pre-COVID visitation levels by 2024 under a “slower recovery” scenario. This assumes (amongst other factors) that international borders open in January 2022 (Decisive Consulting, 2020).</w:t>
            </w:r>
          </w:p>
        </w:tc>
      </w:tr>
    </w:tbl>
    <w:p w14:paraId="115BCE4F" w14:textId="77777777" w:rsidR="00BD33CB" w:rsidRDefault="00BD33CB" w:rsidP="007606C7">
      <w:pPr>
        <w:pStyle w:val="BodyText"/>
        <w:sectPr w:rsidR="00BD33CB" w:rsidSect="00E52A9A">
          <w:footerReference w:type="default" r:id="rId257"/>
          <w:pgSz w:w="11907" w:h="16840" w:code="9"/>
          <w:pgMar w:top="1134" w:right="1134" w:bottom="1134" w:left="1134" w:header="283" w:footer="283" w:gutter="0"/>
          <w:cols w:space="284"/>
          <w:docGrid w:linePitch="360"/>
        </w:sectPr>
      </w:pPr>
    </w:p>
    <w:p w14:paraId="74C7823A" w14:textId="425D844C" w:rsidR="00BD33CB" w:rsidRDefault="00BD33CB" w:rsidP="00BD33CB">
      <w:pPr>
        <w:pStyle w:val="Caption"/>
      </w:pPr>
      <w:r w:rsidRPr="00BB46CB">
        <w:lastRenderedPageBreak/>
        <w:t>Figure 37. Day Visitation to Twelve Apostles and Loch Ard Gorge between January 2020 to April 2021 (Parks Victoria, 2021)</w:t>
      </w:r>
    </w:p>
    <w:p w14:paraId="74142D82" w14:textId="77777777" w:rsidR="00BD33CB" w:rsidRPr="00BB46CB" w:rsidRDefault="00BD33CB" w:rsidP="00BD33CB">
      <w:pPr>
        <w:pStyle w:val="TableTextLeft"/>
      </w:pPr>
      <w:r w:rsidRPr="00BB46CB">
        <w:rPr>
          <w:noProof/>
        </w:rPr>
        <w:drawing>
          <wp:inline distT="0" distB="0" distL="0" distR="0" wp14:anchorId="4522D21B" wp14:editId="443B2749">
            <wp:extent cx="12503150" cy="7729855"/>
            <wp:effectExtent l="0" t="0" r="6350" b="4445"/>
            <wp:docPr id="790380874" name="Picture 790380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8" cstate="email">
                      <a:extLst>
                        <a:ext uri="{28A0092B-C50C-407E-A947-70E740481C1C}">
                          <a14:useLocalDpi xmlns:a14="http://schemas.microsoft.com/office/drawing/2010/main"/>
                        </a:ext>
                      </a:extLst>
                    </a:blip>
                    <a:srcRect/>
                    <a:stretch>
                      <a:fillRect/>
                    </a:stretch>
                  </pic:blipFill>
                  <pic:spPr bwMode="auto">
                    <a:xfrm>
                      <a:off x="0" y="0"/>
                      <a:ext cx="12503150" cy="7729855"/>
                    </a:xfrm>
                    <a:prstGeom prst="rect">
                      <a:avLst/>
                    </a:prstGeom>
                    <a:noFill/>
                  </pic:spPr>
                </pic:pic>
              </a:graphicData>
            </a:graphic>
          </wp:inline>
        </w:drawing>
      </w:r>
    </w:p>
    <w:p w14:paraId="120E620F" w14:textId="77777777" w:rsidR="00BD33CB" w:rsidRDefault="00BD33CB" w:rsidP="00BD33CB">
      <w:pPr>
        <w:pStyle w:val="BodyText"/>
      </w:pPr>
    </w:p>
    <w:p w14:paraId="53106FA7" w14:textId="77777777" w:rsidR="00BD33CB" w:rsidRPr="00BD33CB" w:rsidRDefault="00BD33CB" w:rsidP="00BD33CB">
      <w:pPr>
        <w:pStyle w:val="BodyText"/>
        <w:sectPr w:rsidR="00BD33CB" w:rsidRPr="00BD33CB" w:rsidSect="00E52A9A">
          <w:pgSz w:w="23820" w:h="16840" w:orient="landscape"/>
          <w:pgMar w:top="1134" w:right="1134" w:bottom="1134" w:left="1134" w:header="283" w:footer="283" w:gutter="0"/>
          <w:cols w:space="284"/>
          <w:docGrid w:linePitch="360"/>
        </w:sectPr>
      </w:pPr>
    </w:p>
    <w:p w14:paraId="7A82E37A" w14:textId="77777777" w:rsidR="007606C7" w:rsidRPr="00BB46CB" w:rsidRDefault="007606C7" w:rsidP="007606C7">
      <w:pPr>
        <w:pStyle w:val="Heading3"/>
      </w:pPr>
      <w:bookmarkStart w:id="348" w:name="_Toc98854697"/>
      <w:bookmarkStart w:id="349" w:name="_Toc163547079"/>
      <w:r w:rsidRPr="00BB46CB">
        <w:lastRenderedPageBreak/>
        <w:t>Biomass for timber</w:t>
      </w:r>
      <w:bookmarkEnd w:id="348"/>
      <w:bookmarkEnd w:id="349"/>
      <w:r w:rsidRPr="00BB46CB">
        <w:t xml:space="preserve"> </w:t>
      </w:r>
    </w:p>
    <w:p w14:paraId="0A5DB8DC" w14:textId="77777777" w:rsidR="007606C7" w:rsidRPr="00BB46CB" w:rsidRDefault="007606C7" w:rsidP="007606C7">
      <w:pPr>
        <w:pStyle w:val="BodyText"/>
        <w:rPr>
          <w:rFonts w:eastAsia="Calibri"/>
          <w:highlight w:val="yellow"/>
        </w:rPr>
      </w:pPr>
      <w:r w:rsidRPr="00BB46CB">
        <w:rPr>
          <w:rFonts w:eastAsia="Calibri"/>
        </w:rPr>
        <w:t>Commercial timber production in the GORCAP region is supported by ecosystems which provide a range of ecological functions and processes that enable tree biomass to grow.</w:t>
      </w:r>
    </w:p>
    <w:p w14:paraId="48897503" w14:textId="77777777" w:rsidR="007606C7" w:rsidRPr="00BB46CB" w:rsidRDefault="007606C7" w:rsidP="007606C7">
      <w:pPr>
        <w:pStyle w:val="BodyText"/>
      </w:pPr>
      <w:r w:rsidRPr="00BB46CB">
        <w:t>The total physical provision of biomass for timber from plantation forests is estimated to be approximately 30,000 m</w:t>
      </w:r>
      <w:r w:rsidRPr="00BB46CB">
        <w:rPr>
          <w:vertAlign w:val="superscript"/>
        </w:rPr>
        <w:t xml:space="preserve">3 </w:t>
      </w:r>
      <w:r w:rsidRPr="00BB46CB">
        <w:t>per year in the GORCAP EEA region is a small proportion (approximately 0.4 per cent) of that produced within Victoria (8.9 million m</w:t>
      </w:r>
      <w:r w:rsidRPr="00BB46CB">
        <w:rPr>
          <w:vertAlign w:val="superscript"/>
        </w:rPr>
        <w:t xml:space="preserve">3 </w:t>
      </w:r>
      <w:r w:rsidRPr="00BB46CB">
        <w:t>per year (ABARES, 2020)). This consists mainly of hardwood production (26,340 m</w:t>
      </w:r>
      <w:r w:rsidRPr="00BB46CB">
        <w:rPr>
          <w:vertAlign w:val="superscript"/>
        </w:rPr>
        <w:t xml:space="preserve">3 </w:t>
      </w:r>
      <w:r w:rsidRPr="00BB46CB">
        <w:t xml:space="preserve">per year), which therefore represents a slightly higher proportion of total Victorian hardwood production (approximately 0.8 per cent). The monetary value of biomass for timber (i.e., that which is attributable to the ecosystem, separate from other inputs to production) is estimated to be approximately $0.25 million a year to the timber industry (as direct beneficiaries).  </w:t>
      </w:r>
    </w:p>
    <w:p w14:paraId="5C5ACA8E" w14:textId="77777777" w:rsidR="007606C7" w:rsidRPr="00BB46CB" w:rsidRDefault="007606C7" w:rsidP="007606C7">
      <w:pPr>
        <w:pStyle w:val="BodyText"/>
        <w:rPr>
          <w:rFonts w:eastAsia="Calibri"/>
        </w:rPr>
      </w:pPr>
      <w:r w:rsidRPr="00BB46CB">
        <w:t xml:space="preserve">In terms of relevance for the strategic planning of the Authority, the supply and use table shows that nearly all the plantation logging is on non-Crown land apart from a small area (14 hectares) of plantation that is perpetually leased to </w:t>
      </w:r>
      <w:r w:rsidRPr="00BB46CB">
        <w:rPr>
          <w:rFonts w:eastAsia="Calibri"/>
        </w:rPr>
        <w:t>Hancock Victorian Plantations and which produces approximately 250</w:t>
      </w:r>
      <w:r w:rsidRPr="00BB46CB">
        <w:t xml:space="preserve"> m</w:t>
      </w:r>
      <w:r w:rsidRPr="00BB46CB">
        <w:rPr>
          <w:vertAlign w:val="superscript"/>
        </w:rPr>
        <w:t xml:space="preserve">3 </w:t>
      </w:r>
      <w:r w:rsidRPr="00BB46CB">
        <w:t xml:space="preserve">per year. </w:t>
      </w:r>
      <w:r w:rsidRPr="00BB46CB">
        <w:rPr>
          <w:rFonts w:eastAsia="Calibri"/>
        </w:rPr>
        <w:t>Whilst there is currently no harvesting occurring within state forests in 2019,</w:t>
      </w:r>
      <w:r w:rsidRPr="00BB46CB">
        <w:t xml:space="preserve"> this could change in the future depending on the annual review of 3 yearly operations plans for forest parks (a defined land tenure) of which the </w:t>
      </w:r>
      <w:proofErr w:type="spellStart"/>
      <w:r w:rsidRPr="00BB46CB">
        <w:t>Otways</w:t>
      </w:r>
      <w:proofErr w:type="spellEnd"/>
      <w:r w:rsidRPr="00BB46CB">
        <w:t xml:space="preserve"> Forest Park is within the GORCAP EEA boundary (pers. comm. Andrew Standish, DELWP Policy Officer).</w:t>
      </w:r>
    </w:p>
    <w:p w14:paraId="22199AF4" w14:textId="77777777" w:rsidR="007606C7" w:rsidRPr="00BB46CB" w:rsidRDefault="007606C7" w:rsidP="007606C7">
      <w:pPr>
        <w:pStyle w:val="Heading3"/>
      </w:pPr>
      <w:bookmarkStart w:id="350" w:name="_Toc98854698"/>
      <w:bookmarkStart w:id="351" w:name="_Toc163547080"/>
      <w:r w:rsidRPr="00BB46CB">
        <w:t>Aesthetics</w:t>
      </w:r>
      <w:bookmarkEnd w:id="350"/>
      <w:bookmarkEnd w:id="351"/>
    </w:p>
    <w:p w14:paraId="4B5A55A9" w14:textId="77777777" w:rsidR="007606C7" w:rsidRPr="00BB46CB" w:rsidRDefault="007606C7" w:rsidP="007606C7">
      <w:pPr>
        <w:pStyle w:val="BodyText"/>
      </w:pPr>
      <w:r w:rsidRPr="00BB46CB">
        <w:t xml:space="preserve">The natural beauty of the GORCAP region is valued by residents and visitors alike, with many recreational visitors coming specifically to observe this. This “aesthetic” value of the regions landscapes / seascapes is a key ecosystem service provided by the ecosystem assets within the GOR Coast and Parks Area. Whilst the physical provision and monetary value of the aesthetic landscapes and seascapes is not estimated (partly because this will be captured in the recreation and tourism assessment), the </w:t>
      </w:r>
      <w:r w:rsidRPr="00BB46CB">
        <w:rPr>
          <w:i/>
        </w:rPr>
        <w:t>capacity</w:t>
      </w:r>
      <w:r w:rsidRPr="00BB46CB">
        <w:t xml:space="preserve"> for this service to be provided is assessed through a </w:t>
      </w:r>
      <w:proofErr w:type="spellStart"/>
      <w:r w:rsidRPr="00BB46CB">
        <w:t>viewscape</w:t>
      </w:r>
      <w:proofErr w:type="spellEnd"/>
      <w:r w:rsidRPr="00BB46CB">
        <w:t xml:space="preserve"> analysis from a single perspective (i.e., from the road) as a proof-of-concept. </w:t>
      </w:r>
    </w:p>
    <w:p w14:paraId="6395181F" w14:textId="77777777" w:rsidR="007606C7" w:rsidRPr="00BB46CB" w:rsidRDefault="007606C7" w:rsidP="007606C7">
      <w:pPr>
        <w:pStyle w:val="BodyText"/>
      </w:pPr>
      <w:r w:rsidRPr="00BB46CB">
        <w:t xml:space="preserve">The </w:t>
      </w:r>
      <w:proofErr w:type="spellStart"/>
      <w:r w:rsidRPr="00BB46CB">
        <w:t>viewscape</w:t>
      </w:r>
      <w:proofErr w:type="spellEnd"/>
      <w:r w:rsidRPr="00BB46CB">
        <w:t xml:space="preserve"> analysis shows that there is particularly high visibility across the ocean from road between Lorne and Apollo Bay. If the Coast and Parks Authority wants to protect the views from the road in order to preserve the experience of those driving along the Great Ocean Road then it will want to be particularly aware of ensuring this </w:t>
      </w:r>
      <w:proofErr w:type="spellStart"/>
      <w:r w:rsidRPr="00BB46CB">
        <w:t>viewscape</w:t>
      </w:r>
      <w:proofErr w:type="spellEnd"/>
      <w:r w:rsidRPr="00BB46CB">
        <w:t xml:space="preserve"> from this stretch of the road is maintained. (There are of course other recreational hotspots, where a similar </w:t>
      </w:r>
      <w:proofErr w:type="spellStart"/>
      <w:r w:rsidRPr="00BB46CB">
        <w:t>viewscape</w:t>
      </w:r>
      <w:proofErr w:type="spellEnd"/>
      <w:r w:rsidRPr="00BB46CB">
        <w:t xml:space="preserve"> analysis could be done to identify key </w:t>
      </w:r>
      <w:proofErr w:type="spellStart"/>
      <w:r w:rsidRPr="00BB46CB">
        <w:t>viewscapes</w:t>
      </w:r>
      <w:proofErr w:type="spellEnd"/>
      <w:r w:rsidRPr="00BB46CB">
        <w:t xml:space="preserve"> that the Authority might want to protect). </w:t>
      </w:r>
    </w:p>
    <w:p w14:paraId="69CB5465" w14:textId="77777777" w:rsidR="007606C7" w:rsidRPr="00BB46CB" w:rsidRDefault="007606C7" w:rsidP="007606C7">
      <w:pPr>
        <w:pStyle w:val="BodyText"/>
      </w:pPr>
      <w:r w:rsidRPr="00BB46CB">
        <w:t xml:space="preserve">The study team also assessed the extent to which the aesthetic value of the viewshed from the Great Ocean Road is (potentially) diminished by built development along the coast. The assumption that built development diminishes aesthetic value of the viewshed is a broad assumption that will apply in some but not all cases. The result show that the total area that can be seen from the road is approximately 190,000 hectares and that only approximately 2,000 hectares of this is urban area. It also shows that 28,000 hectares (about 15 per cent of the </w:t>
      </w:r>
      <w:proofErr w:type="spellStart"/>
      <w:r w:rsidRPr="00BB46CB">
        <w:t>viewscape</w:t>
      </w:r>
      <w:proofErr w:type="spellEnd"/>
      <w:r w:rsidRPr="00BB46CB">
        <w:t>) relates to agricultural and forestry land use which are human induced land use changes, which might still provide an aesthetic value.</w:t>
      </w:r>
    </w:p>
    <w:p w14:paraId="38719F8D" w14:textId="77777777" w:rsidR="007606C7" w:rsidRPr="00BB46CB" w:rsidRDefault="007606C7" w:rsidP="007606C7">
      <w:pPr>
        <w:pStyle w:val="BodyText"/>
      </w:pPr>
      <w:r w:rsidRPr="00BB46CB">
        <w:t xml:space="preserve">This viewshed analysis only captures the </w:t>
      </w:r>
      <w:r w:rsidRPr="00BB46CB">
        <w:rPr>
          <w:i/>
        </w:rPr>
        <w:t>capacity</w:t>
      </w:r>
      <w:r w:rsidRPr="00BB46CB">
        <w:t xml:space="preserve"> of the GORCAP EEA area to provide an aesthetic value because it does not explicitly estimate the user / beneficiary population. Whilst there is a link to “use” of the aesthetic beauty of the region by linking the </w:t>
      </w:r>
      <w:proofErr w:type="spellStart"/>
      <w:r w:rsidRPr="00BB46CB">
        <w:t>viewscape</w:t>
      </w:r>
      <w:proofErr w:type="spellEnd"/>
      <w:r w:rsidRPr="00BB46CB">
        <w:t xml:space="preserve"> to the road (i.e., all road users will experience the view from the road), it cannot be assumed that all users of the road have a demand for / value the landscapes and seascapes. See Section 6.3 for future work on this. </w:t>
      </w:r>
    </w:p>
    <w:p w14:paraId="7A02BD89" w14:textId="77777777" w:rsidR="007606C7" w:rsidRPr="00BB46CB" w:rsidRDefault="007606C7" w:rsidP="007606C7">
      <w:pPr>
        <w:pStyle w:val="Heading3"/>
      </w:pPr>
      <w:bookmarkStart w:id="352" w:name="_Toc98854699"/>
      <w:bookmarkStart w:id="353" w:name="_Toc163547081"/>
      <w:r w:rsidRPr="00BB46CB">
        <w:t>Cultural heritage values</w:t>
      </w:r>
      <w:bookmarkEnd w:id="352"/>
      <w:bookmarkEnd w:id="353"/>
    </w:p>
    <w:p w14:paraId="562E1E63" w14:textId="77777777" w:rsidR="007606C7" w:rsidRPr="00BB46CB" w:rsidRDefault="007606C7" w:rsidP="00BD33CB">
      <w:pPr>
        <w:pStyle w:val="Heading4"/>
      </w:pPr>
      <w:bookmarkStart w:id="354" w:name="_Toc163547082"/>
      <w:r w:rsidRPr="00BB46CB">
        <w:t>Traditional Owners living cultural heritage</w:t>
      </w:r>
      <w:bookmarkEnd w:id="354"/>
    </w:p>
    <w:p w14:paraId="2CD4205E" w14:textId="77777777" w:rsidR="007606C7" w:rsidRPr="00BB46CB" w:rsidRDefault="007606C7" w:rsidP="007606C7">
      <w:pPr>
        <w:pStyle w:val="BodyText"/>
      </w:pPr>
      <w:r w:rsidRPr="00BB46CB">
        <w:t xml:space="preserve">Exploration of the synergies between the </w:t>
      </w:r>
      <w:proofErr w:type="spellStart"/>
      <w:r w:rsidRPr="00BB46CB">
        <w:t>Wadawurrung</w:t>
      </w:r>
      <w:proofErr w:type="spellEnd"/>
      <w:r w:rsidRPr="00BB46CB">
        <w:t xml:space="preserve"> Traditional Owner Group Country Plan and the environmental-economic account for the Great Ocean Road Coast and Parks show that there is the potential to capture most of the indicators in the </w:t>
      </w:r>
      <w:proofErr w:type="spellStart"/>
      <w:r w:rsidRPr="00BB46CB">
        <w:t>Wadawurrung</w:t>
      </w:r>
      <w:proofErr w:type="spellEnd"/>
      <w:r w:rsidRPr="00BB46CB">
        <w:t xml:space="preserve"> Country Plan within the existing structure of the GORCAP EEA, in order to acknowledge the values and goals that this Traditional Owner Group have for their lands. Furthermore, a handful of indicators within the Country Plan are already captured in the GORCAP EEA including water quality, extent of volcanic grasslands, ironbark and heathlands, numbers of native animals, forest age and threatened species.</w:t>
      </w:r>
    </w:p>
    <w:p w14:paraId="1CDA25AD" w14:textId="77777777" w:rsidR="007606C7" w:rsidRPr="00BB46CB" w:rsidRDefault="007606C7" w:rsidP="007606C7">
      <w:pPr>
        <w:pStyle w:val="BodyText"/>
      </w:pPr>
      <w:r w:rsidRPr="00BB46CB">
        <w:lastRenderedPageBreak/>
        <w:t>See section 6.3.1.3 for a detailed discussion of the potential for future expansion of this work.</w:t>
      </w:r>
    </w:p>
    <w:p w14:paraId="77E42E18" w14:textId="77777777" w:rsidR="007606C7" w:rsidRPr="00BB46CB" w:rsidRDefault="007606C7" w:rsidP="007606C7">
      <w:pPr>
        <w:pStyle w:val="BodyText"/>
      </w:pPr>
      <w:r w:rsidRPr="00BB46CB">
        <w:t xml:space="preserve">Historic and contemporary non-Indigenous cultural heritage </w:t>
      </w:r>
    </w:p>
    <w:p w14:paraId="07C93D2B" w14:textId="77777777" w:rsidR="007606C7" w:rsidRPr="00BB46CB" w:rsidRDefault="007606C7" w:rsidP="007606C7">
      <w:pPr>
        <w:pStyle w:val="BodyText"/>
      </w:pPr>
      <w:r w:rsidRPr="00BB46CB">
        <w:t>The data compiled in the cultural asset account shows the significant number (129) of assets of historic cultural heritage within GORCAPA region, including 30 shipwrecks which are important recreation and tourism attractions.</w:t>
      </w:r>
    </w:p>
    <w:p w14:paraId="4E3C4435" w14:textId="77777777" w:rsidR="007606C7" w:rsidRPr="00BB46CB" w:rsidRDefault="007606C7" w:rsidP="007606C7">
      <w:pPr>
        <w:pStyle w:val="Heading3"/>
      </w:pPr>
      <w:bookmarkStart w:id="355" w:name="_Toc98854700"/>
      <w:bookmarkStart w:id="356" w:name="_Toc163547083"/>
      <w:r w:rsidRPr="00BB46CB">
        <w:t>Existence / Option value</w:t>
      </w:r>
      <w:bookmarkEnd w:id="355"/>
      <w:bookmarkEnd w:id="356"/>
    </w:p>
    <w:p w14:paraId="791177D2" w14:textId="77777777" w:rsidR="007606C7" w:rsidRPr="00BB46CB" w:rsidRDefault="007606C7" w:rsidP="007606C7">
      <w:pPr>
        <w:pStyle w:val="BodyText"/>
      </w:pPr>
      <w:r w:rsidRPr="00BB46CB">
        <w:t xml:space="preserve">Society benefits from knowing that ecosystem assets that are not currently used will be there in future should we need them (akin to an insurance policy), this is known as an option value. Ecosystem assets, including biodiversity, also has an existence value, independent of society’s use (also termed “intrinsic value” of nature). </w:t>
      </w:r>
    </w:p>
    <w:p w14:paraId="2E2EB9F0" w14:textId="77777777" w:rsidR="007606C7" w:rsidRPr="00BB46CB" w:rsidRDefault="007606C7" w:rsidP="007606C7">
      <w:pPr>
        <w:pStyle w:val="BodyText"/>
      </w:pPr>
      <w:r w:rsidRPr="00BB46CB">
        <w:t>There is no economic valuation evidence on the existence and option value of the Great Ocean Road’s ecosystem assets and it is challenging to estimate and apply such a value in a way that appropriately reflects the value that society places on this (i.e., what is the appropriate beneficiary population?). See Section 3.3.9 for detailed discussion on existence / option value.</w:t>
      </w:r>
    </w:p>
    <w:p w14:paraId="519FEF66" w14:textId="77777777" w:rsidR="007606C7" w:rsidRPr="00BB46CB" w:rsidRDefault="007606C7" w:rsidP="007606C7">
      <w:pPr>
        <w:pStyle w:val="BodyText"/>
      </w:pPr>
      <w:r w:rsidRPr="00BB46CB">
        <w:t xml:space="preserve">For the purpose of this GORCAP EEA, it is assumed that society values the existence and option value of ecosystem assets (including biodiversity) along the GOR, as evidenced by significant areas being protected / on </w:t>
      </w:r>
      <w:proofErr w:type="gramStart"/>
      <w:r w:rsidRPr="00BB46CB">
        <w:t>Crown-land</w:t>
      </w:r>
      <w:proofErr w:type="gramEnd"/>
      <w:r w:rsidRPr="00BB46CB">
        <w:t xml:space="preserve">. The metrics in the GORCAP EEA extent and condition accounts should be used to understand what is at risk of being lost. This includes tracking changes in the status of rare and threatened species, habitat suitability scores, native vegetation scores etc. over time. </w:t>
      </w:r>
    </w:p>
    <w:p w14:paraId="7FAFF345" w14:textId="77777777" w:rsidR="007606C7" w:rsidRPr="00BB46CB" w:rsidRDefault="007606C7" w:rsidP="007606C7">
      <w:pPr>
        <w:pStyle w:val="BodyText"/>
      </w:pPr>
      <w:r w:rsidRPr="00BB46CB">
        <w:t xml:space="preserve">The information compiled in the GORCAP EEA condition account shows that the GORCAPA region has significant capacity to provide an option value to society (i.e., valuing the prospective future use of flora/fauna in the region for tourism or medicinal research purposes) as well as an existence (i.e., intrinsic value, independent of society’s use) value based on the large number of threatened species, with 72 species of threatened flora and 64 species of threatened fauna. The significant number of individuals (approximately 1,300) participating in </w:t>
      </w:r>
      <w:proofErr w:type="spellStart"/>
      <w:r w:rsidRPr="00BB46CB">
        <w:t>CoastCare</w:t>
      </w:r>
      <w:proofErr w:type="spellEnd"/>
      <w:r w:rsidRPr="00BB46CB">
        <w:t xml:space="preserve"> initiatives and the large number of community stewardship groups (over 50) in the GORCAP EEA region as well as the over 40,000 hectares of national parks and nature/conservation reserves exist in part to protect the biodiversity (species and ecosystems) within the region and are therefore partly a reflection of its existence and option value.</w:t>
      </w:r>
    </w:p>
    <w:p w14:paraId="1C148864" w14:textId="77777777" w:rsidR="007606C7" w:rsidRPr="00BB46CB" w:rsidRDefault="007606C7" w:rsidP="007606C7">
      <w:pPr>
        <w:pStyle w:val="Heading3"/>
      </w:pPr>
      <w:bookmarkStart w:id="357" w:name="_Toc98854701"/>
      <w:bookmarkStart w:id="358" w:name="_Toc163547084"/>
      <w:r w:rsidRPr="00BB46CB">
        <w:t>Social / community cohesion</w:t>
      </w:r>
      <w:bookmarkEnd w:id="357"/>
      <w:bookmarkEnd w:id="358"/>
    </w:p>
    <w:p w14:paraId="5AC13493" w14:textId="77777777" w:rsidR="007606C7" w:rsidRPr="00BB46CB" w:rsidRDefault="007606C7" w:rsidP="007606C7">
      <w:pPr>
        <w:pStyle w:val="BodyText"/>
      </w:pPr>
      <w:r w:rsidRPr="00BB46CB">
        <w:t>Ecosystem assets provides opportunities to develop a sense of community and social connection through group engagement with the natural environment such as volunteering. Such engagement provides public good benefits (for the ecosystems) and private benefits for the individual/group).</w:t>
      </w:r>
    </w:p>
    <w:p w14:paraId="410AD9D9" w14:textId="77777777" w:rsidR="007606C7" w:rsidRPr="00BB46CB" w:rsidRDefault="007606C7" w:rsidP="007606C7">
      <w:pPr>
        <w:pStyle w:val="BodyText"/>
      </w:pPr>
      <w:r w:rsidRPr="00BB46CB">
        <w:t xml:space="preserve">Data collected suggests that there are approximately 80 community groups that are dependent on or interact with ecosystems within the GORCAP EEA region. The number of volunteers engaging in the region is unclear, but the data received suggests that this could be over 1,000 people a year for </w:t>
      </w:r>
      <w:proofErr w:type="spellStart"/>
      <w:r w:rsidRPr="00BB46CB">
        <w:t>Coastcare</w:t>
      </w:r>
      <w:proofErr w:type="spellEnd"/>
      <w:r w:rsidRPr="00BB46CB">
        <w:t xml:space="preserve"> associated activities alone (i.e., not including outdoor recreational clubs such as walking, surfing, cycling, golf, fishing and boating). Volunteers in the Great Otway National Park and Bay of Islands Coastal Park totalled 2,355 hours of engagement in 2019.  </w:t>
      </w:r>
    </w:p>
    <w:p w14:paraId="585429A1" w14:textId="77777777" w:rsidR="007606C7" w:rsidRPr="00BB46CB" w:rsidRDefault="007606C7" w:rsidP="007606C7">
      <w:pPr>
        <w:pStyle w:val="BodyText"/>
      </w:pPr>
      <w:r w:rsidRPr="00BB46CB">
        <w:t>This data shows the importance of the ecosystems within the GORCAP EEA region to many people who benefit from the social and community cohesion that ecosystem related activities provide. Over half of the documented groups are volunteer groups who volunteer their time to protect and restore the ecosystems of the GORCAP EEA, providing a public good benefit (to all other who can enjoy the improved environment) and a private benefit to the individual/group as these activities enable them to build community cohesion.</w:t>
      </w:r>
    </w:p>
    <w:p w14:paraId="2FCDF07D" w14:textId="77777777" w:rsidR="007606C7" w:rsidRPr="00BD33CB" w:rsidRDefault="007606C7" w:rsidP="007606C7">
      <w:pPr>
        <w:pStyle w:val="Heading2"/>
      </w:pPr>
      <w:bookmarkStart w:id="359" w:name="_Toc98854702"/>
      <w:bookmarkStart w:id="360" w:name="_Toc163547085"/>
      <w:r w:rsidRPr="00BD33CB">
        <w:t>Links between accounts</w:t>
      </w:r>
      <w:bookmarkEnd w:id="359"/>
      <w:bookmarkEnd w:id="360"/>
    </w:p>
    <w:p w14:paraId="0A8FAD93" w14:textId="77777777" w:rsidR="007606C7" w:rsidRPr="00BB46CB" w:rsidRDefault="007606C7" w:rsidP="007606C7">
      <w:pPr>
        <w:pStyle w:val="BodyText"/>
        <w:rPr>
          <w:rFonts w:eastAsia="Calibri"/>
        </w:rPr>
      </w:pPr>
      <w:r w:rsidRPr="00BB46CB">
        <w:rPr>
          <w:rFonts w:eastAsia="Calibri"/>
        </w:rPr>
        <w:t>Environmental-economic accounts consist of a series of linked accounts (extent, condition, physical flow, monetary flow, supply and use) which capture information on different aspects of the natural environment. The information across all of these accounts (not just the monetary account) must be considered if a fully informed perspective of the sustainability of use of ecosystem assets is to be drawn (i.e., if we can expect continued flows of ecosystem services from these assets into the future). Links can be drawn from the accounts of each ecosystem service (flow) to the account of the underlying ecosystem assets (stock) on which this flow depends. For example:</w:t>
      </w:r>
    </w:p>
    <w:p w14:paraId="4502A2CA" w14:textId="77777777" w:rsidR="007606C7" w:rsidRPr="00BB46CB" w:rsidRDefault="007606C7" w:rsidP="007606C7">
      <w:pPr>
        <w:pStyle w:val="ListBullet"/>
        <w:rPr>
          <w:rFonts w:eastAsia="Calibri"/>
        </w:rPr>
      </w:pPr>
      <w:r w:rsidRPr="00BB46CB">
        <w:lastRenderedPageBreak/>
        <w:t xml:space="preserve">The extent, type (e.g., species) and age of vegetation across the GORCAP region determines the capacity of ecosystem assets to produce ecosystem services including through the dissipation of wave and tidal energy, by sequestering and storing carbon and to </w:t>
      </w:r>
      <w:r w:rsidRPr="00BB46CB">
        <w:rPr>
          <w:rFonts w:eastAsia="Calibri"/>
        </w:rPr>
        <w:t>producing biomass for timber</w:t>
      </w:r>
      <w:r w:rsidRPr="00BB46CB">
        <w:t>. In addition, the location and accessibility of the ecosystem assets within the GORCAP region is important for recreational, tourism and educational value as is the built facilities (i.e., non-natural capital (ecosystem) assets) that exist within the GORCAP region (e.g., visitor centres, toilets, paths, dedicated spaces for children to see and learn about flora and fauna).</w:t>
      </w:r>
    </w:p>
    <w:p w14:paraId="112BF6AD" w14:textId="77777777" w:rsidR="007606C7" w:rsidRPr="00BB46CB" w:rsidRDefault="007606C7" w:rsidP="007606C7">
      <w:pPr>
        <w:pStyle w:val="ListBullet"/>
      </w:pPr>
      <w:r w:rsidRPr="00BB46CB">
        <w:t>The sustainability of ecosystem service provision (in the physical and monetary flow accounts) depends upon the status of the underlying stock of ecosystem assets (in the stock extent and condition accounts). For example, future biomass for food production (i.e., service flow) from the marine ecosystem depends on the appropriate use of marine habitat and species stocks in the following ways:</w:t>
      </w:r>
    </w:p>
    <w:p w14:paraId="5EA315C6" w14:textId="77777777" w:rsidR="007606C7" w:rsidRPr="00BB46CB" w:rsidRDefault="007606C7" w:rsidP="007606C7">
      <w:pPr>
        <w:pStyle w:val="ListBullet2"/>
      </w:pPr>
      <w:r w:rsidRPr="00BB46CB">
        <w:t xml:space="preserve">If fish/invertebrate stocks are overharvested (i.e., if harvesting of the fish//invertebrate stock exceeds the growth rate of the stock) this can lead to depletion of the stocks to a point where the stock might collapse and no / negligible further harvesting is possible. </w:t>
      </w:r>
    </w:p>
    <w:p w14:paraId="31873F59" w14:textId="77777777" w:rsidR="007606C7" w:rsidRPr="00BB46CB" w:rsidRDefault="007606C7" w:rsidP="007606C7">
      <w:pPr>
        <w:pStyle w:val="ListBullet2"/>
      </w:pPr>
      <w:r w:rsidRPr="00BB46CB">
        <w:t xml:space="preserve">The fluid nature of the marine environment mean that fish//invertebrate stocks depend on multiple habitats throughout their life cycle and that degradation / destruction of certain habitats might lead to reduced growth rates that reduce the availability of fish//invertebrate for harvesting  (e.g., seagrass nursery habitats for juvenile fish could be degraded if water is polluted, leading to reduced fish biomass for harvesting). </w:t>
      </w:r>
    </w:p>
    <w:p w14:paraId="2C95FAD2" w14:textId="77777777" w:rsidR="007606C7" w:rsidRPr="00BB46CB" w:rsidRDefault="007606C7" w:rsidP="007606C7">
      <w:pPr>
        <w:pStyle w:val="BodyText12ptBefore"/>
      </w:pPr>
      <w:r w:rsidRPr="00BB46CB">
        <w:t>These multiple interconnections between ecosystem asset (including species) stocks that supply ecosystem services and the human use of these ecosystem services need to be understood and managed together (i.e., holistically) if society is to continue to benefit from the natural environment (i.e., if sustainably is to be achieved). Where environmental-economic accounts are produced periodically, they can provide an understanding of the sustainability of use of ecosystem asset (including habitat and species) stocks and the implication for future social and economic prosperity (i.e., if ecosystem stocks are degrading over time then this might present a risk to future ecosystem service flows and indicate that a management response is needed before an ecological threshold is (potentially) breached).</w:t>
      </w:r>
    </w:p>
    <w:p w14:paraId="10C41AB1" w14:textId="77777777" w:rsidR="007606C7" w:rsidRPr="00BB46CB" w:rsidRDefault="007606C7" w:rsidP="007606C7">
      <w:pPr>
        <w:pStyle w:val="BodyText"/>
      </w:pPr>
      <w:r w:rsidRPr="00BB46CB">
        <w:t>Whilst the focus of this initial GORCAP EEA is on the ecosystem assets that are located within the GORCAP EEA, a flexible definition of the broader assessment boundary was adopted (which varies for each ecosystem service) in order to account for the interconnections of ecosystem assets within the GORCAP EEA boundary with those outside that boundary, which might be accounted for in other environmental-economic accounts. This was particularly relevant for the following ecosystem services:</w:t>
      </w:r>
    </w:p>
    <w:p w14:paraId="4E40A7F4" w14:textId="77777777" w:rsidR="007606C7" w:rsidRPr="00BB46CB" w:rsidRDefault="007606C7" w:rsidP="007606C7">
      <w:pPr>
        <w:pStyle w:val="ListBullet"/>
      </w:pPr>
      <w:r w:rsidRPr="00BB46CB">
        <w:rPr>
          <w:b/>
        </w:rPr>
        <w:t>Recreation:</w:t>
      </w:r>
      <w:r w:rsidRPr="00BB46CB">
        <w:t xml:space="preserve"> the economy of the broader region relies on the ecosystem assets that exist within the GORCAP EEA boundary. There is no recreation and tourism data for the GORCAP EEA specifically and so a range of visitor and GVA estimates are estimated for a range of geographic boundaries including Local Government Areas, the GOR Tourism Region and GOR sub-regions which is based on SA2 geographies. Whilst the LGA boundary aligns most closely with the GORCAP EEA boundary, data for the other broader boundaries was also included given the likely importance of the GORCAP EEA region to the economy of these broader regions.</w:t>
      </w:r>
    </w:p>
    <w:p w14:paraId="21782990" w14:textId="77777777" w:rsidR="007606C7" w:rsidRPr="00BB46CB" w:rsidRDefault="007606C7" w:rsidP="007606C7">
      <w:pPr>
        <w:pStyle w:val="ListBullet"/>
      </w:pPr>
      <w:r w:rsidRPr="00BB46CB">
        <w:rPr>
          <w:b/>
        </w:rPr>
        <w:t>Biomass for food (agriculture)</w:t>
      </w:r>
      <w:r w:rsidRPr="00BB46CB">
        <w:t>: Whilst this production occurs on non-GORCAPA land, the distribution of farmland suggests that the Authority could consider if there is a link between primary production (i.e., agricultural production) and the quality of water bodies (i.e., due to potential diffuse pollution) in the GORCAP EEA which score 34 on the stream index and 31 on the estuaries index out of 50.  This could require collaboration with the land managers of all of the areas that contribute to this status of these freshwater and estuaries, some of which lie outside Crown land and /or outside of the GORCAP EEA boundary.</w:t>
      </w:r>
    </w:p>
    <w:p w14:paraId="19DF3EB3" w14:textId="77777777" w:rsidR="007606C7" w:rsidRPr="00BB46CB" w:rsidRDefault="007606C7" w:rsidP="007606C7">
      <w:pPr>
        <w:pStyle w:val="ListBullet"/>
      </w:pPr>
      <w:r w:rsidRPr="00BB46CB">
        <w:rPr>
          <w:b/>
        </w:rPr>
        <w:t xml:space="preserve">Biomass for food (abalone): </w:t>
      </w:r>
      <w:r w:rsidRPr="00BB46CB">
        <w:t xml:space="preserve">the reef habitats within the GORCAP EEA region are important larval sources for abalone biomass production and harvesting to the east of the GORCAP EEA region. Whilst the approach taken assumes that the contribution of GORCAP EEA ecosystems to abalone harvesting is in proportion to the biomass extent, Figure 38 illustrates the key abalone larvae sources within southern Australia with a significant proportion located in the GORCAP EEA region. </w:t>
      </w:r>
    </w:p>
    <w:p w14:paraId="24751426" w14:textId="77777777" w:rsidR="007606C7" w:rsidRPr="00BB46CB" w:rsidRDefault="007606C7" w:rsidP="00BA21B4">
      <w:pPr>
        <w:pStyle w:val="Caption"/>
      </w:pPr>
      <w:r w:rsidRPr="00BB46CB">
        <w:lastRenderedPageBreak/>
        <w:t>Figure 38. Key abalone sources in southern Australia (</w:t>
      </w:r>
      <w:proofErr w:type="spellStart"/>
      <w:r w:rsidRPr="00BB46CB">
        <w:t>Ierodiaconou</w:t>
      </w:r>
      <w:proofErr w:type="spellEnd"/>
      <w:r w:rsidRPr="00BB46CB">
        <w:t xml:space="preserve"> et al, 2018)</w:t>
      </w:r>
    </w:p>
    <w:p w14:paraId="2943CC02" w14:textId="5371103E" w:rsidR="007606C7" w:rsidRPr="00BB46CB" w:rsidRDefault="007606C7" w:rsidP="007606C7">
      <w:pPr>
        <w:pStyle w:val="BodyText"/>
      </w:pPr>
      <w:r w:rsidRPr="00BB46CB">
        <w:rPr>
          <w:noProof/>
        </w:rPr>
        <w:drawing>
          <wp:inline distT="0" distB="0" distL="0" distR="0" wp14:anchorId="58A4ED8E" wp14:editId="203C4BF8">
            <wp:extent cx="6273579" cy="3404274"/>
            <wp:effectExtent l="0" t="0" r="0" b="571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9" cstate="email">
                      <a:extLst>
                        <a:ext uri="{28A0092B-C50C-407E-A947-70E740481C1C}">
                          <a14:useLocalDpi xmlns:a14="http://schemas.microsoft.com/office/drawing/2010/main"/>
                        </a:ext>
                      </a:extLst>
                    </a:blip>
                    <a:srcRect/>
                    <a:stretch/>
                  </pic:blipFill>
                  <pic:spPr bwMode="auto">
                    <a:xfrm>
                      <a:off x="0" y="0"/>
                      <a:ext cx="6291276" cy="3413877"/>
                    </a:xfrm>
                    <a:prstGeom prst="rect">
                      <a:avLst/>
                    </a:prstGeom>
                    <a:ln>
                      <a:noFill/>
                    </a:ln>
                    <a:extLst>
                      <a:ext uri="{53640926-AAD7-44D8-BBD7-CCE9431645EC}">
                        <a14:shadowObscured xmlns:a14="http://schemas.microsoft.com/office/drawing/2010/main"/>
                      </a:ext>
                    </a:extLst>
                  </pic:spPr>
                </pic:pic>
              </a:graphicData>
            </a:graphic>
          </wp:inline>
        </w:drawing>
      </w:r>
    </w:p>
    <w:p w14:paraId="28F636CE" w14:textId="77777777" w:rsidR="007606C7" w:rsidRPr="00BB46CB" w:rsidRDefault="007606C7" w:rsidP="007606C7">
      <w:pPr>
        <w:pStyle w:val="ListBullet"/>
      </w:pPr>
      <w:r w:rsidRPr="00BB46CB">
        <w:rPr>
          <w:b/>
        </w:rPr>
        <w:t>Aesthetics</w:t>
      </w:r>
      <w:r w:rsidRPr="00BB46CB">
        <w:t xml:space="preserve">: the viewshed analysis developed by the study team includes landscapes and seascapes that are visible from the road of the Great Ocean Road up to the edge of the GORCAP EEA boundary. However, the viewshed from the road as well as from recreational hotspots (such as the Twelve Apostles) extends beyond the GORCAP EEA boundary. The aesthetic value of the GORCAP EEA region is therefore dependent upon the status of landscape and seascape beyond the GORCAP EEA such that if these views were to be degraded / disrupted (e.g., through built infrastructure such as wind farms / oil rigs) this could diminish the aesthetic value of the GORCAP EEA region (e.g., the seascape view from the Twelve Apostles).  </w:t>
      </w:r>
    </w:p>
    <w:p w14:paraId="08A13AA8" w14:textId="77777777" w:rsidR="007606C7" w:rsidRPr="00BB46CB" w:rsidRDefault="007606C7" w:rsidP="007606C7">
      <w:pPr>
        <w:pStyle w:val="BodyText12ptBefore"/>
      </w:pPr>
      <w:r w:rsidRPr="00BB46CB">
        <w:t>Some of the value reported in the GORCAP EEA is already captured in the System of National Accounts, for example commercial food production is already captured in the System of National Accounts for Australia. Environmental-economic accounts draw attention to the contribution of the natural environment to economic output by isolating resource rent. EEA also capture some value that is beyond the scope of the SNA including coastal protection (avoided costs associated with coastal hazards) that is not captured in national economic accounts, therefore providing a more holistic perspective of the importance of the natural environment to societal wellbeing.</w:t>
      </w:r>
    </w:p>
    <w:p w14:paraId="2C53ECE4" w14:textId="77777777" w:rsidR="007606C7" w:rsidRPr="00BB46CB" w:rsidRDefault="007606C7" w:rsidP="007606C7">
      <w:pPr>
        <w:pStyle w:val="BodyText"/>
        <w:sectPr w:rsidR="007606C7" w:rsidRPr="00BB46CB" w:rsidSect="00E52A9A">
          <w:headerReference w:type="even" r:id="rId260"/>
          <w:headerReference w:type="default" r:id="rId261"/>
          <w:footerReference w:type="even" r:id="rId262"/>
          <w:footerReference w:type="default" r:id="rId263"/>
          <w:pgSz w:w="11907" w:h="16840" w:code="9"/>
          <w:pgMar w:top="1134" w:right="1134" w:bottom="1134" w:left="1134" w:header="283" w:footer="283" w:gutter="0"/>
          <w:cols w:space="284"/>
          <w:docGrid w:linePitch="360"/>
        </w:sectPr>
      </w:pPr>
    </w:p>
    <w:p w14:paraId="2AB3A099" w14:textId="77777777" w:rsidR="007606C7" w:rsidRPr="0004232F" w:rsidRDefault="007606C7" w:rsidP="0004232F">
      <w:pPr>
        <w:pStyle w:val="Heading1"/>
      </w:pPr>
      <w:bookmarkStart w:id="361" w:name="_Toc98854703"/>
      <w:bookmarkStart w:id="362" w:name="_Toc163547086"/>
      <w:r w:rsidRPr="0004232F">
        <w:lastRenderedPageBreak/>
        <w:t>Conclusions and next steps</w:t>
      </w:r>
      <w:bookmarkEnd w:id="361"/>
      <w:bookmarkEnd w:id="362"/>
    </w:p>
    <w:p w14:paraId="4824E925" w14:textId="77777777" w:rsidR="007606C7" w:rsidRPr="00BB46CB" w:rsidRDefault="007606C7" w:rsidP="007606C7">
      <w:pPr>
        <w:pStyle w:val="Heading2"/>
      </w:pPr>
      <w:bookmarkStart w:id="363" w:name="_Toc98854704"/>
      <w:bookmarkStart w:id="364" w:name="_Toc163547087"/>
      <w:r w:rsidRPr="00BB46CB">
        <w:t>Summary</w:t>
      </w:r>
      <w:bookmarkEnd w:id="363"/>
      <w:bookmarkEnd w:id="364"/>
      <w:r w:rsidRPr="00BB46CB">
        <w:t xml:space="preserve"> </w:t>
      </w:r>
    </w:p>
    <w:p w14:paraId="4B1108EE" w14:textId="77777777" w:rsidR="007606C7" w:rsidRPr="00BB46CB" w:rsidRDefault="007606C7" w:rsidP="007606C7">
      <w:pPr>
        <w:pStyle w:val="BodyText"/>
      </w:pPr>
      <w:r w:rsidRPr="00BB46CB">
        <w:t>This environmental-economic account for the Great Ocean Road Coast and Parks shows that the ecosystems within the GORCAP EEA boundary are important for threatened flora and fauna and deliver a range of ecosystem services that provide significant socio-economic value to society.</w:t>
      </w:r>
    </w:p>
    <w:p w14:paraId="67908027" w14:textId="77777777" w:rsidR="007606C7" w:rsidRPr="00BB46CB" w:rsidRDefault="007606C7" w:rsidP="007606C7">
      <w:pPr>
        <w:pStyle w:val="BodyText"/>
      </w:pPr>
      <w:r w:rsidRPr="00BB46CB">
        <w:t xml:space="preserve">The methodological approach to GORCAP EEA development was agreed with the project steering group following the study teams’ review of economic assessments of coastal, marine and protected area assets globally, international guidance on environmental-economic accounting as well as existing information on the Great Ocean Road. </w:t>
      </w:r>
    </w:p>
    <w:p w14:paraId="2D915560" w14:textId="77777777" w:rsidR="007606C7" w:rsidRPr="00BB46CB" w:rsidRDefault="007606C7" w:rsidP="007606C7">
      <w:pPr>
        <w:pStyle w:val="BodyText"/>
      </w:pPr>
      <w:r w:rsidRPr="00BB46CB">
        <w:t>Environmental-economic accounts are typically developed iteratively, with initial accounts focusing on priority areas that are subsequently expanded and refined over time. This GORCAP EEA has made use of the best available information, given that no existing data has been collected specifically for the study region or for the purpose of developing EEA, justifiable assumptions have been adopted based on data (where possible) or expert judgement in order to align readily available information with the GORCAP EEA boundary and with the principles of SEEA as best as possible. Based on this approach and the uncertainties associated with this, the results should be interpreted as indicative order or magnitude estimates that provide a proof-of-concept GORCAP EEA and a basis for future work to refine and expand the accounts to provide useful evidence on the status and productivity of ecosystem assets in the GORCAP EEA region.</w:t>
      </w:r>
    </w:p>
    <w:p w14:paraId="3B850B5B" w14:textId="77777777" w:rsidR="007606C7" w:rsidRPr="00BB46CB" w:rsidRDefault="007606C7" w:rsidP="007606C7">
      <w:pPr>
        <w:pStyle w:val="BodyText"/>
      </w:pPr>
      <w:r w:rsidRPr="00BB46CB">
        <w:t>The account has been developed for 2019 on the basis that this is the most recent year for which most of the necessary information exists (including the latest ecosystem extent data in Victoria) and ensures that the account is not skewed by the impact of COVID-19. Information for 2019 has been used where possible and where 2019 data is not available it is taken from the years 2015 to 2021 (some condition data precedes this but is presented for completeness). The account could therefore be more accurately described as being representative of ecosystem status and productivity over the period 2015 to 2021.</w:t>
      </w:r>
    </w:p>
    <w:p w14:paraId="0D6EA559" w14:textId="77777777" w:rsidR="007606C7" w:rsidRPr="00BB46CB" w:rsidRDefault="007606C7" w:rsidP="007606C7">
      <w:pPr>
        <w:pStyle w:val="BodyText"/>
      </w:pPr>
      <w:r w:rsidRPr="00BB46CB">
        <w:t xml:space="preserve">The translation of Country for the Great Ocean Road Coast and Parks environmental-economic account is demonstrated through the use of a case study for </w:t>
      </w:r>
      <w:proofErr w:type="spellStart"/>
      <w:r w:rsidRPr="00BB46CB">
        <w:t>Wadawurrung</w:t>
      </w:r>
      <w:proofErr w:type="spellEnd"/>
      <w:r w:rsidRPr="00BB46CB">
        <w:t xml:space="preserve"> Country, following discussions with the WTOAC. Exploration of the synergies between the WTOAC Country Plan and the environmental-economic account for the Great Ocean Road Coast and Parks show that there is the potential to capture most of the indicators in the </w:t>
      </w:r>
      <w:proofErr w:type="spellStart"/>
      <w:r w:rsidRPr="00BB46CB">
        <w:t>Wadawurrung</w:t>
      </w:r>
      <w:proofErr w:type="spellEnd"/>
      <w:r w:rsidRPr="00BB46CB">
        <w:t xml:space="preserve"> Country Plan, within the existing structure of the GORCAP EEA. This would enable the GORCAP EEA to appropriately acknowledge the values and goals that WTOAC have for their lands. Furthermore, a handful of indicators within the Country Plan are already captured in the GORCAP EEA including water quality, extent of volcanic grasslands, ironbark and heathlands, numbers of native animals, forest age and threatened species. </w:t>
      </w:r>
    </w:p>
    <w:p w14:paraId="296814B3" w14:textId="77777777" w:rsidR="007606C7" w:rsidRPr="00BB46CB" w:rsidRDefault="007606C7" w:rsidP="007606C7">
      <w:pPr>
        <w:pStyle w:val="BodyText"/>
      </w:pPr>
      <w:r w:rsidRPr="00BB46CB">
        <w:t xml:space="preserve">Table 84 shows the headline extent account. The GORCAP EEA region </w:t>
      </w:r>
      <w:proofErr w:type="gramStart"/>
      <w:r w:rsidRPr="00BB46CB">
        <w:t>consists mostly</w:t>
      </w:r>
      <w:proofErr w:type="gramEnd"/>
      <w:r w:rsidRPr="00BB46CB">
        <w:t xml:space="preserve"> (64 per cent) of marine ecosystems, which are on Crown land. Forest areas make up the largest terrestrial ecosystem type (18 per cent), whilst farmland (14 per cent) also occupies a significant area. </w:t>
      </w:r>
    </w:p>
    <w:p w14:paraId="18EED359" w14:textId="77777777" w:rsidR="007606C7" w:rsidRPr="00BB46CB" w:rsidRDefault="007606C7" w:rsidP="007606C7">
      <w:pPr>
        <w:pStyle w:val="BodyText"/>
      </w:pPr>
      <w:r w:rsidRPr="00BB46CB">
        <w:t>Table 85 shows the headline condition account. Key insights from the information compiled in the ecosystem condition account are:</w:t>
      </w:r>
    </w:p>
    <w:p w14:paraId="3617ED00" w14:textId="77777777" w:rsidR="0004232F" w:rsidRDefault="007606C7" w:rsidP="00666947">
      <w:pPr>
        <w:pStyle w:val="ListBullet"/>
      </w:pPr>
      <w:r w:rsidRPr="00BB46CB">
        <w:t>The GORCAP EEA region provides important habitat for threatened species, with 89 species of threatened flora and 70 species of threatened fauna.</w:t>
      </w:r>
    </w:p>
    <w:p w14:paraId="24869842" w14:textId="53CE8D84" w:rsidR="007606C7" w:rsidRPr="00BB46CB" w:rsidRDefault="007606C7" w:rsidP="00666947">
      <w:pPr>
        <w:pStyle w:val="ListBullet"/>
      </w:pPr>
      <w:r w:rsidRPr="00BB46CB">
        <w:t xml:space="preserve">The average native vegetation condition score within the GORCAP EEA region is 45 (on a scale of 1 to 100).  Within the GORCAP EEA region, the GORCAPA area native vegetation score averages 73 whilst the non-GORCAPA areas native vegetation score averages 29. </w:t>
      </w:r>
    </w:p>
    <w:p w14:paraId="5A8BF00B" w14:textId="77777777" w:rsidR="007606C7" w:rsidRPr="00BB46CB" w:rsidRDefault="007606C7" w:rsidP="007606C7">
      <w:pPr>
        <w:pStyle w:val="ListBullet"/>
      </w:pPr>
      <w:r w:rsidRPr="00BB46CB">
        <w:t xml:space="preserve">The average habitat importance for threatened species score within the GORCAP EEA region is 63 (on a scale of 1 to 100).  Within the GORCAP EEA region, the GORCAPA area habitat importance for threatened species score averages 77 whilst the non-GORCAPA area score averages 54. </w:t>
      </w:r>
    </w:p>
    <w:p w14:paraId="4584CE8E" w14:textId="77777777" w:rsidR="007606C7" w:rsidRPr="00BB46CB" w:rsidRDefault="007606C7" w:rsidP="007606C7">
      <w:pPr>
        <w:pStyle w:val="ListBullet"/>
      </w:pPr>
      <w:r w:rsidRPr="00BB46CB">
        <w:t>There is a significant volume of abalone biomass (32,000 tonnes) in the GORCAP EEA region, which represents 39 per cent of the total abalone biomass within Victoria.</w:t>
      </w:r>
    </w:p>
    <w:p w14:paraId="12F50165" w14:textId="77777777" w:rsidR="007606C7" w:rsidRPr="00BB46CB" w:rsidRDefault="007606C7" w:rsidP="007606C7">
      <w:pPr>
        <w:pStyle w:val="ListBullet"/>
      </w:pPr>
      <w:r w:rsidRPr="00BB46CB">
        <w:t>41,215 hectares (21 percent) of the GORCAP EEA region is at high or very high susceptibility of landslip. 3,849 hectares (2 percent) of the GORCAP EEA is susceptible to coastal acid sulphate soils.</w:t>
      </w:r>
    </w:p>
    <w:p w14:paraId="5C433111" w14:textId="77777777" w:rsidR="007606C7" w:rsidRPr="00BB46CB" w:rsidRDefault="007606C7" w:rsidP="007606C7">
      <w:pPr>
        <w:pStyle w:val="ListBullet"/>
      </w:pPr>
      <w:r w:rsidRPr="00BB46CB">
        <w:lastRenderedPageBreak/>
        <w:t>Stream and estuary condition within the GORCAP EEA region is captured through index scores of 34 and 31 respectively (out of 50).</w:t>
      </w:r>
    </w:p>
    <w:p w14:paraId="18BE4DEB" w14:textId="77777777" w:rsidR="007606C7" w:rsidRPr="00BB46CB" w:rsidRDefault="007606C7" w:rsidP="007606C7">
      <w:pPr>
        <w:pStyle w:val="ListBullet"/>
      </w:pPr>
      <w:r w:rsidRPr="00BB46CB">
        <w:t>There is a significant volume of carbon stored in the GORCAP EEA region totalling 35.5 million tonnes of carbon dioxide equivalent.</w:t>
      </w:r>
    </w:p>
    <w:p w14:paraId="57BFE3B2" w14:textId="77777777" w:rsidR="007606C7" w:rsidRPr="00BB46CB" w:rsidRDefault="007606C7" w:rsidP="007606C7">
      <w:pPr>
        <w:pStyle w:val="ListBullet"/>
      </w:pPr>
      <w:r w:rsidRPr="00BB46CB">
        <w:t xml:space="preserve">Views from the road of the Great Ocean Road are mostly (87 percent) outside of the GORCAPA region. </w:t>
      </w:r>
    </w:p>
    <w:p w14:paraId="778F0DC2" w14:textId="77777777" w:rsidR="007606C7" w:rsidRPr="00BB46CB" w:rsidRDefault="007606C7" w:rsidP="007606C7">
      <w:pPr>
        <w:pStyle w:val="ListBullet"/>
      </w:pPr>
      <w:r w:rsidRPr="00BB46CB">
        <w:t xml:space="preserve">There are a large number (165) of assets of non-Indigenous historic cultural heritage within GORCAP EEA region, including 34 shipwrecks which support recreation and tourism visits. </w:t>
      </w:r>
    </w:p>
    <w:p w14:paraId="460FD379" w14:textId="77777777" w:rsidR="007606C7" w:rsidRPr="00BB46CB" w:rsidRDefault="007606C7" w:rsidP="007606C7">
      <w:pPr>
        <w:pStyle w:val="ListBullet"/>
      </w:pPr>
      <w:r w:rsidRPr="00BB46CB">
        <w:t>The existence of the ecosystems within the GORCAP EEA region is highly valued by society as demonstrated by the 40,000 hectares of national parks and nature/conservation reserves and the significant number of people (over 1,300) participating in community stewardship.</w:t>
      </w:r>
    </w:p>
    <w:p w14:paraId="68309681" w14:textId="77777777" w:rsidR="007606C7" w:rsidRPr="00BB46CB" w:rsidRDefault="007606C7" w:rsidP="007606C7">
      <w:pPr>
        <w:pStyle w:val="ListBullet"/>
      </w:pPr>
      <w:r w:rsidRPr="00BB46CB">
        <w:t>There are 7 piers/jetties within the GORCAP EEA region, approximately 239 km of walking tracks and 69 km of mountain bike tracks and bike paths which are important in supporting the recreational experience of visitors to the region.</w:t>
      </w:r>
    </w:p>
    <w:p w14:paraId="2B0AD2FE" w14:textId="77777777" w:rsidR="007606C7" w:rsidRPr="00BB46CB" w:rsidRDefault="007606C7" w:rsidP="007606C7">
      <w:pPr>
        <w:pStyle w:val="BodyText12ptBefore"/>
      </w:pPr>
      <w:r w:rsidRPr="00BB46CB">
        <w:t>Table 86 shows the physical and monetary values estimated for each ecosystem service. Key insights from the information compiled in these flow accounts are:</w:t>
      </w:r>
    </w:p>
    <w:p w14:paraId="594D24FA" w14:textId="77777777" w:rsidR="007606C7" w:rsidRPr="00BB46CB" w:rsidRDefault="007606C7" w:rsidP="007606C7">
      <w:pPr>
        <w:pStyle w:val="ListBullet"/>
      </w:pPr>
      <w:r w:rsidRPr="00BB46CB">
        <w:t>Recreation and tourism is estimated to be the most highly valued ecosystem service based on the number of visits to the LGA’s of the GORCAP EEA region of 3.9 million per year in 2019 including domestic daytrip (2.1 million), domestic overnight (1.6 million) and international (0.2 million). Around half of these visits are estimated to be to the Surf Coast (1.8 million). Approximately 375,000 of these visits are estimated to be “active visits” that meet certain physical activity guidelines (and therefore provide a health benefit).</w:t>
      </w:r>
      <w:r w:rsidRPr="00BB46CB">
        <w:rPr>
          <w:vertAlign w:val="superscript"/>
        </w:rPr>
        <w:footnoteReference w:id="75"/>
      </w:r>
      <w:r w:rsidRPr="00BB46CB">
        <w:t xml:space="preserve">  The economic value of recreation and tourism in the GORCAP EEA region is estimated at between $61 million a year and $560 million a year in 2019. The lower bound is based on the estimated contribution of ecosystems within the GORCAP EEA region to Gross Value Added (GVA) in 2019 which benefits industry. The upper bound is based on the estimated:</w:t>
      </w:r>
    </w:p>
    <w:p w14:paraId="7F906854" w14:textId="77777777" w:rsidR="007606C7" w:rsidRPr="00BB46CB" w:rsidRDefault="007606C7" w:rsidP="000035CB">
      <w:pPr>
        <w:pStyle w:val="ListAlpha"/>
        <w:numPr>
          <w:ilvl w:val="0"/>
          <w:numId w:val="40"/>
        </w:numPr>
      </w:pPr>
      <w:r w:rsidRPr="00BB46CB">
        <w:t>Welfare value (based on travel cost) of recreation within the GORCAP EEA region of $514 million in 2019 which benefits households (a proportion of this is captured by industry as GVA).</w:t>
      </w:r>
    </w:p>
    <w:p w14:paraId="61FF52BA" w14:textId="77777777" w:rsidR="007606C7" w:rsidRPr="00BB46CB" w:rsidRDefault="007606C7" w:rsidP="000035CB">
      <w:pPr>
        <w:pStyle w:val="ListAlpha"/>
        <w:numPr>
          <w:ilvl w:val="0"/>
          <w:numId w:val="40"/>
        </w:numPr>
      </w:pPr>
      <w:r w:rsidRPr="00BB46CB">
        <w:t>Improved productivity of the Australian labour force from “active visits” by domestic visitors of $39 million in 2019 benefits Australian industry.</w:t>
      </w:r>
    </w:p>
    <w:p w14:paraId="1B159F49" w14:textId="77777777" w:rsidR="007606C7" w:rsidRPr="00BB46CB" w:rsidRDefault="007606C7" w:rsidP="000035CB">
      <w:pPr>
        <w:pStyle w:val="ListAlpha"/>
        <w:numPr>
          <w:ilvl w:val="0"/>
          <w:numId w:val="40"/>
        </w:numPr>
      </w:pPr>
      <w:r w:rsidRPr="00BB46CB">
        <w:t>Avoided medical costs to Australian households and government of $7 million in 2019 from “active visits” by domestic visitors, $5 million of which is estimated savings to the government and $2 million to households.</w:t>
      </w:r>
    </w:p>
    <w:p w14:paraId="278C74B5" w14:textId="77777777" w:rsidR="007606C7" w:rsidRPr="00BB46CB" w:rsidRDefault="007606C7" w:rsidP="007606C7">
      <w:pPr>
        <w:pStyle w:val="ListBullet"/>
      </w:pPr>
      <w:r w:rsidRPr="00BB46CB">
        <w:t>Global climate regulation service is estimated based on avoided release of carbon stocks which total 35 million tCO</w:t>
      </w:r>
      <w:r w:rsidRPr="00BB46CB">
        <w:rPr>
          <w:vertAlign w:val="subscript"/>
        </w:rPr>
        <w:t>2</w:t>
      </w:r>
      <w:r w:rsidRPr="00BB46CB">
        <w:t>e in the GORCAP EEA area, with the mapped distribution of this service showing that the stock is most heavily concentrated in the region’s forests (24 million tCO</w:t>
      </w:r>
      <w:r w:rsidRPr="00BB46CB">
        <w:rPr>
          <w:vertAlign w:val="subscript"/>
        </w:rPr>
        <w:t>2</w:t>
      </w:r>
      <w:r w:rsidRPr="00BB46CB">
        <w:t>e). This ecosystem service is valued at between $63 million per year based on the avoided cost of greenhouse gas abatement or offset measures and $182 million per year based on the avoided damages to society (social cost of carbon).</w:t>
      </w:r>
    </w:p>
    <w:p w14:paraId="52661EA4" w14:textId="77777777" w:rsidR="007606C7" w:rsidRPr="00BB46CB" w:rsidRDefault="007606C7" w:rsidP="007606C7">
      <w:pPr>
        <w:pStyle w:val="ListBullet"/>
      </w:pPr>
      <w:r w:rsidRPr="00BB46CB">
        <w:t xml:space="preserve">Coastal protection ecosystem service is mapped across the GORCAP EEA region. The estimated magnitude of exposure reduction is uncertain as it is based on a bio-physical modelling approach using global data and assumptions that is more suited to State/national level analysis. However, the analysis is useful because it suggests that coastal wetland (saltmarsh, seagrass and mangrove) ecosystems reduce hazard exposure to storm surges and sea level rise to varying degrees along most (239 kilometres) of the GORCAP EEA region coastline. The monetary value of this ecosystem service based on replacement cost of built infrastructure providing equivalent exposure reduction is between $3 million per year and $10 million per year or $51 million and $205 million in total over a 40 year period. This is assumed to benefit the government on the basis that it would fall onto the public sector to provide the replacement built infrastructure (as it is a public good). </w:t>
      </w:r>
    </w:p>
    <w:p w14:paraId="32B26015" w14:textId="77777777" w:rsidR="007606C7" w:rsidRPr="00BB46CB" w:rsidRDefault="007606C7" w:rsidP="007606C7">
      <w:pPr>
        <w:pStyle w:val="ListBullet"/>
      </w:pPr>
      <w:r w:rsidRPr="00BB46CB">
        <w:t xml:space="preserve">Educational visits supported by the ecosystems of the GORCAP EEA region are estimated to total 33,000 in 2019 with high confidence, with key hotspots being mapped across the region including </w:t>
      </w:r>
      <w:r w:rsidRPr="00BB46CB">
        <w:lastRenderedPageBreak/>
        <w:t>Anglesea (11,270 visitors), Torquay (6,854 visitors), and Warrnambool (4,646 visitors). The monetary value of these visits should be viewed as a lower bound as it is based on expenditures ($0.6 million per year) and the contribution of ecosystems to education and training GVA ($2. 9million per year) and not the true economic value of educational benefits associated with these trips including improved learning and life skills, mental health benefits and environmental awareness.</w:t>
      </w:r>
    </w:p>
    <w:p w14:paraId="001CCBB1" w14:textId="77777777" w:rsidR="007606C7" w:rsidRPr="00BB46CB" w:rsidRDefault="007606C7" w:rsidP="007606C7">
      <w:pPr>
        <w:pStyle w:val="ListBullet"/>
      </w:pPr>
      <w:r w:rsidRPr="00BB46CB">
        <w:t xml:space="preserve">The biomass for food estimate is driven mainly by agricultural farming, with an estimated </w:t>
      </w:r>
      <w:r w:rsidRPr="00BB46CB">
        <w:rPr>
          <w:rFonts w:eastAsia="Calibri"/>
        </w:rPr>
        <w:t xml:space="preserve">28,000 tonnes of arable output (crops and hay) and 160,000 livestock valued at around $11 million a year based on a resource rent </w:t>
      </w:r>
      <w:r w:rsidRPr="00BB46CB">
        <w:t xml:space="preserve"> </w:t>
      </w:r>
      <w:r w:rsidRPr="00BB46CB">
        <w:rPr>
          <w:rFonts w:eastAsia="Calibri"/>
        </w:rPr>
        <w:t>(i.e., isolating the contribution of the ecosystem from other inputs such as labour and machinery)</w:t>
      </w:r>
      <w:r w:rsidRPr="00BB46CB">
        <w:t xml:space="preserve">. Whilst this production occurs on non-GORCAPA land, the distribution of farmland suggests that the Authority could consider if there is a link between primary production (i.e., agricultural production) and the quality of water bodies (i.e., due to potential diffuse pollution) in the GORCAP EEA which score 34 on the stream index and 31 on the estuaries index out of 50. </w:t>
      </w:r>
      <w:r w:rsidRPr="00BB46CB">
        <w:rPr>
          <w:rFonts w:eastAsia="Calibri"/>
        </w:rPr>
        <w:t>The reef habitats of the GORCAP EEA, which are on Crown land, support an estimated 269 tonnes of abalone harvesting in the GORCAP EEA region valued at approximately $0.3 million a year based on resource rent, which is expected to be an underestimate because the reef habitats within the GORCAP EEA region are important larval sources for abalone to the east of the GORCAP EEA region.</w:t>
      </w:r>
    </w:p>
    <w:p w14:paraId="6BBEF268" w14:textId="77777777" w:rsidR="007606C7" w:rsidRPr="00BB46CB" w:rsidRDefault="007606C7" w:rsidP="007606C7">
      <w:pPr>
        <w:pStyle w:val="ListBullet"/>
      </w:pPr>
      <w:r w:rsidRPr="00BB46CB">
        <w:t>Biomass for timber is estimated to be low production (33,000 m</w:t>
      </w:r>
      <w:r w:rsidRPr="00BB46CB">
        <w:rPr>
          <w:vertAlign w:val="superscript"/>
        </w:rPr>
        <w:t xml:space="preserve">3  </w:t>
      </w:r>
      <w:r w:rsidRPr="00BB46CB">
        <w:t xml:space="preserve">per year) and resource rent value ($0.25 million per year) and is all on non-Crown land, apart from a small area (14 hectares) of plantation that is perpetually leased </w:t>
      </w:r>
      <w:r w:rsidRPr="00BB46CB">
        <w:rPr>
          <w:rFonts w:eastAsia="Calibri"/>
        </w:rPr>
        <w:t>and which produces approximately 250</w:t>
      </w:r>
      <w:r w:rsidRPr="00BB46CB">
        <w:t xml:space="preserve"> m</w:t>
      </w:r>
      <w:r w:rsidRPr="00BB46CB">
        <w:rPr>
          <w:vertAlign w:val="superscript"/>
        </w:rPr>
        <w:t xml:space="preserve">3 </w:t>
      </w:r>
      <w:r w:rsidRPr="00BB46CB">
        <w:t>per year.</w:t>
      </w:r>
    </w:p>
    <w:p w14:paraId="176666F6" w14:textId="77777777" w:rsidR="007606C7" w:rsidRPr="00BB46CB" w:rsidRDefault="007606C7" w:rsidP="007606C7">
      <w:pPr>
        <w:pStyle w:val="BodyText12ptBefore"/>
      </w:pPr>
      <w:r w:rsidRPr="00BB46CB">
        <w:t>Table 87 shows the aggregated supply and use table which captures the “supply” of ecosystem services from ecosystem assets owned by different economic units (Crown vs non-Crown for this GORCAP EEA) and “used” by other economic units / beneficiaries. Key insights from the information compiled in the supply and use account are:</w:t>
      </w:r>
    </w:p>
    <w:p w14:paraId="4E88B1E0" w14:textId="77777777" w:rsidR="007606C7" w:rsidRPr="00BB46CB" w:rsidRDefault="007606C7" w:rsidP="007606C7">
      <w:pPr>
        <w:pStyle w:val="ListBullet"/>
      </w:pPr>
      <w:r w:rsidRPr="00BB46CB">
        <w:t>There are significant estimated benefits provided to households (over $500 million a year), government (approximately $10 million a year) and industry (over $100 million a year).</w:t>
      </w:r>
    </w:p>
    <w:p w14:paraId="6D1CB54A" w14:textId="77777777" w:rsidR="007606C7" w:rsidRPr="00BB46CB" w:rsidRDefault="007606C7" w:rsidP="007606C7">
      <w:pPr>
        <w:pStyle w:val="ListBullet"/>
      </w:pPr>
      <w:r w:rsidRPr="00BB46CB">
        <w:t xml:space="preserve">These benefits originate from both Crown and non-Crown land, with this split provided where this is possible (this is not possible for recreation and education as the delivery of these ecosystem services cannot be tied to specific ecosystems / land areas). </w:t>
      </w:r>
    </w:p>
    <w:p w14:paraId="0163CCB3" w14:textId="77777777" w:rsidR="007606C7" w:rsidRPr="00BB46CB" w:rsidRDefault="007606C7" w:rsidP="007606C7">
      <w:pPr>
        <w:pStyle w:val="ListBullet"/>
      </w:pPr>
      <w:r w:rsidRPr="00BB46CB">
        <w:t>Household benefits are driven by global climate regulation and recreation (welfare and avoided health costs); government benefits relate to coastal protection and recreation (avoided health costs); and industry benefits relate to timber, food, recreation (productivity gains and GVA) and education (expenditure / GVA).</w:t>
      </w:r>
    </w:p>
    <w:p w14:paraId="6CB0A965" w14:textId="72EDF6C5" w:rsidR="0061117E" w:rsidRDefault="007606C7" w:rsidP="007606C7">
      <w:pPr>
        <w:pStyle w:val="BodyText12ptBefore"/>
      </w:pPr>
      <w:r w:rsidRPr="00BB46CB">
        <w:t>The uncertainty ratings (scale of 1 (low) to 9 (high)) are shown as a guide for future work to refine the analysis and improve its robustness for decision making. The remainder of this concluding section sets out suggested next steps to refine and expand the GORCAP EEA in order to further its practical use to inform decision making within the GORCAP EEA region.</w:t>
      </w:r>
      <w:r w:rsidR="0061117E">
        <w:br w:type="page"/>
      </w:r>
    </w:p>
    <w:p w14:paraId="505F74A3" w14:textId="77777777" w:rsidR="007606C7" w:rsidRPr="00BB46CB" w:rsidRDefault="007606C7" w:rsidP="00142DF2">
      <w:pPr>
        <w:pStyle w:val="Caption"/>
      </w:pPr>
      <w:r w:rsidRPr="00BB46CB">
        <w:lastRenderedPageBreak/>
        <w:t>Table 84. Summary stock (extent and condition) accounts for GORCAP EEA in 2019 with uncertainty assessment</w:t>
      </w:r>
    </w:p>
    <w:tbl>
      <w:tblPr>
        <w:tblStyle w:val="TableGrid"/>
        <w:tblW w:w="5000" w:type="pct"/>
        <w:tblLook w:val="04A0" w:firstRow="1" w:lastRow="0" w:firstColumn="1" w:lastColumn="0" w:noHBand="0" w:noVBand="1"/>
      </w:tblPr>
      <w:tblGrid>
        <w:gridCol w:w="1599"/>
        <w:gridCol w:w="2349"/>
        <w:gridCol w:w="1897"/>
        <w:gridCol w:w="1897"/>
        <w:gridCol w:w="1897"/>
      </w:tblGrid>
      <w:tr w:rsidR="007606C7" w:rsidRPr="00BB46CB" w14:paraId="3DD255E9" w14:textId="77777777" w:rsidTr="00277D48">
        <w:trPr>
          <w:cnfStyle w:val="100000000000" w:firstRow="1" w:lastRow="0" w:firstColumn="0" w:lastColumn="0" w:oddVBand="0" w:evenVBand="0" w:oddHBand="0" w:evenHBand="0" w:firstRowFirstColumn="0" w:firstRowLastColumn="0" w:lastRowFirstColumn="0" w:lastRowLastColumn="0"/>
          <w:trHeight w:val="13"/>
        </w:trPr>
        <w:tc>
          <w:tcPr>
            <w:cnfStyle w:val="001000000000" w:firstRow="0" w:lastRow="0" w:firstColumn="1" w:lastColumn="0" w:oddVBand="0" w:evenVBand="0" w:oddHBand="0" w:evenHBand="0" w:firstRowFirstColumn="0" w:firstRowLastColumn="0" w:lastRowFirstColumn="0" w:lastRowLastColumn="0"/>
            <w:tcW w:w="2047" w:type="pct"/>
            <w:gridSpan w:val="2"/>
          </w:tcPr>
          <w:p w14:paraId="220FAEDC" w14:textId="77777777" w:rsidR="007606C7" w:rsidRPr="00BB46CB" w:rsidRDefault="007606C7" w:rsidP="00666947">
            <w:pPr>
              <w:pStyle w:val="TableTextLeft"/>
            </w:pPr>
            <w:r w:rsidRPr="00BB46CB">
              <w:rPr>
                <w:b/>
              </w:rPr>
              <w:t>Asset stock characteristic</w:t>
            </w:r>
          </w:p>
        </w:tc>
        <w:tc>
          <w:tcPr>
            <w:tcW w:w="984" w:type="pct"/>
          </w:tcPr>
          <w:p w14:paraId="4EB3FA46" w14:textId="77777777" w:rsidR="007606C7" w:rsidRPr="00BB46CB" w:rsidRDefault="007606C7" w:rsidP="00666947">
            <w:pPr>
              <w:pStyle w:val="TableTextLeft"/>
              <w:cnfStyle w:val="100000000000" w:firstRow="1" w:lastRow="0" w:firstColumn="0" w:lastColumn="0" w:oddVBand="0" w:evenVBand="0" w:oddHBand="0" w:evenHBand="0" w:firstRowFirstColumn="0" w:firstRowLastColumn="0" w:lastRowFirstColumn="0" w:lastRowLastColumn="0"/>
            </w:pPr>
            <w:r w:rsidRPr="00BB46CB">
              <w:rPr>
                <w:b/>
              </w:rPr>
              <w:t>Estimate</w:t>
            </w:r>
          </w:p>
        </w:tc>
        <w:tc>
          <w:tcPr>
            <w:tcW w:w="984" w:type="pct"/>
          </w:tcPr>
          <w:p w14:paraId="69952CCA" w14:textId="77777777" w:rsidR="007606C7" w:rsidRPr="00BB46CB" w:rsidRDefault="007606C7" w:rsidP="00666947">
            <w:pPr>
              <w:pStyle w:val="TableTextLeft"/>
              <w:cnfStyle w:val="100000000000" w:firstRow="1" w:lastRow="0" w:firstColumn="0" w:lastColumn="0" w:oddVBand="0" w:evenVBand="0" w:oddHBand="0" w:evenHBand="0" w:firstRowFirstColumn="0" w:firstRowLastColumn="0" w:lastRowFirstColumn="0" w:lastRowLastColumn="0"/>
            </w:pPr>
            <w:r w:rsidRPr="00BB46CB">
              <w:rPr>
                <w:b/>
              </w:rPr>
              <w:t>Metric</w:t>
            </w:r>
          </w:p>
        </w:tc>
        <w:tc>
          <w:tcPr>
            <w:tcW w:w="984" w:type="pct"/>
          </w:tcPr>
          <w:p w14:paraId="1AE427AA" w14:textId="77777777" w:rsidR="007606C7" w:rsidRPr="00BB46CB" w:rsidRDefault="007606C7" w:rsidP="00666947">
            <w:pPr>
              <w:pStyle w:val="TableTextLeft"/>
              <w:cnfStyle w:val="100000000000" w:firstRow="1" w:lastRow="0" w:firstColumn="0" w:lastColumn="0" w:oddVBand="0" w:evenVBand="0" w:oddHBand="0" w:evenHBand="0" w:firstRowFirstColumn="0" w:firstRowLastColumn="0" w:lastRowFirstColumn="0" w:lastRowLastColumn="0"/>
              <w:rPr>
                <w:b/>
              </w:rPr>
            </w:pPr>
            <w:r w:rsidRPr="00BB46CB">
              <w:rPr>
                <w:b/>
              </w:rPr>
              <w:t>Uncertainty</w:t>
            </w:r>
          </w:p>
        </w:tc>
      </w:tr>
      <w:tr w:rsidR="007606C7" w:rsidRPr="00BB46CB" w14:paraId="5CB72151" w14:textId="77777777" w:rsidTr="00277D48">
        <w:trPr>
          <w:trHeight w:val="13"/>
        </w:trPr>
        <w:tc>
          <w:tcPr>
            <w:cnfStyle w:val="001000000000" w:firstRow="0" w:lastRow="0" w:firstColumn="1" w:lastColumn="0" w:oddVBand="0" w:evenVBand="0" w:oddHBand="0" w:evenHBand="0" w:firstRowFirstColumn="0" w:firstRowLastColumn="0" w:lastRowFirstColumn="0" w:lastRowLastColumn="0"/>
            <w:tcW w:w="829" w:type="pct"/>
            <w:vMerge w:val="restart"/>
          </w:tcPr>
          <w:p w14:paraId="4936AB7A" w14:textId="77777777" w:rsidR="007606C7" w:rsidRPr="00BB46CB" w:rsidRDefault="007606C7" w:rsidP="00666947">
            <w:pPr>
              <w:pStyle w:val="TableTextLeft"/>
            </w:pPr>
            <w:r w:rsidRPr="00BB46CB">
              <w:rPr>
                <w:b/>
              </w:rPr>
              <w:t>Broad asset extent</w:t>
            </w:r>
          </w:p>
        </w:tc>
        <w:tc>
          <w:tcPr>
            <w:tcW w:w="1218" w:type="pct"/>
          </w:tcPr>
          <w:p w14:paraId="515D4D5F"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Marine</w:t>
            </w:r>
          </w:p>
        </w:tc>
        <w:tc>
          <w:tcPr>
            <w:tcW w:w="984" w:type="pct"/>
          </w:tcPr>
          <w:p w14:paraId="036E1E7E"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128,268</w:t>
            </w:r>
          </w:p>
        </w:tc>
        <w:tc>
          <w:tcPr>
            <w:tcW w:w="984" w:type="pct"/>
            <w:vMerge w:val="restart"/>
          </w:tcPr>
          <w:p w14:paraId="3294673F"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Hectares</w:t>
            </w:r>
          </w:p>
        </w:tc>
        <w:tc>
          <w:tcPr>
            <w:tcW w:w="984" w:type="pct"/>
            <w:vMerge w:val="restart"/>
          </w:tcPr>
          <w:p w14:paraId="02499A75"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Medium</w:t>
            </w:r>
          </w:p>
        </w:tc>
      </w:tr>
      <w:tr w:rsidR="007606C7" w:rsidRPr="00BB46CB" w14:paraId="2BF53224" w14:textId="77777777" w:rsidTr="00277D48">
        <w:trPr>
          <w:trHeight w:val="13"/>
        </w:trPr>
        <w:tc>
          <w:tcPr>
            <w:cnfStyle w:val="001000000000" w:firstRow="0" w:lastRow="0" w:firstColumn="1" w:lastColumn="0" w:oddVBand="0" w:evenVBand="0" w:oddHBand="0" w:evenHBand="0" w:firstRowFirstColumn="0" w:firstRowLastColumn="0" w:lastRowFirstColumn="0" w:lastRowLastColumn="0"/>
            <w:tcW w:w="829" w:type="pct"/>
            <w:vMerge/>
          </w:tcPr>
          <w:p w14:paraId="7885FDB6" w14:textId="77777777" w:rsidR="007606C7" w:rsidRPr="00BB46CB" w:rsidRDefault="007606C7" w:rsidP="00666947">
            <w:pPr>
              <w:pStyle w:val="TableTextLeft"/>
            </w:pPr>
          </w:p>
        </w:tc>
        <w:tc>
          <w:tcPr>
            <w:tcW w:w="1218" w:type="pct"/>
          </w:tcPr>
          <w:p w14:paraId="4763256E"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Alpine</w:t>
            </w:r>
          </w:p>
        </w:tc>
        <w:tc>
          <w:tcPr>
            <w:tcW w:w="984" w:type="pct"/>
          </w:tcPr>
          <w:p w14:paraId="419FBF9B"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0</w:t>
            </w:r>
          </w:p>
        </w:tc>
        <w:tc>
          <w:tcPr>
            <w:tcW w:w="984" w:type="pct"/>
            <w:vMerge/>
          </w:tcPr>
          <w:p w14:paraId="28868490"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984" w:type="pct"/>
            <w:vMerge/>
          </w:tcPr>
          <w:p w14:paraId="4B984754"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606C7" w:rsidRPr="00BB46CB" w14:paraId="632D7B6E" w14:textId="77777777" w:rsidTr="00277D48">
        <w:trPr>
          <w:trHeight w:val="13"/>
        </w:trPr>
        <w:tc>
          <w:tcPr>
            <w:cnfStyle w:val="001000000000" w:firstRow="0" w:lastRow="0" w:firstColumn="1" w:lastColumn="0" w:oddVBand="0" w:evenVBand="0" w:oddHBand="0" w:evenHBand="0" w:firstRowFirstColumn="0" w:firstRowLastColumn="0" w:lastRowFirstColumn="0" w:lastRowLastColumn="0"/>
            <w:tcW w:w="829" w:type="pct"/>
            <w:vMerge/>
          </w:tcPr>
          <w:p w14:paraId="789153A2" w14:textId="77777777" w:rsidR="007606C7" w:rsidRPr="00BB46CB" w:rsidRDefault="007606C7" w:rsidP="00666947">
            <w:pPr>
              <w:pStyle w:val="TableTextLeft"/>
            </w:pPr>
          </w:p>
        </w:tc>
        <w:tc>
          <w:tcPr>
            <w:tcW w:w="1218" w:type="pct"/>
          </w:tcPr>
          <w:p w14:paraId="7A4275C5"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Shrubland</w:t>
            </w:r>
          </w:p>
        </w:tc>
        <w:tc>
          <w:tcPr>
            <w:tcW w:w="984" w:type="pct"/>
          </w:tcPr>
          <w:p w14:paraId="62ACF396"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947</w:t>
            </w:r>
          </w:p>
        </w:tc>
        <w:tc>
          <w:tcPr>
            <w:tcW w:w="984" w:type="pct"/>
            <w:vMerge/>
          </w:tcPr>
          <w:p w14:paraId="2009A66C"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984" w:type="pct"/>
            <w:vMerge/>
          </w:tcPr>
          <w:p w14:paraId="2D424A69"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606C7" w:rsidRPr="00BB46CB" w:rsidDel="004723B6" w14:paraId="106706F7" w14:textId="77777777" w:rsidTr="00277D48">
        <w:trPr>
          <w:trHeight w:val="155"/>
        </w:trPr>
        <w:tc>
          <w:tcPr>
            <w:cnfStyle w:val="001000000000" w:firstRow="0" w:lastRow="0" w:firstColumn="1" w:lastColumn="0" w:oddVBand="0" w:evenVBand="0" w:oddHBand="0" w:evenHBand="0" w:firstRowFirstColumn="0" w:firstRowLastColumn="0" w:lastRowFirstColumn="0" w:lastRowLastColumn="0"/>
            <w:tcW w:w="829" w:type="pct"/>
            <w:vMerge/>
          </w:tcPr>
          <w:p w14:paraId="62E50A45" w14:textId="77777777" w:rsidR="007606C7" w:rsidRPr="00BB46CB" w:rsidRDefault="007606C7" w:rsidP="00666947">
            <w:pPr>
              <w:pStyle w:val="TableTextLeft"/>
            </w:pPr>
          </w:p>
        </w:tc>
        <w:tc>
          <w:tcPr>
            <w:tcW w:w="1218" w:type="pct"/>
          </w:tcPr>
          <w:p w14:paraId="07C7D4B5"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Grassland</w:t>
            </w:r>
          </w:p>
        </w:tc>
        <w:tc>
          <w:tcPr>
            <w:tcW w:w="984" w:type="pct"/>
          </w:tcPr>
          <w:p w14:paraId="1837DCDA" w14:textId="77777777" w:rsidR="007606C7" w:rsidRPr="00BB46CB" w:rsidDel="004723B6"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843</w:t>
            </w:r>
          </w:p>
        </w:tc>
        <w:tc>
          <w:tcPr>
            <w:tcW w:w="984" w:type="pct"/>
            <w:vMerge/>
          </w:tcPr>
          <w:p w14:paraId="32205A68"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984" w:type="pct"/>
            <w:vMerge/>
          </w:tcPr>
          <w:p w14:paraId="1E391F00"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606C7" w:rsidRPr="00BB46CB" w14:paraId="795B5C23" w14:textId="77777777" w:rsidTr="00277D48">
        <w:trPr>
          <w:trHeight w:val="13"/>
        </w:trPr>
        <w:tc>
          <w:tcPr>
            <w:cnfStyle w:val="001000000000" w:firstRow="0" w:lastRow="0" w:firstColumn="1" w:lastColumn="0" w:oddVBand="0" w:evenVBand="0" w:oddHBand="0" w:evenHBand="0" w:firstRowFirstColumn="0" w:firstRowLastColumn="0" w:lastRowFirstColumn="0" w:lastRowLastColumn="0"/>
            <w:tcW w:w="829" w:type="pct"/>
            <w:vMerge/>
          </w:tcPr>
          <w:p w14:paraId="5B82DB8A" w14:textId="77777777" w:rsidR="007606C7" w:rsidRPr="00BB46CB" w:rsidRDefault="007606C7" w:rsidP="00666947">
            <w:pPr>
              <w:pStyle w:val="TableTextLeft"/>
            </w:pPr>
          </w:p>
        </w:tc>
        <w:tc>
          <w:tcPr>
            <w:tcW w:w="1218" w:type="pct"/>
          </w:tcPr>
          <w:p w14:paraId="462D249C"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Forest / woodland</w:t>
            </w:r>
          </w:p>
        </w:tc>
        <w:tc>
          <w:tcPr>
            <w:tcW w:w="984" w:type="pct"/>
          </w:tcPr>
          <w:p w14:paraId="4CE24897"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35,659</w:t>
            </w:r>
          </w:p>
        </w:tc>
        <w:tc>
          <w:tcPr>
            <w:tcW w:w="984" w:type="pct"/>
            <w:vMerge/>
          </w:tcPr>
          <w:p w14:paraId="2007B37B"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984" w:type="pct"/>
            <w:vMerge/>
          </w:tcPr>
          <w:p w14:paraId="627D3B5D"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606C7" w:rsidRPr="00BB46CB" w14:paraId="73495915" w14:textId="77777777" w:rsidTr="00277D48">
        <w:trPr>
          <w:trHeight w:val="13"/>
        </w:trPr>
        <w:tc>
          <w:tcPr>
            <w:cnfStyle w:val="001000000000" w:firstRow="0" w:lastRow="0" w:firstColumn="1" w:lastColumn="0" w:oddVBand="0" w:evenVBand="0" w:oddHBand="0" w:evenHBand="0" w:firstRowFirstColumn="0" w:firstRowLastColumn="0" w:lastRowFirstColumn="0" w:lastRowLastColumn="0"/>
            <w:tcW w:w="829" w:type="pct"/>
            <w:vMerge/>
          </w:tcPr>
          <w:p w14:paraId="40EAA67F" w14:textId="77777777" w:rsidR="007606C7" w:rsidRPr="00BB46CB" w:rsidRDefault="007606C7" w:rsidP="00666947">
            <w:pPr>
              <w:pStyle w:val="TableTextLeft"/>
            </w:pPr>
          </w:p>
        </w:tc>
        <w:tc>
          <w:tcPr>
            <w:tcW w:w="1218" w:type="pct"/>
          </w:tcPr>
          <w:p w14:paraId="050232AD"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Coastal margins</w:t>
            </w:r>
          </w:p>
        </w:tc>
        <w:tc>
          <w:tcPr>
            <w:tcW w:w="984" w:type="pct"/>
          </w:tcPr>
          <w:p w14:paraId="405ED6D6"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1,466</w:t>
            </w:r>
          </w:p>
        </w:tc>
        <w:tc>
          <w:tcPr>
            <w:tcW w:w="984" w:type="pct"/>
            <w:vMerge/>
          </w:tcPr>
          <w:p w14:paraId="1164AE3B"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984" w:type="pct"/>
            <w:vMerge/>
          </w:tcPr>
          <w:p w14:paraId="5E7CC2C8"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606C7" w:rsidRPr="00BB46CB" w14:paraId="40FD7956" w14:textId="77777777" w:rsidTr="00277D48">
        <w:trPr>
          <w:trHeight w:val="13"/>
        </w:trPr>
        <w:tc>
          <w:tcPr>
            <w:cnfStyle w:val="001000000000" w:firstRow="0" w:lastRow="0" w:firstColumn="1" w:lastColumn="0" w:oddVBand="0" w:evenVBand="0" w:oddHBand="0" w:evenHBand="0" w:firstRowFirstColumn="0" w:firstRowLastColumn="0" w:lastRowFirstColumn="0" w:lastRowLastColumn="0"/>
            <w:tcW w:w="829" w:type="pct"/>
            <w:vMerge/>
          </w:tcPr>
          <w:p w14:paraId="5FEB6015" w14:textId="77777777" w:rsidR="007606C7" w:rsidRPr="00BB46CB" w:rsidRDefault="007606C7" w:rsidP="00666947">
            <w:pPr>
              <w:pStyle w:val="TableTextLeft"/>
            </w:pPr>
          </w:p>
        </w:tc>
        <w:tc>
          <w:tcPr>
            <w:tcW w:w="1218" w:type="pct"/>
          </w:tcPr>
          <w:p w14:paraId="63D1DD5E"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Farmland</w:t>
            </w:r>
          </w:p>
        </w:tc>
        <w:tc>
          <w:tcPr>
            <w:tcW w:w="984" w:type="pct"/>
          </w:tcPr>
          <w:p w14:paraId="052653E4"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27,394</w:t>
            </w:r>
          </w:p>
        </w:tc>
        <w:tc>
          <w:tcPr>
            <w:tcW w:w="984" w:type="pct"/>
            <w:vMerge/>
          </w:tcPr>
          <w:p w14:paraId="2A6D0528"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984" w:type="pct"/>
            <w:vMerge/>
          </w:tcPr>
          <w:p w14:paraId="336B9344"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606C7" w:rsidRPr="00BB46CB" w14:paraId="32791EE2" w14:textId="77777777" w:rsidTr="00277D48">
        <w:trPr>
          <w:trHeight w:val="13"/>
        </w:trPr>
        <w:tc>
          <w:tcPr>
            <w:cnfStyle w:val="001000000000" w:firstRow="0" w:lastRow="0" w:firstColumn="1" w:lastColumn="0" w:oddVBand="0" w:evenVBand="0" w:oddHBand="0" w:evenHBand="0" w:firstRowFirstColumn="0" w:firstRowLastColumn="0" w:lastRowFirstColumn="0" w:lastRowLastColumn="0"/>
            <w:tcW w:w="829" w:type="pct"/>
            <w:vMerge/>
          </w:tcPr>
          <w:p w14:paraId="5724A5B8" w14:textId="77777777" w:rsidR="007606C7" w:rsidRPr="00BB46CB" w:rsidRDefault="007606C7" w:rsidP="00666947">
            <w:pPr>
              <w:pStyle w:val="TableTextLeft"/>
            </w:pPr>
          </w:p>
        </w:tc>
        <w:tc>
          <w:tcPr>
            <w:tcW w:w="1218" w:type="pct"/>
          </w:tcPr>
          <w:p w14:paraId="47D20828" w14:textId="77777777" w:rsidR="00277D48"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 xml:space="preserve">Freshwater and </w:t>
            </w:r>
          </w:p>
          <w:p w14:paraId="33F656A4" w14:textId="36A089C4"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wetland</w:t>
            </w:r>
          </w:p>
        </w:tc>
        <w:tc>
          <w:tcPr>
            <w:tcW w:w="984" w:type="pct"/>
          </w:tcPr>
          <w:p w14:paraId="0C66A068"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2,171</w:t>
            </w:r>
          </w:p>
        </w:tc>
        <w:tc>
          <w:tcPr>
            <w:tcW w:w="984" w:type="pct"/>
            <w:vMerge/>
          </w:tcPr>
          <w:p w14:paraId="58246C8D"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984" w:type="pct"/>
            <w:vMerge/>
          </w:tcPr>
          <w:p w14:paraId="086554F6"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606C7" w:rsidRPr="00BB46CB" w14:paraId="5EFC35FB" w14:textId="77777777" w:rsidTr="00277D48">
        <w:trPr>
          <w:trHeight w:val="13"/>
        </w:trPr>
        <w:tc>
          <w:tcPr>
            <w:cnfStyle w:val="001000000000" w:firstRow="0" w:lastRow="0" w:firstColumn="1" w:lastColumn="0" w:oddVBand="0" w:evenVBand="0" w:oddHBand="0" w:evenHBand="0" w:firstRowFirstColumn="0" w:firstRowLastColumn="0" w:lastRowFirstColumn="0" w:lastRowLastColumn="0"/>
            <w:tcW w:w="829" w:type="pct"/>
            <w:vMerge/>
          </w:tcPr>
          <w:p w14:paraId="6BA2A2CF" w14:textId="77777777" w:rsidR="007606C7" w:rsidRPr="00BB46CB" w:rsidRDefault="007606C7" w:rsidP="00666947">
            <w:pPr>
              <w:pStyle w:val="TableTextLeft"/>
            </w:pPr>
          </w:p>
        </w:tc>
        <w:tc>
          <w:tcPr>
            <w:tcW w:w="1218" w:type="pct"/>
          </w:tcPr>
          <w:p w14:paraId="594CCFD1"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Urban</w:t>
            </w:r>
          </w:p>
        </w:tc>
        <w:tc>
          <w:tcPr>
            <w:tcW w:w="984" w:type="pct"/>
          </w:tcPr>
          <w:p w14:paraId="72CD5F10"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3,128</w:t>
            </w:r>
          </w:p>
        </w:tc>
        <w:tc>
          <w:tcPr>
            <w:tcW w:w="984" w:type="pct"/>
            <w:vMerge/>
          </w:tcPr>
          <w:p w14:paraId="4BC4D65B"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984" w:type="pct"/>
            <w:vMerge/>
          </w:tcPr>
          <w:p w14:paraId="5960507A"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606C7" w:rsidRPr="00BB46CB" w14:paraId="1BA48621" w14:textId="77777777" w:rsidTr="00277D48">
        <w:trPr>
          <w:trHeight w:val="13"/>
        </w:trPr>
        <w:tc>
          <w:tcPr>
            <w:cnfStyle w:val="001000000000" w:firstRow="0" w:lastRow="0" w:firstColumn="1" w:lastColumn="0" w:oddVBand="0" w:evenVBand="0" w:oddHBand="0" w:evenHBand="0" w:firstRowFirstColumn="0" w:firstRowLastColumn="0" w:lastRowFirstColumn="0" w:lastRowLastColumn="0"/>
            <w:tcW w:w="829" w:type="pct"/>
            <w:vMerge/>
          </w:tcPr>
          <w:p w14:paraId="0CAFB9F9" w14:textId="77777777" w:rsidR="007606C7" w:rsidRPr="00BB46CB" w:rsidRDefault="007606C7" w:rsidP="00666947">
            <w:pPr>
              <w:pStyle w:val="TableTextLeft"/>
            </w:pPr>
          </w:p>
        </w:tc>
        <w:tc>
          <w:tcPr>
            <w:tcW w:w="1218" w:type="pct"/>
          </w:tcPr>
          <w:p w14:paraId="4C7E4C7D"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rPr>
                <w:b/>
              </w:rPr>
              <w:t>Total</w:t>
            </w:r>
          </w:p>
        </w:tc>
        <w:tc>
          <w:tcPr>
            <w:tcW w:w="984" w:type="pct"/>
          </w:tcPr>
          <w:p w14:paraId="244938BE"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rPr>
                <w:b/>
              </w:rPr>
              <w:t>199,307</w:t>
            </w:r>
          </w:p>
        </w:tc>
        <w:tc>
          <w:tcPr>
            <w:tcW w:w="984" w:type="pct"/>
            <w:vMerge/>
          </w:tcPr>
          <w:p w14:paraId="2812A8FE"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984" w:type="pct"/>
            <w:vMerge/>
          </w:tcPr>
          <w:p w14:paraId="6EE9D530"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r>
    </w:tbl>
    <w:p w14:paraId="11BA64DA" w14:textId="77777777" w:rsidR="007606C7" w:rsidRPr="00BB46CB" w:rsidRDefault="007606C7" w:rsidP="007606C7">
      <w:pPr>
        <w:pStyle w:val="BodyText"/>
      </w:pPr>
    </w:p>
    <w:p w14:paraId="36BBAFE6" w14:textId="77777777" w:rsidR="007606C7" w:rsidRPr="00BB46CB" w:rsidRDefault="007606C7" w:rsidP="007606C7">
      <w:pPr>
        <w:pStyle w:val="BodyText"/>
        <w:sectPr w:rsidR="007606C7" w:rsidRPr="00BB46CB" w:rsidSect="00E52A9A">
          <w:pgSz w:w="11907" w:h="16840" w:code="9"/>
          <w:pgMar w:top="1134" w:right="1134" w:bottom="1134" w:left="1134" w:header="283" w:footer="283" w:gutter="0"/>
          <w:cols w:space="284"/>
          <w:docGrid w:linePitch="360"/>
        </w:sectPr>
      </w:pPr>
    </w:p>
    <w:p w14:paraId="73910E29" w14:textId="54E8B27E" w:rsidR="007606C7" w:rsidRDefault="00277D48" w:rsidP="00277D48">
      <w:pPr>
        <w:pStyle w:val="Caption"/>
        <w:rPr>
          <w:vertAlign w:val="superscript"/>
        </w:rPr>
      </w:pPr>
      <w:r w:rsidRPr="00277D48">
        <w:lastRenderedPageBreak/>
        <w:t>Table 85. Headline condition account for GORCAP EEA</w:t>
      </w:r>
    </w:p>
    <w:tbl>
      <w:tblPr>
        <w:tblStyle w:val="TableGrid"/>
        <w:tblW w:w="5000" w:type="pct"/>
        <w:tblBorders>
          <w:top w:val="single" w:sz="8" w:space="0" w:color="201547" w:themeColor="text2"/>
          <w:left w:val="single" w:sz="8" w:space="0" w:color="201547" w:themeColor="text2"/>
          <w:bottom w:val="single" w:sz="8" w:space="0" w:color="201547" w:themeColor="text2"/>
          <w:right w:val="single" w:sz="8" w:space="0" w:color="201547" w:themeColor="text2"/>
          <w:insideH w:val="single" w:sz="8" w:space="0" w:color="201547" w:themeColor="text2"/>
          <w:insideV w:val="single" w:sz="8" w:space="0" w:color="201547" w:themeColor="text2"/>
        </w:tblBorders>
        <w:tblLook w:val="04A0" w:firstRow="1" w:lastRow="0" w:firstColumn="1" w:lastColumn="0" w:noHBand="0" w:noVBand="1"/>
      </w:tblPr>
      <w:tblGrid>
        <w:gridCol w:w="1444"/>
        <w:gridCol w:w="1931"/>
        <w:gridCol w:w="1572"/>
        <w:gridCol w:w="2292"/>
        <w:gridCol w:w="1293"/>
        <w:gridCol w:w="1952"/>
        <w:gridCol w:w="1487"/>
        <w:gridCol w:w="2495"/>
        <w:gridCol w:w="1974"/>
        <w:gridCol w:w="1599"/>
        <w:gridCol w:w="1909"/>
        <w:gridCol w:w="1595"/>
      </w:tblGrid>
      <w:tr w:rsidR="00277D48" w:rsidRPr="00BB46CB" w14:paraId="01C56122" w14:textId="77777777" w:rsidTr="00277D48">
        <w:trPr>
          <w:cnfStyle w:val="100000000000" w:firstRow="1" w:lastRow="0" w:firstColumn="0" w:lastColumn="0" w:oddVBand="0" w:evenVBand="0" w:oddHBand="0" w:evenHBand="0" w:firstRowFirstColumn="0" w:firstRowLastColumn="0" w:lastRowFirstColumn="0" w:lastRowLastColumn="0"/>
          <w:trHeight w:val="104"/>
          <w:tblHeader/>
        </w:trPr>
        <w:tc>
          <w:tcPr>
            <w:cnfStyle w:val="001000000000" w:firstRow="0" w:lastRow="0" w:firstColumn="1" w:lastColumn="0" w:oddVBand="0" w:evenVBand="0" w:oddHBand="0" w:evenHBand="0" w:firstRowFirstColumn="0" w:firstRowLastColumn="0" w:lastRowFirstColumn="0" w:lastRowLastColumn="0"/>
            <w:tcW w:w="785" w:type="pct"/>
            <w:gridSpan w:val="2"/>
            <w:vMerge w:val="restart"/>
            <w:tcBorders>
              <w:right w:val="single" w:sz="8" w:space="0" w:color="FFFFFF" w:themeColor="background1"/>
            </w:tcBorders>
          </w:tcPr>
          <w:p w14:paraId="33B10841" w14:textId="77777777" w:rsidR="00277D48" w:rsidRPr="00BB46CB" w:rsidRDefault="00277D48" w:rsidP="00277D48">
            <w:pPr>
              <w:pStyle w:val="TableTextLeft"/>
            </w:pPr>
            <w:r w:rsidRPr="00BB46CB">
              <w:rPr>
                <w:b/>
              </w:rPr>
              <w:t xml:space="preserve">Condition category / Indicator </w:t>
            </w:r>
          </w:p>
        </w:tc>
        <w:tc>
          <w:tcPr>
            <w:tcW w:w="355" w:type="pct"/>
            <w:vMerge w:val="restart"/>
            <w:tcBorders>
              <w:left w:val="single" w:sz="8" w:space="0" w:color="FFFFFF" w:themeColor="background1"/>
              <w:right w:val="single" w:sz="8" w:space="0" w:color="FFFFFF" w:themeColor="background1"/>
            </w:tcBorders>
          </w:tcPr>
          <w:p w14:paraId="29967351" w14:textId="77777777" w:rsidR="00277D48" w:rsidRPr="00BB46CB" w:rsidRDefault="00277D48" w:rsidP="00277D48">
            <w:pPr>
              <w:pStyle w:val="TableTextLeft"/>
              <w:cnfStyle w:val="100000000000" w:firstRow="1" w:lastRow="0" w:firstColumn="0" w:lastColumn="0" w:oddVBand="0" w:evenVBand="0" w:oddHBand="0" w:evenHBand="0" w:firstRowFirstColumn="0" w:firstRowLastColumn="0" w:lastRowFirstColumn="0" w:lastRowLastColumn="0"/>
            </w:pPr>
            <w:r w:rsidRPr="00BB46CB">
              <w:rPr>
                <w:b/>
              </w:rPr>
              <w:t xml:space="preserve">Ecosystem </w:t>
            </w:r>
          </w:p>
        </w:tc>
        <w:tc>
          <w:tcPr>
            <w:tcW w:w="533" w:type="pct"/>
            <w:vMerge w:val="restart"/>
            <w:tcBorders>
              <w:left w:val="single" w:sz="8" w:space="0" w:color="FFFFFF" w:themeColor="background1"/>
              <w:right w:val="single" w:sz="8" w:space="0" w:color="FFFFFF" w:themeColor="background1"/>
            </w:tcBorders>
          </w:tcPr>
          <w:p w14:paraId="0BD2ABC4" w14:textId="77777777" w:rsidR="00277D48" w:rsidRPr="00BB46CB" w:rsidRDefault="00277D48" w:rsidP="00277D48">
            <w:pPr>
              <w:pStyle w:val="TableTextLeft"/>
              <w:cnfStyle w:val="100000000000" w:firstRow="1" w:lastRow="0" w:firstColumn="0" w:lastColumn="0" w:oddVBand="0" w:evenVBand="0" w:oddHBand="0" w:evenHBand="0" w:firstRowFirstColumn="0" w:firstRowLastColumn="0" w:lastRowFirstColumn="0" w:lastRowLastColumn="0"/>
            </w:pPr>
            <w:r w:rsidRPr="00BB46CB">
              <w:rPr>
                <w:b/>
              </w:rPr>
              <w:t>Primary ecosystem service being supported</w:t>
            </w:r>
          </w:p>
        </w:tc>
        <w:tc>
          <w:tcPr>
            <w:tcW w:w="301" w:type="pct"/>
            <w:vMerge w:val="restart"/>
            <w:tcBorders>
              <w:left w:val="single" w:sz="8" w:space="0" w:color="FFFFFF" w:themeColor="background1"/>
              <w:right w:val="single" w:sz="8" w:space="0" w:color="FFFFFF" w:themeColor="background1"/>
            </w:tcBorders>
          </w:tcPr>
          <w:p w14:paraId="2C1440AB" w14:textId="77777777" w:rsidR="00277D48" w:rsidRPr="00BB46CB" w:rsidRDefault="00277D48" w:rsidP="00277D48">
            <w:pPr>
              <w:pStyle w:val="TableTextLeft"/>
              <w:cnfStyle w:val="100000000000" w:firstRow="1" w:lastRow="0" w:firstColumn="0" w:lastColumn="0" w:oddVBand="0" w:evenVBand="0" w:oddHBand="0" w:evenHBand="0" w:firstRowFirstColumn="0" w:firstRowLastColumn="0" w:lastRowFirstColumn="0" w:lastRowLastColumn="0"/>
            </w:pPr>
            <w:r w:rsidRPr="00BB46CB">
              <w:rPr>
                <w:b/>
              </w:rPr>
              <w:t>Resolution</w:t>
            </w:r>
          </w:p>
        </w:tc>
        <w:tc>
          <w:tcPr>
            <w:tcW w:w="454" w:type="pct"/>
            <w:vMerge w:val="restart"/>
            <w:tcBorders>
              <w:left w:val="single" w:sz="8" w:space="0" w:color="FFFFFF" w:themeColor="background1"/>
              <w:right w:val="single" w:sz="8" w:space="0" w:color="FFFFFF" w:themeColor="background1"/>
            </w:tcBorders>
          </w:tcPr>
          <w:p w14:paraId="20019805" w14:textId="77777777" w:rsidR="00277D48" w:rsidRPr="00BB46CB" w:rsidRDefault="00277D48" w:rsidP="00277D48">
            <w:pPr>
              <w:pStyle w:val="TableTextLeft"/>
              <w:cnfStyle w:val="100000000000" w:firstRow="1" w:lastRow="0" w:firstColumn="0" w:lastColumn="0" w:oddVBand="0" w:evenVBand="0" w:oddHBand="0" w:evenHBand="0" w:firstRowFirstColumn="0" w:firstRowLastColumn="0" w:lastRowFirstColumn="0" w:lastRowLastColumn="0"/>
            </w:pPr>
            <w:r w:rsidRPr="00BB46CB">
              <w:rPr>
                <w:b/>
              </w:rPr>
              <w:t>Source</w:t>
            </w:r>
          </w:p>
        </w:tc>
        <w:tc>
          <w:tcPr>
            <w:tcW w:w="346" w:type="pct"/>
            <w:vMerge w:val="restart"/>
            <w:tcBorders>
              <w:left w:val="single" w:sz="8" w:space="0" w:color="FFFFFF" w:themeColor="background1"/>
              <w:right w:val="single" w:sz="8" w:space="0" w:color="FFFFFF" w:themeColor="background1"/>
            </w:tcBorders>
          </w:tcPr>
          <w:p w14:paraId="7831BE9F" w14:textId="77777777" w:rsidR="00277D48" w:rsidRPr="00BB46CB" w:rsidRDefault="00277D48" w:rsidP="00277D48">
            <w:pPr>
              <w:pStyle w:val="TableTextLeft"/>
              <w:cnfStyle w:val="100000000000" w:firstRow="1" w:lastRow="0" w:firstColumn="0" w:lastColumn="0" w:oddVBand="0" w:evenVBand="0" w:oddHBand="0" w:evenHBand="0" w:firstRowFirstColumn="0" w:firstRowLastColumn="0" w:lastRowFirstColumn="0" w:lastRowLastColumn="0"/>
            </w:pPr>
            <w:r w:rsidRPr="00BB46CB">
              <w:rPr>
                <w:b/>
              </w:rPr>
              <w:t>Year</w:t>
            </w:r>
          </w:p>
        </w:tc>
        <w:tc>
          <w:tcPr>
            <w:tcW w:w="580" w:type="pct"/>
            <w:vMerge w:val="restart"/>
            <w:tcBorders>
              <w:left w:val="single" w:sz="8" w:space="0" w:color="FFFFFF" w:themeColor="background1"/>
              <w:right w:val="single" w:sz="8" w:space="0" w:color="FFFFFF" w:themeColor="background1"/>
            </w:tcBorders>
          </w:tcPr>
          <w:p w14:paraId="276ACC8E" w14:textId="77777777" w:rsidR="00277D48" w:rsidRPr="00BB46CB" w:rsidRDefault="00277D48" w:rsidP="00277D48">
            <w:pPr>
              <w:pStyle w:val="TableTextLeft"/>
              <w:cnfStyle w:val="100000000000" w:firstRow="1" w:lastRow="0" w:firstColumn="0" w:lastColumn="0" w:oddVBand="0" w:evenVBand="0" w:oddHBand="0" w:evenHBand="0" w:firstRowFirstColumn="0" w:firstRowLastColumn="0" w:lastRowFirstColumn="0" w:lastRowLastColumn="0"/>
            </w:pPr>
            <w:r w:rsidRPr="00BB46CB">
              <w:rPr>
                <w:b/>
              </w:rPr>
              <w:t>Metric</w:t>
            </w:r>
          </w:p>
        </w:tc>
        <w:tc>
          <w:tcPr>
            <w:tcW w:w="1275" w:type="pct"/>
            <w:gridSpan w:val="3"/>
            <w:tcBorders>
              <w:left w:val="single" w:sz="8" w:space="0" w:color="FFFFFF" w:themeColor="background1"/>
              <w:bottom w:val="single" w:sz="8" w:space="0" w:color="FFFFFF" w:themeColor="background1"/>
              <w:right w:val="single" w:sz="8" w:space="0" w:color="FFFFFF" w:themeColor="background1"/>
            </w:tcBorders>
          </w:tcPr>
          <w:p w14:paraId="4736218D" w14:textId="77777777" w:rsidR="00277D48" w:rsidRPr="00BB46CB" w:rsidRDefault="00277D48" w:rsidP="00277D48">
            <w:pPr>
              <w:pStyle w:val="TableTextLeft"/>
              <w:cnfStyle w:val="100000000000" w:firstRow="1" w:lastRow="0" w:firstColumn="0" w:lastColumn="0" w:oddVBand="0" w:evenVBand="0" w:oddHBand="0" w:evenHBand="0" w:firstRowFirstColumn="0" w:firstRowLastColumn="0" w:lastRowFirstColumn="0" w:lastRowLastColumn="0"/>
            </w:pPr>
            <w:r w:rsidRPr="00BB46CB">
              <w:rPr>
                <w:b/>
              </w:rPr>
              <w:t>Condition Score</w:t>
            </w:r>
          </w:p>
        </w:tc>
        <w:tc>
          <w:tcPr>
            <w:tcW w:w="372" w:type="pct"/>
            <w:vMerge w:val="restart"/>
            <w:tcBorders>
              <w:left w:val="single" w:sz="8" w:space="0" w:color="FFFFFF" w:themeColor="background1"/>
              <w:bottom w:val="single" w:sz="8" w:space="0" w:color="FFFFFF" w:themeColor="background1"/>
            </w:tcBorders>
          </w:tcPr>
          <w:p w14:paraId="02B20062" w14:textId="77777777" w:rsidR="00277D48" w:rsidRPr="00BB46CB" w:rsidRDefault="00277D48" w:rsidP="00277D48">
            <w:pPr>
              <w:pStyle w:val="TableTextLeft"/>
              <w:cnfStyle w:val="100000000000" w:firstRow="1" w:lastRow="0" w:firstColumn="0" w:lastColumn="0" w:oddVBand="0" w:evenVBand="0" w:oddHBand="0" w:evenHBand="0" w:firstRowFirstColumn="0" w:firstRowLastColumn="0" w:lastRowFirstColumn="0" w:lastRowLastColumn="0"/>
              <w:rPr>
                <w:b/>
              </w:rPr>
            </w:pPr>
            <w:r w:rsidRPr="00BB46CB">
              <w:rPr>
                <w:b/>
              </w:rPr>
              <w:t>Uncertainty</w:t>
            </w:r>
          </w:p>
        </w:tc>
      </w:tr>
      <w:tr w:rsidR="00277D48" w:rsidRPr="00BB46CB" w14:paraId="5184AA55" w14:textId="77777777" w:rsidTr="00277D48">
        <w:trPr>
          <w:cnfStyle w:val="100000000000" w:firstRow="1" w:lastRow="0" w:firstColumn="0" w:lastColumn="0" w:oddVBand="0" w:evenVBand="0" w:oddHBand="0" w:evenHBand="0" w:firstRowFirstColumn="0" w:firstRowLastColumn="0" w:lastRowFirstColumn="0" w:lastRowLastColumn="0"/>
          <w:trHeight w:val="104"/>
          <w:tblHeader/>
        </w:trPr>
        <w:tc>
          <w:tcPr>
            <w:cnfStyle w:val="001000000000" w:firstRow="0" w:lastRow="0" w:firstColumn="1" w:lastColumn="0" w:oddVBand="0" w:evenVBand="0" w:oddHBand="0" w:evenHBand="0" w:firstRowFirstColumn="0" w:firstRowLastColumn="0" w:lastRowFirstColumn="0" w:lastRowLastColumn="0"/>
            <w:tcW w:w="785" w:type="pct"/>
            <w:gridSpan w:val="2"/>
            <w:vMerge/>
            <w:tcBorders>
              <w:top w:val="single" w:sz="8" w:space="0" w:color="FFFFFF" w:themeColor="background1"/>
              <w:bottom w:val="single" w:sz="8" w:space="0" w:color="FFFFFF" w:themeColor="background1"/>
              <w:right w:val="single" w:sz="8" w:space="0" w:color="FFFFFF" w:themeColor="background1"/>
            </w:tcBorders>
          </w:tcPr>
          <w:p w14:paraId="0C2C0B4E" w14:textId="77777777" w:rsidR="00277D48" w:rsidRPr="00BB46CB" w:rsidRDefault="00277D48" w:rsidP="00277D48">
            <w:pPr>
              <w:pStyle w:val="TableTextLeft"/>
            </w:pPr>
          </w:p>
        </w:tc>
        <w:tc>
          <w:tcPr>
            <w:tcW w:w="355" w:type="pct"/>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Pr>
          <w:p w14:paraId="10BA716C" w14:textId="77777777" w:rsidR="00277D48" w:rsidRPr="00BB46CB" w:rsidRDefault="00277D48" w:rsidP="00277D48">
            <w:pPr>
              <w:pStyle w:val="TableTextLeft"/>
              <w:cnfStyle w:val="100000000000" w:firstRow="1" w:lastRow="0" w:firstColumn="0" w:lastColumn="0" w:oddVBand="0" w:evenVBand="0" w:oddHBand="0" w:evenHBand="0" w:firstRowFirstColumn="0" w:firstRowLastColumn="0" w:lastRowFirstColumn="0" w:lastRowLastColumn="0"/>
            </w:pPr>
          </w:p>
        </w:tc>
        <w:tc>
          <w:tcPr>
            <w:tcW w:w="533" w:type="pct"/>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Pr>
          <w:p w14:paraId="5B9DF007" w14:textId="77777777" w:rsidR="00277D48" w:rsidRPr="00BB46CB" w:rsidRDefault="00277D48" w:rsidP="00277D48">
            <w:pPr>
              <w:pStyle w:val="TableTextLeft"/>
              <w:cnfStyle w:val="100000000000" w:firstRow="1" w:lastRow="0" w:firstColumn="0" w:lastColumn="0" w:oddVBand="0" w:evenVBand="0" w:oddHBand="0" w:evenHBand="0" w:firstRowFirstColumn="0" w:firstRowLastColumn="0" w:lastRowFirstColumn="0" w:lastRowLastColumn="0"/>
            </w:pPr>
          </w:p>
        </w:tc>
        <w:tc>
          <w:tcPr>
            <w:tcW w:w="301" w:type="pct"/>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Pr>
          <w:p w14:paraId="550E223D" w14:textId="77777777" w:rsidR="00277D48" w:rsidRPr="00BB46CB" w:rsidRDefault="00277D48" w:rsidP="00277D48">
            <w:pPr>
              <w:pStyle w:val="TableTextLeft"/>
              <w:cnfStyle w:val="100000000000" w:firstRow="1" w:lastRow="0" w:firstColumn="0" w:lastColumn="0" w:oddVBand="0" w:evenVBand="0" w:oddHBand="0" w:evenHBand="0" w:firstRowFirstColumn="0" w:firstRowLastColumn="0" w:lastRowFirstColumn="0" w:lastRowLastColumn="0"/>
            </w:pPr>
          </w:p>
        </w:tc>
        <w:tc>
          <w:tcPr>
            <w:tcW w:w="454" w:type="pct"/>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Pr>
          <w:p w14:paraId="1A4462CB" w14:textId="77777777" w:rsidR="00277D48" w:rsidRPr="00BB46CB" w:rsidRDefault="00277D48" w:rsidP="00277D48">
            <w:pPr>
              <w:pStyle w:val="TableTextLeft"/>
              <w:cnfStyle w:val="100000000000" w:firstRow="1" w:lastRow="0" w:firstColumn="0" w:lastColumn="0" w:oddVBand="0" w:evenVBand="0" w:oddHBand="0" w:evenHBand="0" w:firstRowFirstColumn="0" w:firstRowLastColumn="0" w:lastRowFirstColumn="0" w:lastRowLastColumn="0"/>
            </w:pPr>
          </w:p>
        </w:tc>
        <w:tc>
          <w:tcPr>
            <w:tcW w:w="346" w:type="pct"/>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Pr>
          <w:p w14:paraId="4C8EB70C" w14:textId="77777777" w:rsidR="00277D48" w:rsidRPr="00BB46CB" w:rsidRDefault="00277D48" w:rsidP="00277D48">
            <w:pPr>
              <w:pStyle w:val="TableTextLeft"/>
              <w:cnfStyle w:val="100000000000" w:firstRow="1" w:lastRow="0" w:firstColumn="0" w:lastColumn="0" w:oddVBand="0" w:evenVBand="0" w:oddHBand="0" w:evenHBand="0" w:firstRowFirstColumn="0" w:firstRowLastColumn="0" w:lastRowFirstColumn="0" w:lastRowLastColumn="0"/>
            </w:pPr>
          </w:p>
        </w:tc>
        <w:tc>
          <w:tcPr>
            <w:tcW w:w="580" w:type="pct"/>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Pr>
          <w:p w14:paraId="1A113522" w14:textId="77777777" w:rsidR="00277D48" w:rsidRPr="00BB46CB" w:rsidRDefault="00277D48" w:rsidP="00277D48">
            <w:pPr>
              <w:pStyle w:val="TableTextLeft"/>
              <w:cnfStyle w:val="100000000000" w:firstRow="1" w:lastRow="0" w:firstColumn="0" w:lastColumn="0" w:oddVBand="0" w:evenVBand="0" w:oddHBand="0" w:evenHBand="0" w:firstRowFirstColumn="0" w:firstRowLastColumn="0" w:lastRowFirstColumn="0" w:lastRowLastColumn="0"/>
              <w:rPr>
                <w:b/>
              </w:rPr>
            </w:pPr>
          </w:p>
        </w:tc>
        <w:tc>
          <w:tcPr>
            <w:tcW w:w="459"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Pr>
          <w:p w14:paraId="213010CD" w14:textId="77777777" w:rsidR="00277D48" w:rsidRPr="00277D48" w:rsidRDefault="00277D48" w:rsidP="00277D48">
            <w:pPr>
              <w:pStyle w:val="TableTextLeft"/>
              <w:cnfStyle w:val="100000000000" w:firstRow="1" w:lastRow="0" w:firstColumn="0" w:lastColumn="0" w:oddVBand="0" w:evenVBand="0" w:oddHBand="0" w:evenHBand="0" w:firstRowFirstColumn="0" w:firstRowLastColumn="0" w:lastRowFirstColumn="0" w:lastRowLastColumn="0"/>
              <w:rPr>
                <w:color w:val="FFFFFF" w:themeColor="background1"/>
              </w:rPr>
            </w:pPr>
            <w:r w:rsidRPr="00277D48">
              <w:rPr>
                <w:color w:val="FFFFFF" w:themeColor="background1"/>
              </w:rPr>
              <w:t>Non-GORCAPA</w:t>
            </w:r>
          </w:p>
        </w:tc>
        <w:tc>
          <w:tcPr>
            <w:tcW w:w="372" w:type="pct"/>
            <w:tcBorders>
              <w:top w:val="single" w:sz="8" w:space="0" w:color="FFFFFF" w:themeColor="background1"/>
              <w:left w:val="single" w:sz="8" w:space="0" w:color="FFFFFF" w:themeColor="background1"/>
              <w:bottom w:val="single" w:sz="8" w:space="0" w:color="FFFFFF" w:themeColor="background1"/>
            </w:tcBorders>
          </w:tcPr>
          <w:p w14:paraId="4C014BD5" w14:textId="77777777" w:rsidR="00277D48" w:rsidRPr="00277D48" w:rsidRDefault="00277D48" w:rsidP="00277D48">
            <w:pPr>
              <w:pStyle w:val="TableTextLeft"/>
              <w:cnfStyle w:val="100000000000" w:firstRow="1" w:lastRow="0" w:firstColumn="0" w:lastColumn="0" w:oddVBand="0" w:evenVBand="0" w:oddHBand="0" w:evenHBand="0" w:firstRowFirstColumn="0" w:firstRowLastColumn="0" w:lastRowFirstColumn="0" w:lastRowLastColumn="0"/>
              <w:rPr>
                <w:color w:val="FFFFFF" w:themeColor="background1"/>
              </w:rPr>
            </w:pPr>
            <w:r w:rsidRPr="00277D48">
              <w:rPr>
                <w:color w:val="FFFFFF" w:themeColor="background1"/>
              </w:rPr>
              <w:t>GORCAPA</w:t>
            </w:r>
          </w:p>
        </w:tc>
        <w:tc>
          <w:tcPr>
            <w:tcW w:w="444" w:type="pct"/>
            <w:tcBorders>
              <w:top w:val="single" w:sz="8" w:space="0" w:color="FFFFFF" w:themeColor="background1"/>
              <w:bottom w:val="single" w:sz="8" w:space="0" w:color="FFFFFF" w:themeColor="background1"/>
              <w:right w:val="single" w:sz="8" w:space="0" w:color="FFFFFF" w:themeColor="background1"/>
            </w:tcBorders>
          </w:tcPr>
          <w:p w14:paraId="68C70F88" w14:textId="77777777" w:rsidR="00277D48" w:rsidRPr="00277D48" w:rsidRDefault="00277D48" w:rsidP="00277D48">
            <w:pPr>
              <w:pStyle w:val="TableTextLeft"/>
              <w:cnfStyle w:val="100000000000" w:firstRow="1" w:lastRow="0" w:firstColumn="0" w:lastColumn="0" w:oddVBand="0" w:evenVBand="0" w:oddHBand="0" w:evenHBand="0" w:firstRowFirstColumn="0" w:firstRowLastColumn="0" w:lastRowFirstColumn="0" w:lastRowLastColumn="0"/>
              <w:rPr>
                <w:color w:val="FFFFFF" w:themeColor="background1"/>
              </w:rPr>
            </w:pPr>
            <w:r w:rsidRPr="00277D48">
              <w:rPr>
                <w:color w:val="FFFFFF" w:themeColor="background1"/>
              </w:rPr>
              <w:t>Total GORCAP EEA</w:t>
            </w:r>
          </w:p>
        </w:tc>
        <w:tc>
          <w:tcPr>
            <w:tcW w:w="372" w:type="pct"/>
            <w:vMerge/>
            <w:tcBorders>
              <w:left w:val="single" w:sz="8" w:space="0" w:color="FFFFFF" w:themeColor="background1"/>
              <w:bottom w:val="single" w:sz="8" w:space="0" w:color="FFFFFF" w:themeColor="background1"/>
            </w:tcBorders>
          </w:tcPr>
          <w:p w14:paraId="37ABB67D" w14:textId="77777777" w:rsidR="00277D48" w:rsidRPr="00BB46CB" w:rsidRDefault="00277D48" w:rsidP="00277D48">
            <w:pPr>
              <w:pStyle w:val="TableTextLeft"/>
              <w:cnfStyle w:val="100000000000" w:firstRow="1" w:lastRow="0" w:firstColumn="0" w:lastColumn="0" w:oddVBand="0" w:evenVBand="0" w:oddHBand="0" w:evenHBand="0" w:firstRowFirstColumn="0" w:firstRowLastColumn="0" w:lastRowFirstColumn="0" w:lastRowLastColumn="0"/>
            </w:pPr>
          </w:p>
        </w:tc>
      </w:tr>
      <w:tr w:rsidR="00277D48" w:rsidRPr="00BB46CB" w14:paraId="09605123" w14:textId="77777777" w:rsidTr="00277D48">
        <w:trPr>
          <w:trHeight w:val="104"/>
        </w:trPr>
        <w:tc>
          <w:tcPr>
            <w:cnfStyle w:val="001000000000" w:firstRow="0" w:lastRow="0" w:firstColumn="1" w:lastColumn="0" w:oddVBand="0" w:evenVBand="0" w:oddHBand="0" w:evenHBand="0" w:firstRowFirstColumn="0" w:firstRowLastColumn="0" w:lastRowFirstColumn="0" w:lastRowLastColumn="0"/>
            <w:tcW w:w="5000" w:type="pct"/>
            <w:gridSpan w:val="12"/>
            <w:tcBorders>
              <w:top w:val="single" w:sz="8" w:space="0" w:color="FFFFFF" w:themeColor="background1"/>
              <w:left w:val="nil"/>
              <w:right w:val="nil"/>
            </w:tcBorders>
            <w:shd w:val="clear" w:color="auto" w:fill="004C97" w:themeFill="accent1"/>
          </w:tcPr>
          <w:p w14:paraId="69875F4F" w14:textId="77777777" w:rsidR="00277D48" w:rsidRPr="00277D48" w:rsidRDefault="00277D48" w:rsidP="00277D48">
            <w:pPr>
              <w:pStyle w:val="TableTextLeft"/>
              <w:rPr>
                <w:i/>
                <w:color w:val="FFFFFF" w:themeColor="background1"/>
              </w:rPr>
            </w:pPr>
            <w:r w:rsidRPr="00277D48">
              <w:rPr>
                <w:i/>
                <w:color w:val="FFFFFF" w:themeColor="background1"/>
              </w:rPr>
              <w:t>Ecological condition - Biodiversity</w:t>
            </w:r>
          </w:p>
        </w:tc>
      </w:tr>
      <w:tr w:rsidR="00277D48" w:rsidRPr="00BB46CB" w14:paraId="48E6B15D" w14:textId="77777777" w:rsidTr="00277D48">
        <w:trPr>
          <w:trHeight w:val="104"/>
        </w:trPr>
        <w:tc>
          <w:tcPr>
            <w:cnfStyle w:val="001000000000" w:firstRow="0" w:lastRow="0" w:firstColumn="1" w:lastColumn="0" w:oddVBand="0" w:evenVBand="0" w:oddHBand="0" w:evenHBand="0" w:firstRowFirstColumn="0" w:firstRowLastColumn="0" w:lastRowFirstColumn="0" w:lastRowLastColumn="0"/>
            <w:tcW w:w="785" w:type="pct"/>
            <w:gridSpan w:val="2"/>
            <w:tcBorders>
              <w:top w:val="single" w:sz="8" w:space="0" w:color="FFFFFF" w:themeColor="background1"/>
              <w:left w:val="nil"/>
            </w:tcBorders>
          </w:tcPr>
          <w:p w14:paraId="4F1573B8" w14:textId="77777777" w:rsidR="00277D48" w:rsidRPr="00BB46CB" w:rsidRDefault="00277D48" w:rsidP="00277D48">
            <w:pPr>
              <w:pStyle w:val="TableTextLeft"/>
            </w:pPr>
            <w:r w:rsidRPr="00BB46CB">
              <w:t>Native vegetation condition</w:t>
            </w:r>
          </w:p>
        </w:tc>
        <w:tc>
          <w:tcPr>
            <w:tcW w:w="355" w:type="pct"/>
            <w:tcBorders>
              <w:top w:val="single" w:sz="8" w:space="0" w:color="FFFFFF" w:themeColor="background1"/>
            </w:tcBorders>
            <w:shd w:val="clear" w:color="auto" w:fill="FFFFFF" w:themeFill="background1"/>
          </w:tcPr>
          <w:p w14:paraId="0505490B"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Terrestrial</w:t>
            </w:r>
          </w:p>
        </w:tc>
        <w:tc>
          <w:tcPr>
            <w:tcW w:w="533" w:type="pct"/>
            <w:tcBorders>
              <w:top w:val="single" w:sz="8" w:space="0" w:color="FFFFFF" w:themeColor="background1"/>
            </w:tcBorders>
            <w:shd w:val="clear" w:color="auto" w:fill="FFFFFF" w:themeFill="background1"/>
          </w:tcPr>
          <w:p w14:paraId="36CFCD64"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Existence / option value</w:t>
            </w:r>
          </w:p>
        </w:tc>
        <w:tc>
          <w:tcPr>
            <w:tcW w:w="301" w:type="pct"/>
            <w:tcBorders>
              <w:top w:val="single" w:sz="8" w:space="0" w:color="FFFFFF" w:themeColor="background1"/>
            </w:tcBorders>
            <w:shd w:val="clear" w:color="auto" w:fill="FFFFFF" w:themeFill="background1"/>
          </w:tcPr>
          <w:p w14:paraId="5D07371D"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75m grid</w:t>
            </w:r>
          </w:p>
        </w:tc>
        <w:tc>
          <w:tcPr>
            <w:tcW w:w="454" w:type="pct"/>
            <w:tcBorders>
              <w:top w:val="single" w:sz="8" w:space="0" w:color="FFFFFF" w:themeColor="background1"/>
            </w:tcBorders>
            <w:shd w:val="clear" w:color="auto" w:fill="FFFFFF" w:themeFill="background1"/>
          </w:tcPr>
          <w:p w14:paraId="78DA3FCE"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DELWP (2017)</w:t>
            </w:r>
          </w:p>
        </w:tc>
        <w:tc>
          <w:tcPr>
            <w:tcW w:w="346" w:type="pct"/>
            <w:tcBorders>
              <w:top w:val="single" w:sz="8" w:space="0" w:color="FFFFFF" w:themeColor="background1"/>
            </w:tcBorders>
            <w:shd w:val="clear" w:color="auto" w:fill="FFFFFF" w:themeFill="background1"/>
          </w:tcPr>
          <w:p w14:paraId="67CEADBB"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2017</w:t>
            </w:r>
          </w:p>
        </w:tc>
        <w:tc>
          <w:tcPr>
            <w:tcW w:w="580" w:type="pct"/>
            <w:tcBorders>
              <w:top w:val="single" w:sz="8" w:space="0" w:color="FFFFFF" w:themeColor="background1"/>
            </w:tcBorders>
            <w:shd w:val="clear" w:color="auto" w:fill="FFFFFF" w:themeFill="background1"/>
          </w:tcPr>
          <w:p w14:paraId="7EEBCE59"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Score 1 -100</w:t>
            </w:r>
          </w:p>
        </w:tc>
        <w:tc>
          <w:tcPr>
            <w:tcW w:w="459" w:type="pct"/>
            <w:tcBorders>
              <w:top w:val="single" w:sz="8" w:space="0" w:color="FFFFFF" w:themeColor="background1"/>
            </w:tcBorders>
            <w:shd w:val="clear" w:color="auto" w:fill="FFFFFF" w:themeFill="background1"/>
          </w:tcPr>
          <w:p w14:paraId="3758305B"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29</w:t>
            </w:r>
          </w:p>
        </w:tc>
        <w:tc>
          <w:tcPr>
            <w:tcW w:w="372" w:type="pct"/>
            <w:tcBorders>
              <w:top w:val="single" w:sz="8" w:space="0" w:color="FFFFFF" w:themeColor="background1"/>
            </w:tcBorders>
            <w:shd w:val="clear" w:color="auto" w:fill="FFFFFF" w:themeFill="background1"/>
          </w:tcPr>
          <w:p w14:paraId="4D43EED8"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73</w:t>
            </w:r>
          </w:p>
        </w:tc>
        <w:tc>
          <w:tcPr>
            <w:tcW w:w="444" w:type="pct"/>
            <w:tcBorders>
              <w:top w:val="single" w:sz="8" w:space="0" w:color="FFFFFF" w:themeColor="background1"/>
            </w:tcBorders>
            <w:shd w:val="clear" w:color="auto" w:fill="FFFFFF" w:themeFill="background1"/>
          </w:tcPr>
          <w:p w14:paraId="422EC1DD"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45</w:t>
            </w:r>
          </w:p>
        </w:tc>
        <w:tc>
          <w:tcPr>
            <w:tcW w:w="372" w:type="pct"/>
            <w:tcBorders>
              <w:top w:val="single" w:sz="8" w:space="0" w:color="FFFFFF" w:themeColor="background1"/>
              <w:right w:val="nil"/>
            </w:tcBorders>
            <w:shd w:val="clear" w:color="auto" w:fill="FFFFFF" w:themeFill="background1"/>
          </w:tcPr>
          <w:p w14:paraId="16D01C9F"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Medium</w:t>
            </w:r>
          </w:p>
        </w:tc>
      </w:tr>
      <w:tr w:rsidR="00277D48" w:rsidRPr="00BB46CB" w14:paraId="137E35B2" w14:textId="77777777" w:rsidTr="00277D48">
        <w:trPr>
          <w:trHeight w:val="140"/>
        </w:trPr>
        <w:tc>
          <w:tcPr>
            <w:cnfStyle w:val="001000000000" w:firstRow="0" w:lastRow="0" w:firstColumn="1" w:lastColumn="0" w:oddVBand="0" w:evenVBand="0" w:oddHBand="0" w:evenHBand="0" w:firstRowFirstColumn="0" w:firstRowLastColumn="0" w:lastRowFirstColumn="0" w:lastRowLastColumn="0"/>
            <w:tcW w:w="785" w:type="pct"/>
            <w:gridSpan w:val="2"/>
            <w:tcBorders>
              <w:left w:val="nil"/>
            </w:tcBorders>
          </w:tcPr>
          <w:p w14:paraId="552F2010" w14:textId="77777777" w:rsidR="00277D48" w:rsidRPr="00BB46CB" w:rsidRDefault="00277D48" w:rsidP="00277D48">
            <w:pPr>
              <w:pStyle w:val="TableTextLeft"/>
            </w:pPr>
            <w:r w:rsidRPr="00BB46CB">
              <w:t>Habitat importance-threatened species</w:t>
            </w:r>
          </w:p>
        </w:tc>
        <w:tc>
          <w:tcPr>
            <w:tcW w:w="355" w:type="pct"/>
            <w:shd w:val="clear" w:color="auto" w:fill="FFFFFF" w:themeFill="background1"/>
          </w:tcPr>
          <w:p w14:paraId="0BEDF981"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Terrestrial</w:t>
            </w:r>
          </w:p>
        </w:tc>
        <w:tc>
          <w:tcPr>
            <w:tcW w:w="533" w:type="pct"/>
            <w:shd w:val="clear" w:color="auto" w:fill="FFFFFF" w:themeFill="background1"/>
          </w:tcPr>
          <w:p w14:paraId="43898EB9"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Existence / option value</w:t>
            </w:r>
          </w:p>
        </w:tc>
        <w:tc>
          <w:tcPr>
            <w:tcW w:w="301" w:type="pct"/>
            <w:shd w:val="clear" w:color="auto" w:fill="FFFFFF" w:themeFill="background1"/>
          </w:tcPr>
          <w:p w14:paraId="0F352647"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225m grid</w:t>
            </w:r>
          </w:p>
        </w:tc>
        <w:tc>
          <w:tcPr>
            <w:tcW w:w="454" w:type="pct"/>
            <w:shd w:val="clear" w:color="auto" w:fill="FFFFFF" w:themeFill="background1"/>
          </w:tcPr>
          <w:p w14:paraId="050A27D2"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DELWP (2016c)</w:t>
            </w:r>
          </w:p>
        </w:tc>
        <w:tc>
          <w:tcPr>
            <w:tcW w:w="346" w:type="pct"/>
            <w:shd w:val="clear" w:color="auto" w:fill="FFFFFF" w:themeFill="background1"/>
          </w:tcPr>
          <w:p w14:paraId="71A65557"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2016</w:t>
            </w:r>
          </w:p>
        </w:tc>
        <w:tc>
          <w:tcPr>
            <w:tcW w:w="580" w:type="pct"/>
            <w:shd w:val="clear" w:color="auto" w:fill="FFFFFF" w:themeFill="background1"/>
          </w:tcPr>
          <w:p w14:paraId="1524D156"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Score 1-100</w:t>
            </w:r>
          </w:p>
        </w:tc>
        <w:tc>
          <w:tcPr>
            <w:tcW w:w="459" w:type="pct"/>
            <w:shd w:val="clear" w:color="auto" w:fill="FFFFFF" w:themeFill="background1"/>
          </w:tcPr>
          <w:p w14:paraId="407F84EB"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54</w:t>
            </w:r>
          </w:p>
        </w:tc>
        <w:tc>
          <w:tcPr>
            <w:tcW w:w="372" w:type="pct"/>
            <w:shd w:val="clear" w:color="auto" w:fill="FFFFFF" w:themeFill="background1"/>
          </w:tcPr>
          <w:p w14:paraId="771AF971"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77</w:t>
            </w:r>
          </w:p>
        </w:tc>
        <w:tc>
          <w:tcPr>
            <w:tcW w:w="444" w:type="pct"/>
            <w:shd w:val="clear" w:color="auto" w:fill="FFFFFF" w:themeFill="background1"/>
          </w:tcPr>
          <w:p w14:paraId="60E06E97"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63</w:t>
            </w:r>
          </w:p>
        </w:tc>
        <w:tc>
          <w:tcPr>
            <w:tcW w:w="372" w:type="pct"/>
            <w:tcBorders>
              <w:right w:val="nil"/>
            </w:tcBorders>
            <w:shd w:val="clear" w:color="auto" w:fill="FFFFFF" w:themeFill="background1"/>
          </w:tcPr>
          <w:p w14:paraId="1CFF9184"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Medium</w:t>
            </w:r>
          </w:p>
        </w:tc>
      </w:tr>
      <w:tr w:rsidR="00277D48" w:rsidRPr="00BB46CB" w14:paraId="74F8FF6C" w14:textId="77777777" w:rsidTr="00277D48">
        <w:trPr>
          <w:trHeight w:val="140"/>
        </w:trPr>
        <w:tc>
          <w:tcPr>
            <w:cnfStyle w:val="001000000000" w:firstRow="0" w:lastRow="0" w:firstColumn="1" w:lastColumn="0" w:oddVBand="0" w:evenVBand="0" w:oddHBand="0" w:evenHBand="0" w:firstRowFirstColumn="0" w:firstRowLastColumn="0" w:lastRowFirstColumn="0" w:lastRowLastColumn="0"/>
            <w:tcW w:w="785" w:type="pct"/>
            <w:gridSpan w:val="2"/>
            <w:tcBorders>
              <w:left w:val="nil"/>
            </w:tcBorders>
          </w:tcPr>
          <w:p w14:paraId="6BDE9EBD" w14:textId="77777777" w:rsidR="00277D48" w:rsidRPr="00BB46CB" w:rsidRDefault="00277D48" w:rsidP="00277D48">
            <w:pPr>
              <w:pStyle w:val="TableTextLeft"/>
            </w:pPr>
            <w:r w:rsidRPr="00BB46CB">
              <w:t>Threatened flora</w:t>
            </w:r>
          </w:p>
        </w:tc>
        <w:tc>
          <w:tcPr>
            <w:tcW w:w="355" w:type="pct"/>
            <w:shd w:val="clear" w:color="auto" w:fill="FFFFFF" w:themeFill="background1"/>
          </w:tcPr>
          <w:p w14:paraId="567CB7E3"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Terrestrial</w:t>
            </w:r>
          </w:p>
        </w:tc>
        <w:tc>
          <w:tcPr>
            <w:tcW w:w="533" w:type="pct"/>
            <w:shd w:val="clear" w:color="auto" w:fill="FFFFFF" w:themeFill="background1"/>
          </w:tcPr>
          <w:p w14:paraId="09A769A4"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Existence / option value</w:t>
            </w:r>
          </w:p>
        </w:tc>
        <w:tc>
          <w:tcPr>
            <w:tcW w:w="301" w:type="pct"/>
            <w:shd w:val="clear" w:color="auto" w:fill="FFFFFF" w:themeFill="background1"/>
          </w:tcPr>
          <w:p w14:paraId="768C7AD0"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Point data</w:t>
            </w:r>
          </w:p>
        </w:tc>
        <w:tc>
          <w:tcPr>
            <w:tcW w:w="454" w:type="pct"/>
            <w:shd w:val="clear" w:color="auto" w:fill="FFFFFF" w:themeFill="background1"/>
          </w:tcPr>
          <w:p w14:paraId="06506D49"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DELWP (2021)</w:t>
            </w:r>
          </w:p>
        </w:tc>
        <w:tc>
          <w:tcPr>
            <w:tcW w:w="346" w:type="pct"/>
            <w:shd w:val="clear" w:color="auto" w:fill="FFFFFF" w:themeFill="background1"/>
          </w:tcPr>
          <w:p w14:paraId="567D3667"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2021</w:t>
            </w:r>
          </w:p>
        </w:tc>
        <w:tc>
          <w:tcPr>
            <w:tcW w:w="580" w:type="pct"/>
            <w:shd w:val="clear" w:color="auto" w:fill="FFFFFF" w:themeFill="background1"/>
          </w:tcPr>
          <w:p w14:paraId="1C9CDFB1"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Species count</w:t>
            </w:r>
          </w:p>
        </w:tc>
        <w:tc>
          <w:tcPr>
            <w:tcW w:w="459" w:type="pct"/>
            <w:shd w:val="clear" w:color="auto" w:fill="FFFFFF" w:themeFill="background1"/>
          </w:tcPr>
          <w:p w14:paraId="493E4DB6"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63</w:t>
            </w:r>
          </w:p>
        </w:tc>
        <w:tc>
          <w:tcPr>
            <w:tcW w:w="372" w:type="pct"/>
            <w:shd w:val="clear" w:color="auto" w:fill="FFFFFF" w:themeFill="background1"/>
          </w:tcPr>
          <w:p w14:paraId="763812BC"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72</w:t>
            </w:r>
          </w:p>
        </w:tc>
        <w:tc>
          <w:tcPr>
            <w:tcW w:w="444" w:type="pct"/>
            <w:shd w:val="clear" w:color="auto" w:fill="FFFFFF" w:themeFill="background1"/>
          </w:tcPr>
          <w:p w14:paraId="6033AB68"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89</w:t>
            </w:r>
          </w:p>
        </w:tc>
        <w:tc>
          <w:tcPr>
            <w:tcW w:w="372" w:type="pct"/>
            <w:tcBorders>
              <w:right w:val="nil"/>
            </w:tcBorders>
            <w:shd w:val="clear" w:color="auto" w:fill="FFFFFF" w:themeFill="background1"/>
          </w:tcPr>
          <w:p w14:paraId="3943B163"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Medium</w:t>
            </w:r>
          </w:p>
        </w:tc>
      </w:tr>
      <w:tr w:rsidR="00277D48" w:rsidRPr="00BB46CB" w14:paraId="6EA6E805" w14:textId="77777777" w:rsidTr="00277D48">
        <w:trPr>
          <w:trHeight w:val="140"/>
        </w:trPr>
        <w:tc>
          <w:tcPr>
            <w:cnfStyle w:val="001000000000" w:firstRow="0" w:lastRow="0" w:firstColumn="1" w:lastColumn="0" w:oddVBand="0" w:evenVBand="0" w:oddHBand="0" w:evenHBand="0" w:firstRowFirstColumn="0" w:firstRowLastColumn="0" w:lastRowFirstColumn="0" w:lastRowLastColumn="0"/>
            <w:tcW w:w="785" w:type="pct"/>
            <w:gridSpan w:val="2"/>
            <w:tcBorders>
              <w:left w:val="nil"/>
              <w:bottom w:val="single" w:sz="8" w:space="0" w:color="201547" w:themeColor="text2"/>
            </w:tcBorders>
          </w:tcPr>
          <w:p w14:paraId="0F6BD7FC" w14:textId="77777777" w:rsidR="00277D48" w:rsidRPr="00BB46CB" w:rsidRDefault="00277D48" w:rsidP="00277D48">
            <w:pPr>
              <w:pStyle w:val="TableTextLeft"/>
            </w:pPr>
            <w:r w:rsidRPr="00BB46CB">
              <w:t>Threatened fauna</w:t>
            </w:r>
          </w:p>
        </w:tc>
        <w:tc>
          <w:tcPr>
            <w:tcW w:w="355" w:type="pct"/>
            <w:tcBorders>
              <w:bottom w:val="single" w:sz="8" w:space="0" w:color="201547" w:themeColor="text2"/>
            </w:tcBorders>
            <w:shd w:val="clear" w:color="auto" w:fill="FFFFFF" w:themeFill="background1"/>
          </w:tcPr>
          <w:p w14:paraId="37499ADD"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All</w:t>
            </w:r>
          </w:p>
        </w:tc>
        <w:tc>
          <w:tcPr>
            <w:tcW w:w="533" w:type="pct"/>
            <w:tcBorders>
              <w:bottom w:val="single" w:sz="8" w:space="0" w:color="201547" w:themeColor="text2"/>
            </w:tcBorders>
            <w:shd w:val="clear" w:color="auto" w:fill="FFFFFF" w:themeFill="background1"/>
          </w:tcPr>
          <w:p w14:paraId="1DC6F298"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Existence / option value</w:t>
            </w:r>
          </w:p>
        </w:tc>
        <w:tc>
          <w:tcPr>
            <w:tcW w:w="301" w:type="pct"/>
            <w:tcBorders>
              <w:bottom w:val="single" w:sz="8" w:space="0" w:color="201547" w:themeColor="text2"/>
            </w:tcBorders>
            <w:shd w:val="clear" w:color="auto" w:fill="FFFFFF" w:themeFill="background1"/>
          </w:tcPr>
          <w:p w14:paraId="745570AE"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Point data</w:t>
            </w:r>
          </w:p>
        </w:tc>
        <w:tc>
          <w:tcPr>
            <w:tcW w:w="454" w:type="pct"/>
            <w:tcBorders>
              <w:bottom w:val="single" w:sz="8" w:space="0" w:color="201547" w:themeColor="text2"/>
            </w:tcBorders>
            <w:shd w:val="clear" w:color="auto" w:fill="FFFFFF" w:themeFill="background1"/>
          </w:tcPr>
          <w:p w14:paraId="0CD0BDA6"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DELWP (2021)</w:t>
            </w:r>
          </w:p>
        </w:tc>
        <w:tc>
          <w:tcPr>
            <w:tcW w:w="346" w:type="pct"/>
            <w:tcBorders>
              <w:bottom w:val="single" w:sz="8" w:space="0" w:color="201547" w:themeColor="text2"/>
            </w:tcBorders>
            <w:shd w:val="clear" w:color="auto" w:fill="FFFFFF" w:themeFill="background1"/>
          </w:tcPr>
          <w:p w14:paraId="3F083523"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2021</w:t>
            </w:r>
          </w:p>
        </w:tc>
        <w:tc>
          <w:tcPr>
            <w:tcW w:w="580" w:type="pct"/>
            <w:tcBorders>
              <w:bottom w:val="single" w:sz="8" w:space="0" w:color="201547" w:themeColor="text2"/>
            </w:tcBorders>
            <w:shd w:val="clear" w:color="auto" w:fill="FFFFFF" w:themeFill="background1"/>
          </w:tcPr>
          <w:p w14:paraId="38EB6385"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Species count</w:t>
            </w:r>
          </w:p>
        </w:tc>
        <w:tc>
          <w:tcPr>
            <w:tcW w:w="459" w:type="pct"/>
            <w:tcBorders>
              <w:bottom w:val="single" w:sz="8" w:space="0" w:color="201547" w:themeColor="text2"/>
            </w:tcBorders>
            <w:shd w:val="clear" w:color="auto" w:fill="FFFFFF" w:themeFill="background1"/>
          </w:tcPr>
          <w:p w14:paraId="3955BD0F"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53</w:t>
            </w:r>
          </w:p>
        </w:tc>
        <w:tc>
          <w:tcPr>
            <w:tcW w:w="372" w:type="pct"/>
            <w:tcBorders>
              <w:bottom w:val="single" w:sz="8" w:space="0" w:color="201547" w:themeColor="text2"/>
            </w:tcBorders>
            <w:shd w:val="clear" w:color="auto" w:fill="FFFFFF" w:themeFill="background1"/>
          </w:tcPr>
          <w:p w14:paraId="2942B6D3"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64</w:t>
            </w:r>
          </w:p>
        </w:tc>
        <w:tc>
          <w:tcPr>
            <w:tcW w:w="444" w:type="pct"/>
            <w:tcBorders>
              <w:bottom w:val="single" w:sz="8" w:space="0" w:color="201547" w:themeColor="text2"/>
            </w:tcBorders>
            <w:shd w:val="clear" w:color="auto" w:fill="FFFFFF" w:themeFill="background1"/>
          </w:tcPr>
          <w:p w14:paraId="7F6C9657"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70</w:t>
            </w:r>
          </w:p>
        </w:tc>
        <w:tc>
          <w:tcPr>
            <w:tcW w:w="372" w:type="pct"/>
            <w:tcBorders>
              <w:bottom w:val="single" w:sz="8" w:space="0" w:color="201547" w:themeColor="text2"/>
              <w:right w:val="nil"/>
            </w:tcBorders>
            <w:shd w:val="clear" w:color="auto" w:fill="FFFFFF" w:themeFill="background1"/>
          </w:tcPr>
          <w:p w14:paraId="03D071B5"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Medium</w:t>
            </w:r>
          </w:p>
        </w:tc>
      </w:tr>
      <w:tr w:rsidR="00277D48" w:rsidRPr="00BB46CB" w14:paraId="022BB1EE" w14:textId="77777777" w:rsidTr="00277D48">
        <w:trPr>
          <w:trHeight w:val="140"/>
        </w:trPr>
        <w:tc>
          <w:tcPr>
            <w:cnfStyle w:val="001000000000" w:firstRow="0" w:lastRow="0" w:firstColumn="1" w:lastColumn="0" w:oddVBand="0" w:evenVBand="0" w:oddHBand="0" w:evenHBand="0" w:firstRowFirstColumn="0" w:firstRowLastColumn="0" w:lastRowFirstColumn="0" w:lastRowLastColumn="0"/>
            <w:tcW w:w="785" w:type="pct"/>
            <w:gridSpan w:val="2"/>
            <w:vMerge w:val="restart"/>
            <w:tcBorders>
              <w:left w:val="nil"/>
            </w:tcBorders>
          </w:tcPr>
          <w:p w14:paraId="141FFBA9" w14:textId="77777777" w:rsidR="00277D48" w:rsidRPr="00BB46CB" w:rsidRDefault="00277D48" w:rsidP="00277D48">
            <w:pPr>
              <w:pStyle w:val="TableTextLeft"/>
            </w:pPr>
            <w:r w:rsidRPr="00BB46CB">
              <w:t xml:space="preserve">Forest </w:t>
            </w:r>
            <w:proofErr w:type="spellStart"/>
            <w:r w:rsidRPr="00BB46CB">
              <w:t>age</w:t>
            </w:r>
            <w:r w:rsidRPr="00BB46CB">
              <w:rPr>
                <w:vertAlign w:val="superscript"/>
              </w:rPr>
              <w:t>e</w:t>
            </w:r>
            <w:proofErr w:type="spellEnd"/>
          </w:p>
        </w:tc>
        <w:tc>
          <w:tcPr>
            <w:tcW w:w="355" w:type="pct"/>
            <w:vMerge w:val="restart"/>
            <w:shd w:val="clear" w:color="auto" w:fill="FFFFFF" w:themeFill="background1"/>
          </w:tcPr>
          <w:p w14:paraId="2A062ED4"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Terrestrial</w:t>
            </w:r>
          </w:p>
        </w:tc>
        <w:tc>
          <w:tcPr>
            <w:tcW w:w="533" w:type="pct"/>
            <w:vMerge w:val="restart"/>
            <w:shd w:val="clear" w:color="auto" w:fill="FFFFFF" w:themeFill="background1"/>
          </w:tcPr>
          <w:p w14:paraId="4A3F49D7"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Existence / option value</w:t>
            </w:r>
          </w:p>
        </w:tc>
        <w:tc>
          <w:tcPr>
            <w:tcW w:w="301" w:type="pct"/>
            <w:vMerge w:val="restart"/>
            <w:shd w:val="clear" w:color="auto" w:fill="FFFFFF" w:themeFill="background1"/>
          </w:tcPr>
          <w:p w14:paraId="79009A3D"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1:25k</w:t>
            </w:r>
          </w:p>
        </w:tc>
        <w:tc>
          <w:tcPr>
            <w:tcW w:w="454" w:type="pct"/>
            <w:vMerge w:val="restart"/>
            <w:shd w:val="clear" w:color="auto" w:fill="FFFFFF" w:themeFill="background1"/>
          </w:tcPr>
          <w:p w14:paraId="272A0DE6"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DELWP (2021d)</w:t>
            </w:r>
          </w:p>
        </w:tc>
        <w:tc>
          <w:tcPr>
            <w:tcW w:w="346" w:type="pct"/>
            <w:vMerge w:val="restart"/>
            <w:shd w:val="clear" w:color="auto" w:fill="FFFFFF" w:themeFill="background1"/>
          </w:tcPr>
          <w:p w14:paraId="1363EE13"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2021</w:t>
            </w:r>
          </w:p>
        </w:tc>
        <w:tc>
          <w:tcPr>
            <w:tcW w:w="580" w:type="pct"/>
            <w:shd w:val="clear" w:color="auto" w:fill="FFFFFF" w:themeFill="background1"/>
          </w:tcPr>
          <w:p w14:paraId="7BB1073F"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 Late Mature</w:t>
            </w:r>
          </w:p>
        </w:tc>
        <w:tc>
          <w:tcPr>
            <w:tcW w:w="459" w:type="pct"/>
            <w:shd w:val="clear" w:color="auto" w:fill="FFFFFF" w:themeFill="background1"/>
          </w:tcPr>
          <w:p w14:paraId="516FEC81"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w:t>
            </w:r>
          </w:p>
        </w:tc>
        <w:tc>
          <w:tcPr>
            <w:tcW w:w="372" w:type="pct"/>
            <w:shd w:val="clear" w:color="auto" w:fill="FFFFFF" w:themeFill="background1"/>
          </w:tcPr>
          <w:p w14:paraId="4DD0EB00"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w:t>
            </w:r>
          </w:p>
        </w:tc>
        <w:tc>
          <w:tcPr>
            <w:tcW w:w="444" w:type="pct"/>
            <w:shd w:val="clear" w:color="auto" w:fill="FFFFFF" w:themeFill="background1"/>
          </w:tcPr>
          <w:p w14:paraId="62D44C8B"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31.6%</w:t>
            </w:r>
          </w:p>
        </w:tc>
        <w:tc>
          <w:tcPr>
            <w:tcW w:w="372" w:type="pct"/>
            <w:tcBorders>
              <w:right w:val="nil"/>
            </w:tcBorders>
            <w:shd w:val="clear" w:color="auto" w:fill="FFFFFF" w:themeFill="background1"/>
          </w:tcPr>
          <w:p w14:paraId="05895FC5"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Low</w:t>
            </w:r>
          </w:p>
        </w:tc>
      </w:tr>
      <w:tr w:rsidR="00277D48" w:rsidRPr="00BB46CB" w14:paraId="630BA102" w14:textId="77777777" w:rsidTr="00277D48">
        <w:trPr>
          <w:trHeight w:val="140"/>
        </w:trPr>
        <w:tc>
          <w:tcPr>
            <w:cnfStyle w:val="001000000000" w:firstRow="0" w:lastRow="0" w:firstColumn="1" w:lastColumn="0" w:oddVBand="0" w:evenVBand="0" w:oddHBand="0" w:evenHBand="0" w:firstRowFirstColumn="0" w:firstRowLastColumn="0" w:lastRowFirstColumn="0" w:lastRowLastColumn="0"/>
            <w:tcW w:w="785" w:type="pct"/>
            <w:gridSpan w:val="2"/>
            <w:vMerge/>
            <w:tcBorders>
              <w:left w:val="nil"/>
            </w:tcBorders>
          </w:tcPr>
          <w:p w14:paraId="6155B520" w14:textId="77777777" w:rsidR="00277D48" w:rsidRPr="00BB46CB" w:rsidRDefault="00277D48" w:rsidP="00277D48">
            <w:pPr>
              <w:pStyle w:val="TableTextLeft"/>
            </w:pPr>
          </w:p>
        </w:tc>
        <w:tc>
          <w:tcPr>
            <w:tcW w:w="355" w:type="pct"/>
            <w:vMerge/>
            <w:shd w:val="clear" w:color="auto" w:fill="FFFFFF" w:themeFill="background1"/>
          </w:tcPr>
          <w:p w14:paraId="30127946"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533" w:type="pct"/>
            <w:vMerge/>
            <w:shd w:val="clear" w:color="auto" w:fill="FFFFFF" w:themeFill="background1"/>
          </w:tcPr>
          <w:p w14:paraId="4FC34B72"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301" w:type="pct"/>
            <w:vMerge/>
            <w:shd w:val="clear" w:color="auto" w:fill="FFFFFF" w:themeFill="background1"/>
          </w:tcPr>
          <w:p w14:paraId="1232262A"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454" w:type="pct"/>
            <w:vMerge/>
            <w:shd w:val="clear" w:color="auto" w:fill="FFFFFF" w:themeFill="background1"/>
          </w:tcPr>
          <w:p w14:paraId="28EED341"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346" w:type="pct"/>
            <w:vMerge/>
            <w:shd w:val="clear" w:color="auto" w:fill="FFFFFF" w:themeFill="background1"/>
          </w:tcPr>
          <w:p w14:paraId="6D2B2EB7"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580" w:type="pct"/>
            <w:shd w:val="clear" w:color="auto" w:fill="FFFFFF" w:themeFill="background1"/>
          </w:tcPr>
          <w:p w14:paraId="2CAC14F9"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 Mature</w:t>
            </w:r>
          </w:p>
        </w:tc>
        <w:tc>
          <w:tcPr>
            <w:tcW w:w="459" w:type="pct"/>
            <w:shd w:val="clear" w:color="auto" w:fill="FFFFFF" w:themeFill="background1"/>
          </w:tcPr>
          <w:p w14:paraId="60AD5CE9"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w:t>
            </w:r>
          </w:p>
        </w:tc>
        <w:tc>
          <w:tcPr>
            <w:tcW w:w="372" w:type="pct"/>
            <w:shd w:val="clear" w:color="auto" w:fill="FFFFFF" w:themeFill="background1"/>
          </w:tcPr>
          <w:p w14:paraId="75D24948"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w:t>
            </w:r>
          </w:p>
        </w:tc>
        <w:tc>
          <w:tcPr>
            <w:tcW w:w="444" w:type="pct"/>
            <w:shd w:val="clear" w:color="auto" w:fill="FFFFFF" w:themeFill="background1"/>
          </w:tcPr>
          <w:p w14:paraId="1F524BEA"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22.8%</w:t>
            </w:r>
          </w:p>
        </w:tc>
        <w:tc>
          <w:tcPr>
            <w:tcW w:w="372" w:type="pct"/>
            <w:tcBorders>
              <w:right w:val="nil"/>
            </w:tcBorders>
            <w:shd w:val="clear" w:color="auto" w:fill="FFFFFF" w:themeFill="background1"/>
          </w:tcPr>
          <w:p w14:paraId="3337141E"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Low</w:t>
            </w:r>
          </w:p>
        </w:tc>
      </w:tr>
      <w:tr w:rsidR="00277D48" w:rsidRPr="00BB46CB" w14:paraId="3AFC0927" w14:textId="77777777" w:rsidTr="00277D48">
        <w:trPr>
          <w:trHeight w:val="140"/>
        </w:trPr>
        <w:tc>
          <w:tcPr>
            <w:cnfStyle w:val="001000000000" w:firstRow="0" w:lastRow="0" w:firstColumn="1" w:lastColumn="0" w:oddVBand="0" w:evenVBand="0" w:oddHBand="0" w:evenHBand="0" w:firstRowFirstColumn="0" w:firstRowLastColumn="0" w:lastRowFirstColumn="0" w:lastRowLastColumn="0"/>
            <w:tcW w:w="785" w:type="pct"/>
            <w:gridSpan w:val="2"/>
            <w:vMerge/>
            <w:tcBorders>
              <w:left w:val="nil"/>
            </w:tcBorders>
          </w:tcPr>
          <w:p w14:paraId="502CA8F6" w14:textId="77777777" w:rsidR="00277D48" w:rsidRPr="00BB46CB" w:rsidRDefault="00277D48" w:rsidP="00277D48">
            <w:pPr>
              <w:pStyle w:val="TableTextLeft"/>
            </w:pPr>
          </w:p>
        </w:tc>
        <w:tc>
          <w:tcPr>
            <w:tcW w:w="355" w:type="pct"/>
            <w:vMerge/>
            <w:shd w:val="clear" w:color="auto" w:fill="FFFFFF" w:themeFill="background1"/>
          </w:tcPr>
          <w:p w14:paraId="5C5ABA09"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533" w:type="pct"/>
            <w:vMerge/>
            <w:shd w:val="clear" w:color="auto" w:fill="FFFFFF" w:themeFill="background1"/>
          </w:tcPr>
          <w:p w14:paraId="1F9FCEDA"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301" w:type="pct"/>
            <w:vMerge/>
            <w:shd w:val="clear" w:color="auto" w:fill="FFFFFF" w:themeFill="background1"/>
          </w:tcPr>
          <w:p w14:paraId="50CF4408"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454" w:type="pct"/>
            <w:vMerge/>
            <w:shd w:val="clear" w:color="auto" w:fill="FFFFFF" w:themeFill="background1"/>
          </w:tcPr>
          <w:p w14:paraId="3A71C1A5"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346" w:type="pct"/>
            <w:vMerge/>
            <w:shd w:val="clear" w:color="auto" w:fill="FFFFFF" w:themeFill="background1"/>
          </w:tcPr>
          <w:p w14:paraId="391EAF82"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580" w:type="pct"/>
            <w:shd w:val="clear" w:color="auto" w:fill="FFFFFF" w:themeFill="background1"/>
          </w:tcPr>
          <w:p w14:paraId="693FDC86"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 Regenerating</w:t>
            </w:r>
          </w:p>
        </w:tc>
        <w:tc>
          <w:tcPr>
            <w:tcW w:w="459" w:type="pct"/>
            <w:shd w:val="clear" w:color="auto" w:fill="FFFFFF" w:themeFill="background1"/>
          </w:tcPr>
          <w:p w14:paraId="51FBF9C3"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w:t>
            </w:r>
          </w:p>
        </w:tc>
        <w:tc>
          <w:tcPr>
            <w:tcW w:w="372" w:type="pct"/>
            <w:shd w:val="clear" w:color="auto" w:fill="FFFFFF" w:themeFill="background1"/>
          </w:tcPr>
          <w:p w14:paraId="4AA99C0F"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w:t>
            </w:r>
          </w:p>
        </w:tc>
        <w:tc>
          <w:tcPr>
            <w:tcW w:w="444" w:type="pct"/>
            <w:shd w:val="clear" w:color="auto" w:fill="FFFFFF" w:themeFill="background1"/>
          </w:tcPr>
          <w:p w14:paraId="67D4CCB4"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0.1%</w:t>
            </w:r>
          </w:p>
        </w:tc>
        <w:tc>
          <w:tcPr>
            <w:tcW w:w="372" w:type="pct"/>
            <w:tcBorders>
              <w:right w:val="nil"/>
            </w:tcBorders>
            <w:shd w:val="clear" w:color="auto" w:fill="FFFFFF" w:themeFill="background1"/>
          </w:tcPr>
          <w:p w14:paraId="69BE0CC0"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Low</w:t>
            </w:r>
          </w:p>
        </w:tc>
      </w:tr>
      <w:tr w:rsidR="00277D48" w:rsidRPr="00BB46CB" w14:paraId="06BCEA13" w14:textId="77777777" w:rsidTr="00277D48">
        <w:trPr>
          <w:trHeight w:val="140"/>
        </w:trPr>
        <w:tc>
          <w:tcPr>
            <w:cnfStyle w:val="001000000000" w:firstRow="0" w:lastRow="0" w:firstColumn="1" w:lastColumn="0" w:oddVBand="0" w:evenVBand="0" w:oddHBand="0" w:evenHBand="0" w:firstRowFirstColumn="0" w:firstRowLastColumn="0" w:lastRowFirstColumn="0" w:lastRowLastColumn="0"/>
            <w:tcW w:w="785" w:type="pct"/>
            <w:gridSpan w:val="2"/>
            <w:vMerge/>
            <w:tcBorders>
              <w:left w:val="nil"/>
            </w:tcBorders>
          </w:tcPr>
          <w:p w14:paraId="71F7EA1E" w14:textId="77777777" w:rsidR="00277D48" w:rsidRPr="00BB46CB" w:rsidRDefault="00277D48" w:rsidP="00277D48">
            <w:pPr>
              <w:pStyle w:val="TableTextLeft"/>
            </w:pPr>
          </w:p>
        </w:tc>
        <w:tc>
          <w:tcPr>
            <w:tcW w:w="355" w:type="pct"/>
            <w:vMerge/>
            <w:shd w:val="clear" w:color="auto" w:fill="FFFFFF" w:themeFill="background1"/>
          </w:tcPr>
          <w:p w14:paraId="4EDD6FA4"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533" w:type="pct"/>
            <w:vMerge/>
            <w:shd w:val="clear" w:color="auto" w:fill="FFFFFF" w:themeFill="background1"/>
          </w:tcPr>
          <w:p w14:paraId="2010D241"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301" w:type="pct"/>
            <w:vMerge/>
            <w:shd w:val="clear" w:color="auto" w:fill="FFFFFF" w:themeFill="background1"/>
          </w:tcPr>
          <w:p w14:paraId="405EBBC4"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454" w:type="pct"/>
            <w:vMerge/>
            <w:shd w:val="clear" w:color="auto" w:fill="FFFFFF" w:themeFill="background1"/>
          </w:tcPr>
          <w:p w14:paraId="0D5611DE"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346" w:type="pct"/>
            <w:vMerge/>
            <w:shd w:val="clear" w:color="auto" w:fill="FFFFFF" w:themeFill="background1"/>
          </w:tcPr>
          <w:p w14:paraId="39F825F3"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580" w:type="pct"/>
            <w:shd w:val="clear" w:color="auto" w:fill="FFFFFF" w:themeFill="background1"/>
          </w:tcPr>
          <w:p w14:paraId="7FD4ACDF"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 Regrowth</w:t>
            </w:r>
          </w:p>
        </w:tc>
        <w:tc>
          <w:tcPr>
            <w:tcW w:w="459" w:type="pct"/>
            <w:shd w:val="clear" w:color="auto" w:fill="FFFFFF" w:themeFill="background1"/>
          </w:tcPr>
          <w:p w14:paraId="1CF8DFCC"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w:t>
            </w:r>
          </w:p>
        </w:tc>
        <w:tc>
          <w:tcPr>
            <w:tcW w:w="372" w:type="pct"/>
            <w:shd w:val="clear" w:color="auto" w:fill="FFFFFF" w:themeFill="background1"/>
          </w:tcPr>
          <w:p w14:paraId="12AE6775"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w:t>
            </w:r>
          </w:p>
        </w:tc>
        <w:tc>
          <w:tcPr>
            <w:tcW w:w="444" w:type="pct"/>
            <w:shd w:val="clear" w:color="auto" w:fill="FFFFFF" w:themeFill="background1"/>
          </w:tcPr>
          <w:p w14:paraId="47C3BEE2"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2.6%</w:t>
            </w:r>
          </w:p>
        </w:tc>
        <w:tc>
          <w:tcPr>
            <w:tcW w:w="372" w:type="pct"/>
            <w:tcBorders>
              <w:right w:val="nil"/>
            </w:tcBorders>
            <w:shd w:val="clear" w:color="auto" w:fill="FFFFFF" w:themeFill="background1"/>
          </w:tcPr>
          <w:p w14:paraId="3B7EB39A"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Low</w:t>
            </w:r>
          </w:p>
        </w:tc>
      </w:tr>
      <w:tr w:rsidR="00277D48" w:rsidRPr="00BB46CB" w14:paraId="25D5C327" w14:textId="77777777" w:rsidTr="00277D48">
        <w:trPr>
          <w:trHeight w:val="140"/>
        </w:trPr>
        <w:tc>
          <w:tcPr>
            <w:cnfStyle w:val="001000000000" w:firstRow="0" w:lastRow="0" w:firstColumn="1" w:lastColumn="0" w:oddVBand="0" w:evenVBand="0" w:oddHBand="0" w:evenHBand="0" w:firstRowFirstColumn="0" w:firstRowLastColumn="0" w:lastRowFirstColumn="0" w:lastRowLastColumn="0"/>
            <w:tcW w:w="785" w:type="pct"/>
            <w:gridSpan w:val="2"/>
            <w:vMerge/>
            <w:tcBorders>
              <w:left w:val="nil"/>
            </w:tcBorders>
          </w:tcPr>
          <w:p w14:paraId="186C8730" w14:textId="77777777" w:rsidR="00277D48" w:rsidRPr="00BB46CB" w:rsidRDefault="00277D48" w:rsidP="00277D48">
            <w:pPr>
              <w:pStyle w:val="TableTextLeft"/>
            </w:pPr>
          </w:p>
        </w:tc>
        <w:tc>
          <w:tcPr>
            <w:tcW w:w="355" w:type="pct"/>
            <w:vMerge/>
            <w:shd w:val="clear" w:color="auto" w:fill="FFFFFF" w:themeFill="background1"/>
          </w:tcPr>
          <w:p w14:paraId="168AFD54"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533" w:type="pct"/>
            <w:vMerge/>
            <w:shd w:val="clear" w:color="auto" w:fill="FFFFFF" w:themeFill="background1"/>
          </w:tcPr>
          <w:p w14:paraId="6D253E87"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301" w:type="pct"/>
            <w:vMerge/>
            <w:shd w:val="clear" w:color="auto" w:fill="FFFFFF" w:themeFill="background1"/>
          </w:tcPr>
          <w:p w14:paraId="48DCB807"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454" w:type="pct"/>
            <w:vMerge/>
            <w:shd w:val="clear" w:color="auto" w:fill="FFFFFF" w:themeFill="background1"/>
          </w:tcPr>
          <w:p w14:paraId="568CCF77"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346" w:type="pct"/>
            <w:vMerge/>
            <w:shd w:val="clear" w:color="auto" w:fill="FFFFFF" w:themeFill="background1"/>
          </w:tcPr>
          <w:p w14:paraId="72FFE9C9"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580" w:type="pct"/>
            <w:shd w:val="clear" w:color="auto" w:fill="FFFFFF" w:themeFill="background1"/>
          </w:tcPr>
          <w:p w14:paraId="5EB8B0E4"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 Senescent</w:t>
            </w:r>
          </w:p>
        </w:tc>
        <w:tc>
          <w:tcPr>
            <w:tcW w:w="459" w:type="pct"/>
            <w:shd w:val="clear" w:color="auto" w:fill="FFFFFF" w:themeFill="background1"/>
          </w:tcPr>
          <w:p w14:paraId="6E66F1D1"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w:t>
            </w:r>
          </w:p>
        </w:tc>
        <w:tc>
          <w:tcPr>
            <w:tcW w:w="372" w:type="pct"/>
            <w:shd w:val="clear" w:color="auto" w:fill="FFFFFF" w:themeFill="background1"/>
          </w:tcPr>
          <w:p w14:paraId="7E57DAB4"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w:t>
            </w:r>
          </w:p>
        </w:tc>
        <w:tc>
          <w:tcPr>
            <w:tcW w:w="444" w:type="pct"/>
            <w:shd w:val="clear" w:color="auto" w:fill="FFFFFF" w:themeFill="background1"/>
          </w:tcPr>
          <w:p w14:paraId="0B6E2E4B"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23.1%</w:t>
            </w:r>
          </w:p>
        </w:tc>
        <w:tc>
          <w:tcPr>
            <w:tcW w:w="372" w:type="pct"/>
            <w:tcBorders>
              <w:right w:val="nil"/>
            </w:tcBorders>
            <w:shd w:val="clear" w:color="auto" w:fill="FFFFFF" w:themeFill="background1"/>
          </w:tcPr>
          <w:p w14:paraId="1CF2B350"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Low</w:t>
            </w:r>
          </w:p>
        </w:tc>
      </w:tr>
      <w:tr w:rsidR="00277D48" w:rsidRPr="00BB46CB" w14:paraId="2F729F1F" w14:textId="77777777" w:rsidTr="00277D48">
        <w:trPr>
          <w:trHeight w:val="140"/>
        </w:trPr>
        <w:tc>
          <w:tcPr>
            <w:cnfStyle w:val="001000000000" w:firstRow="0" w:lastRow="0" w:firstColumn="1" w:lastColumn="0" w:oddVBand="0" w:evenVBand="0" w:oddHBand="0" w:evenHBand="0" w:firstRowFirstColumn="0" w:firstRowLastColumn="0" w:lastRowFirstColumn="0" w:lastRowLastColumn="0"/>
            <w:tcW w:w="785" w:type="pct"/>
            <w:gridSpan w:val="2"/>
            <w:vMerge/>
            <w:tcBorders>
              <w:left w:val="nil"/>
            </w:tcBorders>
          </w:tcPr>
          <w:p w14:paraId="14AC86C3" w14:textId="77777777" w:rsidR="00277D48" w:rsidRPr="00BB46CB" w:rsidRDefault="00277D48" w:rsidP="00277D48">
            <w:pPr>
              <w:pStyle w:val="TableTextLeft"/>
            </w:pPr>
          </w:p>
        </w:tc>
        <w:tc>
          <w:tcPr>
            <w:tcW w:w="355" w:type="pct"/>
            <w:vMerge/>
            <w:shd w:val="clear" w:color="auto" w:fill="FFFFFF" w:themeFill="background1"/>
          </w:tcPr>
          <w:p w14:paraId="39BAA747"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533" w:type="pct"/>
            <w:vMerge/>
            <w:shd w:val="clear" w:color="auto" w:fill="FFFFFF" w:themeFill="background1"/>
          </w:tcPr>
          <w:p w14:paraId="48B030B9"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301" w:type="pct"/>
            <w:vMerge/>
            <w:shd w:val="clear" w:color="auto" w:fill="FFFFFF" w:themeFill="background1"/>
          </w:tcPr>
          <w:p w14:paraId="2A4A128F"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454" w:type="pct"/>
            <w:vMerge/>
            <w:shd w:val="clear" w:color="auto" w:fill="FFFFFF" w:themeFill="background1"/>
          </w:tcPr>
          <w:p w14:paraId="76B6BA42"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346" w:type="pct"/>
            <w:vMerge/>
            <w:shd w:val="clear" w:color="auto" w:fill="FFFFFF" w:themeFill="background1"/>
          </w:tcPr>
          <w:p w14:paraId="5B146CA9"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580" w:type="pct"/>
            <w:shd w:val="clear" w:color="auto" w:fill="FFFFFF" w:themeFill="background1"/>
          </w:tcPr>
          <w:p w14:paraId="399984CF"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 Uneven aged</w:t>
            </w:r>
          </w:p>
        </w:tc>
        <w:tc>
          <w:tcPr>
            <w:tcW w:w="459" w:type="pct"/>
            <w:shd w:val="clear" w:color="auto" w:fill="FFFFFF" w:themeFill="background1"/>
          </w:tcPr>
          <w:p w14:paraId="5188C4E0"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w:t>
            </w:r>
          </w:p>
        </w:tc>
        <w:tc>
          <w:tcPr>
            <w:tcW w:w="372" w:type="pct"/>
            <w:shd w:val="clear" w:color="auto" w:fill="FFFFFF" w:themeFill="background1"/>
          </w:tcPr>
          <w:p w14:paraId="06F5B0C0"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w:t>
            </w:r>
          </w:p>
        </w:tc>
        <w:tc>
          <w:tcPr>
            <w:tcW w:w="444" w:type="pct"/>
            <w:shd w:val="clear" w:color="auto" w:fill="FFFFFF" w:themeFill="background1"/>
          </w:tcPr>
          <w:p w14:paraId="1A8A7465"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19.9%</w:t>
            </w:r>
          </w:p>
        </w:tc>
        <w:tc>
          <w:tcPr>
            <w:tcW w:w="372" w:type="pct"/>
            <w:tcBorders>
              <w:right w:val="nil"/>
            </w:tcBorders>
            <w:shd w:val="clear" w:color="auto" w:fill="FFFFFF" w:themeFill="background1"/>
          </w:tcPr>
          <w:p w14:paraId="4C9FF479"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Low</w:t>
            </w:r>
          </w:p>
        </w:tc>
      </w:tr>
      <w:tr w:rsidR="00277D48" w:rsidRPr="00BB46CB" w14:paraId="0E324EAB" w14:textId="77777777" w:rsidTr="00277D48">
        <w:trPr>
          <w:trHeight w:val="140"/>
        </w:trPr>
        <w:tc>
          <w:tcPr>
            <w:cnfStyle w:val="001000000000" w:firstRow="0" w:lastRow="0" w:firstColumn="1" w:lastColumn="0" w:oddVBand="0" w:evenVBand="0" w:oddHBand="0" w:evenHBand="0" w:firstRowFirstColumn="0" w:firstRowLastColumn="0" w:lastRowFirstColumn="0" w:lastRowLastColumn="0"/>
            <w:tcW w:w="785" w:type="pct"/>
            <w:gridSpan w:val="2"/>
            <w:vMerge w:val="restart"/>
            <w:tcBorders>
              <w:left w:val="nil"/>
            </w:tcBorders>
          </w:tcPr>
          <w:p w14:paraId="0B87E709" w14:textId="06C042C3" w:rsidR="00277D48" w:rsidRPr="00BB46CB" w:rsidRDefault="00277D48" w:rsidP="00277D48">
            <w:pPr>
              <w:pStyle w:val="TableTextLeft"/>
            </w:pPr>
            <w:r w:rsidRPr="00BB46CB">
              <w:t xml:space="preserve">Above Ground Vegetation </w:t>
            </w:r>
            <w:proofErr w:type="spellStart"/>
            <w:r w:rsidRPr="00BB46CB">
              <w:t>biomass</w:t>
            </w:r>
            <w:r w:rsidRPr="00BB46CB">
              <w:rPr>
                <w:vertAlign w:val="superscript"/>
              </w:rPr>
              <w:t>a</w:t>
            </w:r>
            <w:proofErr w:type="spellEnd"/>
          </w:p>
        </w:tc>
        <w:tc>
          <w:tcPr>
            <w:tcW w:w="355" w:type="pct"/>
            <w:vMerge w:val="restart"/>
            <w:shd w:val="clear" w:color="auto" w:fill="FFFFFF" w:themeFill="background1"/>
          </w:tcPr>
          <w:p w14:paraId="3F0C45ED" w14:textId="357C9080"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Terrestrial</w:t>
            </w:r>
          </w:p>
        </w:tc>
        <w:tc>
          <w:tcPr>
            <w:tcW w:w="533" w:type="pct"/>
            <w:vMerge w:val="restart"/>
            <w:shd w:val="clear" w:color="auto" w:fill="FFFFFF" w:themeFill="background1"/>
          </w:tcPr>
          <w:p w14:paraId="54E35AB5"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Timber/Global Climate Reg</w:t>
            </w:r>
          </w:p>
        </w:tc>
        <w:tc>
          <w:tcPr>
            <w:tcW w:w="301" w:type="pct"/>
            <w:vMerge w:val="restart"/>
            <w:shd w:val="clear" w:color="auto" w:fill="FFFFFF" w:themeFill="background1"/>
          </w:tcPr>
          <w:p w14:paraId="0C1A28D6" w14:textId="14E83BBF"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30m grid</w:t>
            </w:r>
          </w:p>
        </w:tc>
        <w:tc>
          <w:tcPr>
            <w:tcW w:w="454" w:type="pct"/>
            <w:vMerge w:val="restart"/>
            <w:shd w:val="clear" w:color="auto" w:fill="FFFFFF" w:themeFill="background1"/>
          </w:tcPr>
          <w:p w14:paraId="48014B02" w14:textId="2C48B833"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DELWP (2018b)</w:t>
            </w:r>
          </w:p>
        </w:tc>
        <w:tc>
          <w:tcPr>
            <w:tcW w:w="346" w:type="pct"/>
            <w:vMerge w:val="restart"/>
            <w:shd w:val="clear" w:color="auto" w:fill="FFFFFF" w:themeFill="background1"/>
          </w:tcPr>
          <w:p w14:paraId="52F933FB" w14:textId="7CCF3DA3"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2017</w:t>
            </w:r>
          </w:p>
        </w:tc>
        <w:tc>
          <w:tcPr>
            <w:tcW w:w="580" w:type="pct"/>
            <w:shd w:val="clear" w:color="auto" w:fill="FFFFFF" w:themeFill="background1"/>
          </w:tcPr>
          <w:p w14:paraId="3D4BF5EE"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Tonnes/Ha (forested)</w:t>
            </w:r>
          </w:p>
        </w:tc>
        <w:tc>
          <w:tcPr>
            <w:tcW w:w="459" w:type="pct"/>
            <w:shd w:val="clear" w:color="auto" w:fill="FFFFFF" w:themeFill="background1"/>
          </w:tcPr>
          <w:p w14:paraId="26268BD2"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w:t>
            </w:r>
          </w:p>
        </w:tc>
        <w:tc>
          <w:tcPr>
            <w:tcW w:w="372" w:type="pct"/>
            <w:shd w:val="clear" w:color="auto" w:fill="FFFFFF" w:themeFill="background1"/>
          </w:tcPr>
          <w:p w14:paraId="2FCEC165"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w:t>
            </w:r>
          </w:p>
        </w:tc>
        <w:tc>
          <w:tcPr>
            <w:tcW w:w="444" w:type="pct"/>
            <w:shd w:val="clear" w:color="auto" w:fill="FFFFFF" w:themeFill="background1"/>
          </w:tcPr>
          <w:p w14:paraId="29DE0BD2"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490</w:t>
            </w:r>
          </w:p>
        </w:tc>
        <w:tc>
          <w:tcPr>
            <w:tcW w:w="372" w:type="pct"/>
            <w:tcBorders>
              <w:right w:val="nil"/>
            </w:tcBorders>
            <w:shd w:val="clear" w:color="auto" w:fill="FFFFFF" w:themeFill="background1"/>
          </w:tcPr>
          <w:p w14:paraId="46783FBF"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Low</w:t>
            </w:r>
          </w:p>
        </w:tc>
      </w:tr>
      <w:tr w:rsidR="00277D48" w:rsidRPr="00BB46CB" w14:paraId="3B2204F2" w14:textId="77777777" w:rsidTr="00277D48">
        <w:trPr>
          <w:trHeight w:val="140"/>
        </w:trPr>
        <w:tc>
          <w:tcPr>
            <w:cnfStyle w:val="001000000000" w:firstRow="0" w:lastRow="0" w:firstColumn="1" w:lastColumn="0" w:oddVBand="0" w:evenVBand="0" w:oddHBand="0" w:evenHBand="0" w:firstRowFirstColumn="0" w:firstRowLastColumn="0" w:lastRowFirstColumn="0" w:lastRowLastColumn="0"/>
            <w:tcW w:w="785" w:type="pct"/>
            <w:gridSpan w:val="2"/>
            <w:vMerge/>
            <w:tcBorders>
              <w:left w:val="nil"/>
            </w:tcBorders>
          </w:tcPr>
          <w:p w14:paraId="3B00A627" w14:textId="77777777" w:rsidR="00277D48" w:rsidRPr="00BB46CB" w:rsidRDefault="00277D48" w:rsidP="00277D48">
            <w:pPr>
              <w:pStyle w:val="TableTextLeft"/>
            </w:pPr>
          </w:p>
        </w:tc>
        <w:tc>
          <w:tcPr>
            <w:tcW w:w="355" w:type="pct"/>
            <w:vMerge/>
            <w:shd w:val="clear" w:color="auto" w:fill="FFFFFF" w:themeFill="background1"/>
          </w:tcPr>
          <w:p w14:paraId="22F2EA34"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533" w:type="pct"/>
            <w:vMerge/>
            <w:shd w:val="clear" w:color="auto" w:fill="FFFFFF" w:themeFill="background1"/>
          </w:tcPr>
          <w:p w14:paraId="5C0FA408"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301" w:type="pct"/>
            <w:vMerge/>
            <w:shd w:val="clear" w:color="auto" w:fill="FFFFFF" w:themeFill="background1"/>
          </w:tcPr>
          <w:p w14:paraId="5F14AA42"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454" w:type="pct"/>
            <w:vMerge/>
            <w:shd w:val="clear" w:color="auto" w:fill="FFFFFF" w:themeFill="background1"/>
          </w:tcPr>
          <w:p w14:paraId="36D4A0A3"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346" w:type="pct"/>
            <w:vMerge/>
            <w:shd w:val="clear" w:color="auto" w:fill="FFFFFF" w:themeFill="background1"/>
          </w:tcPr>
          <w:p w14:paraId="16234DF5"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580" w:type="pct"/>
            <w:shd w:val="clear" w:color="auto" w:fill="FFFFFF" w:themeFill="background1"/>
          </w:tcPr>
          <w:p w14:paraId="63726115"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Tonnes/Ha (non- forested)</w:t>
            </w:r>
          </w:p>
        </w:tc>
        <w:tc>
          <w:tcPr>
            <w:tcW w:w="459" w:type="pct"/>
            <w:shd w:val="clear" w:color="auto" w:fill="FFFFFF" w:themeFill="background1"/>
          </w:tcPr>
          <w:p w14:paraId="36033B7F"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w:t>
            </w:r>
          </w:p>
        </w:tc>
        <w:tc>
          <w:tcPr>
            <w:tcW w:w="372" w:type="pct"/>
            <w:shd w:val="clear" w:color="auto" w:fill="FFFFFF" w:themeFill="background1"/>
          </w:tcPr>
          <w:p w14:paraId="350E3AF3"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w:t>
            </w:r>
          </w:p>
        </w:tc>
        <w:tc>
          <w:tcPr>
            <w:tcW w:w="444" w:type="pct"/>
            <w:shd w:val="clear" w:color="auto" w:fill="FFFFFF" w:themeFill="background1"/>
          </w:tcPr>
          <w:p w14:paraId="7DF83E83"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227</w:t>
            </w:r>
          </w:p>
        </w:tc>
        <w:tc>
          <w:tcPr>
            <w:tcW w:w="372" w:type="pct"/>
            <w:tcBorders>
              <w:right w:val="nil"/>
            </w:tcBorders>
            <w:shd w:val="clear" w:color="auto" w:fill="FFFFFF" w:themeFill="background1"/>
          </w:tcPr>
          <w:p w14:paraId="3783174F"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Low</w:t>
            </w:r>
          </w:p>
        </w:tc>
      </w:tr>
      <w:tr w:rsidR="00277D48" w:rsidRPr="00BB46CB" w14:paraId="62653F47" w14:textId="77777777" w:rsidTr="00277D48">
        <w:trPr>
          <w:trHeight w:val="140"/>
        </w:trPr>
        <w:tc>
          <w:tcPr>
            <w:cnfStyle w:val="001000000000" w:firstRow="0" w:lastRow="0" w:firstColumn="1" w:lastColumn="0" w:oddVBand="0" w:evenVBand="0" w:oddHBand="0" w:evenHBand="0" w:firstRowFirstColumn="0" w:firstRowLastColumn="0" w:lastRowFirstColumn="0" w:lastRowLastColumn="0"/>
            <w:tcW w:w="785" w:type="pct"/>
            <w:gridSpan w:val="2"/>
            <w:vMerge w:val="restart"/>
            <w:tcBorders>
              <w:left w:val="nil"/>
            </w:tcBorders>
          </w:tcPr>
          <w:p w14:paraId="23248A30" w14:textId="77777777" w:rsidR="00277D48" w:rsidRPr="00BB46CB" w:rsidRDefault="00277D48" w:rsidP="00277D48">
            <w:pPr>
              <w:pStyle w:val="TableTextLeft"/>
            </w:pPr>
            <w:r w:rsidRPr="00BB46CB">
              <w:t xml:space="preserve">Abalone biomass </w:t>
            </w:r>
          </w:p>
        </w:tc>
        <w:tc>
          <w:tcPr>
            <w:tcW w:w="355" w:type="pct"/>
            <w:vMerge w:val="restart"/>
            <w:shd w:val="clear" w:color="auto" w:fill="FFFFFF" w:themeFill="background1"/>
          </w:tcPr>
          <w:p w14:paraId="4BD617D9"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Marine/Coastal Margin</w:t>
            </w:r>
          </w:p>
        </w:tc>
        <w:tc>
          <w:tcPr>
            <w:tcW w:w="533" w:type="pct"/>
            <w:vMerge w:val="restart"/>
            <w:shd w:val="clear" w:color="auto" w:fill="FFFFFF" w:themeFill="background1"/>
          </w:tcPr>
          <w:p w14:paraId="6F5DB373"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Food</w:t>
            </w:r>
          </w:p>
        </w:tc>
        <w:tc>
          <w:tcPr>
            <w:tcW w:w="301" w:type="pct"/>
            <w:vMerge w:val="restart"/>
            <w:shd w:val="clear" w:color="auto" w:fill="FFFFFF" w:themeFill="background1"/>
          </w:tcPr>
          <w:p w14:paraId="78BA37E3"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30m grid</w:t>
            </w:r>
          </w:p>
        </w:tc>
        <w:tc>
          <w:tcPr>
            <w:tcW w:w="454" w:type="pct"/>
            <w:vMerge w:val="restart"/>
            <w:shd w:val="clear" w:color="auto" w:fill="FFFFFF" w:themeFill="background1"/>
          </w:tcPr>
          <w:p w14:paraId="1AFEFC13"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roofErr w:type="spellStart"/>
            <w:r w:rsidRPr="00BB46CB">
              <w:t>Ierodiaconou</w:t>
            </w:r>
            <w:proofErr w:type="spellEnd"/>
            <w:r w:rsidRPr="00BB46CB">
              <w:t xml:space="preserve"> et al (2018) </w:t>
            </w:r>
          </w:p>
        </w:tc>
        <w:tc>
          <w:tcPr>
            <w:tcW w:w="346" w:type="pct"/>
            <w:vMerge w:val="restart"/>
            <w:shd w:val="clear" w:color="auto" w:fill="FFFFFF" w:themeFill="background1"/>
          </w:tcPr>
          <w:p w14:paraId="43191B13"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2018</w:t>
            </w:r>
          </w:p>
        </w:tc>
        <w:tc>
          <w:tcPr>
            <w:tcW w:w="580" w:type="pct"/>
            <w:shd w:val="clear" w:color="auto" w:fill="FFFFFF" w:themeFill="background1"/>
          </w:tcPr>
          <w:p w14:paraId="35308E41"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Tonnes</w:t>
            </w:r>
          </w:p>
        </w:tc>
        <w:tc>
          <w:tcPr>
            <w:tcW w:w="459" w:type="pct"/>
            <w:shd w:val="clear" w:color="auto" w:fill="FFFFFF" w:themeFill="background1"/>
          </w:tcPr>
          <w:p w14:paraId="22CE321A"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w:t>
            </w:r>
          </w:p>
        </w:tc>
        <w:tc>
          <w:tcPr>
            <w:tcW w:w="372" w:type="pct"/>
            <w:shd w:val="clear" w:color="auto" w:fill="FFFFFF" w:themeFill="background1"/>
          </w:tcPr>
          <w:p w14:paraId="5B64C4CB"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w:t>
            </w:r>
          </w:p>
        </w:tc>
        <w:tc>
          <w:tcPr>
            <w:tcW w:w="444" w:type="pct"/>
            <w:shd w:val="clear" w:color="auto" w:fill="FFFFFF" w:themeFill="background1"/>
          </w:tcPr>
          <w:p w14:paraId="43DE862C"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32,000</w:t>
            </w:r>
          </w:p>
        </w:tc>
        <w:tc>
          <w:tcPr>
            <w:tcW w:w="372" w:type="pct"/>
            <w:tcBorders>
              <w:right w:val="nil"/>
            </w:tcBorders>
            <w:shd w:val="clear" w:color="auto" w:fill="FFFFFF" w:themeFill="background1"/>
          </w:tcPr>
          <w:p w14:paraId="4ACE2B70"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Medium</w:t>
            </w:r>
          </w:p>
        </w:tc>
      </w:tr>
      <w:tr w:rsidR="00277D48" w:rsidRPr="00BB46CB" w14:paraId="3746E4A7" w14:textId="77777777" w:rsidTr="00277D48">
        <w:trPr>
          <w:trHeight w:val="57"/>
        </w:trPr>
        <w:tc>
          <w:tcPr>
            <w:cnfStyle w:val="001000000000" w:firstRow="0" w:lastRow="0" w:firstColumn="1" w:lastColumn="0" w:oddVBand="0" w:evenVBand="0" w:oddHBand="0" w:evenHBand="0" w:firstRowFirstColumn="0" w:firstRowLastColumn="0" w:lastRowFirstColumn="0" w:lastRowLastColumn="0"/>
            <w:tcW w:w="785" w:type="pct"/>
            <w:gridSpan w:val="2"/>
            <w:vMerge/>
            <w:tcBorders>
              <w:left w:val="nil"/>
            </w:tcBorders>
          </w:tcPr>
          <w:p w14:paraId="61396D98" w14:textId="77777777" w:rsidR="00277D48" w:rsidRPr="00BB46CB" w:rsidRDefault="00277D48" w:rsidP="00277D48">
            <w:pPr>
              <w:pStyle w:val="TableTextLeft"/>
            </w:pPr>
          </w:p>
        </w:tc>
        <w:tc>
          <w:tcPr>
            <w:tcW w:w="355" w:type="pct"/>
            <w:vMerge/>
          </w:tcPr>
          <w:p w14:paraId="732E4226"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533" w:type="pct"/>
            <w:vMerge/>
          </w:tcPr>
          <w:p w14:paraId="50AC9527"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301" w:type="pct"/>
            <w:vMerge/>
          </w:tcPr>
          <w:p w14:paraId="07E2E1D9"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454" w:type="pct"/>
            <w:vMerge/>
          </w:tcPr>
          <w:p w14:paraId="25FEEBCB"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346" w:type="pct"/>
            <w:vMerge/>
          </w:tcPr>
          <w:p w14:paraId="3FA899CC"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580" w:type="pct"/>
            <w:shd w:val="clear" w:color="auto" w:fill="FFFFFF" w:themeFill="background1"/>
          </w:tcPr>
          <w:p w14:paraId="4220F2CA"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 Victoria total</w:t>
            </w:r>
          </w:p>
        </w:tc>
        <w:tc>
          <w:tcPr>
            <w:tcW w:w="459" w:type="pct"/>
            <w:shd w:val="clear" w:color="auto" w:fill="FFFFFF" w:themeFill="background1"/>
          </w:tcPr>
          <w:p w14:paraId="050EF465"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w:t>
            </w:r>
          </w:p>
        </w:tc>
        <w:tc>
          <w:tcPr>
            <w:tcW w:w="372" w:type="pct"/>
            <w:shd w:val="clear" w:color="auto" w:fill="FFFFFF" w:themeFill="background1"/>
          </w:tcPr>
          <w:p w14:paraId="29C28555"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w:t>
            </w:r>
          </w:p>
        </w:tc>
        <w:tc>
          <w:tcPr>
            <w:tcW w:w="444" w:type="pct"/>
            <w:shd w:val="clear" w:color="auto" w:fill="FFFFFF" w:themeFill="background1"/>
          </w:tcPr>
          <w:p w14:paraId="2681E206"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39</w:t>
            </w:r>
          </w:p>
        </w:tc>
        <w:tc>
          <w:tcPr>
            <w:tcW w:w="372" w:type="pct"/>
            <w:tcBorders>
              <w:right w:val="nil"/>
            </w:tcBorders>
            <w:shd w:val="clear" w:color="auto" w:fill="FFFFFF" w:themeFill="background1"/>
          </w:tcPr>
          <w:p w14:paraId="5FC8D958"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Medium</w:t>
            </w:r>
          </w:p>
        </w:tc>
      </w:tr>
      <w:tr w:rsidR="00277D48" w:rsidRPr="00BB46CB" w14:paraId="73371D79" w14:textId="77777777" w:rsidTr="00277D48">
        <w:trPr>
          <w:trHeight w:val="140"/>
        </w:trPr>
        <w:tc>
          <w:tcPr>
            <w:cnfStyle w:val="001000000000" w:firstRow="0" w:lastRow="0" w:firstColumn="1" w:lastColumn="0" w:oddVBand="0" w:evenVBand="0" w:oddHBand="0" w:evenHBand="0" w:firstRowFirstColumn="0" w:firstRowLastColumn="0" w:lastRowFirstColumn="0" w:lastRowLastColumn="0"/>
            <w:tcW w:w="4184" w:type="pct"/>
            <w:gridSpan w:val="10"/>
            <w:tcBorders>
              <w:left w:val="nil"/>
            </w:tcBorders>
            <w:shd w:val="clear" w:color="auto" w:fill="004C97" w:themeFill="accent1"/>
          </w:tcPr>
          <w:p w14:paraId="35BEB2C9" w14:textId="77777777" w:rsidR="00277D48" w:rsidRPr="00277D48" w:rsidRDefault="00277D48" w:rsidP="00277D48">
            <w:pPr>
              <w:pStyle w:val="TableTextLeft"/>
              <w:rPr>
                <w:color w:val="FFFFFF" w:themeColor="background1"/>
              </w:rPr>
            </w:pPr>
            <w:r w:rsidRPr="00277D48">
              <w:rPr>
                <w:i/>
                <w:color w:val="FFFFFF" w:themeColor="background1"/>
              </w:rPr>
              <w:t>Ecological condition - Soil</w:t>
            </w:r>
          </w:p>
        </w:tc>
        <w:tc>
          <w:tcPr>
            <w:tcW w:w="444" w:type="pct"/>
            <w:shd w:val="clear" w:color="auto" w:fill="004C97" w:themeFill="accent1"/>
          </w:tcPr>
          <w:p w14:paraId="6FDD93DF"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372" w:type="pct"/>
            <w:tcBorders>
              <w:right w:val="nil"/>
            </w:tcBorders>
            <w:shd w:val="clear" w:color="auto" w:fill="004C97" w:themeFill="accent1"/>
          </w:tcPr>
          <w:p w14:paraId="227EBD76"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rPr>
                <w:i/>
              </w:rPr>
            </w:pPr>
          </w:p>
        </w:tc>
      </w:tr>
      <w:tr w:rsidR="00277D48" w:rsidRPr="00BB46CB" w14:paraId="7606EE0D" w14:textId="77777777" w:rsidTr="00277D48">
        <w:trPr>
          <w:trHeight w:val="140"/>
        </w:trPr>
        <w:tc>
          <w:tcPr>
            <w:cnfStyle w:val="001000000000" w:firstRow="0" w:lastRow="0" w:firstColumn="1" w:lastColumn="0" w:oddVBand="0" w:evenVBand="0" w:oddHBand="0" w:evenHBand="0" w:firstRowFirstColumn="0" w:firstRowLastColumn="0" w:lastRowFirstColumn="0" w:lastRowLastColumn="0"/>
            <w:tcW w:w="785" w:type="pct"/>
            <w:gridSpan w:val="2"/>
            <w:tcBorders>
              <w:left w:val="nil"/>
            </w:tcBorders>
          </w:tcPr>
          <w:p w14:paraId="2472A159" w14:textId="77777777" w:rsidR="00277D48" w:rsidRPr="00BB46CB" w:rsidRDefault="00277D48" w:rsidP="00277D48">
            <w:pPr>
              <w:pStyle w:val="TableTextLeft"/>
            </w:pPr>
            <w:r w:rsidRPr="00BB46CB">
              <w:t>Coastal acid sulphate soil susceptibility</w:t>
            </w:r>
          </w:p>
        </w:tc>
        <w:tc>
          <w:tcPr>
            <w:tcW w:w="355" w:type="pct"/>
            <w:shd w:val="clear" w:color="auto" w:fill="FFFFFF" w:themeFill="background1"/>
          </w:tcPr>
          <w:p w14:paraId="5CA48682"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Any / All</w:t>
            </w:r>
          </w:p>
        </w:tc>
        <w:tc>
          <w:tcPr>
            <w:tcW w:w="533" w:type="pct"/>
            <w:shd w:val="clear" w:color="auto" w:fill="FFFFFF" w:themeFill="background1"/>
          </w:tcPr>
          <w:p w14:paraId="2EC90564"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Saltwater ecosystem services</w:t>
            </w:r>
          </w:p>
        </w:tc>
        <w:tc>
          <w:tcPr>
            <w:tcW w:w="301" w:type="pct"/>
            <w:shd w:val="clear" w:color="auto" w:fill="FFFFFF" w:themeFill="background1"/>
          </w:tcPr>
          <w:p w14:paraId="70E090D6"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1:100k</w:t>
            </w:r>
          </w:p>
        </w:tc>
        <w:tc>
          <w:tcPr>
            <w:tcW w:w="454" w:type="pct"/>
            <w:shd w:val="clear" w:color="auto" w:fill="FFFFFF" w:themeFill="background1"/>
          </w:tcPr>
          <w:p w14:paraId="722154D4"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DJPR (2003)</w:t>
            </w:r>
          </w:p>
        </w:tc>
        <w:tc>
          <w:tcPr>
            <w:tcW w:w="346" w:type="pct"/>
            <w:shd w:val="clear" w:color="auto" w:fill="FFFFFF" w:themeFill="background1"/>
          </w:tcPr>
          <w:p w14:paraId="03C04939"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2003</w:t>
            </w:r>
          </w:p>
        </w:tc>
        <w:tc>
          <w:tcPr>
            <w:tcW w:w="580" w:type="pct"/>
            <w:shd w:val="clear" w:color="auto" w:fill="FFFFFF" w:themeFill="background1"/>
          </w:tcPr>
          <w:p w14:paraId="02C5BB18"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Ha</w:t>
            </w:r>
          </w:p>
        </w:tc>
        <w:tc>
          <w:tcPr>
            <w:tcW w:w="459" w:type="pct"/>
            <w:shd w:val="clear" w:color="auto" w:fill="FFFFFF" w:themeFill="background1"/>
          </w:tcPr>
          <w:p w14:paraId="76A741B6"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 xml:space="preserve">1,768 </w:t>
            </w:r>
          </w:p>
        </w:tc>
        <w:tc>
          <w:tcPr>
            <w:tcW w:w="372" w:type="pct"/>
            <w:shd w:val="clear" w:color="auto" w:fill="FFFFFF" w:themeFill="background1"/>
          </w:tcPr>
          <w:p w14:paraId="0990D397"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 xml:space="preserve"> 2,082 </w:t>
            </w:r>
          </w:p>
        </w:tc>
        <w:tc>
          <w:tcPr>
            <w:tcW w:w="444" w:type="pct"/>
            <w:shd w:val="clear" w:color="auto" w:fill="FFFFFF" w:themeFill="background1"/>
          </w:tcPr>
          <w:p w14:paraId="141204A0"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3849</w:t>
            </w:r>
          </w:p>
        </w:tc>
        <w:tc>
          <w:tcPr>
            <w:tcW w:w="372" w:type="pct"/>
            <w:tcBorders>
              <w:right w:val="nil"/>
            </w:tcBorders>
            <w:shd w:val="clear" w:color="auto" w:fill="FFFFFF" w:themeFill="background1"/>
          </w:tcPr>
          <w:p w14:paraId="12482D84"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Medium</w:t>
            </w:r>
          </w:p>
        </w:tc>
      </w:tr>
      <w:tr w:rsidR="00277D48" w:rsidRPr="00BB46CB" w14:paraId="2712EBD8" w14:textId="77777777" w:rsidTr="00277D48">
        <w:trPr>
          <w:trHeight w:val="140"/>
        </w:trPr>
        <w:tc>
          <w:tcPr>
            <w:cnfStyle w:val="001000000000" w:firstRow="0" w:lastRow="0" w:firstColumn="1" w:lastColumn="0" w:oddVBand="0" w:evenVBand="0" w:oddHBand="0" w:evenHBand="0" w:firstRowFirstColumn="0" w:firstRowLastColumn="0" w:lastRowFirstColumn="0" w:lastRowLastColumn="0"/>
            <w:tcW w:w="785" w:type="pct"/>
            <w:gridSpan w:val="2"/>
            <w:tcBorders>
              <w:left w:val="nil"/>
            </w:tcBorders>
          </w:tcPr>
          <w:p w14:paraId="02E76568" w14:textId="77777777" w:rsidR="00277D48" w:rsidRPr="00BB46CB" w:rsidRDefault="00277D48" w:rsidP="00277D48">
            <w:pPr>
              <w:pStyle w:val="TableTextLeft"/>
            </w:pPr>
            <w:r w:rsidRPr="00BB46CB">
              <w:t>Landslip susceptibility</w:t>
            </w:r>
          </w:p>
        </w:tc>
        <w:tc>
          <w:tcPr>
            <w:tcW w:w="355" w:type="pct"/>
            <w:shd w:val="clear" w:color="auto" w:fill="FFFFFF" w:themeFill="background1"/>
          </w:tcPr>
          <w:p w14:paraId="022A03DA"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Any / All</w:t>
            </w:r>
          </w:p>
        </w:tc>
        <w:tc>
          <w:tcPr>
            <w:tcW w:w="533" w:type="pct"/>
            <w:shd w:val="clear" w:color="auto" w:fill="FFFFFF" w:themeFill="background1"/>
          </w:tcPr>
          <w:p w14:paraId="20E27719"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Erosion regulation</w:t>
            </w:r>
          </w:p>
        </w:tc>
        <w:tc>
          <w:tcPr>
            <w:tcW w:w="301" w:type="pct"/>
            <w:shd w:val="clear" w:color="auto" w:fill="FFFFFF" w:themeFill="background1"/>
          </w:tcPr>
          <w:p w14:paraId="2AFFCDB3"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1:250k</w:t>
            </w:r>
          </w:p>
        </w:tc>
        <w:tc>
          <w:tcPr>
            <w:tcW w:w="454" w:type="pct"/>
            <w:shd w:val="clear" w:color="auto" w:fill="FFFFFF" w:themeFill="background1"/>
          </w:tcPr>
          <w:p w14:paraId="32831323"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 xml:space="preserve">DJPR &amp; </w:t>
            </w:r>
            <w:proofErr w:type="spellStart"/>
            <w:r w:rsidRPr="00BB46CB">
              <w:t>A.Miner</w:t>
            </w:r>
            <w:proofErr w:type="spellEnd"/>
            <w:r w:rsidRPr="00BB46CB">
              <w:t xml:space="preserve"> (2017) </w:t>
            </w:r>
          </w:p>
        </w:tc>
        <w:tc>
          <w:tcPr>
            <w:tcW w:w="346" w:type="pct"/>
            <w:shd w:val="clear" w:color="auto" w:fill="FFFFFF" w:themeFill="background1"/>
          </w:tcPr>
          <w:p w14:paraId="6981E7A6"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2017</w:t>
            </w:r>
          </w:p>
        </w:tc>
        <w:tc>
          <w:tcPr>
            <w:tcW w:w="580" w:type="pct"/>
            <w:shd w:val="clear" w:color="auto" w:fill="FFFFFF" w:themeFill="background1"/>
          </w:tcPr>
          <w:p w14:paraId="37A0C583"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 xml:space="preserve">Ha (high and </w:t>
            </w:r>
            <w:proofErr w:type="spellStart"/>
            <w:r w:rsidRPr="00BB46CB">
              <w:t>v.high</w:t>
            </w:r>
            <w:proofErr w:type="spellEnd"/>
            <w:r w:rsidRPr="00BB46CB">
              <w:t>)</w:t>
            </w:r>
          </w:p>
        </w:tc>
        <w:tc>
          <w:tcPr>
            <w:tcW w:w="459" w:type="pct"/>
            <w:shd w:val="clear" w:color="auto" w:fill="FFFFFF" w:themeFill="background1"/>
          </w:tcPr>
          <w:p w14:paraId="2DC6163F"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 xml:space="preserve">21,838 </w:t>
            </w:r>
          </w:p>
        </w:tc>
        <w:tc>
          <w:tcPr>
            <w:tcW w:w="372" w:type="pct"/>
            <w:shd w:val="clear" w:color="auto" w:fill="FFFFFF" w:themeFill="background1"/>
          </w:tcPr>
          <w:p w14:paraId="235038B1"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 xml:space="preserve">19,377 </w:t>
            </w:r>
          </w:p>
        </w:tc>
        <w:tc>
          <w:tcPr>
            <w:tcW w:w="444" w:type="pct"/>
            <w:shd w:val="clear" w:color="auto" w:fill="FFFFFF" w:themeFill="background1"/>
          </w:tcPr>
          <w:p w14:paraId="579BB4EB"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41,215</w:t>
            </w:r>
          </w:p>
        </w:tc>
        <w:tc>
          <w:tcPr>
            <w:tcW w:w="372" w:type="pct"/>
            <w:tcBorders>
              <w:right w:val="nil"/>
            </w:tcBorders>
            <w:shd w:val="clear" w:color="auto" w:fill="FFFFFF" w:themeFill="background1"/>
          </w:tcPr>
          <w:p w14:paraId="0B787451"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Medium</w:t>
            </w:r>
          </w:p>
        </w:tc>
      </w:tr>
      <w:tr w:rsidR="003D4383" w:rsidRPr="00BB46CB" w14:paraId="334159D6" w14:textId="77777777" w:rsidTr="00277D48">
        <w:trPr>
          <w:trHeight w:val="140"/>
        </w:trPr>
        <w:tc>
          <w:tcPr>
            <w:cnfStyle w:val="001000000000" w:firstRow="0" w:lastRow="0" w:firstColumn="1" w:lastColumn="0" w:oddVBand="0" w:evenVBand="0" w:oddHBand="0" w:evenHBand="0" w:firstRowFirstColumn="0" w:firstRowLastColumn="0" w:lastRowFirstColumn="0" w:lastRowLastColumn="0"/>
            <w:tcW w:w="3354" w:type="pct"/>
            <w:gridSpan w:val="8"/>
            <w:tcBorders>
              <w:left w:val="nil"/>
            </w:tcBorders>
            <w:shd w:val="clear" w:color="auto" w:fill="004C97" w:themeFill="accent1"/>
          </w:tcPr>
          <w:p w14:paraId="1BEE7B96" w14:textId="77777777" w:rsidR="00277D48" w:rsidRPr="00277D48" w:rsidRDefault="00277D48" w:rsidP="00277D48">
            <w:pPr>
              <w:pStyle w:val="TableTextLeft"/>
              <w:rPr>
                <w:color w:val="FFFFFF" w:themeColor="background1"/>
              </w:rPr>
            </w:pPr>
            <w:r w:rsidRPr="00277D48">
              <w:rPr>
                <w:i/>
                <w:color w:val="FFFFFF" w:themeColor="background1"/>
              </w:rPr>
              <w:t>Ecological condition - Water</w:t>
            </w:r>
          </w:p>
        </w:tc>
        <w:tc>
          <w:tcPr>
            <w:tcW w:w="459" w:type="pct"/>
            <w:shd w:val="clear" w:color="auto" w:fill="004C97" w:themeFill="accent1"/>
          </w:tcPr>
          <w:p w14:paraId="2707F339"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372" w:type="pct"/>
            <w:shd w:val="clear" w:color="auto" w:fill="004C97" w:themeFill="accent1"/>
          </w:tcPr>
          <w:p w14:paraId="770AA15A"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444" w:type="pct"/>
            <w:shd w:val="clear" w:color="auto" w:fill="004C97" w:themeFill="accent1"/>
          </w:tcPr>
          <w:p w14:paraId="6DDCFD1E"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372" w:type="pct"/>
            <w:tcBorders>
              <w:right w:val="nil"/>
            </w:tcBorders>
            <w:shd w:val="clear" w:color="auto" w:fill="004C97" w:themeFill="accent1"/>
          </w:tcPr>
          <w:p w14:paraId="51E758AA"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rPr>
                <w:i/>
              </w:rPr>
            </w:pPr>
          </w:p>
        </w:tc>
      </w:tr>
      <w:tr w:rsidR="00277D48" w:rsidRPr="00BB46CB" w14:paraId="42EB555B" w14:textId="77777777" w:rsidTr="00277D48">
        <w:trPr>
          <w:trHeight w:val="360"/>
        </w:trPr>
        <w:tc>
          <w:tcPr>
            <w:cnfStyle w:val="001000000000" w:firstRow="0" w:lastRow="0" w:firstColumn="1" w:lastColumn="0" w:oddVBand="0" w:evenVBand="0" w:oddHBand="0" w:evenHBand="0" w:firstRowFirstColumn="0" w:firstRowLastColumn="0" w:lastRowFirstColumn="0" w:lastRowLastColumn="0"/>
            <w:tcW w:w="785" w:type="pct"/>
            <w:gridSpan w:val="2"/>
            <w:tcBorders>
              <w:left w:val="nil"/>
            </w:tcBorders>
          </w:tcPr>
          <w:p w14:paraId="6D2025AE" w14:textId="77777777" w:rsidR="00277D48" w:rsidRPr="00BB46CB" w:rsidRDefault="00277D48" w:rsidP="00277D48">
            <w:pPr>
              <w:pStyle w:val="TableTextLeft"/>
            </w:pPr>
            <w:r w:rsidRPr="00BB46CB">
              <w:t>Stream condition (index)</w:t>
            </w:r>
          </w:p>
        </w:tc>
        <w:tc>
          <w:tcPr>
            <w:tcW w:w="355" w:type="pct"/>
            <w:shd w:val="clear" w:color="auto" w:fill="FFFFFF" w:themeFill="background1"/>
          </w:tcPr>
          <w:p w14:paraId="0552743C"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Streams</w:t>
            </w:r>
          </w:p>
        </w:tc>
        <w:tc>
          <w:tcPr>
            <w:tcW w:w="533" w:type="pct"/>
            <w:shd w:val="clear" w:color="auto" w:fill="FFFFFF" w:themeFill="background1"/>
          </w:tcPr>
          <w:p w14:paraId="4741C430"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Freshwater ecosystem services</w:t>
            </w:r>
          </w:p>
        </w:tc>
        <w:tc>
          <w:tcPr>
            <w:tcW w:w="301" w:type="pct"/>
            <w:shd w:val="clear" w:color="auto" w:fill="FFFFFF" w:themeFill="background1"/>
          </w:tcPr>
          <w:p w14:paraId="41104D97"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1:25k</w:t>
            </w:r>
          </w:p>
        </w:tc>
        <w:tc>
          <w:tcPr>
            <w:tcW w:w="454" w:type="pct"/>
            <w:shd w:val="clear" w:color="auto" w:fill="FFFFFF" w:themeFill="background1"/>
          </w:tcPr>
          <w:p w14:paraId="297D5FC4"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DELWP (2010)</w:t>
            </w:r>
          </w:p>
        </w:tc>
        <w:tc>
          <w:tcPr>
            <w:tcW w:w="346" w:type="pct"/>
            <w:shd w:val="clear" w:color="auto" w:fill="FFFFFF" w:themeFill="background1"/>
          </w:tcPr>
          <w:p w14:paraId="49CFA7BC"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2010</w:t>
            </w:r>
          </w:p>
        </w:tc>
        <w:tc>
          <w:tcPr>
            <w:tcW w:w="580" w:type="pct"/>
            <w:shd w:val="clear" w:color="auto" w:fill="FFFFFF" w:themeFill="background1"/>
          </w:tcPr>
          <w:p w14:paraId="3E62C6B7"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Score 0-50</w:t>
            </w:r>
          </w:p>
        </w:tc>
        <w:tc>
          <w:tcPr>
            <w:tcW w:w="459" w:type="pct"/>
            <w:shd w:val="clear" w:color="auto" w:fill="FFFFFF" w:themeFill="background1"/>
          </w:tcPr>
          <w:p w14:paraId="6E6E3823"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32</w:t>
            </w:r>
          </w:p>
        </w:tc>
        <w:tc>
          <w:tcPr>
            <w:tcW w:w="372" w:type="pct"/>
            <w:shd w:val="clear" w:color="auto" w:fill="FFFFFF" w:themeFill="background1"/>
          </w:tcPr>
          <w:p w14:paraId="156C98DE"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34</w:t>
            </w:r>
          </w:p>
        </w:tc>
        <w:tc>
          <w:tcPr>
            <w:tcW w:w="444" w:type="pct"/>
            <w:shd w:val="clear" w:color="auto" w:fill="FFFFFF" w:themeFill="background1"/>
          </w:tcPr>
          <w:p w14:paraId="023143C2"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34</w:t>
            </w:r>
          </w:p>
        </w:tc>
        <w:tc>
          <w:tcPr>
            <w:tcW w:w="372" w:type="pct"/>
            <w:tcBorders>
              <w:right w:val="nil"/>
            </w:tcBorders>
            <w:shd w:val="clear" w:color="auto" w:fill="FFFFFF" w:themeFill="background1"/>
          </w:tcPr>
          <w:p w14:paraId="37012B6A"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Medium</w:t>
            </w:r>
          </w:p>
        </w:tc>
      </w:tr>
      <w:tr w:rsidR="00277D48" w:rsidRPr="00BB46CB" w14:paraId="1D50161E" w14:textId="77777777" w:rsidTr="00277D48">
        <w:trPr>
          <w:trHeight w:val="367"/>
        </w:trPr>
        <w:tc>
          <w:tcPr>
            <w:cnfStyle w:val="001000000000" w:firstRow="0" w:lastRow="0" w:firstColumn="1" w:lastColumn="0" w:oddVBand="0" w:evenVBand="0" w:oddHBand="0" w:evenHBand="0" w:firstRowFirstColumn="0" w:firstRowLastColumn="0" w:lastRowFirstColumn="0" w:lastRowLastColumn="0"/>
            <w:tcW w:w="785" w:type="pct"/>
            <w:gridSpan w:val="2"/>
            <w:tcBorders>
              <w:left w:val="nil"/>
            </w:tcBorders>
          </w:tcPr>
          <w:p w14:paraId="5936585A" w14:textId="77777777" w:rsidR="00277D48" w:rsidRPr="00BB46CB" w:rsidRDefault="00277D48" w:rsidP="00277D48">
            <w:pPr>
              <w:pStyle w:val="TableTextLeft"/>
            </w:pPr>
            <w:r w:rsidRPr="00BB46CB">
              <w:t>Estuary condition (index)</w:t>
            </w:r>
          </w:p>
        </w:tc>
        <w:tc>
          <w:tcPr>
            <w:tcW w:w="355" w:type="pct"/>
            <w:shd w:val="clear" w:color="auto" w:fill="FFFFFF" w:themeFill="background1"/>
          </w:tcPr>
          <w:p w14:paraId="14E85BCD"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Estuaries</w:t>
            </w:r>
          </w:p>
        </w:tc>
        <w:tc>
          <w:tcPr>
            <w:tcW w:w="533" w:type="pct"/>
            <w:shd w:val="clear" w:color="auto" w:fill="FFFFFF" w:themeFill="background1"/>
          </w:tcPr>
          <w:p w14:paraId="3116788D"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Freshwater ecosystem services</w:t>
            </w:r>
          </w:p>
        </w:tc>
        <w:tc>
          <w:tcPr>
            <w:tcW w:w="301" w:type="pct"/>
            <w:shd w:val="clear" w:color="auto" w:fill="FFFFFF" w:themeFill="background1"/>
          </w:tcPr>
          <w:p w14:paraId="461B9216"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1:25k</w:t>
            </w:r>
          </w:p>
        </w:tc>
        <w:tc>
          <w:tcPr>
            <w:tcW w:w="454" w:type="pct"/>
            <w:shd w:val="clear" w:color="auto" w:fill="FFFFFF" w:themeFill="background1"/>
          </w:tcPr>
          <w:p w14:paraId="2AC0402B"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DELWP (2021b)</w:t>
            </w:r>
          </w:p>
        </w:tc>
        <w:tc>
          <w:tcPr>
            <w:tcW w:w="346" w:type="pct"/>
            <w:shd w:val="clear" w:color="auto" w:fill="FFFFFF" w:themeFill="background1"/>
          </w:tcPr>
          <w:p w14:paraId="2C6A73DC"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2021</w:t>
            </w:r>
          </w:p>
        </w:tc>
        <w:tc>
          <w:tcPr>
            <w:tcW w:w="580" w:type="pct"/>
            <w:shd w:val="clear" w:color="auto" w:fill="FFFFFF" w:themeFill="background1"/>
          </w:tcPr>
          <w:p w14:paraId="0AEB8848"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Score 0-50</w:t>
            </w:r>
          </w:p>
        </w:tc>
        <w:tc>
          <w:tcPr>
            <w:tcW w:w="459" w:type="pct"/>
            <w:shd w:val="clear" w:color="auto" w:fill="FFFFFF" w:themeFill="background1"/>
          </w:tcPr>
          <w:p w14:paraId="08D7DEF8"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rPr>
                <w:vertAlign w:val="superscript"/>
              </w:rPr>
            </w:pPr>
            <w:r w:rsidRPr="00BB46CB">
              <w:t>n/a</w:t>
            </w:r>
            <w:r w:rsidRPr="00BB46CB">
              <w:rPr>
                <w:vertAlign w:val="superscript"/>
              </w:rPr>
              <w:t xml:space="preserve"> b</w:t>
            </w:r>
          </w:p>
        </w:tc>
        <w:tc>
          <w:tcPr>
            <w:tcW w:w="372" w:type="pct"/>
            <w:shd w:val="clear" w:color="auto" w:fill="FFFFFF" w:themeFill="background1"/>
          </w:tcPr>
          <w:p w14:paraId="5C917508"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BB46CB">
              <w:t>31</w:t>
            </w:r>
          </w:p>
        </w:tc>
        <w:tc>
          <w:tcPr>
            <w:tcW w:w="444" w:type="pct"/>
            <w:shd w:val="clear" w:color="auto" w:fill="FFFFFF" w:themeFill="background1"/>
          </w:tcPr>
          <w:p w14:paraId="5343A2CD"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BB46CB">
              <w:t>31</w:t>
            </w:r>
          </w:p>
        </w:tc>
        <w:tc>
          <w:tcPr>
            <w:tcW w:w="372" w:type="pct"/>
            <w:tcBorders>
              <w:right w:val="nil"/>
            </w:tcBorders>
            <w:shd w:val="clear" w:color="auto" w:fill="FFFFFF" w:themeFill="background1"/>
          </w:tcPr>
          <w:p w14:paraId="64C965B7"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Medium</w:t>
            </w:r>
          </w:p>
        </w:tc>
      </w:tr>
      <w:tr w:rsidR="00277D48" w:rsidRPr="00BB46CB" w14:paraId="5E0FE38A" w14:textId="77777777" w:rsidTr="00277D48">
        <w:trPr>
          <w:trHeight w:val="140"/>
        </w:trPr>
        <w:tc>
          <w:tcPr>
            <w:cnfStyle w:val="001000000000" w:firstRow="0" w:lastRow="0" w:firstColumn="1" w:lastColumn="0" w:oddVBand="0" w:evenVBand="0" w:oddHBand="0" w:evenHBand="0" w:firstRowFirstColumn="0" w:firstRowLastColumn="0" w:lastRowFirstColumn="0" w:lastRowLastColumn="0"/>
            <w:tcW w:w="4628" w:type="pct"/>
            <w:gridSpan w:val="11"/>
            <w:tcBorders>
              <w:left w:val="nil"/>
            </w:tcBorders>
            <w:shd w:val="clear" w:color="auto" w:fill="004C97" w:themeFill="accent1"/>
          </w:tcPr>
          <w:p w14:paraId="246D414F" w14:textId="77777777" w:rsidR="00277D48" w:rsidRPr="00277D48" w:rsidRDefault="00277D48" w:rsidP="00277D48">
            <w:pPr>
              <w:pStyle w:val="TableTextLeft"/>
              <w:rPr>
                <w:color w:val="FFFFFF" w:themeColor="background1"/>
              </w:rPr>
            </w:pPr>
            <w:r w:rsidRPr="00277D48">
              <w:rPr>
                <w:i/>
                <w:color w:val="FFFFFF" w:themeColor="background1"/>
              </w:rPr>
              <w:t>Ecological condition - Carbon</w:t>
            </w:r>
          </w:p>
        </w:tc>
        <w:tc>
          <w:tcPr>
            <w:tcW w:w="372" w:type="pct"/>
            <w:tcBorders>
              <w:right w:val="nil"/>
            </w:tcBorders>
            <w:shd w:val="clear" w:color="auto" w:fill="004C97" w:themeFill="accent1"/>
          </w:tcPr>
          <w:p w14:paraId="0E6F4753"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rPr>
                <w:i/>
              </w:rPr>
            </w:pPr>
          </w:p>
        </w:tc>
      </w:tr>
      <w:tr w:rsidR="00277D48" w:rsidRPr="00BB46CB" w14:paraId="55012BF4" w14:textId="77777777" w:rsidTr="00277D48">
        <w:trPr>
          <w:trHeight w:val="140"/>
        </w:trPr>
        <w:tc>
          <w:tcPr>
            <w:cnfStyle w:val="001000000000" w:firstRow="0" w:lastRow="0" w:firstColumn="1" w:lastColumn="0" w:oddVBand="0" w:evenVBand="0" w:oddHBand="0" w:evenHBand="0" w:firstRowFirstColumn="0" w:firstRowLastColumn="0" w:lastRowFirstColumn="0" w:lastRowLastColumn="0"/>
            <w:tcW w:w="785" w:type="pct"/>
            <w:gridSpan w:val="2"/>
            <w:tcBorders>
              <w:left w:val="nil"/>
            </w:tcBorders>
          </w:tcPr>
          <w:p w14:paraId="2298FB4D" w14:textId="77777777" w:rsidR="00277D48" w:rsidRPr="00BB46CB" w:rsidRDefault="00277D48" w:rsidP="00277D48">
            <w:pPr>
              <w:pStyle w:val="TableTextLeft"/>
            </w:pPr>
            <w:r w:rsidRPr="00BB46CB">
              <w:t>Carbon stock</w:t>
            </w:r>
          </w:p>
        </w:tc>
        <w:tc>
          <w:tcPr>
            <w:tcW w:w="355" w:type="pct"/>
            <w:shd w:val="clear" w:color="auto" w:fill="FFFFFF" w:themeFill="background1"/>
          </w:tcPr>
          <w:p w14:paraId="61ED8E77"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All</w:t>
            </w:r>
          </w:p>
        </w:tc>
        <w:tc>
          <w:tcPr>
            <w:tcW w:w="533" w:type="pct"/>
            <w:shd w:val="clear" w:color="auto" w:fill="FFFFFF" w:themeFill="background1"/>
          </w:tcPr>
          <w:p w14:paraId="717F4EBC"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Global climate regulation</w:t>
            </w:r>
          </w:p>
        </w:tc>
        <w:tc>
          <w:tcPr>
            <w:tcW w:w="301" w:type="pct"/>
            <w:shd w:val="clear" w:color="auto" w:fill="FFFFFF" w:themeFill="background1"/>
          </w:tcPr>
          <w:p w14:paraId="3BFC6487"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100m grid</w:t>
            </w:r>
          </w:p>
        </w:tc>
        <w:tc>
          <w:tcPr>
            <w:tcW w:w="454" w:type="pct"/>
            <w:shd w:val="clear" w:color="auto" w:fill="FFFFFF" w:themeFill="background1"/>
          </w:tcPr>
          <w:p w14:paraId="5CA96DFA"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DISER (2021)</w:t>
            </w:r>
          </w:p>
        </w:tc>
        <w:tc>
          <w:tcPr>
            <w:tcW w:w="346" w:type="pct"/>
            <w:shd w:val="clear" w:color="auto" w:fill="FFFFFF" w:themeFill="background1"/>
          </w:tcPr>
          <w:p w14:paraId="6AECEEFA"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2019</w:t>
            </w:r>
          </w:p>
        </w:tc>
        <w:tc>
          <w:tcPr>
            <w:tcW w:w="580" w:type="pct"/>
            <w:shd w:val="clear" w:color="auto" w:fill="FFFFFF" w:themeFill="background1"/>
          </w:tcPr>
          <w:p w14:paraId="1E98E0E3"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tCO2e</w:t>
            </w:r>
          </w:p>
        </w:tc>
        <w:tc>
          <w:tcPr>
            <w:tcW w:w="459" w:type="pct"/>
            <w:shd w:val="clear" w:color="auto" w:fill="FFFFFF" w:themeFill="background1"/>
          </w:tcPr>
          <w:p w14:paraId="69F825E0"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w:t>
            </w:r>
          </w:p>
        </w:tc>
        <w:tc>
          <w:tcPr>
            <w:tcW w:w="372" w:type="pct"/>
            <w:shd w:val="clear" w:color="auto" w:fill="FFFFFF" w:themeFill="background1"/>
          </w:tcPr>
          <w:p w14:paraId="6FD1F22A"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w:t>
            </w:r>
          </w:p>
        </w:tc>
        <w:tc>
          <w:tcPr>
            <w:tcW w:w="444" w:type="pct"/>
            <w:shd w:val="clear" w:color="auto" w:fill="FFFFFF" w:themeFill="background1"/>
          </w:tcPr>
          <w:p w14:paraId="644435C2"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35,500,000</w:t>
            </w:r>
          </w:p>
        </w:tc>
        <w:tc>
          <w:tcPr>
            <w:tcW w:w="372" w:type="pct"/>
            <w:tcBorders>
              <w:right w:val="nil"/>
            </w:tcBorders>
            <w:shd w:val="clear" w:color="auto" w:fill="FFFFFF" w:themeFill="background1"/>
          </w:tcPr>
          <w:p w14:paraId="27CF4119"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Medium</w:t>
            </w:r>
          </w:p>
        </w:tc>
      </w:tr>
      <w:tr w:rsidR="00277D48" w:rsidRPr="00BB46CB" w14:paraId="3C31FE3E" w14:textId="77777777" w:rsidTr="00277D48">
        <w:trPr>
          <w:trHeight w:val="140"/>
        </w:trPr>
        <w:tc>
          <w:tcPr>
            <w:cnfStyle w:val="001000000000" w:firstRow="0" w:lastRow="0" w:firstColumn="1" w:lastColumn="0" w:oddVBand="0" w:evenVBand="0" w:oddHBand="0" w:evenHBand="0" w:firstRowFirstColumn="0" w:firstRowLastColumn="0" w:lastRowFirstColumn="0" w:lastRowLastColumn="0"/>
            <w:tcW w:w="4628" w:type="pct"/>
            <w:gridSpan w:val="11"/>
            <w:tcBorders>
              <w:left w:val="nil"/>
            </w:tcBorders>
            <w:shd w:val="clear" w:color="auto" w:fill="004C97" w:themeFill="accent1"/>
          </w:tcPr>
          <w:p w14:paraId="2900219C" w14:textId="77777777" w:rsidR="00277D48" w:rsidRPr="00277D48" w:rsidRDefault="00277D48" w:rsidP="00277D48">
            <w:pPr>
              <w:pStyle w:val="TableTextLeft"/>
              <w:rPr>
                <w:color w:val="FFFFFF" w:themeColor="background1"/>
              </w:rPr>
            </w:pPr>
            <w:r w:rsidRPr="00277D48">
              <w:rPr>
                <w:i/>
                <w:color w:val="FFFFFF" w:themeColor="background1"/>
              </w:rPr>
              <w:t>Socio-economic characteristics - Location</w:t>
            </w:r>
          </w:p>
        </w:tc>
        <w:tc>
          <w:tcPr>
            <w:tcW w:w="372" w:type="pct"/>
            <w:tcBorders>
              <w:right w:val="nil"/>
            </w:tcBorders>
            <w:shd w:val="clear" w:color="auto" w:fill="004C97" w:themeFill="accent1"/>
          </w:tcPr>
          <w:p w14:paraId="05161BB7"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rPr>
                <w:i/>
              </w:rPr>
            </w:pPr>
          </w:p>
        </w:tc>
      </w:tr>
      <w:tr w:rsidR="00277D48" w:rsidRPr="00BB46CB" w14:paraId="11774F19" w14:textId="77777777" w:rsidTr="00277D48">
        <w:trPr>
          <w:trHeight w:val="169"/>
        </w:trPr>
        <w:tc>
          <w:tcPr>
            <w:cnfStyle w:val="001000000000" w:firstRow="0" w:lastRow="0" w:firstColumn="1" w:lastColumn="0" w:oddVBand="0" w:evenVBand="0" w:oddHBand="0" w:evenHBand="0" w:firstRowFirstColumn="0" w:firstRowLastColumn="0" w:lastRowFirstColumn="0" w:lastRowLastColumn="0"/>
            <w:tcW w:w="785" w:type="pct"/>
            <w:gridSpan w:val="2"/>
            <w:tcBorders>
              <w:left w:val="nil"/>
            </w:tcBorders>
          </w:tcPr>
          <w:p w14:paraId="64F3644B" w14:textId="77777777" w:rsidR="00277D48" w:rsidRPr="00BB46CB" w:rsidRDefault="00277D48" w:rsidP="00277D48">
            <w:pPr>
              <w:pStyle w:val="TableTextLeft"/>
            </w:pPr>
            <w:r w:rsidRPr="00BB46CB">
              <w:t>Landscape/seascape views from road</w:t>
            </w:r>
          </w:p>
        </w:tc>
        <w:tc>
          <w:tcPr>
            <w:tcW w:w="355" w:type="pct"/>
            <w:shd w:val="clear" w:color="auto" w:fill="FFFFFF" w:themeFill="background1"/>
          </w:tcPr>
          <w:p w14:paraId="685B6DEE"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 xml:space="preserve">All </w:t>
            </w:r>
          </w:p>
        </w:tc>
        <w:tc>
          <w:tcPr>
            <w:tcW w:w="533" w:type="pct"/>
            <w:shd w:val="clear" w:color="auto" w:fill="FFFFFF" w:themeFill="background1"/>
          </w:tcPr>
          <w:p w14:paraId="169537C1"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Aesthetics / Recreation</w:t>
            </w:r>
          </w:p>
        </w:tc>
        <w:tc>
          <w:tcPr>
            <w:tcW w:w="301" w:type="pct"/>
            <w:shd w:val="clear" w:color="auto" w:fill="FFFFFF" w:themeFill="background1"/>
          </w:tcPr>
          <w:p w14:paraId="758896FD"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25m grid</w:t>
            </w:r>
          </w:p>
        </w:tc>
        <w:tc>
          <w:tcPr>
            <w:tcW w:w="454" w:type="pct"/>
            <w:shd w:val="clear" w:color="auto" w:fill="FFFFFF" w:themeFill="background1"/>
          </w:tcPr>
          <w:p w14:paraId="14156ABD"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DELWP (2016d)</w:t>
            </w:r>
          </w:p>
        </w:tc>
        <w:tc>
          <w:tcPr>
            <w:tcW w:w="346" w:type="pct"/>
            <w:shd w:val="clear" w:color="auto" w:fill="FFFFFF" w:themeFill="background1"/>
          </w:tcPr>
          <w:p w14:paraId="14AC8DAF"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2016</w:t>
            </w:r>
          </w:p>
        </w:tc>
        <w:tc>
          <w:tcPr>
            <w:tcW w:w="580" w:type="pct"/>
            <w:shd w:val="clear" w:color="auto" w:fill="FFFFFF" w:themeFill="background1"/>
          </w:tcPr>
          <w:p w14:paraId="3AC42ED1"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 of viewshed</w:t>
            </w:r>
          </w:p>
        </w:tc>
        <w:tc>
          <w:tcPr>
            <w:tcW w:w="459" w:type="pct"/>
            <w:shd w:val="clear" w:color="auto" w:fill="FFFFFF" w:themeFill="background1"/>
          </w:tcPr>
          <w:p w14:paraId="1344E344"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rPr>
                <w:vertAlign w:val="superscript"/>
              </w:rPr>
            </w:pPr>
            <w:r w:rsidRPr="00BB46CB">
              <w:t>87%</w:t>
            </w:r>
            <w:r w:rsidRPr="00BB46CB">
              <w:rPr>
                <w:vertAlign w:val="superscript"/>
              </w:rPr>
              <w:t>c</w:t>
            </w:r>
          </w:p>
        </w:tc>
        <w:tc>
          <w:tcPr>
            <w:tcW w:w="372" w:type="pct"/>
            <w:shd w:val="clear" w:color="auto" w:fill="FFFFFF" w:themeFill="background1"/>
          </w:tcPr>
          <w:p w14:paraId="54CF6B4A"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13%</w:t>
            </w:r>
          </w:p>
        </w:tc>
        <w:tc>
          <w:tcPr>
            <w:tcW w:w="444" w:type="pct"/>
            <w:shd w:val="clear" w:color="auto" w:fill="FFFFFF" w:themeFill="background1"/>
          </w:tcPr>
          <w:p w14:paraId="3453C994"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100%</w:t>
            </w:r>
          </w:p>
        </w:tc>
        <w:tc>
          <w:tcPr>
            <w:tcW w:w="372" w:type="pct"/>
            <w:tcBorders>
              <w:right w:val="nil"/>
            </w:tcBorders>
            <w:shd w:val="clear" w:color="auto" w:fill="FFFFFF" w:themeFill="background1"/>
          </w:tcPr>
          <w:p w14:paraId="0D69087D"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Low</w:t>
            </w:r>
          </w:p>
        </w:tc>
      </w:tr>
      <w:tr w:rsidR="00277D48" w:rsidRPr="00BB46CB" w14:paraId="7DD01B1B" w14:textId="77777777" w:rsidTr="00277D48">
        <w:trPr>
          <w:trHeight w:val="169"/>
        </w:trPr>
        <w:tc>
          <w:tcPr>
            <w:cnfStyle w:val="001000000000" w:firstRow="0" w:lastRow="0" w:firstColumn="1" w:lastColumn="0" w:oddVBand="0" w:evenVBand="0" w:oddHBand="0" w:evenHBand="0" w:firstRowFirstColumn="0" w:firstRowLastColumn="0" w:lastRowFirstColumn="0" w:lastRowLastColumn="0"/>
            <w:tcW w:w="785" w:type="pct"/>
            <w:gridSpan w:val="2"/>
            <w:tcBorders>
              <w:left w:val="nil"/>
            </w:tcBorders>
          </w:tcPr>
          <w:p w14:paraId="29222197" w14:textId="77777777" w:rsidR="00277D48" w:rsidRPr="00BB46CB" w:rsidRDefault="00277D48" w:rsidP="00277D48">
            <w:pPr>
              <w:pStyle w:val="TableTextLeft"/>
            </w:pPr>
            <w:r w:rsidRPr="00BB46CB">
              <w:t>Light pollution</w:t>
            </w:r>
          </w:p>
        </w:tc>
        <w:tc>
          <w:tcPr>
            <w:tcW w:w="355" w:type="pct"/>
            <w:shd w:val="clear" w:color="auto" w:fill="FFFFFF" w:themeFill="background1"/>
          </w:tcPr>
          <w:p w14:paraId="1D6F577A"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All</w:t>
            </w:r>
          </w:p>
        </w:tc>
        <w:tc>
          <w:tcPr>
            <w:tcW w:w="533" w:type="pct"/>
            <w:shd w:val="clear" w:color="auto" w:fill="FFFFFF" w:themeFill="background1"/>
          </w:tcPr>
          <w:p w14:paraId="537BB0F2"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Aesthetics / Recreation</w:t>
            </w:r>
          </w:p>
        </w:tc>
        <w:tc>
          <w:tcPr>
            <w:tcW w:w="301" w:type="pct"/>
            <w:shd w:val="clear" w:color="auto" w:fill="FFFFFF" w:themeFill="background1"/>
          </w:tcPr>
          <w:p w14:paraId="4B4014A5"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350m</w:t>
            </w:r>
          </w:p>
        </w:tc>
        <w:tc>
          <w:tcPr>
            <w:tcW w:w="454" w:type="pct"/>
            <w:shd w:val="clear" w:color="auto" w:fill="FFFFFF" w:themeFill="background1"/>
          </w:tcPr>
          <w:p w14:paraId="7464EAE2"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Stare (2021)</w:t>
            </w:r>
          </w:p>
        </w:tc>
        <w:tc>
          <w:tcPr>
            <w:tcW w:w="346" w:type="pct"/>
            <w:shd w:val="clear" w:color="auto" w:fill="FFFFFF" w:themeFill="background1"/>
          </w:tcPr>
          <w:p w14:paraId="5E93E459"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2019</w:t>
            </w:r>
          </w:p>
        </w:tc>
        <w:tc>
          <w:tcPr>
            <w:tcW w:w="580" w:type="pct"/>
            <w:shd w:val="clear" w:color="auto" w:fill="FFFFFF" w:themeFill="background1"/>
          </w:tcPr>
          <w:p w14:paraId="6AAC1B19"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Bortle Scale 1-9</w:t>
            </w:r>
          </w:p>
        </w:tc>
        <w:tc>
          <w:tcPr>
            <w:tcW w:w="459" w:type="pct"/>
            <w:shd w:val="clear" w:color="auto" w:fill="FFFFFF" w:themeFill="background1"/>
          </w:tcPr>
          <w:p w14:paraId="67987615"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w:t>
            </w:r>
          </w:p>
        </w:tc>
        <w:tc>
          <w:tcPr>
            <w:tcW w:w="372" w:type="pct"/>
            <w:shd w:val="clear" w:color="auto" w:fill="FFFFFF" w:themeFill="background1"/>
          </w:tcPr>
          <w:p w14:paraId="5EF6E1F6"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w:t>
            </w:r>
          </w:p>
        </w:tc>
        <w:tc>
          <w:tcPr>
            <w:tcW w:w="444" w:type="pct"/>
            <w:shd w:val="clear" w:color="auto" w:fill="FFFFFF" w:themeFill="background1"/>
          </w:tcPr>
          <w:p w14:paraId="40478E82"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1</w:t>
            </w:r>
          </w:p>
        </w:tc>
        <w:tc>
          <w:tcPr>
            <w:tcW w:w="372" w:type="pct"/>
            <w:tcBorders>
              <w:right w:val="nil"/>
            </w:tcBorders>
            <w:shd w:val="clear" w:color="auto" w:fill="FFFFFF" w:themeFill="background1"/>
          </w:tcPr>
          <w:p w14:paraId="1432D989"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Low</w:t>
            </w:r>
          </w:p>
        </w:tc>
      </w:tr>
      <w:tr w:rsidR="00277D48" w:rsidRPr="00BB46CB" w14:paraId="0E18121B" w14:textId="77777777" w:rsidTr="00277D48">
        <w:trPr>
          <w:trHeight w:val="169"/>
        </w:trPr>
        <w:tc>
          <w:tcPr>
            <w:cnfStyle w:val="001000000000" w:firstRow="0" w:lastRow="0" w:firstColumn="1" w:lastColumn="0" w:oddVBand="0" w:evenVBand="0" w:oddHBand="0" w:evenHBand="0" w:firstRowFirstColumn="0" w:firstRowLastColumn="0" w:lastRowFirstColumn="0" w:lastRowLastColumn="0"/>
            <w:tcW w:w="4628" w:type="pct"/>
            <w:gridSpan w:val="11"/>
            <w:tcBorders>
              <w:left w:val="nil"/>
            </w:tcBorders>
            <w:shd w:val="clear" w:color="auto" w:fill="004C97" w:themeFill="accent1"/>
          </w:tcPr>
          <w:p w14:paraId="33ACDFCF" w14:textId="77777777" w:rsidR="00277D48" w:rsidRPr="00277D48" w:rsidRDefault="00277D48" w:rsidP="00277D48">
            <w:pPr>
              <w:pStyle w:val="TableTextLeft"/>
              <w:rPr>
                <w:color w:val="FFFFFF" w:themeColor="background1"/>
              </w:rPr>
            </w:pPr>
            <w:r w:rsidRPr="00277D48">
              <w:rPr>
                <w:i/>
                <w:color w:val="FFFFFF" w:themeColor="background1"/>
              </w:rPr>
              <w:lastRenderedPageBreak/>
              <w:t>Socio-economic characteristics – Non-Indigenous cultural assets</w:t>
            </w:r>
          </w:p>
        </w:tc>
        <w:tc>
          <w:tcPr>
            <w:tcW w:w="372" w:type="pct"/>
            <w:tcBorders>
              <w:right w:val="nil"/>
            </w:tcBorders>
            <w:shd w:val="clear" w:color="auto" w:fill="004C97" w:themeFill="accent1"/>
          </w:tcPr>
          <w:p w14:paraId="0A12CB90"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rPr>
                <w:i/>
              </w:rPr>
            </w:pPr>
          </w:p>
        </w:tc>
      </w:tr>
      <w:tr w:rsidR="00277D48" w:rsidRPr="00BB46CB" w14:paraId="711EB6CD" w14:textId="77777777" w:rsidTr="00277D48">
        <w:trPr>
          <w:trHeight w:val="169"/>
        </w:trPr>
        <w:tc>
          <w:tcPr>
            <w:cnfStyle w:val="001000000000" w:firstRow="0" w:lastRow="0" w:firstColumn="1" w:lastColumn="0" w:oddVBand="0" w:evenVBand="0" w:oddHBand="0" w:evenHBand="0" w:firstRowFirstColumn="0" w:firstRowLastColumn="0" w:lastRowFirstColumn="0" w:lastRowLastColumn="0"/>
            <w:tcW w:w="785" w:type="pct"/>
            <w:gridSpan w:val="2"/>
            <w:tcBorders>
              <w:left w:val="nil"/>
            </w:tcBorders>
          </w:tcPr>
          <w:p w14:paraId="4C7B5187" w14:textId="77777777" w:rsidR="00277D48" w:rsidRPr="00BB46CB" w:rsidRDefault="00277D48" w:rsidP="00277D48">
            <w:pPr>
              <w:pStyle w:val="TableTextLeft"/>
            </w:pPr>
            <w:r w:rsidRPr="00BB46CB">
              <w:t xml:space="preserve">Assets of historic cultural heritage </w:t>
            </w:r>
          </w:p>
        </w:tc>
        <w:tc>
          <w:tcPr>
            <w:tcW w:w="355" w:type="pct"/>
            <w:shd w:val="clear" w:color="auto" w:fill="FFFFFF" w:themeFill="background1"/>
          </w:tcPr>
          <w:p w14:paraId="31F378F7"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All</w:t>
            </w:r>
          </w:p>
        </w:tc>
        <w:tc>
          <w:tcPr>
            <w:tcW w:w="533" w:type="pct"/>
            <w:shd w:val="clear" w:color="auto" w:fill="FFFFFF" w:themeFill="background1"/>
          </w:tcPr>
          <w:p w14:paraId="64747C29"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 xml:space="preserve">Existence / Recreation </w:t>
            </w:r>
          </w:p>
        </w:tc>
        <w:tc>
          <w:tcPr>
            <w:tcW w:w="301" w:type="pct"/>
            <w:shd w:val="clear" w:color="auto" w:fill="FFFFFF" w:themeFill="background1"/>
          </w:tcPr>
          <w:p w14:paraId="63CC2854"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Point data</w:t>
            </w:r>
          </w:p>
        </w:tc>
        <w:tc>
          <w:tcPr>
            <w:tcW w:w="454" w:type="pct"/>
            <w:shd w:val="clear" w:color="auto" w:fill="FFFFFF" w:themeFill="background1"/>
          </w:tcPr>
          <w:p w14:paraId="2A340CE3"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DELWP (2019c)</w:t>
            </w:r>
          </w:p>
        </w:tc>
        <w:tc>
          <w:tcPr>
            <w:tcW w:w="346" w:type="pct"/>
            <w:shd w:val="clear" w:color="auto" w:fill="FFFFFF" w:themeFill="background1"/>
          </w:tcPr>
          <w:p w14:paraId="29DF294C"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2019</w:t>
            </w:r>
          </w:p>
        </w:tc>
        <w:tc>
          <w:tcPr>
            <w:tcW w:w="580" w:type="pct"/>
            <w:shd w:val="clear" w:color="auto" w:fill="FFFFFF" w:themeFill="background1"/>
          </w:tcPr>
          <w:p w14:paraId="7140115D"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Count</w:t>
            </w:r>
          </w:p>
        </w:tc>
        <w:tc>
          <w:tcPr>
            <w:tcW w:w="459" w:type="pct"/>
            <w:shd w:val="clear" w:color="auto" w:fill="FFFFFF" w:themeFill="background1"/>
          </w:tcPr>
          <w:p w14:paraId="41E704F0"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36</w:t>
            </w:r>
          </w:p>
        </w:tc>
        <w:tc>
          <w:tcPr>
            <w:tcW w:w="372" w:type="pct"/>
            <w:shd w:val="clear" w:color="auto" w:fill="FFFFFF" w:themeFill="background1"/>
          </w:tcPr>
          <w:p w14:paraId="56B53118"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129</w:t>
            </w:r>
          </w:p>
        </w:tc>
        <w:tc>
          <w:tcPr>
            <w:tcW w:w="444" w:type="pct"/>
            <w:shd w:val="clear" w:color="auto" w:fill="FFFFFF" w:themeFill="background1"/>
          </w:tcPr>
          <w:p w14:paraId="0029519F"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165</w:t>
            </w:r>
          </w:p>
        </w:tc>
        <w:tc>
          <w:tcPr>
            <w:tcW w:w="372" w:type="pct"/>
            <w:tcBorders>
              <w:right w:val="nil"/>
            </w:tcBorders>
            <w:shd w:val="clear" w:color="auto" w:fill="FFFFFF" w:themeFill="background1"/>
          </w:tcPr>
          <w:p w14:paraId="4C2CE374"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Low</w:t>
            </w:r>
          </w:p>
        </w:tc>
      </w:tr>
      <w:tr w:rsidR="00000000" w:rsidRPr="00BB46CB" w14:paraId="5F45B296" w14:textId="77777777" w:rsidTr="00837E61">
        <w:trPr>
          <w:trHeight w:val="169"/>
        </w:trPr>
        <w:tc>
          <w:tcPr>
            <w:cnfStyle w:val="001000000000" w:firstRow="0" w:lastRow="0" w:firstColumn="1" w:lastColumn="0" w:oddVBand="0" w:evenVBand="0" w:oddHBand="0" w:evenHBand="0" w:firstRowFirstColumn="0" w:firstRowLastColumn="0" w:lastRowFirstColumn="0" w:lastRowLastColumn="0"/>
            <w:tcW w:w="336" w:type="pct"/>
            <w:tcBorders>
              <w:left w:val="nil"/>
            </w:tcBorders>
          </w:tcPr>
          <w:p w14:paraId="4257C0A5" w14:textId="77777777" w:rsidR="00277D48" w:rsidRPr="00BB46CB" w:rsidRDefault="00277D48" w:rsidP="00277D48">
            <w:pPr>
              <w:pStyle w:val="TableTextLeft"/>
            </w:pPr>
          </w:p>
        </w:tc>
        <w:tc>
          <w:tcPr>
            <w:tcW w:w="448" w:type="pct"/>
            <w:shd w:val="clear" w:color="auto" w:fill="FFFFFF" w:themeFill="background1"/>
          </w:tcPr>
          <w:p w14:paraId="3B86629E"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rPr>
                <w:vertAlign w:val="superscript"/>
              </w:rPr>
            </w:pPr>
            <w:r w:rsidRPr="00BB46CB">
              <w:t xml:space="preserve">Shipwrecks </w:t>
            </w:r>
            <w:r w:rsidRPr="00BB46CB">
              <w:rPr>
                <w:vertAlign w:val="superscript"/>
              </w:rPr>
              <w:t>d</w:t>
            </w:r>
          </w:p>
        </w:tc>
        <w:tc>
          <w:tcPr>
            <w:tcW w:w="355" w:type="pct"/>
            <w:shd w:val="clear" w:color="auto" w:fill="FFFFFF" w:themeFill="background1"/>
          </w:tcPr>
          <w:p w14:paraId="2D8217B9"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Marine</w:t>
            </w:r>
          </w:p>
        </w:tc>
        <w:tc>
          <w:tcPr>
            <w:tcW w:w="533" w:type="pct"/>
            <w:shd w:val="clear" w:color="auto" w:fill="FFFFFF" w:themeFill="background1"/>
          </w:tcPr>
          <w:p w14:paraId="72D4E341"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Recreation and Tourism</w:t>
            </w:r>
          </w:p>
        </w:tc>
        <w:tc>
          <w:tcPr>
            <w:tcW w:w="301" w:type="pct"/>
            <w:shd w:val="clear" w:color="auto" w:fill="FFFFFF" w:themeFill="background1"/>
          </w:tcPr>
          <w:p w14:paraId="6C1F26A7"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Point data</w:t>
            </w:r>
          </w:p>
        </w:tc>
        <w:tc>
          <w:tcPr>
            <w:tcW w:w="454" w:type="pct"/>
            <w:shd w:val="clear" w:color="auto" w:fill="FFFFFF" w:themeFill="background1"/>
          </w:tcPr>
          <w:p w14:paraId="021AC00B"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DELWP (2019c)</w:t>
            </w:r>
          </w:p>
        </w:tc>
        <w:tc>
          <w:tcPr>
            <w:tcW w:w="346" w:type="pct"/>
            <w:shd w:val="clear" w:color="auto" w:fill="FFFFFF" w:themeFill="background1"/>
          </w:tcPr>
          <w:p w14:paraId="574624B6"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2019</w:t>
            </w:r>
          </w:p>
        </w:tc>
        <w:tc>
          <w:tcPr>
            <w:tcW w:w="580" w:type="pct"/>
            <w:shd w:val="clear" w:color="auto" w:fill="FFFFFF" w:themeFill="background1"/>
          </w:tcPr>
          <w:p w14:paraId="38FB353C"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Count</w:t>
            </w:r>
          </w:p>
        </w:tc>
        <w:tc>
          <w:tcPr>
            <w:tcW w:w="459" w:type="pct"/>
            <w:shd w:val="clear" w:color="auto" w:fill="FFFFFF" w:themeFill="background1"/>
          </w:tcPr>
          <w:p w14:paraId="1836047C"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4</w:t>
            </w:r>
          </w:p>
        </w:tc>
        <w:tc>
          <w:tcPr>
            <w:tcW w:w="372" w:type="pct"/>
            <w:shd w:val="clear" w:color="auto" w:fill="FFFFFF" w:themeFill="background1"/>
          </w:tcPr>
          <w:p w14:paraId="6B56B9AC"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30</w:t>
            </w:r>
          </w:p>
        </w:tc>
        <w:tc>
          <w:tcPr>
            <w:tcW w:w="444" w:type="pct"/>
            <w:shd w:val="clear" w:color="auto" w:fill="FFFFFF" w:themeFill="background1"/>
          </w:tcPr>
          <w:p w14:paraId="791DF743"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34</w:t>
            </w:r>
          </w:p>
        </w:tc>
        <w:tc>
          <w:tcPr>
            <w:tcW w:w="372" w:type="pct"/>
            <w:tcBorders>
              <w:right w:val="nil"/>
            </w:tcBorders>
            <w:shd w:val="clear" w:color="auto" w:fill="FFFFFF" w:themeFill="background1"/>
          </w:tcPr>
          <w:p w14:paraId="0DA3C83E"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Low</w:t>
            </w:r>
          </w:p>
        </w:tc>
      </w:tr>
      <w:tr w:rsidR="00277D48" w:rsidRPr="00BB46CB" w14:paraId="184E1BAB" w14:textId="77777777" w:rsidTr="00277D48">
        <w:trPr>
          <w:trHeight w:val="169"/>
        </w:trPr>
        <w:tc>
          <w:tcPr>
            <w:cnfStyle w:val="001000000000" w:firstRow="0" w:lastRow="0" w:firstColumn="1" w:lastColumn="0" w:oddVBand="0" w:evenVBand="0" w:oddHBand="0" w:evenHBand="0" w:firstRowFirstColumn="0" w:firstRowLastColumn="0" w:lastRowFirstColumn="0" w:lastRowLastColumn="0"/>
            <w:tcW w:w="4628" w:type="pct"/>
            <w:gridSpan w:val="11"/>
            <w:tcBorders>
              <w:left w:val="nil"/>
            </w:tcBorders>
            <w:shd w:val="clear" w:color="auto" w:fill="004C97" w:themeFill="accent1"/>
          </w:tcPr>
          <w:p w14:paraId="0FE109F3" w14:textId="77777777" w:rsidR="00277D48" w:rsidRPr="00277D48" w:rsidRDefault="00277D48" w:rsidP="00277D48">
            <w:pPr>
              <w:pStyle w:val="TableTextLeft"/>
              <w:rPr>
                <w:color w:val="FFFFFF" w:themeColor="background1"/>
              </w:rPr>
            </w:pPr>
            <w:r w:rsidRPr="00277D48">
              <w:rPr>
                <w:i/>
                <w:color w:val="FFFFFF" w:themeColor="background1"/>
              </w:rPr>
              <w:t>Socio-economic characteristics - Governance and management</w:t>
            </w:r>
          </w:p>
        </w:tc>
        <w:tc>
          <w:tcPr>
            <w:tcW w:w="372" w:type="pct"/>
            <w:tcBorders>
              <w:right w:val="nil"/>
            </w:tcBorders>
            <w:shd w:val="clear" w:color="auto" w:fill="004C97" w:themeFill="accent1"/>
          </w:tcPr>
          <w:p w14:paraId="47476081"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rPr>
                <w:i/>
              </w:rPr>
            </w:pPr>
          </w:p>
        </w:tc>
      </w:tr>
      <w:tr w:rsidR="00277D48" w:rsidRPr="00BB46CB" w14:paraId="5B7FACE2" w14:textId="77777777" w:rsidTr="00277D48">
        <w:trPr>
          <w:trHeight w:val="169"/>
        </w:trPr>
        <w:tc>
          <w:tcPr>
            <w:cnfStyle w:val="001000000000" w:firstRow="0" w:lastRow="0" w:firstColumn="1" w:lastColumn="0" w:oddVBand="0" w:evenVBand="0" w:oddHBand="0" w:evenHBand="0" w:firstRowFirstColumn="0" w:firstRowLastColumn="0" w:lastRowFirstColumn="0" w:lastRowLastColumn="0"/>
            <w:tcW w:w="785" w:type="pct"/>
            <w:gridSpan w:val="2"/>
            <w:tcBorders>
              <w:left w:val="nil"/>
            </w:tcBorders>
          </w:tcPr>
          <w:p w14:paraId="07882AB1" w14:textId="77777777" w:rsidR="00277D48" w:rsidRPr="00BB46CB" w:rsidRDefault="00277D48" w:rsidP="00277D48">
            <w:pPr>
              <w:pStyle w:val="TableTextLeft"/>
            </w:pPr>
            <w:proofErr w:type="spellStart"/>
            <w:r w:rsidRPr="00BB46CB">
              <w:t>CoastCare</w:t>
            </w:r>
            <w:proofErr w:type="spellEnd"/>
          </w:p>
        </w:tc>
        <w:tc>
          <w:tcPr>
            <w:tcW w:w="355" w:type="pct"/>
            <w:shd w:val="clear" w:color="auto" w:fill="FFFFFF" w:themeFill="background1"/>
          </w:tcPr>
          <w:p w14:paraId="0DDA8B4A"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Coastal margin</w:t>
            </w:r>
          </w:p>
        </w:tc>
        <w:tc>
          <w:tcPr>
            <w:tcW w:w="533" w:type="pct"/>
            <w:shd w:val="clear" w:color="auto" w:fill="FFFFFF" w:themeFill="background1"/>
          </w:tcPr>
          <w:p w14:paraId="141E5833"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Community cohesion</w:t>
            </w:r>
          </w:p>
        </w:tc>
        <w:tc>
          <w:tcPr>
            <w:tcW w:w="301" w:type="pct"/>
            <w:shd w:val="clear" w:color="auto" w:fill="FFFFFF" w:themeFill="background1"/>
          </w:tcPr>
          <w:p w14:paraId="6B2A467C"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n/a</w:t>
            </w:r>
          </w:p>
        </w:tc>
        <w:tc>
          <w:tcPr>
            <w:tcW w:w="454" w:type="pct"/>
            <w:shd w:val="clear" w:color="auto" w:fill="FFFFFF" w:themeFill="background1"/>
          </w:tcPr>
          <w:p w14:paraId="4FDEF875"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DELWP</w:t>
            </w:r>
          </w:p>
        </w:tc>
        <w:tc>
          <w:tcPr>
            <w:tcW w:w="346" w:type="pct"/>
            <w:shd w:val="clear" w:color="auto" w:fill="FFFFFF" w:themeFill="background1"/>
          </w:tcPr>
          <w:p w14:paraId="37EE929F"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2021</w:t>
            </w:r>
          </w:p>
        </w:tc>
        <w:tc>
          <w:tcPr>
            <w:tcW w:w="580" w:type="pct"/>
            <w:shd w:val="clear" w:color="auto" w:fill="FFFFFF" w:themeFill="background1"/>
          </w:tcPr>
          <w:p w14:paraId="567BA9BD"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Number people</w:t>
            </w:r>
          </w:p>
        </w:tc>
        <w:tc>
          <w:tcPr>
            <w:tcW w:w="459" w:type="pct"/>
            <w:shd w:val="clear" w:color="auto" w:fill="FFFFFF" w:themeFill="background1"/>
          </w:tcPr>
          <w:p w14:paraId="612B988A"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w:t>
            </w:r>
          </w:p>
        </w:tc>
        <w:tc>
          <w:tcPr>
            <w:tcW w:w="372" w:type="pct"/>
            <w:shd w:val="clear" w:color="auto" w:fill="FFFFFF" w:themeFill="background1"/>
          </w:tcPr>
          <w:p w14:paraId="6087E103"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w:t>
            </w:r>
          </w:p>
        </w:tc>
        <w:tc>
          <w:tcPr>
            <w:tcW w:w="444" w:type="pct"/>
            <w:shd w:val="clear" w:color="auto" w:fill="FFFFFF" w:themeFill="background1"/>
          </w:tcPr>
          <w:p w14:paraId="57D02C18"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1,300</w:t>
            </w:r>
          </w:p>
        </w:tc>
        <w:tc>
          <w:tcPr>
            <w:tcW w:w="372" w:type="pct"/>
            <w:tcBorders>
              <w:right w:val="nil"/>
            </w:tcBorders>
            <w:shd w:val="clear" w:color="auto" w:fill="FFFFFF" w:themeFill="background1"/>
          </w:tcPr>
          <w:p w14:paraId="68388628"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Low</w:t>
            </w:r>
          </w:p>
        </w:tc>
      </w:tr>
      <w:tr w:rsidR="00277D48" w:rsidRPr="00BB46CB" w14:paraId="59CCDD9C" w14:textId="77777777" w:rsidTr="00277D48">
        <w:trPr>
          <w:trHeight w:val="169"/>
        </w:trPr>
        <w:tc>
          <w:tcPr>
            <w:cnfStyle w:val="001000000000" w:firstRow="0" w:lastRow="0" w:firstColumn="1" w:lastColumn="0" w:oddVBand="0" w:evenVBand="0" w:oddHBand="0" w:evenHBand="0" w:firstRowFirstColumn="0" w:firstRowLastColumn="0" w:lastRowFirstColumn="0" w:lastRowLastColumn="0"/>
            <w:tcW w:w="785" w:type="pct"/>
            <w:gridSpan w:val="2"/>
            <w:tcBorders>
              <w:left w:val="nil"/>
            </w:tcBorders>
          </w:tcPr>
          <w:p w14:paraId="4C1839B6" w14:textId="77777777" w:rsidR="00277D48" w:rsidRPr="00BB46CB" w:rsidRDefault="00277D48" w:rsidP="00277D48">
            <w:pPr>
              <w:pStyle w:val="TableTextLeft"/>
            </w:pPr>
            <w:r w:rsidRPr="00BB46CB">
              <w:t>Community stewardship</w:t>
            </w:r>
          </w:p>
        </w:tc>
        <w:tc>
          <w:tcPr>
            <w:tcW w:w="355" w:type="pct"/>
            <w:shd w:val="clear" w:color="auto" w:fill="FFFFFF" w:themeFill="background1"/>
          </w:tcPr>
          <w:p w14:paraId="586ACC43"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All</w:t>
            </w:r>
          </w:p>
        </w:tc>
        <w:tc>
          <w:tcPr>
            <w:tcW w:w="533" w:type="pct"/>
            <w:shd w:val="clear" w:color="auto" w:fill="FFFFFF" w:themeFill="background1"/>
          </w:tcPr>
          <w:p w14:paraId="142B1BAE"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Community cohesion</w:t>
            </w:r>
          </w:p>
        </w:tc>
        <w:tc>
          <w:tcPr>
            <w:tcW w:w="301" w:type="pct"/>
            <w:shd w:val="clear" w:color="auto" w:fill="FFFFFF" w:themeFill="background1"/>
          </w:tcPr>
          <w:p w14:paraId="54D1A6EB"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n/a</w:t>
            </w:r>
          </w:p>
        </w:tc>
        <w:tc>
          <w:tcPr>
            <w:tcW w:w="454" w:type="pct"/>
            <w:shd w:val="clear" w:color="auto" w:fill="FFFFFF" w:themeFill="background1"/>
          </w:tcPr>
          <w:p w14:paraId="09FD74DE"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Various</w:t>
            </w:r>
          </w:p>
        </w:tc>
        <w:tc>
          <w:tcPr>
            <w:tcW w:w="346" w:type="pct"/>
            <w:shd w:val="clear" w:color="auto" w:fill="FFFFFF" w:themeFill="background1"/>
          </w:tcPr>
          <w:p w14:paraId="5B7926EA"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2021</w:t>
            </w:r>
          </w:p>
        </w:tc>
        <w:tc>
          <w:tcPr>
            <w:tcW w:w="580" w:type="pct"/>
            <w:shd w:val="clear" w:color="auto" w:fill="FFFFFF" w:themeFill="background1"/>
          </w:tcPr>
          <w:p w14:paraId="51D6B6AC"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Number groups</w:t>
            </w:r>
          </w:p>
        </w:tc>
        <w:tc>
          <w:tcPr>
            <w:tcW w:w="459" w:type="pct"/>
            <w:shd w:val="clear" w:color="auto" w:fill="FFFFFF" w:themeFill="background1"/>
          </w:tcPr>
          <w:p w14:paraId="352AD241"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w:t>
            </w:r>
          </w:p>
        </w:tc>
        <w:tc>
          <w:tcPr>
            <w:tcW w:w="372" w:type="pct"/>
            <w:shd w:val="clear" w:color="auto" w:fill="FFFFFF" w:themeFill="background1"/>
          </w:tcPr>
          <w:p w14:paraId="46D0E56C"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w:t>
            </w:r>
          </w:p>
        </w:tc>
        <w:tc>
          <w:tcPr>
            <w:tcW w:w="444" w:type="pct"/>
            <w:shd w:val="clear" w:color="auto" w:fill="FFFFFF" w:themeFill="background1"/>
          </w:tcPr>
          <w:p w14:paraId="56FE49F5"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51</w:t>
            </w:r>
          </w:p>
        </w:tc>
        <w:tc>
          <w:tcPr>
            <w:tcW w:w="372" w:type="pct"/>
            <w:tcBorders>
              <w:right w:val="nil"/>
            </w:tcBorders>
            <w:shd w:val="clear" w:color="auto" w:fill="FFFFFF" w:themeFill="background1"/>
          </w:tcPr>
          <w:p w14:paraId="74682127"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Low</w:t>
            </w:r>
          </w:p>
        </w:tc>
      </w:tr>
      <w:tr w:rsidR="00277D48" w:rsidRPr="00BB46CB" w14:paraId="0E9F568D" w14:textId="77777777" w:rsidTr="00277D48">
        <w:trPr>
          <w:trHeight w:val="169"/>
        </w:trPr>
        <w:tc>
          <w:tcPr>
            <w:cnfStyle w:val="001000000000" w:firstRow="0" w:lastRow="0" w:firstColumn="1" w:lastColumn="0" w:oddVBand="0" w:evenVBand="0" w:oddHBand="0" w:evenHBand="0" w:firstRowFirstColumn="0" w:firstRowLastColumn="0" w:lastRowFirstColumn="0" w:lastRowLastColumn="0"/>
            <w:tcW w:w="785" w:type="pct"/>
            <w:gridSpan w:val="2"/>
            <w:vMerge w:val="restart"/>
            <w:tcBorders>
              <w:left w:val="nil"/>
            </w:tcBorders>
          </w:tcPr>
          <w:p w14:paraId="235EA109" w14:textId="77777777" w:rsidR="00277D48" w:rsidRPr="00BB46CB" w:rsidRDefault="00277D48" w:rsidP="00277D48">
            <w:pPr>
              <w:pStyle w:val="TableTextLeft"/>
            </w:pPr>
            <w:r w:rsidRPr="00BB46CB">
              <w:t>National parks and nature reserves</w:t>
            </w:r>
          </w:p>
        </w:tc>
        <w:tc>
          <w:tcPr>
            <w:tcW w:w="355" w:type="pct"/>
            <w:vMerge w:val="restart"/>
            <w:shd w:val="clear" w:color="auto" w:fill="FFFFFF" w:themeFill="background1"/>
          </w:tcPr>
          <w:p w14:paraId="00549750"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All</w:t>
            </w:r>
          </w:p>
        </w:tc>
        <w:tc>
          <w:tcPr>
            <w:tcW w:w="533" w:type="pct"/>
            <w:vMerge w:val="restart"/>
            <w:shd w:val="clear" w:color="auto" w:fill="FFFFFF" w:themeFill="background1"/>
          </w:tcPr>
          <w:p w14:paraId="483D7EA7"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Various</w:t>
            </w:r>
          </w:p>
        </w:tc>
        <w:tc>
          <w:tcPr>
            <w:tcW w:w="301" w:type="pct"/>
            <w:vMerge w:val="restart"/>
            <w:shd w:val="clear" w:color="auto" w:fill="FFFFFF" w:themeFill="background1"/>
          </w:tcPr>
          <w:p w14:paraId="7A30950C"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1:25k</w:t>
            </w:r>
          </w:p>
        </w:tc>
        <w:tc>
          <w:tcPr>
            <w:tcW w:w="454" w:type="pct"/>
            <w:vMerge w:val="restart"/>
            <w:shd w:val="clear" w:color="auto" w:fill="FFFFFF" w:themeFill="background1"/>
          </w:tcPr>
          <w:p w14:paraId="34D2E76B"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DELWP (2021c)</w:t>
            </w:r>
          </w:p>
        </w:tc>
        <w:tc>
          <w:tcPr>
            <w:tcW w:w="346" w:type="pct"/>
            <w:vMerge w:val="restart"/>
            <w:shd w:val="clear" w:color="auto" w:fill="FFFFFF" w:themeFill="background1"/>
          </w:tcPr>
          <w:p w14:paraId="1A04C9AB"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2021</w:t>
            </w:r>
          </w:p>
        </w:tc>
        <w:tc>
          <w:tcPr>
            <w:tcW w:w="580" w:type="pct"/>
            <w:shd w:val="clear" w:color="auto" w:fill="FFFFFF" w:themeFill="background1"/>
          </w:tcPr>
          <w:p w14:paraId="44B957C6"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Ha</w:t>
            </w:r>
          </w:p>
        </w:tc>
        <w:tc>
          <w:tcPr>
            <w:tcW w:w="459" w:type="pct"/>
            <w:shd w:val="clear" w:color="auto" w:fill="FFFFFF" w:themeFill="background1"/>
          </w:tcPr>
          <w:p w14:paraId="156918AE"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w:t>
            </w:r>
          </w:p>
        </w:tc>
        <w:tc>
          <w:tcPr>
            <w:tcW w:w="372" w:type="pct"/>
            <w:shd w:val="clear" w:color="auto" w:fill="FFFFFF" w:themeFill="background1"/>
          </w:tcPr>
          <w:p w14:paraId="7BE48534"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w:t>
            </w:r>
          </w:p>
        </w:tc>
        <w:tc>
          <w:tcPr>
            <w:tcW w:w="444" w:type="pct"/>
            <w:shd w:val="clear" w:color="auto" w:fill="FFFFFF" w:themeFill="background1"/>
          </w:tcPr>
          <w:p w14:paraId="08D70C5D"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33,400</w:t>
            </w:r>
          </w:p>
        </w:tc>
        <w:tc>
          <w:tcPr>
            <w:tcW w:w="372" w:type="pct"/>
            <w:vMerge w:val="restart"/>
            <w:tcBorders>
              <w:right w:val="nil"/>
            </w:tcBorders>
            <w:shd w:val="clear" w:color="auto" w:fill="FFFFFF" w:themeFill="background1"/>
          </w:tcPr>
          <w:p w14:paraId="3D01F1A0"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Low</w:t>
            </w:r>
          </w:p>
        </w:tc>
      </w:tr>
      <w:tr w:rsidR="00277D48" w:rsidRPr="00BB46CB" w14:paraId="61952328" w14:textId="77777777" w:rsidTr="00277D48">
        <w:trPr>
          <w:trHeight w:val="169"/>
        </w:trPr>
        <w:tc>
          <w:tcPr>
            <w:cnfStyle w:val="001000000000" w:firstRow="0" w:lastRow="0" w:firstColumn="1" w:lastColumn="0" w:oddVBand="0" w:evenVBand="0" w:oddHBand="0" w:evenHBand="0" w:firstRowFirstColumn="0" w:firstRowLastColumn="0" w:lastRowFirstColumn="0" w:lastRowLastColumn="0"/>
            <w:tcW w:w="785" w:type="pct"/>
            <w:gridSpan w:val="2"/>
            <w:vMerge/>
            <w:tcBorders>
              <w:left w:val="nil"/>
            </w:tcBorders>
          </w:tcPr>
          <w:p w14:paraId="11C82762" w14:textId="77777777" w:rsidR="00277D48" w:rsidRPr="00BB46CB" w:rsidRDefault="00277D48" w:rsidP="00277D48">
            <w:pPr>
              <w:pStyle w:val="TableTextLeft"/>
            </w:pPr>
          </w:p>
        </w:tc>
        <w:tc>
          <w:tcPr>
            <w:tcW w:w="355" w:type="pct"/>
            <w:vMerge/>
          </w:tcPr>
          <w:p w14:paraId="469B8B01"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533" w:type="pct"/>
            <w:vMerge/>
          </w:tcPr>
          <w:p w14:paraId="58308C3D"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301" w:type="pct"/>
            <w:vMerge/>
          </w:tcPr>
          <w:p w14:paraId="5980E90F"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454" w:type="pct"/>
            <w:vMerge/>
          </w:tcPr>
          <w:p w14:paraId="4179C9AD"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346" w:type="pct"/>
            <w:vMerge/>
          </w:tcPr>
          <w:p w14:paraId="783ADAE5"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580" w:type="pct"/>
            <w:shd w:val="clear" w:color="auto" w:fill="FFFFFF" w:themeFill="background1"/>
          </w:tcPr>
          <w:p w14:paraId="04EC765C"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Number</w:t>
            </w:r>
          </w:p>
        </w:tc>
        <w:tc>
          <w:tcPr>
            <w:tcW w:w="459" w:type="pct"/>
            <w:shd w:val="clear" w:color="auto" w:fill="FFFFFF" w:themeFill="background1"/>
          </w:tcPr>
          <w:p w14:paraId="7E8561F0"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w:t>
            </w:r>
          </w:p>
        </w:tc>
        <w:tc>
          <w:tcPr>
            <w:tcW w:w="372" w:type="pct"/>
            <w:shd w:val="clear" w:color="auto" w:fill="FFFFFF" w:themeFill="background1"/>
          </w:tcPr>
          <w:p w14:paraId="5E0B2F12"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w:t>
            </w:r>
          </w:p>
        </w:tc>
        <w:tc>
          <w:tcPr>
            <w:tcW w:w="444" w:type="pct"/>
            <w:shd w:val="clear" w:color="auto" w:fill="FFFFFF" w:themeFill="background1"/>
          </w:tcPr>
          <w:p w14:paraId="6E199B2E"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13</w:t>
            </w:r>
          </w:p>
        </w:tc>
        <w:tc>
          <w:tcPr>
            <w:tcW w:w="372" w:type="pct"/>
            <w:vMerge/>
            <w:tcBorders>
              <w:right w:val="nil"/>
            </w:tcBorders>
          </w:tcPr>
          <w:p w14:paraId="67632526"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r>
      <w:tr w:rsidR="00277D48" w:rsidRPr="00BB46CB" w14:paraId="756A5E82" w14:textId="77777777" w:rsidTr="00277D48">
        <w:trPr>
          <w:trHeight w:val="169"/>
        </w:trPr>
        <w:tc>
          <w:tcPr>
            <w:cnfStyle w:val="001000000000" w:firstRow="0" w:lastRow="0" w:firstColumn="1" w:lastColumn="0" w:oddVBand="0" w:evenVBand="0" w:oddHBand="0" w:evenHBand="0" w:firstRowFirstColumn="0" w:firstRowLastColumn="0" w:lastRowFirstColumn="0" w:lastRowLastColumn="0"/>
            <w:tcW w:w="785" w:type="pct"/>
            <w:gridSpan w:val="2"/>
            <w:vMerge w:val="restart"/>
            <w:tcBorders>
              <w:left w:val="nil"/>
            </w:tcBorders>
          </w:tcPr>
          <w:p w14:paraId="31729524" w14:textId="77777777" w:rsidR="00277D48" w:rsidRPr="00BB46CB" w:rsidRDefault="00277D48" w:rsidP="00277D48">
            <w:pPr>
              <w:pStyle w:val="TableTextLeft"/>
            </w:pPr>
            <w:r w:rsidRPr="00BB46CB">
              <w:t>Other conservation reserves</w:t>
            </w:r>
          </w:p>
        </w:tc>
        <w:tc>
          <w:tcPr>
            <w:tcW w:w="355" w:type="pct"/>
            <w:vMerge w:val="restart"/>
            <w:shd w:val="clear" w:color="auto" w:fill="FFFFFF" w:themeFill="background1"/>
          </w:tcPr>
          <w:p w14:paraId="13D0573A"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All</w:t>
            </w:r>
          </w:p>
        </w:tc>
        <w:tc>
          <w:tcPr>
            <w:tcW w:w="533" w:type="pct"/>
            <w:vMerge w:val="restart"/>
            <w:shd w:val="clear" w:color="auto" w:fill="FFFFFF" w:themeFill="background1"/>
          </w:tcPr>
          <w:p w14:paraId="3AAF1B0C"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Various</w:t>
            </w:r>
          </w:p>
        </w:tc>
        <w:tc>
          <w:tcPr>
            <w:tcW w:w="301" w:type="pct"/>
            <w:vMerge w:val="restart"/>
            <w:shd w:val="clear" w:color="auto" w:fill="FFFFFF" w:themeFill="background1"/>
          </w:tcPr>
          <w:p w14:paraId="6AAD6011"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1:25k</w:t>
            </w:r>
          </w:p>
        </w:tc>
        <w:tc>
          <w:tcPr>
            <w:tcW w:w="454" w:type="pct"/>
            <w:vMerge w:val="restart"/>
            <w:shd w:val="clear" w:color="auto" w:fill="FFFFFF" w:themeFill="background1"/>
          </w:tcPr>
          <w:p w14:paraId="184B5BAC"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DELWP (2021c)</w:t>
            </w:r>
          </w:p>
        </w:tc>
        <w:tc>
          <w:tcPr>
            <w:tcW w:w="346" w:type="pct"/>
            <w:vMerge w:val="restart"/>
            <w:shd w:val="clear" w:color="auto" w:fill="FFFFFF" w:themeFill="background1"/>
          </w:tcPr>
          <w:p w14:paraId="1E0893C1"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2021</w:t>
            </w:r>
          </w:p>
        </w:tc>
        <w:tc>
          <w:tcPr>
            <w:tcW w:w="580" w:type="pct"/>
            <w:shd w:val="clear" w:color="auto" w:fill="FFFFFF" w:themeFill="background1"/>
          </w:tcPr>
          <w:p w14:paraId="4A19046A"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Ha</w:t>
            </w:r>
          </w:p>
        </w:tc>
        <w:tc>
          <w:tcPr>
            <w:tcW w:w="459" w:type="pct"/>
            <w:shd w:val="clear" w:color="auto" w:fill="FFFFFF" w:themeFill="background1"/>
          </w:tcPr>
          <w:p w14:paraId="3CCB4447"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w:t>
            </w:r>
          </w:p>
        </w:tc>
        <w:tc>
          <w:tcPr>
            <w:tcW w:w="372" w:type="pct"/>
            <w:shd w:val="clear" w:color="auto" w:fill="FFFFFF" w:themeFill="background1"/>
          </w:tcPr>
          <w:p w14:paraId="5D07359A"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w:t>
            </w:r>
          </w:p>
        </w:tc>
        <w:tc>
          <w:tcPr>
            <w:tcW w:w="444" w:type="pct"/>
            <w:shd w:val="clear" w:color="auto" w:fill="FFFFFF" w:themeFill="background1"/>
          </w:tcPr>
          <w:p w14:paraId="78A03EAA"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7,500</w:t>
            </w:r>
          </w:p>
        </w:tc>
        <w:tc>
          <w:tcPr>
            <w:tcW w:w="372" w:type="pct"/>
            <w:vMerge w:val="restart"/>
            <w:tcBorders>
              <w:right w:val="nil"/>
            </w:tcBorders>
            <w:shd w:val="clear" w:color="auto" w:fill="FFFFFF" w:themeFill="background1"/>
          </w:tcPr>
          <w:p w14:paraId="36910B46"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Low</w:t>
            </w:r>
          </w:p>
        </w:tc>
      </w:tr>
      <w:tr w:rsidR="00277D48" w:rsidRPr="00BB46CB" w14:paraId="401FD202" w14:textId="77777777" w:rsidTr="00277D48">
        <w:trPr>
          <w:trHeight w:val="169"/>
        </w:trPr>
        <w:tc>
          <w:tcPr>
            <w:cnfStyle w:val="001000000000" w:firstRow="0" w:lastRow="0" w:firstColumn="1" w:lastColumn="0" w:oddVBand="0" w:evenVBand="0" w:oddHBand="0" w:evenHBand="0" w:firstRowFirstColumn="0" w:firstRowLastColumn="0" w:lastRowFirstColumn="0" w:lastRowLastColumn="0"/>
            <w:tcW w:w="785" w:type="pct"/>
            <w:gridSpan w:val="2"/>
            <w:vMerge/>
            <w:tcBorders>
              <w:left w:val="nil"/>
            </w:tcBorders>
          </w:tcPr>
          <w:p w14:paraId="0CB89884" w14:textId="77777777" w:rsidR="00277D48" w:rsidRPr="00BB46CB" w:rsidRDefault="00277D48" w:rsidP="00277D48">
            <w:pPr>
              <w:pStyle w:val="TableTextLeft"/>
            </w:pPr>
          </w:p>
        </w:tc>
        <w:tc>
          <w:tcPr>
            <w:tcW w:w="355" w:type="pct"/>
            <w:vMerge/>
          </w:tcPr>
          <w:p w14:paraId="20BFBA06"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533" w:type="pct"/>
            <w:vMerge/>
          </w:tcPr>
          <w:p w14:paraId="76504940"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301" w:type="pct"/>
            <w:vMerge/>
          </w:tcPr>
          <w:p w14:paraId="01170AA0"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454" w:type="pct"/>
            <w:vMerge/>
          </w:tcPr>
          <w:p w14:paraId="6BFF3EAA"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346" w:type="pct"/>
            <w:vMerge/>
          </w:tcPr>
          <w:p w14:paraId="3A13F5D9"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c>
          <w:tcPr>
            <w:tcW w:w="580" w:type="pct"/>
            <w:shd w:val="clear" w:color="auto" w:fill="FFFFFF" w:themeFill="background1"/>
          </w:tcPr>
          <w:p w14:paraId="2ACB4F0A"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Number</w:t>
            </w:r>
          </w:p>
        </w:tc>
        <w:tc>
          <w:tcPr>
            <w:tcW w:w="459" w:type="pct"/>
            <w:shd w:val="clear" w:color="auto" w:fill="FFFFFF" w:themeFill="background1"/>
          </w:tcPr>
          <w:p w14:paraId="54A3F7DE"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w:t>
            </w:r>
          </w:p>
        </w:tc>
        <w:tc>
          <w:tcPr>
            <w:tcW w:w="372" w:type="pct"/>
            <w:shd w:val="clear" w:color="auto" w:fill="FFFFFF" w:themeFill="background1"/>
          </w:tcPr>
          <w:p w14:paraId="3168D332"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w:t>
            </w:r>
          </w:p>
        </w:tc>
        <w:tc>
          <w:tcPr>
            <w:tcW w:w="444" w:type="pct"/>
            <w:shd w:val="clear" w:color="auto" w:fill="FFFFFF" w:themeFill="background1"/>
          </w:tcPr>
          <w:p w14:paraId="1D7AECF3"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52</w:t>
            </w:r>
          </w:p>
        </w:tc>
        <w:tc>
          <w:tcPr>
            <w:tcW w:w="372" w:type="pct"/>
            <w:vMerge/>
            <w:tcBorders>
              <w:right w:val="nil"/>
            </w:tcBorders>
          </w:tcPr>
          <w:p w14:paraId="0FE0DA35"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
        </w:tc>
      </w:tr>
      <w:tr w:rsidR="00277D48" w:rsidRPr="00BB46CB" w14:paraId="66E7C87A" w14:textId="77777777" w:rsidTr="00277D48">
        <w:trPr>
          <w:trHeight w:val="70"/>
        </w:trPr>
        <w:tc>
          <w:tcPr>
            <w:cnfStyle w:val="001000000000" w:firstRow="0" w:lastRow="0" w:firstColumn="1" w:lastColumn="0" w:oddVBand="0" w:evenVBand="0" w:oddHBand="0" w:evenHBand="0" w:firstRowFirstColumn="0" w:firstRowLastColumn="0" w:lastRowFirstColumn="0" w:lastRowLastColumn="0"/>
            <w:tcW w:w="4628" w:type="pct"/>
            <w:gridSpan w:val="11"/>
            <w:tcBorders>
              <w:left w:val="nil"/>
            </w:tcBorders>
            <w:shd w:val="clear" w:color="auto" w:fill="004C97" w:themeFill="accent1"/>
          </w:tcPr>
          <w:p w14:paraId="1FC87DC1" w14:textId="77777777" w:rsidR="00277D48" w:rsidRPr="00277D48" w:rsidRDefault="00277D48" w:rsidP="00277D48">
            <w:pPr>
              <w:pStyle w:val="TableTextLeft"/>
              <w:rPr>
                <w:color w:val="FFFFFF" w:themeColor="background1"/>
              </w:rPr>
            </w:pPr>
            <w:r w:rsidRPr="00277D48">
              <w:rPr>
                <w:i/>
                <w:color w:val="FFFFFF" w:themeColor="background1"/>
              </w:rPr>
              <w:t>Socio-economic characteristics - Built assets</w:t>
            </w:r>
          </w:p>
        </w:tc>
        <w:tc>
          <w:tcPr>
            <w:tcW w:w="372" w:type="pct"/>
            <w:tcBorders>
              <w:right w:val="nil"/>
            </w:tcBorders>
            <w:shd w:val="clear" w:color="auto" w:fill="004C97" w:themeFill="accent1"/>
          </w:tcPr>
          <w:p w14:paraId="698D2596"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rPr>
                <w:i/>
              </w:rPr>
            </w:pPr>
          </w:p>
        </w:tc>
      </w:tr>
      <w:tr w:rsidR="00277D48" w:rsidRPr="00BB46CB" w14:paraId="1B238922" w14:textId="77777777" w:rsidTr="00277D48">
        <w:trPr>
          <w:trHeight w:val="70"/>
        </w:trPr>
        <w:tc>
          <w:tcPr>
            <w:cnfStyle w:val="001000000000" w:firstRow="0" w:lastRow="0" w:firstColumn="1" w:lastColumn="0" w:oddVBand="0" w:evenVBand="0" w:oddHBand="0" w:evenHBand="0" w:firstRowFirstColumn="0" w:firstRowLastColumn="0" w:lastRowFirstColumn="0" w:lastRowLastColumn="0"/>
            <w:tcW w:w="785" w:type="pct"/>
            <w:gridSpan w:val="2"/>
            <w:tcBorders>
              <w:left w:val="nil"/>
            </w:tcBorders>
          </w:tcPr>
          <w:p w14:paraId="6502DA1E" w14:textId="77777777" w:rsidR="00277D48" w:rsidRPr="00BB46CB" w:rsidRDefault="00277D48" w:rsidP="00277D48">
            <w:pPr>
              <w:pStyle w:val="TableTextLeft"/>
            </w:pPr>
            <w:r w:rsidRPr="00BB46CB">
              <w:t>Piers and jetties</w:t>
            </w:r>
          </w:p>
        </w:tc>
        <w:tc>
          <w:tcPr>
            <w:tcW w:w="355" w:type="pct"/>
            <w:shd w:val="clear" w:color="auto" w:fill="FFFFFF" w:themeFill="background1"/>
          </w:tcPr>
          <w:p w14:paraId="39769D05"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Marine</w:t>
            </w:r>
          </w:p>
        </w:tc>
        <w:tc>
          <w:tcPr>
            <w:tcW w:w="533" w:type="pct"/>
            <w:shd w:val="clear" w:color="auto" w:fill="FFFFFF" w:themeFill="background1"/>
          </w:tcPr>
          <w:p w14:paraId="1672A6C8"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Recreation and Tourism</w:t>
            </w:r>
          </w:p>
        </w:tc>
        <w:tc>
          <w:tcPr>
            <w:tcW w:w="301" w:type="pct"/>
            <w:shd w:val="clear" w:color="auto" w:fill="FFFFFF" w:themeFill="background1"/>
          </w:tcPr>
          <w:p w14:paraId="4774F197"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Point data</w:t>
            </w:r>
          </w:p>
        </w:tc>
        <w:tc>
          <w:tcPr>
            <w:tcW w:w="454" w:type="pct"/>
            <w:shd w:val="clear" w:color="auto" w:fill="FFFFFF" w:themeFill="background1"/>
          </w:tcPr>
          <w:p w14:paraId="6C650AC4"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DELWP (2020)</w:t>
            </w:r>
          </w:p>
        </w:tc>
        <w:tc>
          <w:tcPr>
            <w:tcW w:w="346" w:type="pct"/>
            <w:shd w:val="clear" w:color="auto" w:fill="FFFFFF" w:themeFill="background1"/>
          </w:tcPr>
          <w:p w14:paraId="7B5AE408"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2020</w:t>
            </w:r>
          </w:p>
        </w:tc>
        <w:tc>
          <w:tcPr>
            <w:tcW w:w="580" w:type="pct"/>
            <w:shd w:val="clear" w:color="auto" w:fill="FFFFFF" w:themeFill="background1"/>
          </w:tcPr>
          <w:p w14:paraId="68EAF739"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Count</w:t>
            </w:r>
          </w:p>
        </w:tc>
        <w:tc>
          <w:tcPr>
            <w:tcW w:w="459" w:type="pct"/>
            <w:shd w:val="clear" w:color="auto" w:fill="FFFFFF" w:themeFill="background1"/>
          </w:tcPr>
          <w:p w14:paraId="191B2A57"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0</w:t>
            </w:r>
          </w:p>
        </w:tc>
        <w:tc>
          <w:tcPr>
            <w:tcW w:w="372" w:type="pct"/>
            <w:shd w:val="clear" w:color="auto" w:fill="FFFFFF" w:themeFill="background1"/>
          </w:tcPr>
          <w:p w14:paraId="4233FCE9"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7</w:t>
            </w:r>
          </w:p>
        </w:tc>
        <w:tc>
          <w:tcPr>
            <w:tcW w:w="444" w:type="pct"/>
            <w:shd w:val="clear" w:color="auto" w:fill="FFFFFF" w:themeFill="background1"/>
          </w:tcPr>
          <w:p w14:paraId="5F7A3E0D"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7</w:t>
            </w:r>
          </w:p>
        </w:tc>
        <w:tc>
          <w:tcPr>
            <w:tcW w:w="372" w:type="pct"/>
            <w:tcBorders>
              <w:right w:val="nil"/>
            </w:tcBorders>
            <w:shd w:val="clear" w:color="auto" w:fill="FFFFFF" w:themeFill="background1"/>
          </w:tcPr>
          <w:p w14:paraId="6FAB5688"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Low</w:t>
            </w:r>
          </w:p>
        </w:tc>
      </w:tr>
      <w:tr w:rsidR="00277D48" w:rsidRPr="00BB46CB" w14:paraId="1CC88638" w14:textId="77777777" w:rsidTr="00277D48">
        <w:trPr>
          <w:trHeight w:val="70"/>
        </w:trPr>
        <w:tc>
          <w:tcPr>
            <w:cnfStyle w:val="001000000000" w:firstRow="0" w:lastRow="0" w:firstColumn="1" w:lastColumn="0" w:oddVBand="0" w:evenVBand="0" w:oddHBand="0" w:evenHBand="0" w:firstRowFirstColumn="0" w:firstRowLastColumn="0" w:lastRowFirstColumn="0" w:lastRowLastColumn="0"/>
            <w:tcW w:w="785" w:type="pct"/>
            <w:gridSpan w:val="2"/>
            <w:tcBorders>
              <w:left w:val="nil"/>
            </w:tcBorders>
          </w:tcPr>
          <w:p w14:paraId="3D509C38" w14:textId="77777777" w:rsidR="00277D48" w:rsidRPr="00BB46CB" w:rsidRDefault="00277D48" w:rsidP="00277D48">
            <w:pPr>
              <w:pStyle w:val="TableTextLeft"/>
            </w:pPr>
            <w:r w:rsidRPr="00BB46CB">
              <w:t>Boating Infrastructure</w:t>
            </w:r>
          </w:p>
        </w:tc>
        <w:tc>
          <w:tcPr>
            <w:tcW w:w="355" w:type="pct"/>
            <w:shd w:val="clear" w:color="auto" w:fill="FFFFFF" w:themeFill="background1"/>
          </w:tcPr>
          <w:p w14:paraId="5885D307"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Marine</w:t>
            </w:r>
          </w:p>
        </w:tc>
        <w:tc>
          <w:tcPr>
            <w:tcW w:w="533" w:type="pct"/>
            <w:shd w:val="clear" w:color="auto" w:fill="FFFFFF" w:themeFill="background1"/>
          </w:tcPr>
          <w:p w14:paraId="20FDA6B6"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Recreation and Tourism</w:t>
            </w:r>
          </w:p>
        </w:tc>
        <w:tc>
          <w:tcPr>
            <w:tcW w:w="301" w:type="pct"/>
            <w:shd w:val="clear" w:color="auto" w:fill="FFFFFF" w:themeFill="background1"/>
          </w:tcPr>
          <w:p w14:paraId="3DF14E90"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Point data</w:t>
            </w:r>
          </w:p>
        </w:tc>
        <w:tc>
          <w:tcPr>
            <w:tcW w:w="454" w:type="pct"/>
            <w:shd w:val="clear" w:color="auto" w:fill="FFFFFF" w:themeFill="background1"/>
          </w:tcPr>
          <w:p w14:paraId="6D5FB7DC"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DELWP (2020)</w:t>
            </w:r>
          </w:p>
        </w:tc>
        <w:tc>
          <w:tcPr>
            <w:tcW w:w="346" w:type="pct"/>
            <w:shd w:val="clear" w:color="auto" w:fill="FFFFFF" w:themeFill="background1"/>
          </w:tcPr>
          <w:p w14:paraId="0C1D730E"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2021</w:t>
            </w:r>
          </w:p>
        </w:tc>
        <w:tc>
          <w:tcPr>
            <w:tcW w:w="580" w:type="pct"/>
            <w:shd w:val="clear" w:color="auto" w:fill="FFFFFF" w:themeFill="background1"/>
          </w:tcPr>
          <w:p w14:paraId="60D3846D"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Count</w:t>
            </w:r>
          </w:p>
        </w:tc>
        <w:tc>
          <w:tcPr>
            <w:tcW w:w="459" w:type="pct"/>
            <w:shd w:val="clear" w:color="auto" w:fill="FFFFFF" w:themeFill="background1"/>
          </w:tcPr>
          <w:p w14:paraId="2D8C271C"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0</w:t>
            </w:r>
          </w:p>
        </w:tc>
        <w:tc>
          <w:tcPr>
            <w:tcW w:w="372" w:type="pct"/>
            <w:shd w:val="clear" w:color="auto" w:fill="FFFFFF" w:themeFill="background1"/>
          </w:tcPr>
          <w:p w14:paraId="74C52B05"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33</w:t>
            </w:r>
          </w:p>
        </w:tc>
        <w:tc>
          <w:tcPr>
            <w:tcW w:w="444" w:type="pct"/>
            <w:shd w:val="clear" w:color="auto" w:fill="FFFFFF" w:themeFill="background1"/>
          </w:tcPr>
          <w:p w14:paraId="4B105474"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33</w:t>
            </w:r>
          </w:p>
        </w:tc>
        <w:tc>
          <w:tcPr>
            <w:tcW w:w="372" w:type="pct"/>
            <w:tcBorders>
              <w:right w:val="nil"/>
            </w:tcBorders>
            <w:shd w:val="clear" w:color="auto" w:fill="FFFFFF" w:themeFill="background1"/>
          </w:tcPr>
          <w:p w14:paraId="4C84C6B9"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Low</w:t>
            </w:r>
          </w:p>
        </w:tc>
      </w:tr>
      <w:tr w:rsidR="00277D48" w:rsidRPr="00BB46CB" w14:paraId="4812F8BC" w14:textId="77777777" w:rsidTr="00277D48">
        <w:trPr>
          <w:trHeight w:val="70"/>
        </w:trPr>
        <w:tc>
          <w:tcPr>
            <w:cnfStyle w:val="001000000000" w:firstRow="0" w:lastRow="0" w:firstColumn="1" w:lastColumn="0" w:oddVBand="0" w:evenVBand="0" w:oddHBand="0" w:evenHBand="0" w:firstRowFirstColumn="0" w:firstRowLastColumn="0" w:lastRowFirstColumn="0" w:lastRowLastColumn="0"/>
            <w:tcW w:w="785" w:type="pct"/>
            <w:gridSpan w:val="2"/>
            <w:tcBorders>
              <w:left w:val="nil"/>
            </w:tcBorders>
          </w:tcPr>
          <w:p w14:paraId="53D1D21B" w14:textId="77777777" w:rsidR="00277D48" w:rsidRPr="00BB46CB" w:rsidRDefault="00277D48" w:rsidP="00277D48">
            <w:pPr>
              <w:pStyle w:val="TableTextLeft"/>
            </w:pPr>
            <w:r w:rsidRPr="00BB46CB">
              <w:t>Walking tracks</w:t>
            </w:r>
          </w:p>
        </w:tc>
        <w:tc>
          <w:tcPr>
            <w:tcW w:w="355" w:type="pct"/>
            <w:shd w:val="clear" w:color="auto" w:fill="FFFFFF" w:themeFill="background1"/>
          </w:tcPr>
          <w:p w14:paraId="337645C1"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Terrestrial</w:t>
            </w:r>
          </w:p>
        </w:tc>
        <w:tc>
          <w:tcPr>
            <w:tcW w:w="533" w:type="pct"/>
            <w:shd w:val="clear" w:color="auto" w:fill="FFFFFF" w:themeFill="background1"/>
          </w:tcPr>
          <w:p w14:paraId="5B5EBED3"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Recreation and Tourism</w:t>
            </w:r>
          </w:p>
        </w:tc>
        <w:tc>
          <w:tcPr>
            <w:tcW w:w="301" w:type="pct"/>
            <w:shd w:val="clear" w:color="auto" w:fill="FFFFFF" w:themeFill="background1"/>
          </w:tcPr>
          <w:p w14:paraId="5CCB89F4"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1:25k</w:t>
            </w:r>
          </w:p>
        </w:tc>
        <w:tc>
          <w:tcPr>
            <w:tcW w:w="454" w:type="pct"/>
            <w:shd w:val="clear" w:color="auto" w:fill="FFFFFF" w:themeFill="background1"/>
          </w:tcPr>
          <w:p w14:paraId="077845AA"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DELWP (2020d)</w:t>
            </w:r>
          </w:p>
        </w:tc>
        <w:tc>
          <w:tcPr>
            <w:tcW w:w="346" w:type="pct"/>
            <w:shd w:val="clear" w:color="auto" w:fill="FFFFFF" w:themeFill="background1"/>
          </w:tcPr>
          <w:p w14:paraId="2C152D14"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2020</w:t>
            </w:r>
          </w:p>
        </w:tc>
        <w:tc>
          <w:tcPr>
            <w:tcW w:w="580" w:type="pct"/>
            <w:shd w:val="clear" w:color="auto" w:fill="FFFFFF" w:themeFill="background1"/>
          </w:tcPr>
          <w:p w14:paraId="436F1316"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Km</w:t>
            </w:r>
          </w:p>
        </w:tc>
        <w:tc>
          <w:tcPr>
            <w:tcW w:w="459" w:type="pct"/>
            <w:shd w:val="clear" w:color="auto" w:fill="FFFFFF" w:themeFill="background1"/>
          </w:tcPr>
          <w:p w14:paraId="173BFD06"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17</w:t>
            </w:r>
          </w:p>
        </w:tc>
        <w:tc>
          <w:tcPr>
            <w:tcW w:w="372" w:type="pct"/>
            <w:shd w:val="clear" w:color="auto" w:fill="FFFFFF" w:themeFill="background1"/>
          </w:tcPr>
          <w:p w14:paraId="73669456"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222</w:t>
            </w:r>
          </w:p>
        </w:tc>
        <w:tc>
          <w:tcPr>
            <w:tcW w:w="444" w:type="pct"/>
            <w:shd w:val="clear" w:color="auto" w:fill="FFFFFF" w:themeFill="background1"/>
          </w:tcPr>
          <w:p w14:paraId="41559A2F"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239</w:t>
            </w:r>
          </w:p>
        </w:tc>
        <w:tc>
          <w:tcPr>
            <w:tcW w:w="372" w:type="pct"/>
            <w:tcBorders>
              <w:right w:val="nil"/>
            </w:tcBorders>
            <w:shd w:val="clear" w:color="auto" w:fill="FFFFFF" w:themeFill="background1"/>
          </w:tcPr>
          <w:p w14:paraId="0C08C8FB"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Low</w:t>
            </w:r>
          </w:p>
        </w:tc>
      </w:tr>
      <w:tr w:rsidR="00277D48" w:rsidRPr="00BB46CB" w14:paraId="17E859B4" w14:textId="77777777" w:rsidTr="00277D48">
        <w:trPr>
          <w:trHeight w:val="56"/>
        </w:trPr>
        <w:tc>
          <w:tcPr>
            <w:cnfStyle w:val="001000000000" w:firstRow="0" w:lastRow="0" w:firstColumn="1" w:lastColumn="0" w:oddVBand="0" w:evenVBand="0" w:oddHBand="0" w:evenHBand="0" w:firstRowFirstColumn="0" w:firstRowLastColumn="0" w:lastRowFirstColumn="0" w:lastRowLastColumn="0"/>
            <w:tcW w:w="785" w:type="pct"/>
            <w:gridSpan w:val="2"/>
            <w:tcBorders>
              <w:left w:val="nil"/>
            </w:tcBorders>
          </w:tcPr>
          <w:p w14:paraId="1ADD1CF1" w14:textId="77777777" w:rsidR="00277D48" w:rsidRPr="00BB46CB" w:rsidRDefault="00277D48" w:rsidP="00277D48">
            <w:pPr>
              <w:pStyle w:val="TableTextLeft"/>
            </w:pPr>
            <w:r w:rsidRPr="00BB46CB">
              <w:t>Bike paths &amp; mountain bike trails</w:t>
            </w:r>
          </w:p>
        </w:tc>
        <w:tc>
          <w:tcPr>
            <w:tcW w:w="355" w:type="pct"/>
            <w:shd w:val="clear" w:color="auto" w:fill="FFFFFF" w:themeFill="background1"/>
          </w:tcPr>
          <w:p w14:paraId="2FABF875"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Terrestrial</w:t>
            </w:r>
          </w:p>
        </w:tc>
        <w:tc>
          <w:tcPr>
            <w:tcW w:w="533" w:type="pct"/>
            <w:shd w:val="clear" w:color="auto" w:fill="FFFFFF" w:themeFill="background1"/>
          </w:tcPr>
          <w:p w14:paraId="73676F1A"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Recreation and Tourism</w:t>
            </w:r>
          </w:p>
        </w:tc>
        <w:tc>
          <w:tcPr>
            <w:tcW w:w="301" w:type="pct"/>
            <w:shd w:val="clear" w:color="auto" w:fill="FFFFFF" w:themeFill="background1"/>
          </w:tcPr>
          <w:p w14:paraId="621E270A"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1:25k</w:t>
            </w:r>
          </w:p>
        </w:tc>
        <w:tc>
          <w:tcPr>
            <w:tcW w:w="454" w:type="pct"/>
            <w:shd w:val="clear" w:color="auto" w:fill="FFFFFF" w:themeFill="background1"/>
          </w:tcPr>
          <w:p w14:paraId="39CC885E"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proofErr w:type="spellStart"/>
            <w:r w:rsidRPr="00BB46CB">
              <w:t>Trailforks</w:t>
            </w:r>
            <w:proofErr w:type="spellEnd"/>
            <w:r w:rsidRPr="00BB46CB">
              <w:t xml:space="preserve"> (2021)</w:t>
            </w:r>
          </w:p>
        </w:tc>
        <w:tc>
          <w:tcPr>
            <w:tcW w:w="346" w:type="pct"/>
            <w:shd w:val="clear" w:color="auto" w:fill="FFFFFF" w:themeFill="background1"/>
          </w:tcPr>
          <w:p w14:paraId="769860E7"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2021</w:t>
            </w:r>
          </w:p>
        </w:tc>
        <w:tc>
          <w:tcPr>
            <w:tcW w:w="580" w:type="pct"/>
            <w:shd w:val="clear" w:color="auto" w:fill="FFFFFF" w:themeFill="background1"/>
          </w:tcPr>
          <w:p w14:paraId="4ECA6731"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Km</w:t>
            </w:r>
          </w:p>
        </w:tc>
        <w:tc>
          <w:tcPr>
            <w:tcW w:w="459" w:type="pct"/>
            <w:shd w:val="clear" w:color="auto" w:fill="FFFFFF" w:themeFill="background1"/>
          </w:tcPr>
          <w:p w14:paraId="45E5A495"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w:t>
            </w:r>
          </w:p>
        </w:tc>
        <w:tc>
          <w:tcPr>
            <w:tcW w:w="372" w:type="pct"/>
            <w:shd w:val="clear" w:color="auto" w:fill="FFFFFF" w:themeFill="background1"/>
          </w:tcPr>
          <w:p w14:paraId="15E7C38B"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w:t>
            </w:r>
          </w:p>
        </w:tc>
        <w:tc>
          <w:tcPr>
            <w:tcW w:w="444" w:type="pct"/>
            <w:shd w:val="clear" w:color="auto" w:fill="FFFFFF" w:themeFill="background1"/>
          </w:tcPr>
          <w:p w14:paraId="7745760C"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69</w:t>
            </w:r>
          </w:p>
        </w:tc>
        <w:tc>
          <w:tcPr>
            <w:tcW w:w="372" w:type="pct"/>
            <w:tcBorders>
              <w:right w:val="nil"/>
            </w:tcBorders>
            <w:shd w:val="clear" w:color="auto" w:fill="FFFFFF" w:themeFill="background1"/>
          </w:tcPr>
          <w:p w14:paraId="3ECEA04C" w14:textId="77777777" w:rsidR="00277D48" w:rsidRPr="00BB46CB" w:rsidRDefault="00277D48" w:rsidP="00277D48">
            <w:pPr>
              <w:pStyle w:val="TableTextLeft"/>
              <w:cnfStyle w:val="000000000000" w:firstRow="0" w:lastRow="0" w:firstColumn="0" w:lastColumn="0" w:oddVBand="0" w:evenVBand="0" w:oddHBand="0" w:evenHBand="0" w:firstRowFirstColumn="0" w:firstRowLastColumn="0" w:lastRowFirstColumn="0" w:lastRowLastColumn="0"/>
            </w:pPr>
            <w:r w:rsidRPr="00BB46CB">
              <w:t>Medium</w:t>
            </w:r>
          </w:p>
        </w:tc>
      </w:tr>
    </w:tbl>
    <w:p w14:paraId="45476F04" w14:textId="77777777" w:rsidR="00277D48" w:rsidRDefault="007606C7" w:rsidP="00277D48">
      <w:pPr>
        <w:pStyle w:val="NoteHeading"/>
      </w:pPr>
      <w:r w:rsidRPr="00BB46CB">
        <w:rPr>
          <w:vertAlign w:val="superscript"/>
        </w:rPr>
        <w:t xml:space="preserve">a </w:t>
      </w:r>
      <w:r w:rsidRPr="00BB46CB">
        <w:t>Vegetation biomass data is only available on public land.</w:t>
      </w:r>
    </w:p>
    <w:p w14:paraId="799D3218" w14:textId="3B54F4FD" w:rsidR="00277D48" w:rsidRDefault="007606C7" w:rsidP="00277D48">
      <w:pPr>
        <w:pStyle w:val="NoteHeading"/>
      </w:pPr>
      <w:r w:rsidRPr="00BB46CB">
        <w:rPr>
          <w:vertAlign w:val="superscript"/>
        </w:rPr>
        <w:t xml:space="preserve">b </w:t>
      </w:r>
      <w:r w:rsidRPr="00BB46CB">
        <w:t xml:space="preserve">There are no estuaries outside the GORCAPA area. </w:t>
      </w:r>
    </w:p>
    <w:p w14:paraId="222A11E2" w14:textId="42FCDC53" w:rsidR="00277D48" w:rsidRDefault="007606C7" w:rsidP="00277D48">
      <w:pPr>
        <w:pStyle w:val="NoteHeading"/>
        <w:rPr>
          <w:vertAlign w:val="superscript"/>
        </w:rPr>
      </w:pPr>
      <w:r w:rsidRPr="00BB46CB">
        <w:rPr>
          <w:vertAlign w:val="superscript"/>
        </w:rPr>
        <w:t xml:space="preserve">c </w:t>
      </w:r>
      <w:r w:rsidRPr="00BB46CB">
        <w:t>The majority of views from the GOR are to the ocean, which only a small part is within GORCAPA area.</w:t>
      </w:r>
      <w:r w:rsidRPr="00BB46CB">
        <w:rPr>
          <w:vertAlign w:val="superscript"/>
        </w:rPr>
        <w:t xml:space="preserve"> </w:t>
      </w:r>
    </w:p>
    <w:p w14:paraId="1ED93FBF" w14:textId="08077BEE" w:rsidR="007606C7" w:rsidRPr="00BB46CB" w:rsidRDefault="007606C7" w:rsidP="00277D48">
      <w:pPr>
        <w:pStyle w:val="NoteHeading"/>
      </w:pPr>
      <w:r w:rsidRPr="00BB46CB">
        <w:rPr>
          <w:vertAlign w:val="superscript"/>
        </w:rPr>
        <w:t xml:space="preserve">d </w:t>
      </w:r>
      <w:r w:rsidRPr="00BB46CB">
        <w:t xml:space="preserve">Shipwrecks are included within “Assets of cultural heritage”. </w:t>
      </w:r>
      <w:r w:rsidRPr="00BB46CB">
        <w:rPr>
          <w:vertAlign w:val="superscript"/>
        </w:rPr>
        <w:t>e</w:t>
      </w:r>
      <w:r w:rsidRPr="00BB46CB">
        <w:t xml:space="preserve"> Relative forest age dataset is only populated for public land forests.</w:t>
      </w:r>
    </w:p>
    <w:p w14:paraId="0F6F37D0" w14:textId="77777777" w:rsidR="007606C7" w:rsidRPr="00BB46CB" w:rsidRDefault="007606C7" w:rsidP="00277D48">
      <w:pPr>
        <w:pStyle w:val="Caption"/>
      </w:pPr>
      <w:r w:rsidRPr="00BB46CB">
        <w:t>Table 86. Summary flow (physical and monetary) accounts for GORCAP EEA in 2019 with uncertainty assessment</w:t>
      </w:r>
    </w:p>
    <w:tbl>
      <w:tblPr>
        <w:tblStyle w:val="TableGrid"/>
        <w:tblW w:w="5000" w:type="pct"/>
        <w:tblLook w:val="04A0" w:firstRow="1" w:lastRow="0" w:firstColumn="1" w:lastColumn="0" w:noHBand="0" w:noVBand="1"/>
      </w:tblPr>
      <w:tblGrid>
        <w:gridCol w:w="2178"/>
        <w:gridCol w:w="2338"/>
        <w:gridCol w:w="3854"/>
        <w:gridCol w:w="1196"/>
        <w:gridCol w:w="2158"/>
        <w:gridCol w:w="1327"/>
        <w:gridCol w:w="1645"/>
        <w:gridCol w:w="938"/>
        <w:gridCol w:w="4385"/>
        <w:gridCol w:w="1524"/>
      </w:tblGrid>
      <w:tr w:rsidR="007606C7" w:rsidRPr="00BB46CB" w14:paraId="215F5ED8" w14:textId="77777777" w:rsidTr="00277D48">
        <w:trPr>
          <w:cnfStyle w:val="100000000000" w:firstRow="1" w:lastRow="0" w:firstColumn="0" w:lastColumn="0" w:oddVBand="0" w:evenVBand="0" w:oddHBand="0" w:evenHBand="0" w:firstRowFirstColumn="0" w:firstRowLastColumn="0" w:lastRowFirstColumn="0" w:lastRowLastColumn="0"/>
          <w:trHeight w:val="5"/>
        </w:trPr>
        <w:tc>
          <w:tcPr>
            <w:cnfStyle w:val="001000000000" w:firstRow="0" w:lastRow="0" w:firstColumn="1" w:lastColumn="0" w:oddVBand="0" w:evenVBand="0" w:oddHBand="0" w:evenHBand="0" w:firstRowFirstColumn="0" w:firstRowLastColumn="0" w:lastRowFirstColumn="0" w:lastRowLastColumn="0"/>
            <w:tcW w:w="1049" w:type="pct"/>
            <w:gridSpan w:val="2"/>
            <w:vMerge w:val="restart"/>
          </w:tcPr>
          <w:p w14:paraId="42F3C18D" w14:textId="77777777" w:rsidR="007606C7" w:rsidRPr="00BB46CB" w:rsidRDefault="007606C7" w:rsidP="00666947">
            <w:pPr>
              <w:pStyle w:val="TableTextLeft"/>
            </w:pPr>
            <w:r w:rsidRPr="00BB46CB">
              <w:rPr>
                <w:b/>
              </w:rPr>
              <w:t>Ecosystem service</w:t>
            </w:r>
          </w:p>
        </w:tc>
        <w:tc>
          <w:tcPr>
            <w:tcW w:w="895" w:type="pct"/>
            <w:vMerge w:val="restart"/>
          </w:tcPr>
          <w:p w14:paraId="1C551631" w14:textId="77777777" w:rsidR="007606C7" w:rsidRPr="00BB46CB" w:rsidRDefault="007606C7" w:rsidP="00666947">
            <w:pPr>
              <w:pStyle w:val="TableTextLeft"/>
              <w:cnfStyle w:val="100000000000" w:firstRow="1" w:lastRow="0" w:firstColumn="0" w:lastColumn="0" w:oddVBand="0" w:evenVBand="0" w:oddHBand="0" w:evenHBand="0" w:firstRowFirstColumn="0" w:firstRowLastColumn="0" w:lastRowFirstColumn="0" w:lastRowLastColumn="0"/>
            </w:pPr>
            <w:r w:rsidRPr="00BB46CB">
              <w:rPr>
                <w:b/>
              </w:rPr>
              <w:t>Scope</w:t>
            </w:r>
          </w:p>
        </w:tc>
        <w:tc>
          <w:tcPr>
            <w:tcW w:w="1084" w:type="pct"/>
            <w:gridSpan w:val="3"/>
          </w:tcPr>
          <w:p w14:paraId="074112B9" w14:textId="77777777" w:rsidR="007606C7" w:rsidRPr="00BB46CB" w:rsidRDefault="007606C7" w:rsidP="00666947">
            <w:pPr>
              <w:pStyle w:val="TableTextLeft"/>
              <w:cnfStyle w:val="100000000000" w:firstRow="1" w:lastRow="0" w:firstColumn="0" w:lastColumn="0" w:oddVBand="0" w:evenVBand="0" w:oddHBand="0" w:evenHBand="0" w:firstRowFirstColumn="0" w:firstRowLastColumn="0" w:lastRowFirstColumn="0" w:lastRowLastColumn="0"/>
            </w:pPr>
            <w:r w:rsidRPr="00BB46CB">
              <w:rPr>
                <w:b/>
              </w:rPr>
              <w:t>Physical flow</w:t>
            </w:r>
          </w:p>
        </w:tc>
        <w:tc>
          <w:tcPr>
            <w:tcW w:w="1972" w:type="pct"/>
            <w:gridSpan w:val="4"/>
          </w:tcPr>
          <w:p w14:paraId="6677EA2B" w14:textId="77777777" w:rsidR="007606C7" w:rsidRPr="00BB46CB" w:rsidRDefault="007606C7" w:rsidP="00666947">
            <w:pPr>
              <w:pStyle w:val="TableTextLeft"/>
              <w:cnfStyle w:val="100000000000" w:firstRow="1" w:lastRow="0" w:firstColumn="0" w:lastColumn="0" w:oddVBand="0" w:evenVBand="0" w:oddHBand="0" w:evenHBand="0" w:firstRowFirstColumn="0" w:firstRowLastColumn="0" w:lastRowFirstColumn="0" w:lastRowLastColumn="0"/>
              <w:rPr>
                <w:b/>
              </w:rPr>
            </w:pPr>
            <w:r w:rsidRPr="00BB46CB">
              <w:rPr>
                <w:b/>
              </w:rPr>
              <w:t xml:space="preserve">Monetary flow </w:t>
            </w:r>
            <w:r w:rsidRPr="00BB46CB">
              <w:rPr>
                <w:i/>
              </w:rPr>
              <w:t>(present value, 2021 prices)</w:t>
            </w:r>
          </w:p>
        </w:tc>
      </w:tr>
      <w:tr w:rsidR="007606C7" w:rsidRPr="00BB46CB" w14:paraId="65260BDC" w14:textId="77777777" w:rsidTr="00277D48">
        <w:trPr>
          <w:trHeight w:val="5"/>
        </w:trPr>
        <w:tc>
          <w:tcPr>
            <w:cnfStyle w:val="001000000000" w:firstRow="0" w:lastRow="0" w:firstColumn="1" w:lastColumn="0" w:oddVBand="0" w:evenVBand="0" w:oddHBand="0" w:evenHBand="0" w:firstRowFirstColumn="0" w:firstRowLastColumn="0" w:lastRowFirstColumn="0" w:lastRowLastColumn="0"/>
            <w:tcW w:w="1049" w:type="pct"/>
            <w:gridSpan w:val="2"/>
            <w:vMerge/>
          </w:tcPr>
          <w:p w14:paraId="62C65B89" w14:textId="77777777" w:rsidR="007606C7" w:rsidRPr="00BB46CB" w:rsidRDefault="007606C7" w:rsidP="00666947">
            <w:pPr>
              <w:pStyle w:val="TableTextLeft"/>
              <w:rPr>
                <w:b/>
              </w:rPr>
            </w:pPr>
          </w:p>
        </w:tc>
        <w:tc>
          <w:tcPr>
            <w:tcW w:w="895" w:type="pct"/>
            <w:vMerge/>
          </w:tcPr>
          <w:p w14:paraId="6EB27327"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78" w:type="pct"/>
            <w:shd w:val="clear" w:color="auto" w:fill="004C97" w:themeFill="accent1"/>
          </w:tcPr>
          <w:p w14:paraId="4EF89DF2" w14:textId="77777777" w:rsidR="007606C7" w:rsidRPr="00BB46CB" w:rsidRDefault="007606C7" w:rsidP="00277D48">
            <w:pPr>
              <w:pStyle w:val="TableHeadingLeft"/>
              <w:cnfStyle w:val="000000000000" w:firstRow="0" w:lastRow="0" w:firstColumn="0" w:lastColumn="0" w:oddVBand="0" w:evenVBand="0" w:oddHBand="0" w:evenHBand="0" w:firstRowFirstColumn="0" w:firstRowLastColumn="0" w:lastRowFirstColumn="0" w:lastRowLastColumn="0"/>
            </w:pPr>
            <w:r w:rsidRPr="00BB46CB">
              <w:t>Estimate</w:t>
            </w:r>
          </w:p>
        </w:tc>
        <w:tc>
          <w:tcPr>
            <w:tcW w:w="501" w:type="pct"/>
            <w:shd w:val="clear" w:color="auto" w:fill="004C97" w:themeFill="accent1"/>
          </w:tcPr>
          <w:p w14:paraId="32D033A4" w14:textId="77777777" w:rsidR="007606C7" w:rsidRPr="00BB46CB" w:rsidRDefault="007606C7" w:rsidP="00277D48">
            <w:pPr>
              <w:pStyle w:val="TableHeadingLeft"/>
              <w:cnfStyle w:val="000000000000" w:firstRow="0" w:lastRow="0" w:firstColumn="0" w:lastColumn="0" w:oddVBand="0" w:evenVBand="0" w:oddHBand="0" w:evenHBand="0" w:firstRowFirstColumn="0" w:firstRowLastColumn="0" w:lastRowFirstColumn="0" w:lastRowLastColumn="0"/>
            </w:pPr>
            <w:r w:rsidRPr="00BB46CB">
              <w:t>Metric</w:t>
            </w:r>
          </w:p>
        </w:tc>
        <w:tc>
          <w:tcPr>
            <w:tcW w:w="305" w:type="pct"/>
            <w:shd w:val="clear" w:color="auto" w:fill="004C97" w:themeFill="accent1"/>
          </w:tcPr>
          <w:p w14:paraId="7859F58A" w14:textId="77777777" w:rsidR="007606C7" w:rsidRPr="00BB46CB" w:rsidRDefault="007606C7" w:rsidP="00277D48">
            <w:pPr>
              <w:pStyle w:val="TableHeadingLeft"/>
              <w:cnfStyle w:val="000000000000" w:firstRow="0" w:lastRow="0" w:firstColumn="0" w:lastColumn="0" w:oddVBand="0" w:evenVBand="0" w:oddHBand="0" w:evenHBand="0" w:firstRowFirstColumn="0" w:firstRowLastColumn="0" w:lastRowFirstColumn="0" w:lastRowLastColumn="0"/>
            </w:pPr>
            <w:r w:rsidRPr="00BB46CB">
              <w:t>Uncertainty</w:t>
            </w:r>
          </w:p>
        </w:tc>
        <w:tc>
          <w:tcPr>
            <w:tcW w:w="382" w:type="pct"/>
            <w:shd w:val="clear" w:color="auto" w:fill="004C97" w:themeFill="accent1"/>
          </w:tcPr>
          <w:p w14:paraId="2E2D9C9B" w14:textId="77777777" w:rsidR="007606C7" w:rsidRPr="00BB46CB" w:rsidRDefault="007606C7" w:rsidP="00277D48">
            <w:pPr>
              <w:pStyle w:val="TableHeadingLeft"/>
              <w:cnfStyle w:val="000000000000" w:firstRow="0" w:lastRow="0" w:firstColumn="0" w:lastColumn="0" w:oddVBand="0" w:evenVBand="0" w:oddHBand="0" w:evenHBand="0" w:firstRowFirstColumn="0" w:firstRowLastColumn="0" w:lastRowFirstColumn="0" w:lastRowLastColumn="0"/>
              <w:rPr>
                <w:vertAlign w:val="superscript"/>
              </w:rPr>
            </w:pPr>
            <w:r w:rsidRPr="00BB46CB">
              <w:t>Estimate</w:t>
            </w:r>
          </w:p>
        </w:tc>
        <w:tc>
          <w:tcPr>
            <w:tcW w:w="218" w:type="pct"/>
            <w:shd w:val="clear" w:color="auto" w:fill="004C97" w:themeFill="accent1"/>
          </w:tcPr>
          <w:p w14:paraId="26DDA853" w14:textId="77777777" w:rsidR="007606C7" w:rsidRPr="00BB46CB" w:rsidRDefault="007606C7" w:rsidP="00277D48">
            <w:pPr>
              <w:pStyle w:val="TableHeadingLeft"/>
              <w:cnfStyle w:val="000000000000" w:firstRow="0" w:lastRow="0" w:firstColumn="0" w:lastColumn="0" w:oddVBand="0" w:evenVBand="0" w:oddHBand="0" w:evenHBand="0" w:firstRowFirstColumn="0" w:firstRowLastColumn="0" w:lastRowFirstColumn="0" w:lastRowLastColumn="0"/>
            </w:pPr>
            <w:r w:rsidRPr="00BB46CB">
              <w:t>Metric</w:t>
            </w:r>
          </w:p>
        </w:tc>
        <w:tc>
          <w:tcPr>
            <w:tcW w:w="1018" w:type="pct"/>
            <w:shd w:val="clear" w:color="auto" w:fill="004C97" w:themeFill="accent1"/>
          </w:tcPr>
          <w:p w14:paraId="208F2C9B" w14:textId="77777777" w:rsidR="007606C7" w:rsidRPr="00BB46CB" w:rsidRDefault="007606C7" w:rsidP="00277D48">
            <w:pPr>
              <w:pStyle w:val="TableHeadingLeft"/>
              <w:cnfStyle w:val="000000000000" w:firstRow="0" w:lastRow="0" w:firstColumn="0" w:lastColumn="0" w:oddVBand="0" w:evenVBand="0" w:oddHBand="0" w:evenHBand="0" w:firstRowFirstColumn="0" w:firstRowLastColumn="0" w:lastRowFirstColumn="0" w:lastRowLastColumn="0"/>
            </w:pPr>
            <w:r w:rsidRPr="00BB46CB">
              <w:t>Valuation approach</w:t>
            </w:r>
          </w:p>
        </w:tc>
        <w:tc>
          <w:tcPr>
            <w:tcW w:w="355" w:type="pct"/>
            <w:shd w:val="clear" w:color="auto" w:fill="004C97" w:themeFill="accent1"/>
          </w:tcPr>
          <w:p w14:paraId="2FAEEF7B" w14:textId="77777777" w:rsidR="007606C7" w:rsidRPr="00BB46CB" w:rsidRDefault="007606C7" w:rsidP="00277D48">
            <w:pPr>
              <w:pStyle w:val="TableHeadingLeft"/>
              <w:cnfStyle w:val="000000000000" w:firstRow="0" w:lastRow="0" w:firstColumn="0" w:lastColumn="0" w:oddVBand="0" w:evenVBand="0" w:oddHBand="0" w:evenHBand="0" w:firstRowFirstColumn="0" w:firstRowLastColumn="0" w:lastRowFirstColumn="0" w:lastRowLastColumn="0"/>
            </w:pPr>
            <w:r w:rsidRPr="00BB46CB">
              <w:t>Uncertainty</w:t>
            </w:r>
          </w:p>
        </w:tc>
      </w:tr>
      <w:tr w:rsidR="007606C7" w:rsidRPr="00BB46CB" w14:paraId="78AB58CA" w14:textId="77777777" w:rsidTr="00277D48">
        <w:trPr>
          <w:trHeight w:val="5"/>
        </w:trPr>
        <w:tc>
          <w:tcPr>
            <w:cnfStyle w:val="001000000000" w:firstRow="0" w:lastRow="0" w:firstColumn="1" w:lastColumn="0" w:oddVBand="0" w:evenVBand="0" w:oddHBand="0" w:evenHBand="0" w:firstRowFirstColumn="0" w:firstRowLastColumn="0" w:lastRowFirstColumn="0" w:lastRowLastColumn="0"/>
            <w:tcW w:w="1049" w:type="pct"/>
            <w:gridSpan w:val="2"/>
            <w:vMerge w:val="restart"/>
          </w:tcPr>
          <w:p w14:paraId="7FA1F061" w14:textId="77777777" w:rsidR="007606C7" w:rsidRPr="00BB46CB" w:rsidRDefault="007606C7" w:rsidP="00666947">
            <w:pPr>
              <w:pStyle w:val="TableTextLeft"/>
            </w:pPr>
            <w:r w:rsidRPr="00BB46CB">
              <w:t>Coastal protection</w:t>
            </w:r>
          </w:p>
        </w:tc>
        <w:tc>
          <w:tcPr>
            <w:tcW w:w="895" w:type="pct"/>
            <w:vMerge w:val="restart"/>
          </w:tcPr>
          <w:p w14:paraId="028FA3F1"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Seagrass, mangrove, saltmarsh</w:t>
            </w:r>
          </w:p>
        </w:tc>
        <w:tc>
          <w:tcPr>
            <w:tcW w:w="278" w:type="pct"/>
            <w:vMerge w:val="restart"/>
          </w:tcPr>
          <w:p w14:paraId="5B90FAD6"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239</w:t>
            </w:r>
          </w:p>
        </w:tc>
        <w:tc>
          <w:tcPr>
            <w:tcW w:w="501" w:type="pct"/>
            <w:vMerge w:val="restart"/>
          </w:tcPr>
          <w:p w14:paraId="63F3DCFA"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km</w:t>
            </w:r>
          </w:p>
        </w:tc>
        <w:tc>
          <w:tcPr>
            <w:tcW w:w="305" w:type="pct"/>
            <w:vMerge w:val="restart"/>
          </w:tcPr>
          <w:p w14:paraId="1D714F9E"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High</w:t>
            </w:r>
          </w:p>
        </w:tc>
        <w:tc>
          <w:tcPr>
            <w:tcW w:w="382" w:type="pct"/>
          </w:tcPr>
          <w:p w14:paraId="1F083059"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$0.7m to $2.6m</w:t>
            </w:r>
          </w:p>
        </w:tc>
        <w:tc>
          <w:tcPr>
            <w:tcW w:w="218" w:type="pct"/>
          </w:tcPr>
          <w:p w14:paraId="183398E8"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$m/yr</w:t>
            </w:r>
          </w:p>
        </w:tc>
        <w:tc>
          <w:tcPr>
            <w:tcW w:w="1018" w:type="pct"/>
            <w:vMerge w:val="restart"/>
          </w:tcPr>
          <w:p w14:paraId="0E7DB634"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Replacement cost</w:t>
            </w:r>
          </w:p>
        </w:tc>
        <w:tc>
          <w:tcPr>
            <w:tcW w:w="355" w:type="pct"/>
            <w:vMerge w:val="restart"/>
          </w:tcPr>
          <w:p w14:paraId="07C3AC08"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High</w:t>
            </w:r>
          </w:p>
        </w:tc>
      </w:tr>
      <w:tr w:rsidR="007606C7" w:rsidRPr="00BB46CB" w14:paraId="751BC99F" w14:textId="77777777" w:rsidTr="00277D48">
        <w:trPr>
          <w:trHeight w:val="5"/>
        </w:trPr>
        <w:tc>
          <w:tcPr>
            <w:cnfStyle w:val="001000000000" w:firstRow="0" w:lastRow="0" w:firstColumn="1" w:lastColumn="0" w:oddVBand="0" w:evenVBand="0" w:oddHBand="0" w:evenHBand="0" w:firstRowFirstColumn="0" w:firstRowLastColumn="0" w:lastRowFirstColumn="0" w:lastRowLastColumn="0"/>
            <w:tcW w:w="1049" w:type="pct"/>
            <w:gridSpan w:val="2"/>
            <w:vMerge/>
          </w:tcPr>
          <w:p w14:paraId="607A2BD3" w14:textId="77777777" w:rsidR="007606C7" w:rsidRPr="00BB46CB" w:rsidRDefault="007606C7" w:rsidP="00666947">
            <w:pPr>
              <w:pStyle w:val="TableTextLeft"/>
            </w:pPr>
          </w:p>
        </w:tc>
        <w:tc>
          <w:tcPr>
            <w:tcW w:w="895" w:type="pct"/>
            <w:vMerge/>
          </w:tcPr>
          <w:p w14:paraId="49F033F7"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78" w:type="pct"/>
            <w:vMerge/>
          </w:tcPr>
          <w:p w14:paraId="1F065D4E"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501" w:type="pct"/>
            <w:vMerge/>
          </w:tcPr>
          <w:p w14:paraId="52363341"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305" w:type="pct"/>
            <w:vMerge/>
          </w:tcPr>
          <w:p w14:paraId="04592E1E"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382" w:type="pct"/>
          </w:tcPr>
          <w:p w14:paraId="6C4ADEC8"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rPr>
                <w:i/>
                <w:vertAlign w:val="superscript"/>
              </w:rPr>
            </w:pPr>
            <w:r w:rsidRPr="00BB46CB">
              <w:rPr>
                <w:i/>
              </w:rPr>
              <w:t xml:space="preserve">$13m to $52m </w:t>
            </w:r>
            <w:r w:rsidRPr="00BB46CB">
              <w:rPr>
                <w:i/>
                <w:vertAlign w:val="superscript"/>
              </w:rPr>
              <w:t>b</w:t>
            </w:r>
          </w:p>
        </w:tc>
        <w:tc>
          <w:tcPr>
            <w:tcW w:w="218" w:type="pct"/>
          </w:tcPr>
          <w:p w14:paraId="0F518D1B"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rPr>
                <w:i/>
              </w:rPr>
            </w:pPr>
            <w:r w:rsidRPr="00BB46CB">
              <w:rPr>
                <w:i/>
              </w:rPr>
              <w:t>$m</w:t>
            </w:r>
          </w:p>
        </w:tc>
        <w:tc>
          <w:tcPr>
            <w:tcW w:w="1018" w:type="pct"/>
            <w:vMerge/>
          </w:tcPr>
          <w:p w14:paraId="469EEE65"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355" w:type="pct"/>
            <w:vMerge/>
          </w:tcPr>
          <w:p w14:paraId="5A2C6B43"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606C7" w:rsidRPr="00BB46CB" w14:paraId="7EE20381" w14:textId="77777777" w:rsidTr="00277D48">
        <w:trPr>
          <w:trHeight w:val="5"/>
        </w:trPr>
        <w:tc>
          <w:tcPr>
            <w:cnfStyle w:val="001000000000" w:firstRow="0" w:lastRow="0" w:firstColumn="1" w:lastColumn="0" w:oddVBand="0" w:evenVBand="0" w:oddHBand="0" w:evenHBand="0" w:firstRowFirstColumn="0" w:firstRowLastColumn="0" w:lastRowFirstColumn="0" w:lastRowLastColumn="0"/>
            <w:tcW w:w="1049" w:type="pct"/>
            <w:gridSpan w:val="2"/>
          </w:tcPr>
          <w:p w14:paraId="4612C243" w14:textId="77777777" w:rsidR="007606C7" w:rsidRPr="00BB46CB" w:rsidRDefault="007606C7" w:rsidP="00666947">
            <w:pPr>
              <w:pStyle w:val="TableTextLeft"/>
            </w:pPr>
            <w:r w:rsidRPr="00BB46CB">
              <w:t>Education</w:t>
            </w:r>
          </w:p>
        </w:tc>
        <w:tc>
          <w:tcPr>
            <w:tcW w:w="895" w:type="pct"/>
          </w:tcPr>
          <w:p w14:paraId="58B35496"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 xml:space="preserve">All ecosystems </w:t>
            </w:r>
          </w:p>
        </w:tc>
        <w:tc>
          <w:tcPr>
            <w:tcW w:w="278" w:type="pct"/>
          </w:tcPr>
          <w:p w14:paraId="72C0ECEF"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33,000</w:t>
            </w:r>
          </w:p>
        </w:tc>
        <w:tc>
          <w:tcPr>
            <w:tcW w:w="501" w:type="pct"/>
          </w:tcPr>
          <w:p w14:paraId="6E4E82FC"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Students</w:t>
            </w:r>
          </w:p>
        </w:tc>
        <w:tc>
          <w:tcPr>
            <w:tcW w:w="305" w:type="pct"/>
          </w:tcPr>
          <w:p w14:paraId="5503E89E"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Low</w:t>
            </w:r>
          </w:p>
        </w:tc>
        <w:tc>
          <w:tcPr>
            <w:tcW w:w="382" w:type="pct"/>
          </w:tcPr>
          <w:p w14:paraId="11FFE4F8"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$0.6m to $2.9m</w:t>
            </w:r>
          </w:p>
        </w:tc>
        <w:tc>
          <w:tcPr>
            <w:tcW w:w="218" w:type="pct"/>
          </w:tcPr>
          <w:p w14:paraId="20FFC354"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$m/yr</w:t>
            </w:r>
          </w:p>
        </w:tc>
        <w:tc>
          <w:tcPr>
            <w:tcW w:w="1018" w:type="pct"/>
          </w:tcPr>
          <w:p w14:paraId="0EF54110"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Expenditure to GVA contribution</w:t>
            </w:r>
          </w:p>
        </w:tc>
        <w:tc>
          <w:tcPr>
            <w:tcW w:w="355" w:type="pct"/>
          </w:tcPr>
          <w:p w14:paraId="71CDCA97"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High</w:t>
            </w:r>
          </w:p>
        </w:tc>
      </w:tr>
      <w:tr w:rsidR="007606C7" w:rsidRPr="00BB46CB" w:rsidDel="004723B6" w14:paraId="0710905F" w14:textId="77777777" w:rsidTr="00277D48">
        <w:trPr>
          <w:trHeight w:val="114"/>
        </w:trPr>
        <w:tc>
          <w:tcPr>
            <w:cnfStyle w:val="001000000000" w:firstRow="0" w:lastRow="0" w:firstColumn="1" w:lastColumn="0" w:oddVBand="0" w:evenVBand="0" w:oddHBand="0" w:evenHBand="0" w:firstRowFirstColumn="0" w:firstRowLastColumn="0" w:lastRowFirstColumn="0" w:lastRowLastColumn="0"/>
            <w:tcW w:w="506" w:type="pct"/>
            <w:vMerge w:val="restart"/>
          </w:tcPr>
          <w:p w14:paraId="3FAD676C" w14:textId="77777777" w:rsidR="007606C7" w:rsidRPr="00BB46CB" w:rsidRDefault="007606C7" w:rsidP="00666947">
            <w:pPr>
              <w:pStyle w:val="TableTextLeft"/>
            </w:pPr>
            <w:r w:rsidRPr="00BB46CB">
              <w:t xml:space="preserve">Biomass for food </w:t>
            </w:r>
          </w:p>
        </w:tc>
        <w:tc>
          <w:tcPr>
            <w:tcW w:w="542" w:type="pct"/>
            <w:vMerge w:val="restart"/>
          </w:tcPr>
          <w:p w14:paraId="7A6561F0"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Agriculture</w:t>
            </w:r>
          </w:p>
        </w:tc>
        <w:tc>
          <w:tcPr>
            <w:tcW w:w="895" w:type="pct"/>
            <w:vMerge w:val="restart"/>
          </w:tcPr>
          <w:p w14:paraId="1E6B2DE0" w14:textId="77777777" w:rsidR="007606C7" w:rsidRPr="00BB46CB" w:rsidDel="004723B6"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 xml:space="preserve">Farmland </w:t>
            </w:r>
          </w:p>
        </w:tc>
        <w:tc>
          <w:tcPr>
            <w:tcW w:w="278" w:type="pct"/>
          </w:tcPr>
          <w:p w14:paraId="10CB9D41" w14:textId="77777777" w:rsidR="007606C7" w:rsidRPr="00BB46CB" w:rsidDel="004723B6"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28,000</w:t>
            </w:r>
          </w:p>
        </w:tc>
        <w:tc>
          <w:tcPr>
            <w:tcW w:w="501" w:type="pct"/>
          </w:tcPr>
          <w:p w14:paraId="6E5C86E6"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Tonnes</w:t>
            </w:r>
          </w:p>
        </w:tc>
        <w:tc>
          <w:tcPr>
            <w:tcW w:w="305" w:type="pct"/>
            <w:vMerge w:val="restart"/>
          </w:tcPr>
          <w:p w14:paraId="6EB01FE9"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High</w:t>
            </w:r>
          </w:p>
        </w:tc>
        <w:tc>
          <w:tcPr>
            <w:tcW w:w="382" w:type="pct"/>
            <w:vMerge w:val="restart"/>
          </w:tcPr>
          <w:p w14:paraId="75C51F4F"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$11.4m</w:t>
            </w:r>
          </w:p>
        </w:tc>
        <w:tc>
          <w:tcPr>
            <w:tcW w:w="218" w:type="pct"/>
            <w:vMerge w:val="restart"/>
          </w:tcPr>
          <w:p w14:paraId="264F08AB"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$m/yr</w:t>
            </w:r>
          </w:p>
        </w:tc>
        <w:tc>
          <w:tcPr>
            <w:tcW w:w="1018" w:type="pct"/>
            <w:vMerge w:val="restart"/>
          </w:tcPr>
          <w:p w14:paraId="410C6269"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 xml:space="preserve">Resource rent from market prices </w:t>
            </w:r>
            <w:r w:rsidRPr="00BB46CB">
              <w:rPr>
                <w:vertAlign w:val="superscript"/>
              </w:rPr>
              <w:t>a</w:t>
            </w:r>
          </w:p>
        </w:tc>
        <w:tc>
          <w:tcPr>
            <w:tcW w:w="355" w:type="pct"/>
            <w:vMerge w:val="restart"/>
          </w:tcPr>
          <w:p w14:paraId="13282B44"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High</w:t>
            </w:r>
          </w:p>
        </w:tc>
      </w:tr>
      <w:tr w:rsidR="007606C7" w:rsidRPr="00BB46CB" w:rsidDel="004723B6" w14:paraId="13CBFAFF" w14:textId="77777777" w:rsidTr="00277D48">
        <w:trPr>
          <w:trHeight w:val="114"/>
        </w:trPr>
        <w:tc>
          <w:tcPr>
            <w:cnfStyle w:val="001000000000" w:firstRow="0" w:lastRow="0" w:firstColumn="1" w:lastColumn="0" w:oddVBand="0" w:evenVBand="0" w:oddHBand="0" w:evenHBand="0" w:firstRowFirstColumn="0" w:firstRowLastColumn="0" w:lastRowFirstColumn="0" w:lastRowLastColumn="0"/>
            <w:tcW w:w="506" w:type="pct"/>
            <w:vMerge/>
          </w:tcPr>
          <w:p w14:paraId="217F36A0" w14:textId="77777777" w:rsidR="007606C7" w:rsidRPr="00BB46CB" w:rsidRDefault="007606C7" w:rsidP="00666947">
            <w:pPr>
              <w:pStyle w:val="TableTextLeft"/>
            </w:pPr>
          </w:p>
        </w:tc>
        <w:tc>
          <w:tcPr>
            <w:tcW w:w="542" w:type="pct"/>
            <w:vMerge/>
          </w:tcPr>
          <w:p w14:paraId="285F4EC0"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895" w:type="pct"/>
            <w:vMerge/>
          </w:tcPr>
          <w:p w14:paraId="6B5CDF2F"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78" w:type="pct"/>
          </w:tcPr>
          <w:p w14:paraId="64EAFA32"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164,000</w:t>
            </w:r>
          </w:p>
        </w:tc>
        <w:tc>
          <w:tcPr>
            <w:tcW w:w="501" w:type="pct"/>
          </w:tcPr>
          <w:p w14:paraId="258D2E33"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Livestock</w:t>
            </w:r>
          </w:p>
        </w:tc>
        <w:tc>
          <w:tcPr>
            <w:tcW w:w="305" w:type="pct"/>
            <w:vMerge/>
          </w:tcPr>
          <w:p w14:paraId="343232CB"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382" w:type="pct"/>
            <w:vMerge/>
          </w:tcPr>
          <w:p w14:paraId="04D36E8A"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18" w:type="pct"/>
            <w:vMerge/>
          </w:tcPr>
          <w:p w14:paraId="3E4460FA"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018" w:type="pct"/>
            <w:vMerge/>
          </w:tcPr>
          <w:p w14:paraId="60491D2D"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355" w:type="pct"/>
            <w:vMerge/>
          </w:tcPr>
          <w:p w14:paraId="6FF136B0"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r>
      <w:tr w:rsidR="007606C7" w:rsidRPr="00BB46CB" w:rsidDel="004723B6" w14:paraId="7F5E77D2" w14:textId="77777777" w:rsidTr="00277D48">
        <w:trPr>
          <w:trHeight w:val="114"/>
        </w:trPr>
        <w:tc>
          <w:tcPr>
            <w:cnfStyle w:val="001000000000" w:firstRow="0" w:lastRow="0" w:firstColumn="1" w:lastColumn="0" w:oddVBand="0" w:evenVBand="0" w:oddHBand="0" w:evenHBand="0" w:firstRowFirstColumn="0" w:firstRowLastColumn="0" w:lastRowFirstColumn="0" w:lastRowLastColumn="0"/>
            <w:tcW w:w="506" w:type="pct"/>
            <w:vMerge/>
          </w:tcPr>
          <w:p w14:paraId="1368C242" w14:textId="77777777" w:rsidR="007606C7" w:rsidRPr="00BB46CB" w:rsidRDefault="007606C7" w:rsidP="00666947">
            <w:pPr>
              <w:pStyle w:val="TableTextLeft"/>
            </w:pPr>
          </w:p>
        </w:tc>
        <w:tc>
          <w:tcPr>
            <w:tcW w:w="542" w:type="pct"/>
          </w:tcPr>
          <w:p w14:paraId="34F12B9A"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rPr>
                <w:vertAlign w:val="superscript"/>
              </w:rPr>
            </w:pPr>
            <w:r w:rsidRPr="00BB46CB">
              <w:t>Wild fish</w:t>
            </w:r>
          </w:p>
        </w:tc>
        <w:tc>
          <w:tcPr>
            <w:tcW w:w="895" w:type="pct"/>
          </w:tcPr>
          <w:p w14:paraId="232293AE"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Seagrass - catch increase of 4 species</w:t>
            </w:r>
          </w:p>
        </w:tc>
        <w:tc>
          <w:tcPr>
            <w:tcW w:w="278" w:type="pct"/>
          </w:tcPr>
          <w:p w14:paraId="008840CC" w14:textId="77777777" w:rsidR="007606C7" w:rsidRPr="00BB46CB" w:rsidDel="004723B6"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2,500</w:t>
            </w:r>
          </w:p>
        </w:tc>
        <w:tc>
          <w:tcPr>
            <w:tcW w:w="501" w:type="pct"/>
          </w:tcPr>
          <w:p w14:paraId="062A89A3"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Kg</w:t>
            </w:r>
          </w:p>
        </w:tc>
        <w:tc>
          <w:tcPr>
            <w:tcW w:w="305" w:type="pct"/>
          </w:tcPr>
          <w:p w14:paraId="28EED62F"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High</w:t>
            </w:r>
          </w:p>
        </w:tc>
        <w:tc>
          <w:tcPr>
            <w:tcW w:w="382" w:type="pct"/>
          </w:tcPr>
          <w:p w14:paraId="6D9B8F3D"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$0.007m</w:t>
            </w:r>
          </w:p>
        </w:tc>
        <w:tc>
          <w:tcPr>
            <w:tcW w:w="218" w:type="pct"/>
          </w:tcPr>
          <w:p w14:paraId="03D300A0"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$m/yr</w:t>
            </w:r>
          </w:p>
        </w:tc>
        <w:tc>
          <w:tcPr>
            <w:tcW w:w="1018" w:type="pct"/>
          </w:tcPr>
          <w:p w14:paraId="50CBB3BF"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 xml:space="preserve">Resource rent from market prices </w:t>
            </w:r>
            <w:r w:rsidRPr="00BB46CB">
              <w:rPr>
                <w:vertAlign w:val="superscript"/>
              </w:rPr>
              <w:t>a</w:t>
            </w:r>
          </w:p>
        </w:tc>
        <w:tc>
          <w:tcPr>
            <w:tcW w:w="355" w:type="pct"/>
          </w:tcPr>
          <w:p w14:paraId="31BB7403"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High</w:t>
            </w:r>
          </w:p>
        </w:tc>
      </w:tr>
      <w:tr w:rsidR="007606C7" w:rsidRPr="00BB46CB" w:rsidDel="004723B6" w14:paraId="0AE0625F" w14:textId="77777777" w:rsidTr="00277D48">
        <w:trPr>
          <w:trHeight w:val="114"/>
        </w:trPr>
        <w:tc>
          <w:tcPr>
            <w:cnfStyle w:val="001000000000" w:firstRow="0" w:lastRow="0" w:firstColumn="1" w:lastColumn="0" w:oddVBand="0" w:evenVBand="0" w:oddHBand="0" w:evenHBand="0" w:firstRowFirstColumn="0" w:firstRowLastColumn="0" w:lastRowFirstColumn="0" w:lastRowLastColumn="0"/>
            <w:tcW w:w="506" w:type="pct"/>
            <w:vMerge/>
          </w:tcPr>
          <w:p w14:paraId="6627A03C" w14:textId="77777777" w:rsidR="007606C7" w:rsidRPr="00BB46CB" w:rsidRDefault="007606C7" w:rsidP="00666947">
            <w:pPr>
              <w:pStyle w:val="TableTextLeft"/>
            </w:pPr>
          </w:p>
        </w:tc>
        <w:tc>
          <w:tcPr>
            <w:tcW w:w="542" w:type="pct"/>
          </w:tcPr>
          <w:p w14:paraId="193AFBD6"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rPr>
                <w:vertAlign w:val="superscript"/>
              </w:rPr>
            </w:pPr>
            <w:r w:rsidRPr="00BB46CB">
              <w:t>Wild invertebrates</w:t>
            </w:r>
          </w:p>
        </w:tc>
        <w:tc>
          <w:tcPr>
            <w:tcW w:w="895" w:type="pct"/>
          </w:tcPr>
          <w:p w14:paraId="06DBF2A6" w14:textId="77777777" w:rsidR="007606C7" w:rsidRPr="00BB46CB" w:rsidDel="004723B6"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 xml:space="preserve">Reefs - abalone harvest </w:t>
            </w:r>
          </w:p>
        </w:tc>
        <w:tc>
          <w:tcPr>
            <w:tcW w:w="278" w:type="pct"/>
          </w:tcPr>
          <w:p w14:paraId="3EF87CBB" w14:textId="77777777" w:rsidR="007606C7" w:rsidRPr="00BB46CB" w:rsidDel="004723B6"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269</w:t>
            </w:r>
          </w:p>
        </w:tc>
        <w:tc>
          <w:tcPr>
            <w:tcW w:w="501" w:type="pct"/>
          </w:tcPr>
          <w:p w14:paraId="5DD5F523"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Tonnes</w:t>
            </w:r>
          </w:p>
        </w:tc>
        <w:tc>
          <w:tcPr>
            <w:tcW w:w="305" w:type="pct"/>
          </w:tcPr>
          <w:p w14:paraId="742A2C6F"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High</w:t>
            </w:r>
          </w:p>
        </w:tc>
        <w:tc>
          <w:tcPr>
            <w:tcW w:w="382" w:type="pct"/>
          </w:tcPr>
          <w:p w14:paraId="10F78DAC"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$0.3m</w:t>
            </w:r>
          </w:p>
        </w:tc>
        <w:tc>
          <w:tcPr>
            <w:tcW w:w="218" w:type="pct"/>
          </w:tcPr>
          <w:p w14:paraId="0402AFF8"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$m/yr</w:t>
            </w:r>
          </w:p>
        </w:tc>
        <w:tc>
          <w:tcPr>
            <w:tcW w:w="1018" w:type="pct"/>
          </w:tcPr>
          <w:p w14:paraId="76255E36"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 xml:space="preserve">Resource rent from market prices </w:t>
            </w:r>
            <w:r w:rsidRPr="00BB46CB">
              <w:rPr>
                <w:vertAlign w:val="superscript"/>
              </w:rPr>
              <w:t>a</w:t>
            </w:r>
          </w:p>
        </w:tc>
        <w:tc>
          <w:tcPr>
            <w:tcW w:w="355" w:type="pct"/>
          </w:tcPr>
          <w:p w14:paraId="129C2266"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High</w:t>
            </w:r>
          </w:p>
        </w:tc>
      </w:tr>
      <w:tr w:rsidR="007606C7" w:rsidRPr="00BB46CB" w14:paraId="5E3A9D22" w14:textId="77777777" w:rsidTr="00277D48">
        <w:trPr>
          <w:trHeight w:val="194"/>
        </w:trPr>
        <w:tc>
          <w:tcPr>
            <w:cnfStyle w:val="001000000000" w:firstRow="0" w:lastRow="0" w:firstColumn="1" w:lastColumn="0" w:oddVBand="0" w:evenVBand="0" w:oddHBand="0" w:evenHBand="0" w:firstRowFirstColumn="0" w:firstRowLastColumn="0" w:lastRowFirstColumn="0" w:lastRowLastColumn="0"/>
            <w:tcW w:w="506" w:type="pct"/>
            <w:vMerge w:val="restart"/>
          </w:tcPr>
          <w:p w14:paraId="5D2A9CA5" w14:textId="77777777" w:rsidR="007606C7" w:rsidRPr="00BB46CB" w:rsidRDefault="007606C7" w:rsidP="00666947">
            <w:pPr>
              <w:pStyle w:val="TableTextLeft"/>
            </w:pPr>
            <w:r w:rsidRPr="00BB46CB">
              <w:t>Climate regulation</w:t>
            </w:r>
          </w:p>
        </w:tc>
        <w:tc>
          <w:tcPr>
            <w:tcW w:w="542" w:type="pct"/>
          </w:tcPr>
          <w:p w14:paraId="46C84061"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Carbon retention</w:t>
            </w:r>
          </w:p>
        </w:tc>
        <w:tc>
          <w:tcPr>
            <w:tcW w:w="895" w:type="pct"/>
          </w:tcPr>
          <w:p w14:paraId="0B5AAC4C"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 xml:space="preserve">All ecosystems </w:t>
            </w:r>
          </w:p>
        </w:tc>
        <w:tc>
          <w:tcPr>
            <w:tcW w:w="278" w:type="pct"/>
          </w:tcPr>
          <w:p w14:paraId="30909808"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35million</w:t>
            </w:r>
          </w:p>
        </w:tc>
        <w:tc>
          <w:tcPr>
            <w:tcW w:w="501" w:type="pct"/>
          </w:tcPr>
          <w:p w14:paraId="36253C21"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tCO2e</w:t>
            </w:r>
          </w:p>
        </w:tc>
        <w:tc>
          <w:tcPr>
            <w:tcW w:w="305" w:type="pct"/>
          </w:tcPr>
          <w:p w14:paraId="4D8093EE"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Medium</w:t>
            </w:r>
          </w:p>
        </w:tc>
        <w:tc>
          <w:tcPr>
            <w:tcW w:w="382" w:type="pct"/>
          </w:tcPr>
          <w:p w14:paraId="58B7F869"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$63m to $182m</w:t>
            </w:r>
          </w:p>
        </w:tc>
        <w:tc>
          <w:tcPr>
            <w:tcW w:w="218" w:type="pct"/>
          </w:tcPr>
          <w:p w14:paraId="24C1C404"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$m/yr</w:t>
            </w:r>
          </w:p>
        </w:tc>
        <w:tc>
          <w:tcPr>
            <w:tcW w:w="1018" w:type="pct"/>
          </w:tcPr>
          <w:p w14:paraId="38898833"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Carbon price to social cost of carbon</w:t>
            </w:r>
          </w:p>
        </w:tc>
        <w:tc>
          <w:tcPr>
            <w:tcW w:w="355" w:type="pct"/>
          </w:tcPr>
          <w:p w14:paraId="0F3ACF97"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High</w:t>
            </w:r>
          </w:p>
        </w:tc>
      </w:tr>
      <w:tr w:rsidR="007606C7" w:rsidRPr="00BB46CB" w14:paraId="518CAB87" w14:textId="77777777" w:rsidTr="00277D48">
        <w:trPr>
          <w:trHeight w:val="194"/>
        </w:trPr>
        <w:tc>
          <w:tcPr>
            <w:cnfStyle w:val="001000000000" w:firstRow="0" w:lastRow="0" w:firstColumn="1" w:lastColumn="0" w:oddVBand="0" w:evenVBand="0" w:oddHBand="0" w:evenHBand="0" w:firstRowFirstColumn="0" w:firstRowLastColumn="0" w:lastRowFirstColumn="0" w:lastRowLastColumn="0"/>
            <w:tcW w:w="506" w:type="pct"/>
            <w:vMerge/>
          </w:tcPr>
          <w:p w14:paraId="09AB13EC" w14:textId="77777777" w:rsidR="007606C7" w:rsidRPr="00BB46CB" w:rsidRDefault="007606C7" w:rsidP="00666947">
            <w:pPr>
              <w:pStyle w:val="TableTextLeft"/>
            </w:pPr>
          </w:p>
        </w:tc>
        <w:tc>
          <w:tcPr>
            <w:tcW w:w="542" w:type="pct"/>
          </w:tcPr>
          <w:p w14:paraId="0327EDCD"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rPr>
                <w:vertAlign w:val="superscript"/>
              </w:rPr>
            </w:pPr>
            <w:r w:rsidRPr="00BB46CB">
              <w:rPr>
                <w:i/>
              </w:rPr>
              <w:t xml:space="preserve">Carbon sequestration </w:t>
            </w:r>
            <w:r w:rsidRPr="00BB46CB">
              <w:rPr>
                <w:i/>
                <w:vertAlign w:val="superscript"/>
              </w:rPr>
              <w:t>c</w:t>
            </w:r>
          </w:p>
        </w:tc>
        <w:tc>
          <w:tcPr>
            <w:tcW w:w="895" w:type="pct"/>
          </w:tcPr>
          <w:p w14:paraId="2DDA7344"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rPr>
                <w:i/>
              </w:rPr>
              <w:t>3 broad ecosystems/20% GORCAP EEA area</w:t>
            </w:r>
          </w:p>
        </w:tc>
        <w:tc>
          <w:tcPr>
            <w:tcW w:w="278" w:type="pct"/>
          </w:tcPr>
          <w:p w14:paraId="3084CE79"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rPr>
                <w:i/>
              </w:rPr>
              <w:t>130,000</w:t>
            </w:r>
          </w:p>
        </w:tc>
        <w:tc>
          <w:tcPr>
            <w:tcW w:w="501" w:type="pct"/>
          </w:tcPr>
          <w:p w14:paraId="71F1CF78"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rPr>
                <w:i/>
              </w:rPr>
              <w:t>tCO2e</w:t>
            </w:r>
          </w:p>
        </w:tc>
        <w:tc>
          <w:tcPr>
            <w:tcW w:w="305" w:type="pct"/>
          </w:tcPr>
          <w:p w14:paraId="64B134CA"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rPr>
                <w:i/>
              </w:rPr>
              <w:t>Medium</w:t>
            </w:r>
          </w:p>
        </w:tc>
        <w:tc>
          <w:tcPr>
            <w:tcW w:w="382" w:type="pct"/>
          </w:tcPr>
          <w:p w14:paraId="7D430F82"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rPr>
                <w:i/>
              </w:rPr>
              <w:t>$6m to $17m</w:t>
            </w:r>
          </w:p>
        </w:tc>
        <w:tc>
          <w:tcPr>
            <w:tcW w:w="218" w:type="pct"/>
          </w:tcPr>
          <w:p w14:paraId="10B6DE2C"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rPr>
                <w:i/>
              </w:rPr>
              <w:t>$m/yr</w:t>
            </w:r>
          </w:p>
        </w:tc>
        <w:tc>
          <w:tcPr>
            <w:tcW w:w="1018" w:type="pct"/>
          </w:tcPr>
          <w:p w14:paraId="5275FFD8"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rPr>
                <w:i/>
              </w:rPr>
              <w:t xml:space="preserve">Carbon price to social cost of carbon </w:t>
            </w:r>
          </w:p>
        </w:tc>
        <w:tc>
          <w:tcPr>
            <w:tcW w:w="355" w:type="pct"/>
          </w:tcPr>
          <w:p w14:paraId="13E4F4B6"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rPr>
                <w:i/>
              </w:rPr>
              <w:t>High</w:t>
            </w:r>
          </w:p>
        </w:tc>
      </w:tr>
      <w:tr w:rsidR="007606C7" w:rsidRPr="00BB46CB" w14:paraId="11F2CEB4" w14:textId="77777777" w:rsidTr="00277D48">
        <w:trPr>
          <w:trHeight w:val="5"/>
        </w:trPr>
        <w:tc>
          <w:tcPr>
            <w:cnfStyle w:val="001000000000" w:firstRow="0" w:lastRow="0" w:firstColumn="1" w:lastColumn="0" w:oddVBand="0" w:evenVBand="0" w:oddHBand="0" w:evenHBand="0" w:firstRowFirstColumn="0" w:firstRowLastColumn="0" w:lastRowFirstColumn="0" w:lastRowLastColumn="0"/>
            <w:tcW w:w="506" w:type="pct"/>
          </w:tcPr>
          <w:p w14:paraId="1C9D49D7" w14:textId="77777777" w:rsidR="007606C7" w:rsidRPr="00BB46CB" w:rsidRDefault="007606C7" w:rsidP="00666947">
            <w:pPr>
              <w:pStyle w:val="TableTextLeft"/>
            </w:pPr>
            <w:r w:rsidRPr="00BB46CB">
              <w:t>Recreation / tourism</w:t>
            </w:r>
          </w:p>
        </w:tc>
        <w:tc>
          <w:tcPr>
            <w:tcW w:w="542" w:type="pct"/>
          </w:tcPr>
          <w:p w14:paraId="592670E1"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Total</w:t>
            </w:r>
          </w:p>
        </w:tc>
        <w:tc>
          <w:tcPr>
            <w:tcW w:w="895" w:type="pct"/>
          </w:tcPr>
          <w:p w14:paraId="32C55549"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All ecosystems</w:t>
            </w:r>
          </w:p>
        </w:tc>
        <w:tc>
          <w:tcPr>
            <w:tcW w:w="278" w:type="pct"/>
          </w:tcPr>
          <w:p w14:paraId="57659A6C"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3,900,000</w:t>
            </w:r>
          </w:p>
        </w:tc>
        <w:tc>
          <w:tcPr>
            <w:tcW w:w="501" w:type="pct"/>
          </w:tcPr>
          <w:p w14:paraId="6FE21752"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Visitors</w:t>
            </w:r>
          </w:p>
        </w:tc>
        <w:tc>
          <w:tcPr>
            <w:tcW w:w="305" w:type="pct"/>
          </w:tcPr>
          <w:p w14:paraId="4FA588D1"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High</w:t>
            </w:r>
          </w:p>
        </w:tc>
        <w:tc>
          <w:tcPr>
            <w:tcW w:w="382" w:type="pct"/>
          </w:tcPr>
          <w:p w14:paraId="1C7EA6A6"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$61m to $560m</w:t>
            </w:r>
          </w:p>
        </w:tc>
        <w:tc>
          <w:tcPr>
            <w:tcW w:w="218" w:type="pct"/>
          </w:tcPr>
          <w:p w14:paraId="41CBF749"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$m/yr</w:t>
            </w:r>
          </w:p>
        </w:tc>
        <w:tc>
          <w:tcPr>
            <w:tcW w:w="1018" w:type="pct"/>
          </w:tcPr>
          <w:p w14:paraId="48DA8236"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 xml:space="preserve">GVA contribution to Welfare and avoided costs </w:t>
            </w:r>
          </w:p>
        </w:tc>
        <w:tc>
          <w:tcPr>
            <w:tcW w:w="355" w:type="pct"/>
          </w:tcPr>
          <w:p w14:paraId="01C23188"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High</w:t>
            </w:r>
          </w:p>
        </w:tc>
      </w:tr>
      <w:tr w:rsidR="007606C7" w:rsidRPr="00BB46CB" w14:paraId="0D576614" w14:textId="77777777" w:rsidTr="00277D48">
        <w:trPr>
          <w:trHeight w:val="5"/>
        </w:trPr>
        <w:tc>
          <w:tcPr>
            <w:cnfStyle w:val="001000000000" w:firstRow="0" w:lastRow="0" w:firstColumn="1" w:lastColumn="0" w:oddVBand="0" w:evenVBand="0" w:oddHBand="0" w:evenHBand="0" w:firstRowFirstColumn="0" w:firstRowLastColumn="0" w:lastRowFirstColumn="0" w:lastRowLastColumn="0"/>
            <w:tcW w:w="1049" w:type="pct"/>
            <w:gridSpan w:val="2"/>
          </w:tcPr>
          <w:p w14:paraId="2AF08DE3" w14:textId="77777777" w:rsidR="007606C7" w:rsidRPr="00BB46CB" w:rsidRDefault="007606C7" w:rsidP="00666947">
            <w:pPr>
              <w:pStyle w:val="TableTextLeft"/>
            </w:pPr>
            <w:r w:rsidRPr="00BB46CB">
              <w:t>Biomass for timber</w:t>
            </w:r>
          </w:p>
        </w:tc>
        <w:tc>
          <w:tcPr>
            <w:tcW w:w="895" w:type="pct"/>
          </w:tcPr>
          <w:p w14:paraId="697FF44F"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rPr>
                <w:rFonts w:eastAsia="Calibri"/>
              </w:rPr>
              <w:t>Plantation forest</w:t>
            </w:r>
            <w:r w:rsidRPr="00BB46CB">
              <w:t xml:space="preserve"> </w:t>
            </w:r>
          </w:p>
        </w:tc>
        <w:tc>
          <w:tcPr>
            <w:tcW w:w="278" w:type="pct"/>
          </w:tcPr>
          <w:p w14:paraId="6CCC7967"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rPr>
                <w:rFonts w:eastAsia="Calibri"/>
              </w:rPr>
              <w:t xml:space="preserve">30,000 </w:t>
            </w:r>
          </w:p>
        </w:tc>
        <w:tc>
          <w:tcPr>
            <w:tcW w:w="501" w:type="pct"/>
          </w:tcPr>
          <w:p w14:paraId="7B5A442C"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rPr>
                <w:rFonts w:eastAsia="Calibri"/>
              </w:rPr>
              <w:t>m</w:t>
            </w:r>
            <w:r w:rsidRPr="00BB46CB">
              <w:rPr>
                <w:rFonts w:eastAsia="Calibri"/>
                <w:vertAlign w:val="superscript"/>
              </w:rPr>
              <w:t>3</w:t>
            </w:r>
            <w:r w:rsidRPr="00BB46CB">
              <w:rPr>
                <w:rFonts w:eastAsia="Calibri"/>
              </w:rPr>
              <w:t>/yr</w:t>
            </w:r>
          </w:p>
        </w:tc>
        <w:tc>
          <w:tcPr>
            <w:tcW w:w="305" w:type="pct"/>
          </w:tcPr>
          <w:p w14:paraId="50F65195"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Medium</w:t>
            </w:r>
          </w:p>
        </w:tc>
        <w:tc>
          <w:tcPr>
            <w:tcW w:w="382" w:type="pct"/>
          </w:tcPr>
          <w:p w14:paraId="14A495E0"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$0.25m</w:t>
            </w:r>
          </w:p>
        </w:tc>
        <w:tc>
          <w:tcPr>
            <w:tcW w:w="218" w:type="pct"/>
          </w:tcPr>
          <w:p w14:paraId="09167690"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$m/yr</w:t>
            </w:r>
          </w:p>
        </w:tc>
        <w:tc>
          <w:tcPr>
            <w:tcW w:w="1018" w:type="pct"/>
          </w:tcPr>
          <w:p w14:paraId="3DCF3107"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 xml:space="preserve">Resource rent from market prices </w:t>
            </w:r>
            <w:r w:rsidRPr="00BB46CB">
              <w:rPr>
                <w:vertAlign w:val="superscript"/>
              </w:rPr>
              <w:t>a</w:t>
            </w:r>
          </w:p>
        </w:tc>
        <w:tc>
          <w:tcPr>
            <w:tcW w:w="355" w:type="pct"/>
          </w:tcPr>
          <w:p w14:paraId="5098B4A8"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Medium</w:t>
            </w:r>
          </w:p>
        </w:tc>
      </w:tr>
      <w:tr w:rsidR="007606C7" w:rsidRPr="00BB46CB" w14:paraId="70335708" w14:textId="77777777" w:rsidTr="00277D48">
        <w:trPr>
          <w:trHeight w:val="5"/>
        </w:trPr>
        <w:tc>
          <w:tcPr>
            <w:cnfStyle w:val="001000000000" w:firstRow="0" w:lastRow="0" w:firstColumn="1" w:lastColumn="0" w:oddVBand="0" w:evenVBand="0" w:oddHBand="0" w:evenHBand="0" w:firstRowFirstColumn="0" w:firstRowLastColumn="0" w:lastRowFirstColumn="0" w:lastRowLastColumn="0"/>
            <w:tcW w:w="1049" w:type="pct"/>
            <w:gridSpan w:val="2"/>
          </w:tcPr>
          <w:p w14:paraId="6CF3C6F5" w14:textId="77777777" w:rsidR="007606C7" w:rsidRPr="00BB46CB" w:rsidRDefault="007606C7" w:rsidP="00666947">
            <w:pPr>
              <w:pStyle w:val="TableTextLeft"/>
            </w:pPr>
            <w:r w:rsidRPr="00BB46CB">
              <w:rPr>
                <w:i/>
              </w:rPr>
              <w:t xml:space="preserve">Aesthetics </w:t>
            </w:r>
            <w:r w:rsidRPr="00BB46CB">
              <w:rPr>
                <w:i/>
                <w:vertAlign w:val="superscript"/>
              </w:rPr>
              <w:t>d</w:t>
            </w:r>
          </w:p>
        </w:tc>
        <w:tc>
          <w:tcPr>
            <w:tcW w:w="895" w:type="pct"/>
          </w:tcPr>
          <w:p w14:paraId="5F249FF6"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rPr>
                <w:i/>
              </w:rPr>
              <w:t>All ecosystems</w:t>
            </w:r>
          </w:p>
        </w:tc>
        <w:tc>
          <w:tcPr>
            <w:tcW w:w="278" w:type="pct"/>
          </w:tcPr>
          <w:p w14:paraId="1B197D0E"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rPr>
                <w:i/>
              </w:rPr>
              <w:t>84</w:t>
            </w:r>
          </w:p>
        </w:tc>
        <w:tc>
          <w:tcPr>
            <w:tcW w:w="501" w:type="pct"/>
          </w:tcPr>
          <w:p w14:paraId="3BDF5003"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rPr>
                <w:i/>
              </w:rPr>
              <w:t>Undisturbed view %</w:t>
            </w:r>
          </w:p>
        </w:tc>
        <w:tc>
          <w:tcPr>
            <w:tcW w:w="305" w:type="pct"/>
          </w:tcPr>
          <w:p w14:paraId="010D5956"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rPr>
                <w:i/>
              </w:rPr>
              <w:t>-</w:t>
            </w:r>
          </w:p>
        </w:tc>
        <w:tc>
          <w:tcPr>
            <w:tcW w:w="382" w:type="pct"/>
          </w:tcPr>
          <w:p w14:paraId="7828EE56"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rPr>
                <w:i/>
              </w:rPr>
              <w:t>-</w:t>
            </w:r>
          </w:p>
        </w:tc>
        <w:tc>
          <w:tcPr>
            <w:tcW w:w="218" w:type="pct"/>
          </w:tcPr>
          <w:p w14:paraId="554C5EFD"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rPr>
                <w:i/>
              </w:rPr>
              <w:t>-</w:t>
            </w:r>
          </w:p>
        </w:tc>
        <w:tc>
          <w:tcPr>
            <w:tcW w:w="1018" w:type="pct"/>
          </w:tcPr>
          <w:p w14:paraId="6DE4FE21"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rPr>
                <w:i/>
              </w:rPr>
              <w:t>-</w:t>
            </w:r>
          </w:p>
        </w:tc>
        <w:tc>
          <w:tcPr>
            <w:tcW w:w="355" w:type="pct"/>
          </w:tcPr>
          <w:p w14:paraId="04F61940"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rPr>
                <w:i/>
              </w:rPr>
            </w:pPr>
            <w:r w:rsidRPr="00BB46CB">
              <w:rPr>
                <w:i/>
              </w:rPr>
              <w:t>-</w:t>
            </w:r>
          </w:p>
        </w:tc>
      </w:tr>
      <w:tr w:rsidR="007606C7" w:rsidRPr="00BB46CB" w14:paraId="259D0017" w14:textId="77777777" w:rsidTr="00277D48">
        <w:trPr>
          <w:trHeight w:val="5"/>
        </w:trPr>
        <w:tc>
          <w:tcPr>
            <w:cnfStyle w:val="001000000000" w:firstRow="0" w:lastRow="0" w:firstColumn="1" w:lastColumn="0" w:oddVBand="0" w:evenVBand="0" w:oddHBand="0" w:evenHBand="0" w:firstRowFirstColumn="0" w:firstRowLastColumn="0" w:lastRowFirstColumn="0" w:lastRowLastColumn="0"/>
            <w:tcW w:w="1049" w:type="pct"/>
            <w:gridSpan w:val="2"/>
          </w:tcPr>
          <w:p w14:paraId="7C9EC33E" w14:textId="77777777" w:rsidR="007606C7" w:rsidRPr="00BB46CB" w:rsidRDefault="007606C7" w:rsidP="00666947">
            <w:pPr>
              <w:pStyle w:val="TableTextLeft"/>
              <w:rPr>
                <w:i/>
                <w:vertAlign w:val="superscript"/>
              </w:rPr>
            </w:pPr>
            <w:r w:rsidRPr="00BB46CB">
              <w:rPr>
                <w:i/>
              </w:rPr>
              <w:t xml:space="preserve">Social / community cohesion </w:t>
            </w:r>
            <w:r w:rsidRPr="00BB46CB">
              <w:rPr>
                <w:i/>
                <w:vertAlign w:val="superscript"/>
              </w:rPr>
              <w:t>d</w:t>
            </w:r>
          </w:p>
        </w:tc>
        <w:tc>
          <w:tcPr>
            <w:tcW w:w="895" w:type="pct"/>
          </w:tcPr>
          <w:p w14:paraId="71B50CBE"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rPr>
                <w:i/>
              </w:rPr>
              <w:t>All ecosystems</w:t>
            </w:r>
          </w:p>
        </w:tc>
        <w:tc>
          <w:tcPr>
            <w:tcW w:w="278" w:type="pct"/>
          </w:tcPr>
          <w:p w14:paraId="49B6D287"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rPr>
                <w:i/>
              </w:rPr>
              <w:t>77</w:t>
            </w:r>
          </w:p>
        </w:tc>
        <w:tc>
          <w:tcPr>
            <w:tcW w:w="501" w:type="pct"/>
          </w:tcPr>
          <w:p w14:paraId="05B7687A"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rPr>
                <w:i/>
              </w:rPr>
              <w:t>Voluntary Groups</w:t>
            </w:r>
          </w:p>
        </w:tc>
        <w:tc>
          <w:tcPr>
            <w:tcW w:w="305" w:type="pct"/>
          </w:tcPr>
          <w:p w14:paraId="682FC538"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rPr>
                <w:i/>
              </w:rPr>
              <w:t>-</w:t>
            </w:r>
          </w:p>
        </w:tc>
        <w:tc>
          <w:tcPr>
            <w:tcW w:w="382" w:type="pct"/>
          </w:tcPr>
          <w:p w14:paraId="0BADD854"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rPr>
                <w:i/>
              </w:rPr>
              <w:t>-</w:t>
            </w:r>
          </w:p>
        </w:tc>
        <w:tc>
          <w:tcPr>
            <w:tcW w:w="218" w:type="pct"/>
          </w:tcPr>
          <w:p w14:paraId="2750BFF8"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rPr>
                <w:i/>
              </w:rPr>
              <w:t>-</w:t>
            </w:r>
          </w:p>
        </w:tc>
        <w:tc>
          <w:tcPr>
            <w:tcW w:w="1018" w:type="pct"/>
          </w:tcPr>
          <w:p w14:paraId="5FE1626F"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rPr>
                <w:i/>
              </w:rPr>
              <w:t>-</w:t>
            </w:r>
          </w:p>
        </w:tc>
        <w:tc>
          <w:tcPr>
            <w:tcW w:w="355" w:type="pct"/>
          </w:tcPr>
          <w:p w14:paraId="648A3841"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rPr>
                <w:i/>
              </w:rPr>
            </w:pPr>
            <w:r w:rsidRPr="00BB46CB">
              <w:rPr>
                <w:i/>
              </w:rPr>
              <w:t>-</w:t>
            </w:r>
          </w:p>
        </w:tc>
      </w:tr>
    </w:tbl>
    <w:p w14:paraId="477106AE" w14:textId="77777777" w:rsidR="007606C7" w:rsidRPr="00BB46CB" w:rsidRDefault="007606C7" w:rsidP="00277D48">
      <w:pPr>
        <w:pStyle w:val="NoteHeading"/>
      </w:pPr>
      <w:proofErr w:type="spellStart"/>
      <w:r w:rsidRPr="00BB46CB">
        <w:rPr>
          <w:vertAlign w:val="superscript"/>
        </w:rPr>
        <w:t>a</w:t>
      </w:r>
      <w:proofErr w:type="spellEnd"/>
      <w:r w:rsidRPr="00BB46CB">
        <w:rPr>
          <w:vertAlign w:val="superscript"/>
        </w:rPr>
        <w:t xml:space="preserve"> </w:t>
      </w:r>
      <w:r w:rsidRPr="00BB46CB">
        <w:t xml:space="preserve">The contribution of the ecosystem to these socio-economic benefits is isolated at the monetary valuation stage in what is known as a “resource rent” calculation which strips out the contribution of other inputs (e.g., cost of human labour, machines etc) from the market price of the good / service. </w:t>
      </w:r>
    </w:p>
    <w:p w14:paraId="561A15E1" w14:textId="77777777" w:rsidR="007606C7" w:rsidRPr="00BB46CB" w:rsidRDefault="007606C7" w:rsidP="00277D48">
      <w:pPr>
        <w:pStyle w:val="NoteHeading"/>
      </w:pPr>
      <w:r w:rsidRPr="00BB46CB">
        <w:rPr>
          <w:vertAlign w:val="superscript"/>
        </w:rPr>
        <w:t xml:space="preserve">b </w:t>
      </w:r>
      <w:r w:rsidRPr="00BB46CB">
        <w:t xml:space="preserve">This is a capitalised value to show the total cost of building a sea wall (or alternative infrastructure) to replace the exposure reduction provided by coastal wetlands in the GORCAP EEA region over a 40 year period. </w:t>
      </w:r>
    </w:p>
    <w:p w14:paraId="41C63C51" w14:textId="77777777" w:rsidR="007606C7" w:rsidRPr="00BB46CB" w:rsidRDefault="007606C7" w:rsidP="00277D48">
      <w:pPr>
        <w:pStyle w:val="NoteHeading"/>
      </w:pPr>
      <w:r w:rsidRPr="00BB46CB">
        <w:rPr>
          <w:vertAlign w:val="superscript"/>
        </w:rPr>
        <w:t xml:space="preserve">c </w:t>
      </w:r>
      <w:r w:rsidRPr="00BB46CB">
        <w:t>This is not additive to the carbon retention service but is presented here to provide an alternative perspective on the ecosystem service, albeit with partial coverage (only 3 broad ecosystems / 20% of total GORCAP EEA area).</w:t>
      </w:r>
    </w:p>
    <w:p w14:paraId="6D04D89F" w14:textId="77777777" w:rsidR="007606C7" w:rsidRPr="00BB46CB" w:rsidRDefault="007606C7" w:rsidP="00277D48">
      <w:pPr>
        <w:pStyle w:val="NoteHeading"/>
      </w:pPr>
      <w:r w:rsidRPr="00BB46CB">
        <w:rPr>
          <w:vertAlign w:val="superscript"/>
        </w:rPr>
        <w:t xml:space="preserve">d </w:t>
      </w:r>
      <w:r w:rsidRPr="00BB46CB">
        <w:t>This is used as an indicator of the delivery of ecosystem services.</w:t>
      </w:r>
    </w:p>
    <w:p w14:paraId="6DF74CDC" w14:textId="77777777" w:rsidR="007606C7" w:rsidRPr="00BB46CB" w:rsidRDefault="007606C7" w:rsidP="007606C7">
      <w:pPr>
        <w:pStyle w:val="BodyText"/>
        <w:sectPr w:rsidR="007606C7" w:rsidRPr="00BB46CB" w:rsidSect="00E52A9A">
          <w:headerReference w:type="even" r:id="rId264"/>
          <w:headerReference w:type="default" r:id="rId265"/>
          <w:footerReference w:type="even" r:id="rId266"/>
          <w:footerReference w:type="default" r:id="rId267"/>
          <w:pgSz w:w="23811" w:h="16838" w:orient="landscape" w:code="8"/>
          <w:pgMar w:top="1134" w:right="1134" w:bottom="1134" w:left="1134" w:header="283" w:footer="283" w:gutter="0"/>
          <w:cols w:space="284"/>
          <w:docGrid w:linePitch="360"/>
        </w:sectPr>
      </w:pPr>
    </w:p>
    <w:p w14:paraId="434C92ED" w14:textId="77777777" w:rsidR="007606C7" w:rsidRPr="00BB46CB" w:rsidRDefault="007606C7" w:rsidP="00277D48">
      <w:pPr>
        <w:pStyle w:val="Caption"/>
      </w:pPr>
      <w:r w:rsidRPr="00BB46CB">
        <w:lastRenderedPageBreak/>
        <w:t>Table 87. Summary supply and use account</w:t>
      </w:r>
    </w:p>
    <w:tbl>
      <w:tblPr>
        <w:tblStyle w:val="TableGrid"/>
        <w:tblW w:w="5000" w:type="pct"/>
        <w:tblLook w:val="04A0" w:firstRow="1" w:lastRow="0" w:firstColumn="1" w:lastColumn="0" w:noHBand="0" w:noVBand="1"/>
      </w:tblPr>
      <w:tblGrid>
        <w:gridCol w:w="838"/>
        <w:gridCol w:w="1228"/>
        <w:gridCol w:w="1847"/>
        <w:gridCol w:w="1405"/>
        <w:gridCol w:w="1015"/>
        <w:gridCol w:w="2034"/>
        <w:gridCol w:w="1272"/>
      </w:tblGrid>
      <w:tr w:rsidR="007606C7" w:rsidRPr="00BB46CB" w14:paraId="0B96245C" w14:textId="77777777" w:rsidTr="00277D48">
        <w:trPr>
          <w:cnfStyle w:val="100000000000" w:firstRow="1" w:lastRow="0" w:firstColumn="0" w:lastColumn="0" w:oddVBand="0" w:evenVBand="0" w:oddHBand="0" w:evenHBand="0" w:firstRowFirstColumn="0" w:firstRowLastColumn="0" w:lastRowFirstColumn="0" w:lastRowLastColumn="0"/>
          <w:trHeight w:val="68"/>
        </w:trPr>
        <w:tc>
          <w:tcPr>
            <w:cnfStyle w:val="001000000000" w:firstRow="0" w:lastRow="0" w:firstColumn="1" w:lastColumn="0" w:oddVBand="0" w:evenVBand="0" w:oddHBand="0" w:evenHBand="0" w:firstRowFirstColumn="0" w:firstRowLastColumn="0" w:lastRowFirstColumn="0" w:lastRowLastColumn="0"/>
            <w:tcW w:w="1071" w:type="pct"/>
            <w:gridSpan w:val="2"/>
            <w:vMerge w:val="restart"/>
          </w:tcPr>
          <w:p w14:paraId="75CCBB9E" w14:textId="77777777" w:rsidR="007606C7" w:rsidRPr="00BB46CB" w:rsidRDefault="007606C7" w:rsidP="00666947">
            <w:pPr>
              <w:pStyle w:val="TableTextLeft"/>
              <w:rPr>
                <w:rFonts w:eastAsia="Calibri"/>
              </w:rPr>
            </w:pPr>
            <w:r w:rsidRPr="00BB46CB">
              <w:rPr>
                <w:rFonts w:eastAsia="Calibri"/>
                <w:b/>
              </w:rPr>
              <w:t>Metric</w:t>
            </w:r>
          </w:p>
        </w:tc>
        <w:tc>
          <w:tcPr>
            <w:tcW w:w="987" w:type="pct"/>
            <w:vMerge w:val="restart"/>
          </w:tcPr>
          <w:p w14:paraId="4A468705" w14:textId="77777777" w:rsidR="007606C7" w:rsidRPr="00BB46CB" w:rsidRDefault="007606C7" w:rsidP="00666947">
            <w:pPr>
              <w:pStyle w:val="TableTextLeft"/>
              <w:cnfStyle w:val="100000000000" w:firstRow="1" w:lastRow="0" w:firstColumn="0" w:lastColumn="0" w:oddVBand="0" w:evenVBand="0" w:oddHBand="0" w:evenHBand="0" w:firstRowFirstColumn="0" w:firstRowLastColumn="0" w:lastRowFirstColumn="0" w:lastRowLastColumn="0"/>
              <w:rPr>
                <w:rFonts w:eastAsia="Calibri"/>
              </w:rPr>
            </w:pPr>
            <w:r w:rsidRPr="00BB46CB">
              <w:rPr>
                <w:rFonts w:eastAsia="Calibri"/>
                <w:b/>
              </w:rPr>
              <w:t>Household</w:t>
            </w:r>
          </w:p>
        </w:tc>
        <w:tc>
          <w:tcPr>
            <w:tcW w:w="679" w:type="pct"/>
            <w:vMerge w:val="restart"/>
          </w:tcPr>
          <w:p w14:paraId="0EB6B6F1" w14:textId="77777777" w:rsidR="007606C7" w:rsidRPr="00BB46CB" w:rsidRDefault="007606C7" w:rsidP="00666947">
            <w:pPr>
              <w:pStyle w:val="TableTextLeft"/>
              <w:cnfStyle w:val="100000000000" w:firstRow="1" w:lastRow="0" w:firstColumn="0" w:lastColumn="0" w:oddVBand="0" w:evenVBand="0" w:oddHBand="0" w:evenHBand="0" w:firstRowFirstColumn="0" w:firstRowLastColumn="0" w:lastRowFirstColumn="0" w:lastRowLastColumn="0"/>
              <w:rPr>
                <w:rFonts w:eastAsia="Calibri"/>
              </w:rPr>
            </w:pPr>
            <w:r w:rsidRPr="00BB46CB">
              <w:rPr>
                <w:rFonts w:eastAsia="Calibri"/>
                <w:b/>
              </w:rPr>
              <w:t>Government</w:t>
            </w:r>
          </w:p>
        </w:tc>
        <w:tc>
          <w:tcPr>
            <w:tcW w:w="490" w:type="pct"/>
            <w:vMerge w:val="restart"/>
          </w:tcPr>
          <w:p w14:paraId="1294F327" w14:textId="77777777" w:rsidR="007606C7" w:rsidRPr="00BB46CB" w:rsidRDefault="007606C7" w:rsidP="00666947">
            <w:pPr>
              <w:pStyle w:val="TableTextLeft"/>
              <w:cnfStyle w:val="100000000000" w:firstRow="1" w:lastRow="0" w:firstColumn="0" w:lastColumn="0" w:oddVBand="0" w:evenVBand="0" w:oddHBand="0" w:evenHBand="0" w:firstRowFirstColumn="0" w:firstRowLastColumn="0" w:lastRowFirstColumn="0" w:lastRowLastColumn="0"/>
              <w:rPr>
                <w:rFonts w:eastAsia="Calibri"/>
              </w:rPr>
            </w:pPr>
            <w:r w:rsidRPr="00BB46CB">
              <w:rPr>
                <w:rFonts w:eastAsia="Calibri"/>
                <w:b/>
              </w:rPr>
              <w:t>Industry</w:t>
            </w:r>
          </w:p>
        </w:tc>
        <w:tc>
          <w:tcPr>
            <w:tcW w:w="1773" w:type="pct"/>
            <w:gridSpan w:val="2"/>
          </w:tcPr>
          <w:p w14:paraId="7740CA19" w14:textId="77777777" w:rsidR="007606C7" w:rsidRPr="00BB46CB" w:rsidRDefault="007606C7" w:rsidP="00666947">
            <w:pPr>
              <w:pStyle w:val="TableTextLeft"/>
              <w:cnfStyle w:val="100000000000" w:firstRow="1" w:lastRow="0" w:firstColumn="0" w:lastColumn="0" w:oddVBand="0" w:evenVBand="0" w:oddHBand="0" w:evenHBand="0" w:firstRowFirstColumn="0" w:firstRowLastColumn="0" w:lastRowFirstColumn="0" w:lastRowLastColumn="0"/>
              <w:rPr>
                <w:rFonts w:eastAsia="Calibri"/>
                <w:b/>
              </w:rPr>
            </w:pPr>
            <w:r w:rsidRPr="00BB46CB">
              <w:rPr>
                <w:rFonts w:eastAsia="Calibri"/>
                <w:b/>
              </w:rPr>
              <w:t>Ecosystems</w:t>
            </w:r>
          </w:p>
        </w:tc>
      </w:tr>
      <w:tr w:rsidR="007606C7" w:rsidRPr="00BB46CB" w14:paraId="7C89213D" w14:textId="77777777" w:rsidTr="00277D48">
        <w:trPr>
          <w:trHeight w:val="68"/>
        </w:trPr>
        <w:tc>
          <w:tcPr>
            <w:cnfStyle w:val="001000000000" w:firstRow="0" w:lastRow="0" w:firstColumn="1" w:lastColumn="0" w:oddVBand="0" w:evenVBand="0" w:oddHBand="0" w:evenHBand="0" w:firstRowFirstColumn="0" w:firstRowLastColumn="0" w:lastRowFirstColumn="0" w:lastRowLastColumn="0"/>
            <w:tcW w:w="1071" w:type="pct"/>
            <w:gridSpan w:val="2"/>
            <w:vMerge/>
          </w:tcPr>
          <w:p w14:paraId="19FD99E4" w14:textId="77777777" w:rsidR="007606C7" w:rsidRPr="00BB46CB" w:rsidRDefault="007606C7" w:rsidP="00666947">
            <w:pPr>
              <w:pStyle w:val="TableTextLeft"/>
              <w:rPr>
                <w:rFonts w:eastAsia="Calibri"/>
              </w:rPr>
            </w:pPr>
          </w:p>
        </w:tc>
        <w:tc>
          <w:tcPr>
            <w:tcW w:w="987" w:type="pct"/>
            <w:vMerge/>
          </w:tcPr>
          <w:p w14:paraId="310589B5"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679" w:type="pct"/>
            <w:vMerge/>
          </w:tcPr>
          <w:p w14:paraId="3C80C257"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490" w:type="pct"/>
            <w:vMerge/>
          </w:tcPr>
          <w:p w14:paraId="32AC586D"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b/>
              </w:rPr>
            </w:pPr>
          </w:p>
        </w:tc>
        <w:tc>
          <w:tcPr>
            <w:tcW w:w="1084" w:type="pct"/>
            <w:shd w:val="clear" w:color="auto" w:fill="004C97" w:themeFill="accent1"/>
          </w:tcPr>
          <w:p w14:paraId="18C918C1" w14:textId="77777777" w:rsidR="007606C7" w:rsidRPr="00277D48" w:rsidRDefault="007606C7" w:rsidP="00277D48">
            <w:pPr>
              <w:pStyle w:val="TableHeadingLeft"/>
              <w:cnfStyle w:val="000000000000" w:firstRow="0" w:lastRow="0" w:firstColumn="0" w:lastColumn="0" w:oddVBand="0" w:evenVBand="0" w:oddHBand="0" w:evenHBand="0" w:firstRowFirstColumn="0" w:firstRowLastColumn="0" w:lastRowFirstColumn="0" w:lastRowLastColumn="0"/>
              <w:rPr>
                <w:rFonts w:eastAsia="Calibri"/>
                <w:i/>
                <w:iCs/>
              </w:rPr>
            </w:pPr>
            <w:r w:rsidRPr="00277D48">
              <w:rPr>
                <w:rFonts w:eastAsia="Calibri"/>
                <w:i/>
                <w:iCs/>
              </w:rPr>
              <w:t>Crown</w:t>
            </w:r>
          </w:p>
        </w:tc>
        <w:tc>
          <w:tcPr>
            <w:tcW w:w="689" w:type="pct"/>
            <w:shd w:val="clear" w:color="auto" w:fill="004C97" w:themeFill="accent1"/>
          </w:tcPr>
          <w:p w14:paraId="75C75EB4" w14:textId="77777777" w:rsidR="007606C7" w:rsidRPr="00277D48" w:rsidRDefault="007606C7" w:rsidP="00277D48">
            <w:pPr>
              <w:pStyle w:val="TableHeadingLeft"/>
              <w:cnfStyle w:val="000000000000" w:firstRow="0" w:lastRow="0" w:firstColumn="0" w:lastColumn="0" w:oddVBand="0" w:evenVBand="0" w:oddHBand="0" w:evenHBand="0" w:firstRowFirstColumn="0" w:firstRowLastColumn="0" w:lastRowFirstColumn="0" w:lastRowLastColumn="0"/>
              <w:rPr>
                <w:rFonts w:eastAsia="Calibri"/>
                <w:i/>
                <w:iCs/>
              </w:rPr>
            </w:pPr>
            <w:r w:rsidRPr="00277D48">
              <w:rPr>
                <w:rFonts w:eastAsia="Calibri"/>
                <w:i/>
                <w:iCs/>
              </w:rPr>
              <w:t>Non-Crown</w:t>
            </w:r>
          </w:p>
        </w:tc>
      </w:tr>
      <w:tr w:rsidR="007606C7" w:rsidRPr="00BB46CB" w14:paraId="1174E36F" w14:textId="77777777" w:rsidTr="00277D48">
        <w:trPr>
          <w:trHeight w:val="88"/>
        </w:trPr>
        <w:tc>
          <w:tcPr>
            <w:cnfStyle w:val="001000000000" w:firstRow="0" w:lastRow="0" w:firstColumn="1" w:lastColumn="0" w:oddVBand="0" w:evenVBand="0" w:oddHBand="0" w:evenHBand="0" w:firstRowFirstColumn="0" w:firstRowLastColumn="0" w:lastRowFirstColumn="0" w:lastRowLastColumn="0"/>
            <w:tcW w:w="405" w:type="pct"/>
            <w:vMerge w:val="restart"/>
          </w:tcPr>
          <w:p w14:paraId="33CD191F" w14:textId="77777777" w:rsidR="007606C7" w:rsidRPr="00BB46CB" w:rsidRDefault="007606C7" w:rsidP="00666947">
            <w:pPr>
              <w:pStyle w:val="TableTextLeft"/>
              <w:rPr>
                <w:rFonts w:eastAsia="Calibri"/>
              </w:rPr>
            </w:pPr>
            <w:r w:rsidRPr="00BB46CB">
              <w:rPr>
                <w:rFonts w:eastAsia="Calibri"/>
              </w:rPr>
              <w:t>Supply</w:t>
            </w:r>
          </w:p>
        </w:tc>
        <w:tc>
          <w:tcPr>
            <w:tcW w:w="666" w:type="pct"/>
            <w:vMerge w:val="restart"/>
          </w:tcPr>
          <w:p w14:paraId="5E498CC2"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BB46CB">
              <w:rPr>
                <w:rFonts w:eastAsia="Calibri"/>
              </w:rPr>
              <w:t>$ AUD (2021)</w:t>
            </w:r>
          </w:p>
        </w:tc>
        <w:tc>
          <w:tcPr>
            <w:tcW w:w="987" w:type="pct"/>
            <w:vMerge w:val="restart"/>
            <w:shd w:val="clear" w:color="auto" w:fill="CCDBEA" w:themeFill="background2"/>
          </w:tcPr>
          <w:p w14:paraId="46A9C7CA"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679" w:type="pct"/>
            <w:vMerge w:val="restart"/>
            <w:shd w:val="clear" w:color="auto" w:fill="CCDBEA" w:themeFill="background2"/>
          </w:tcPr>
          <w:p w14:paraId="7A627E00"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490" w:type="pct"/>
            <w:vMerge w:val="restart"/>
            <w:shd w:val="clear" w:color="auto" w:fill="CCDBEA" w:themeFill="background2"/>
          </w:tcPr>
          <w:p w14:paraId="2F88BC3D"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1084" w:type="pct"/>
          </w:tcPr>
          <w:p w14:paraId="2BAA3BEA"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BB46CB">
              <w:rPr>
                <w:rFonts w:eastAsia="Calibri"/>
              </w:rPr>
              <w:t>$1m/yr - $3m/yr</w:t>
            </w:r>
          </w:p>
        </w:tc>
        <w:tc>
          <w:tcPr>
            <w:tcW w:w="689" w:type="pct"/>
          </w:tcPr>
          <w:p w14:paraId="3CC94BFC"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BB46CB">
              <w:rPr>
                <w:rFonts w:eastAsia="Calibri"/>
              </w:rPr>
              <w:t>$12m/yr</w:t>
            </w:r>
          </w:p>
        </w:tc>
      </w:tr>
      <w:tr w:rsidR="007606C7" w:rsidRPr="00BB46CB" w14:paraId="6310B730" w14:textId="77777777" w:rsidTr="00277D48">
        <w:trPr>
          <w:trHeight w:val="153"/>
        </w:trPr>
        <w:tc>
          <w:tcPr>
            <w:cnfStyle w:val="001000000000" w:firstRow="0" w:lastRow="0" w:firstColumn="1" w:lastColumn="0" w:oddVBand="0" w:evenVBand="0" w:oddHBand="0" w:evenHBand="0" w:firstRowFirstColumn="0" w:firstRowLastColumn="0" w:lastRowFirstColumn="0" w:lastRowLastColumn="0"/>
            <w:tcW w:w="405" w:type="pct"/>
            <w:vMerge/>
          </w:tcPr>
          <w:p w14:paraId="4C45C77B" w14:textId="77777777" w:rsidR="007606C7" w:rsidRPr="00BB46CB" w:rsidRDefault="007606C7" w:rsidP="00666947">
            <w:pPr>
              <w:pStyle w:val="TableTextLeft"/>
              <w:rPr>
                <w:rFonts w:eastAsia="Calibri"/>
              </w:rPr>
            </w:pPr>
          </w:p>
        </w:tc>
        <w:tc>
          <w:tcPr>
            <w:tcW w:w="666" w:type="pct"/>
            <w:vMerge/>
          </w:tcPr>
          <w:p w14:paraId="2C028F54"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987" w:type="pct"/>
            <w:vMerge/>
            <w:shd w:val="clear" w:color="auto" w:fill="CCDBEA" w:themeFill="background2"/>
          </w:tcPr>
          <w:p w14:paraId="79415497"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679" w:type="pct"/>
            <w:vMerge/>
            <w:shd w:val="clear" w:color="auto" w:fill="CCDBEA" w:themeFill="background2"/>
          </w:tcPr>
          <w:p w14:paraId="5A572535"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490" w:type="pct"/>
            <w:vMerge/>
            <w:shd w:val="clear" w:color="auto" w:fill="CCDBEA" w:themeFill="background2"/>
          </w:tcPr>
          <w:p w14:paraId="5C3B41F0"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1773" w:type="pct"/>
            <w:gridSpan w:val="2"/>
          </w:tcPr>
          <w:p w14:paraId="685D6C4D"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BB46CB">
              <w:rPr>
                <w:rFonts w:eastAsia="Calibri"/>
              </w:rPr>
              <w:t>$625m/yr to $745m/yr</w:t>
            </w:r>
          </w:p>
        </w:tc>
      </w:tr>
      <w:tr w:rsidR="007606C7" w:rsidRPr="00BB46CB" w14:paraId="4EB9398D" w14:textId="77777777" w:rsidTr="00277D48">
        <w:trPr>
          <w:trHeight w:val="120"/>
        </w:trPr>
        <w:tc>
          <w:tcPr>
            <w:cnfStyle w:val="001000000000" w:firstRow="0" w:lastRow="0" w:firstColumn="1" w:lastColumn="0" w:oddVBand="0" w:evenVBand="0" w:oddHBand="0" w:evenHBand="0" w:firstRowFirstColumn="0" w:firstRowLastColumn="0" w:lastRowFirstColumn="0" w:lastRowLastColumn="0"/>
            <w:tcW w:w="405" w:type="pct"/>
          </w:tcPr>
          <w:p w14:paraId="135097E3" w14:textId="77777777" w:rsidR="007606C7" w:rsidRPr="00BB46CB" w:rsidRDefault="007606C7" w:rsidP="00666947">
            <w:pPr>
              <w:pStyle w:val="TableTextLeft"/>
              <w:rPr>
                <w:rFonts w:eastAsia="Calibri"/>
              </w:rPr>
            </w:pPr>
            <w:r w:rsidRPr="00BB46CB">
              <w:rPr>
                <w:rFonts w:eastAsia="Calibri"/>
              </w:rPr>
              <w:t>Use</w:t>
            </w:r>
          </w:p>
        </w:tc>
        <w:tc>
          <w:tcPr>
            <w:tcW w:w="666" w:type="pct"/>
          </w:tcPr>
          <w:p w14:paraId="15DFA513"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BB46CB">
              <w:rPr>
                <w:rFonts w:eastAsia="Calibri"/>
              </w:rPr>
              <w:t>$ AUD (2021)</w:t>
            </w:r>
          </w:p>
        </w:tc>
        <w:tc>
          <w:tcPr>
            <w:tcW w:w="987" w:type="pct"/>
          </w:tcPr>
          <w:p w14:paraId="3FCC99ED"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BB46CB">
              <w:rPr>
                <w:rFonts w:eastAsia="Calibri"/>
              </w:rPr>
              <w:t>$515m/yr to $640m/yr</w:t>
            </w:r>
          </w:p>
        </w:tc>
        <w:tc>
          <w:tcPr>
            <w:tcW w:w="679" w:type="pct"/>
          </w:tcPr>
          <w:p w14:paraId="2739F2A4"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BB46CB">
              <w:rPr>
                <w:rFonts w:eastAsia="Calibri"/>
              </w:rPr>
              <w:t>$6m - $8m</w:t>
            </w:r>
          </w:p>
        </w:tc>
        <w:tc>
          <w:tcPr>
            <w:tcW w:w="490" w:type="pct"/>
          </w:tcPr>
          <w:p w14:paraId="751E3360"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BB46CB">
              <w:rPr>
                <w:rFonts w:eastAsia="Calibri"/>
              </w:rPr>
              <w:t>$112m</w:t>
            </w:r>
          </w:p>
        </w:tc>
        <w:tc>
          <w:tcPr>
            <w:tcW w:w="1773" w:type="pct"/>
            <w:gridSpan w:val="2"/>
          </w:tcPr>
          <w:p w14:paraId="22A5D3C0"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r>
    </w:tbl>
    <w:p w14:paraId="18377B76" w14:textId="77777777" w:rsidR="007606C7" w:rsidRPr="00BB46CB" w:rsidRDefault="007606C7" w:rsidP="007606C7">
      <w:pPr>
        <w:pStyle w:val="Heading2"/>
      </w:pPr>
      <w:bookmarkStart w:id="365" w:name="_Toc98854705"/>
      <w:bookmarkStart w:id="366" w:name="_Toc163547088"/>
      <w:r w:rsidRPr="00BB46CB">
        <w:t>Use of the current GORCAP EEA</w:t>
      </w:r>
      <w:bookmarkEnd w:id="365"/>
      <w:bookmarkEnd w:id="366"/>
    </w:p>
    <w:p w14:paraId="23881145" w14:textId="77777777" w:rsidR="007606C7" w:rsidRPr="00BB46CB" w:rsidRDefault="007606C7" w:rsidP="007606C7">
      <w:pPr>
        <w:pStyle w:val="BodyText"/>
      </w:pPr>
      <w:r w:rsidRPr="00BB46CB">
        <w:t>This proof-of-concept coastal and marine environmental-economic account for the GOR provides information on the status and value of the ecosystems within the region. This information can be used:</w:t>
      </w:r>
    </w:p>
    <w:p w14:paraId="360B4EC5" w14:textId="77777777" w:rsidR="007606C7" w:rsidRPr="00BB46CB" w:rsidRDefault="007606C7" w:rsidP="007606C7">
      <w:r w:rsidRPr="00BB46CB">
        <w:t>As evidence of the total value of the Great Ocean Road’s ecosystem assets to the Victorian, Australian and global economy and community and the distribution of this across the region. The analysis undertaken for the GORCAP EEA suggests that the ecosystems of the region deliver a range of ecosystem services that provide significant socio-economic value to society, estimated to be worth over $100 million a year to the economy or over $700 million per year to the community for the subset of ecosystem services assessed.</w:t>
      </w:r>
    </w:p>
    <w:p w14:paraId="6AD9B913" w14:textId="77777777" w:rsidR="007606C7" w:rsidRPr="00BB46CB" w:rsidRDefault="007606C7" w:rsidP="007606C7">
      <w:r w:rsidRPr="00BB46CB">
        <w:t>To build the business case for investment and/or alternative policies/management to maintain current ecosystem status and productivity. The sustained delivery of the estimated annual benefit is dependent on current ecosystem status to be maintained (at a minimum). The distribution of socio-economic value is mapped (for most ecosystem services) across the region, enabling the identification of hotspots that deliver significant value to society that could provide some prioritisation of ecosystem maintenance for the Authority.</w:t>
      </w:r>
    </w:p>
    <w:p w14:paraId="3D9E021E" w14:textId="77777777" w:rsidR="007606C7" w:rsidRPr="00BB46CB" w:rsidRDefault="007606C7" w:rsidP="007606C7">
      <w:r w:rsidRPr="00BB46CB">
        <w:t>To assess the effectiveness of existing policy and environmental management and identify opportunities to enhance ecosystem status and productivity through future policy/management/investment. Information on the current status and productivity of ecosystems in the GORCAP region can be judged against policy/management targets and where performance is poor this is suggestive of the need for improvement. For example, the GORCAP EEA condition account suggests that the status of native vegetation and freshwater/estuaries could be an area for improvement which could deliver enhancements in ecosystem service delivery (i.e., improved recreational experience, great carbon sequestration etc).</w:t>
      </w:r>
    </w:p>
    <w:p w14:paraId="71C4083F" w14:textId="77777777" w:rsidR="007606C7" w:rsidRPr="00BB46CB" w:rsidRDefault="007606C7" w:rsidP="007606C7">
      <w:r w:rsidRPr="00BB46CB">
        <w:t>To improve understanding of the trade-offs in the use of contested assets (e.g., between the use of ecosystem assets for recreation or biodiversity) and land use change (e.g., loss of ecosystems for built development). The information in the GORCAP EEA can be used to estimate what will be lost if the current ecosystems in the region are degraded / destroyed.</w:t>
      </w:r>
    </w:p>
    <w:p w14:paraId="087D4071" w14:textId="77777777" w:rsidR="007606C7" w:rsidRPr="00BB46CB" w:rsidRDefault="007606C7" w:rsidP="007606C7">
      <w:r w:rsidRPr="00BB46CB">
        <w:t>As a basis for collaborative working with land / water management organisations by using the accounts to explore synergies across ecosystems / geographic areas. This includes  impacts and dependencies of assets under the Authority’s management with other ecosystems / geographic areas. For example, the viewshed from the road as well as recreational hotspots (such as the Twelve Apostles) extends beyond the GORCAP EEA boundary. The aesthetic value of the GORCAP EEA region is therefore dependent upon the status of landscape and seascape beyond the GORCAP EEA such that if these views were to be degraded / disrupted (e.g., through built infrastructure such as wind farms / oil rigs) this could diminish the aesthetic value of the GORCAP EEA region (e.g., the seascape view from the Twelve Apostles).</w:t>
      </w:r>
    </w:p>
    <w:p w14:paraId="481DE3BA" w14:textId="77777777" w:rsidR="007606C7" w:rsidRPr="00BB46CB" w:rsidRDefault="007606C7" w:rsidP="007606C7">
      <w:r w:rsidRPr="00BB46CB">
        <w:t>As an underpinning evidence base to explore other policy and/or management issues including links to other reporting frameworks such as the Sustainable Development Goals, making the case for investing to expand ecosystem assets and estimating the magnitude and value of the loss of ecosystem service associated with pressures and risks.</w:t>
      </w:r>
    </w:p>
    <w:p w14:paraId="3DB624A5" w14:textId="510C5C55" w:rsidR="007606C7" w:rsidRPr="00BB46CB" w:rsidRDefault="007606C7" w:rsidP="007606C7">
      <w:r w:rsidRPr="00BB46CB">
        <w:t>As a useful contribution to the potential development of Victoria-wide environmental-environmental-economic accounts for coastal and marine area which could inform the work being undertaken as part of Victoria’s Marine and Coastal Strategy</w:t>
      </w:r>
      <w:r w:rsidR="001E7483">
        <w:t xml:space="preserve"> 2022</w:t>
      </w:r>
      <w:r w:rsidRPr="00BB46CB">
        <w:t xml:space="preserve"> as required under the Marine and Coastal Act 2018.</w:t>
      </w:r>
    </w:p>
    <w:p w14:paraId="0FA8B220" w14:textId="77777777" w:rsidR="007606C7" w:rsidRPr="00BB46CB" w:rsidRDefault="007606C7" w:rsidP="007606C7">
      <w:pPr>
        <w:pStyle w:val="Heading2"/>
      </w:pPr>
      <w:bookmarkStart w:id="367" w:name="_Toc98854706"/>
      <w:bookmarkStart w:id="368" w:name="_Toc163547089"/>
      <w:r w:rsidRPr="00BB46CB">
        <w:lastRenderedPageBreak/>
        <w:t>Future of GORCAP EEA</w:t>
      </w:r>
      <w:bookmarkEnd w:id="367"/>
      <w:bookmarkEnd w:id="368"/>
    </w:p>
    <w:p w14:paraId="55C6237B" w14:textId="77777777" w:rsidR="007606C7" w:rsidRPr="00BB46CB" w:rsidRDefault="007606C7" w:rsidP="00613C84">
      <w:pPr>
        <w:pStyle w:val="Heading3"/>
      </w:pPr>
      <w:bookmarkStart w:id="369" w:name="_Toc98854707"/>
      <w:bookmarkStart w:id="370" w:name="_Toc163547090"/>
      <w:r w:rsidRPr="00613C84">
        <w:t>Refinement</w:t>
      </w:r>
      <w:r w:rsidRPr="00BB46CB">
        <w:t xml:space="preserve"> of GORCAP EEA</w:t>
      </w:r>
      <w:bookmarkEnd w:id="369"/>
      <w:bookmarkEnd w:id="370"/>
    </w:p>
    <w:p w14:paraId="2D4C05D1" w14:textId="77777777" w:rsidR="007606C7" w:rsidRPr="00BB46CB" w:rsidRDefault="007606C7" w:rsidP="007606C7">
      <w:pPr>
        <w:pStyle w:val="Heading4"/>
      </w:pPr>
      <w:bookmarkStart w:id="371" w:name="_Toc163547091"/>
      <w:r w:rsidRPr="00BB46CB">
        <w:t>Extent account</w:t>
      </w:r>
      <w:bookmarkEnd w:id="371"/>
    </w:p>
    <w:p w14:paraId="5887FE7D" w14:textId="77777777" w:rsidR="007606C7" w:rsidRPr="00BB46CB" w:rsidRDefault="007606C7" w:rsidP="007606C7">
      <w:pPr>
        <w:pStyle w:val="BodyText"/>
      </w:pPr>
      <w:r w:rsidRPr="00BB46CB">
        <w:t>Estimates of the extent of the 9 broad ecosystems within the GORCAP EEA boundary are developed using existing land cover data from the Victorian Land Cover Time Series (VLCTS). The 19 VLCTS classes do not align directly with the 9 ecosystem types and so assumptions have been made to map the 19 VLCTS classes across to the 9 broad ecosystem types, with some reclassifications made as necessary to provide coherent / logical extent information. The resolution of the data is 25 metres, with one VLCTS class displaying one of the 19 land cover classes.</w:t>
      </w:r>
    </w:p>
    <w:p w14:paraId="743AD9E6" w14:textId="77777777" w:rsidR="007606C7" w:rsidRPr="00BB46CB" w:rsidRDefault="007606C7" w:rsidP="007606C7">
      <w:pPr>
        <w:pStyle w:val="BodyText"/>
      </w:pPr>
      <w:r w:rsidRPr="00BB46CB">
        <w:t xml:space="preserve">Future work could be undertaken to refine the land cover extent information, using more highly resolute datasets including (potentially) Earth Observation data, potentially utilising the expertise and information that exists as part of the Digital Twin Victoria initiative (for example). Consideration could also be given to the work being undertaken by Geoscience Australia (an Australian Government agency) with the Australian Government’s Department of the Environment and Energy to develop national land cover datasets utilising the Food and Agriculture Organisation of the United Nations’ Land Cover Classification System. The </w:t>
      </w:r>
      <w:proofErr w:type="spellStart"/>
      <w:r w:rsidRPr="00BB46CB">
        <w:t>GeoScience</w:t>
      </w:r>
      <w:proofErr w:type="spellEnd"/>
      <w:r w:rsidRPr="00BB46CB">
        <w:t xml:space="preserve"> Australia land cover dataset is not currently available for the GORCAP EEA, but this could be used in the future to align with work at Commonwealth level, thereby promoting a consistent approach to extent accounting in Australia.  </w:t>
      </w:r>
    </w:p>
    <w:p w14:paraId="10C63A41" w14:textId="77777777" w:rsidR="007606C7" w:rsidRPr="00BB46CB" w:rsidRDefault="007606C7" w:rsidP="007606C7">
      <w:pPr>
        <w:pStyle w:val="Heading4"/>
      </w:pPr>
      <w:bookmarkStart w:id="372" w:name="_Toc163547092"/>
      <w:r w:rsidRPr="00BB46CB">
        <w:t>Condition account</w:t>
      </w:r>
      <w:bookmarkEnd w:id="372"/>
    </w:p>
    <w:p w14:paraId="1FB58018" w14:textId="77777777" w:rsidR="007606C7" w:rsidRPr="00BB46CB" w:rsidRDefault="007606C7" w:rsidP="007606C7">
      <w:pPr>
        <w:pStyle w:val="BodyText"/>
      </w:pPr>
      <w:r w:rsidRPr="00BB46CB">
        <w:t xml:space="preserve">The condition account for this GORCAP EEA has been developed based on readily available information and is therefore does not comprehensively capture the ecological condition or socio-economic characteristics of ecosystem assets within the GORCAP EEA. </w:t>
      </w:r>
    </w:p>
    <w:p w14:paraId="10FFE034" w14:textId="77777777" w:rsidR="007606C7" w:rsidRPr="00BB46CB" w:rsidRDefault="007606C7" w:rsidP="007606C7">
      <w:pPr>
        <w:pStyle w:val="BodyText"/>
      </w:pPr>
      <w:r w:rsidRPr="00BB46CB">
        <w:t>The deficiency of data on marine and coastal ecosystem condition was noted in the DELWP (2016) study, for which a key recommendation was that DELWP and portfolio partners address marine ecosystem condition indicators in Victoria as a key priority.</w:t>
      </w:r>
      <w:r w:rsidRPr="00BB46CB">
        <w:rPr>
          <w:vertAlign w:val="superscript"/>
        </w:rPr>
        <w:footnoteReference w:id="76"/>
      </w:r>
      <w:r w:rsidRPr="00BB46CB">
        <w:t xml:space="preserve"> The OCES is currently in the process of developing a set of coastal and marine condition indicators being developed for their 2021 State of the Marine and Coastal Environment (SMCE) report. The set of 86 indicators has been developed through a rigorous process of stakeholder engagement and are aspirational insofar as data is not necessarily currently available for all indicators. The OCES indicators include a range of metrics covering ecosystem asset stock condition, abiotic factors, human induced pressures and planning and institutional management arrangements. Annex 8 sets out how these OCES metrics align with / fit into the environmental-economic accounting framework. The data that will populate the OCES coastal and marine indicator set is still in development and so datasets have not yet been identified for these metrics. These indicators align with existing monitoring and reporting frameworks including DELWP’s Biodiversity 2037 Monitoring, Evaluation, Reporting and Improvements Framework (MERF) and other international frameworks that Victoria has an obligation to including Sustainable Development Goals, Aichi targets and the Montreal Process (pers. comm. Scott Rawlings). </w:t>
      </w:r>
    </w:p>
    <w:p w14:paraId="4348E94E" w14:textId="77777777" w:rsidR="007606C7" w:rsidRPr="00BB46CB" w:rsidRDefault="007606C7" w:rsidP="007606C7">
      <w:pPr>
        <w:pStyle w:val="BodyText"/>
      </w:pPr>
      <w:r w:rsidRPr="00BB46CB">
        <w:t xml:space="preserve">In addition to this, DELWP’s Biodiversity division developed </w:t>
      </w:r>
      <w:proofErr w:type="spellStart"/>
      <w:r w:rsidRPr="00BB46CB">
        <w:t>CoastKit</w:t>
      </w:r>
      <w:proofErr w:type="spellEnd"/>
      <w:r w:rsidRPr="00BB46CB">
        <w:t>, centralising marine and coastal scientific project data, images and resources into a single database readily accessibility for managers and researchers (DELWP, 2020). This includes information on pressures such as sea-level rise and the implications for coastal areas, which could be incorporated into / used in conjunction with the information in the GORCAP EEA in the future.</w:t>
      </w:r>
    </w:p>
    <w:p w14:paraId="5F2B3AF0" w14:textId="77777777" w:rsidR="007606C7" w:rsidRPr="00BB46CB" w:rsidRDefault="007606C7" w:rsidP="007606C7">
      <w:pPr>
        <w:pStyle w:val="BodyText"/>
      </w:pPr>
      <w:r w:rsidRPr="00BB46CB">
        <w:t xml:space="preserve">The study team has reviewed potentially relevant ecosystem condition information for Victoria, including the information in </w:t>
      </w:r>
      <w:proofErr w:type="spellStart"/>
      <w:r w:rsidRPr="00BB46CB">
        <w:t>CoastKit</w:t>
      </w:r>
      <w:proofErr w:type="spellEnd"/>
      <w:r w:rsidRPr="00BB46CB">
        <w:rPr>
          <w:vertAlign w:val="superscript"/>
        </w:rPr>
        <w:footnoteReference w:id="77"/>
      </w:r>
      <w:r w:rsidRPr="00BB46CB">
        <w:t xml:space="preserve"> and the OCES’s coastal and marine indicator set and specific metrics that could be included (and some of which are included) in the GORCAP EEA on the basis that these are key </w:t>
      </w:r>
      <w:r w:rsidRPr="00BB46CB">
        <w:lastRenderedPageBreak/>
        <w:t>determinants of the quantity and/or quality of ecosystem service provision from those assets (see Table 2. Future work should look to populate the GORCAP EEA condition account with the metrics in Table 2.</w:t>
      </w:r>
    </w:p>
    <w:p w14:paraId="1880EEB8" w14:textId="77777777" w:rsidR="007606C7" w:rsidRPr="00BB46CB" w:rsidRDefault="007606C7" w:rsidP="007606C7">
      <w:pPr>
        <w:pStyle w:val="BodyText"/>
      </w:pPr>
      <w:r w:rsidRPr="00BB46CB">
        <w:t xml:space="preserve">DEECA also has a proposed programme of work to develop marine condition information across 4 pillars including (i) Structural score (ii) Econet importance features (iii) Priority marine feature scores (iv) Good ecological status. This is a four-year programme with budget currently secured for one year, to focus on developing structural score information (pers. comm. Lawrance Ferns). </w:t>
      </w:r>
    </w:p>
    <w:p w14:paraId="2552C10B" w14:textId="77777777" w:rsidR="007606C7" w:rsidRPr="00BB46CB" w:rsidRDefault="007606C7" w:rsidP="007606C7">
      <w:pPr>
        <w:pStyle w:val="BodyText"/>
      </w:pPr>
      <w:r w:rsidRPr="00BB46CB">
        <w:rPr>
          <w:rFonts w:eastAsia="Calibri"/>
        </w:rPr>
        <w:t xml:space="preserve">If environmental-economic accounts are developed over time, then changes in the metrics within the stock condition account can reveal changes in capacity of ecosystem assets in GORCAP region to provide ecosystem services. </w:t>
      </w:r>
      <w:r w:rsidRPr="00BB46CB">
        <w:t xml:space="preserve">Further scientific and economic work should be done to explore “critical natural capital asset characteristics” (for all ecosystem assets, not just marine and coastal) that are critical to supporting the provision of a specific ecosystem service of interest, such that if these characteristics were to decline, the capacity of GOR ecosystem assets to produce this ecosystem service declines substantially and in some cases abruptly (and even irreversibly) where threshold effects exist (Mace, 2019). This work should be done for each ecosystem service across the full range of ecosystem services typically provided by an ecosystem asset. Information / metrics on these critical characteristics are therefore crucial to include in the condition account and should be used to identify risk to socio-economic benefits (Mace et al, 2015). Continued declines in these “critical natural capital asset characteristics” suggests a degradation of the underlying stock of natural capital and the need for a policy or management response if risks to ecosystem service provision are to be avoided and the delivery of socio-economic benefits are to be sustained into the future.  </w:t>
      </w:r>
    </w:p>
    <w:p w14:paraId="72C47F50" w14:textId="77777777" w:rsidR="007606C7" w:rsidRPr="00BB46CB" w:rsidRDefault="007606C7" w:rsidP="007606C7">
      <w:pPr>
        <w:pStyle w:val="Heading4"/>
      </w:pPr>
      <w:bookmarkStart w:id="373" w:name="_Toc163547093"/>
      <w:r w:rsidRPr="00BB46CB">
        <w:t>Physical and monetary flow accounts</w:t>
      </w:r>
      <w:bookmarkEnd w:id="373"/>
    </w:p>
    <w:p w14:paraId="7755025E" w14:textId="77777777" w:rsidR="007606C7" w:rsidRPr="00BB46CB" w:rsidRDefault="007606C7" w:rsidP="007606C7">
      <w:pPr>
        <w:pStyle w:val="BodyText"/>
      </w:pPr>
      <w:r w:rsidRPr="00BB46CB">
        <w:t>Opportunities for future refinement of the analytical approach to estimating the physical and monetary estimates for ecosystem services are as follows:</w:t>
      </w:r>
    </w:p>
    <w:p w14:paraId="1348B5FB" w14:textId="77777777" w:rsidR="007606C7" w:rsidRPr="00BB46CB" w:rsidRDefault="007606C7" w:rsidP="007606C7">
      <w:pPr>
        <w:pStyle w:val="ListBullet"/>
      </w:pPr>
      <w:r w:rsidRPr="00BB46CB">
        <w:rPr>
          <w:b/>
        </w:rPr>
        <w:t>Coastal protection</w:t>
      </w:r>
      <w:r w:rsidRPr="00BB46CB">
        <w:t xml:space="preserve">: Future work could expand the coverage of biotic and abiotic assets which provide a coastal protection service that are assessed for inclusion in the GORCAP EEA, including (for example) kelp forests and sand dunes (if these are not included in the existing geomorphology assessment). In order to validate the outputs from the Carnell et al (2019) study which used the </w:t>
      </w:r>
      <w:proofErr w:type="spellStart"/>
      <w:r w:rsidRPr="00BB46CB">
        <w:t>InVEST</w:t>
      </w:r>
      <w:proofErr w:type="spellEnd"/>
      <w:r w:rsidRPr="00BB46CB">
        <w:t xml:space="preserve"> modelling tool and to provide greater certainty regarding the coastal protection service provided by the ecosystems in the GORCAP EEA region, a field-based assessment across the GORCAP EEA could be undertaken. Such work is being undertaken by Deakin University (i.e., Carnell et al) in Port Phillip Bay and Western Port (which will be used to compare / validate existing </w:t>
      </w:r>
      <w:proofErr w:type="spellStart"/>
      <w:r w:rsidRPr="00BB46CB">
        <w:t>InVEST</w:t>
      </w:r>
      <w:proofErr w:type="spellEnd"/>
      <w:r w:rsidRPr="00BB46CB">
        <w:t xml:space="preserve"> mapping undertaken for that region as part of Carnell et al (2019) analysis that was used in this GORCAP EEA). Future work to refine the monetary estimate could focus on estimating the reduced risk of damage to property from inundation and/or erosion associated with the dissipation of wave / tidal energy due to coastal wetlands along the GORCAP region (as opposed to changes in an exposure index which is challenging to interpret). This could include more detailed mapping of the assets that are protected by coastal wetlands would provide greater insight into the use and economic value of the ecosystem service. This includes mapping the length and estimating the reduced risk / avoided damage costs to the road along the Great Ocean Road as well as the economic (e.g., agricultural land, tourism/visitor facilities), community (e.g., residential buildings) and infrastructure (e.g., energy and water lines) assets are protected by coastal wetlands and other (man-made) risk management measures.</w:t>
      </w:r>
    </w:p>
    <w:p w14:paraId="677A0BF6" w14:textId="77777777" w:rsidR="007606C7" w:rsidRPr="00BB46CB" w:rsidRDefault="007606C7" w:rsidP="007606C7">
      <w:pPr>
        <w:pStyle w:val="ListBullet"/>
      </w:pPr>
      <w:r w:rsidRPr="00BB46CB">
        <w:rPr>
          <w:b/>
        </w:rPr>
        <w:t xml:space="preserve">Education: </w:t>
      </w:r>
      <w:r w:rsidRPr="00BB46CB">
        <w:t>The approach to measuring the physical provision of education from the ecosystems within the GORCAP EEA is based on the most comprehensive information available on educational visitation in Victoria and so no further refinement of the approach is recommended. The economic valuation is based on expenditures on educational activities which is assumed to provide a lower bound estimate of the value of outdoor education on common economic assumption that if benefits were not perceived to be greater than costs then the activity would not be undertaken in the first place, as well as the estimated contribution of ecosystems within the GORCAP EEA region to education and training GVA. Neither of these approaches to valuation capture the true economic value of educational benefits associated with these trips (an area for potential future research) and so this presents an opportunity for future research to refine these estimates. The ecosystem contribution to GVA (deducting the cost of other inputs to production) is a key assumption which is set at 20 per cent based on expert judgement in the absence of any information on resource rent and this could be explored further in the future to improve confidence in the monetary valuation of education.</w:t>
      </w:r>
    </w:p>
    <w:p w14:paraId="5029DBE5" w14:textId="77777777" w:rsidR="007606C7" w:rsidRPr="00BB46CB" w:rsidRDefault="007606C7" w:rsidP="007606C7">
      <w:pPr>
        <w:pStyle w:val="ListBullet"/>
      </w:pPr>
      <w:r w:rsidRPr="00BB46CB">
        <w:rPr>
          <w:b/>
        </w:rPr>
        <w:t xml:space="preserve">Biomass - food: </w:t>
      </w:r>
      <w:r w:rsidRPr="00BB46CB">
        <w:t xml:space="preserve">The analysis of agricultural production assumes that farming in the GOR is representative of the SA4 average which could be explored further to understand the specific type of arable and pastoral framing that occurs in the region. A broader perspective on the contribution of </w:t>
      </w:r>
      <w:r w:rsidRPr="00BB46CB">
        <w:lastRenderedPageBreak/>
        <w:t>ecosystems within the GORCAP EEA in supporting the life cycle of a broader number of wild fish species that are fished in the region could be undertaken to better capture the physical amount and value of this ecosystem service. This could also be expanded to include aquaculture.  Further work could be done to refine the estimated contribution of reef habitats in the GORCAP EEA region to abalone catch to capture the importance of these ecosystems as larval sources for abalone that live, grow and are caught to the east of the GORCAP region. The ecosystem contribution to the economic value of production of all food production (deducting the cost of other inputs to production) is a key assumption which is set at 20 per cent based on expert judgement in the absence of any information on resource rent and this could be explored further in the future to improve confidence in the monetary valuation of agricultural and fisheries production.</w:t>
      </w:r>
    </w:p>
    <w:p w14:paraId="70E5BFDF" w14:textId="77777777" w:rsidR="007606C7" w:rsidRPr="00BB46CB" w:rsidRDefault="007606C7" w:rsidP="007606C7">
      <w:pPr>
        <w:pStyle w:val="ListBullet"/>
      </w:pPr>
      <w:r w:rsidRPr="00BB46CB">
        <w:rPr>
          <w:b/>
        </w:rPr>
        <w:t xml:space="preserve">Global climate regulation: </w:t>
      </w:r>
      <w:r w:rsidRPr="00BB46CB">
        <w:t xml:space="preserve">Future refinement of the approach to estimating carbon sequestration from GOR ecosystem assets could expand the coverage of ecosystems beyond the three </w:t>
      </w:r>
      <w:r w:rsidRPr="00BB46CB">
        <w:rPr>
          <w:i/>
        </w:rPr>
        <w:t>broad</w:t>
      </w:r>
      <w:r w:rsidRPr="00BB46CB">
        <w:t xml:space="preserve"> ecosystems currently assessed and develop estimates that account for differences in </w:t>
      </w:r>
      <w:r w:rsidRPr="00BB46CB">
        <w:rPr>
          <w:i/>
        </w:rPr>
        <w:t>narrow</w:t>
      </w:r>
      <w:r w:rsidRPr="00BB46CB">
        <w:t xml:space="preserve"> asset types (i.e. different types and species of vegetation will have different propensities to capture and store carbon) and quality (i.e. condition, location, age) of assets which are important determinants of the growth rate of vegetation and therefore the capacity to sequester and store carbon. A key narrow ecosystem type to consider assessing the global climate regulating ecosystem service of is kelp forest. The carbon retention service is estimated using the best data that is currently available on carbon stocks and so does not require any further refinement. The definition, measurement and valuation of carbon related services in environmental-economic accounting is a complex and developing area (Edens et al, 2019). Developments made through international and domestic deliberations on accounting for carbon sequestration and storage within environmental-economic accounts should be incorporated into future iterations of the GORCAP EEA. </w:t>
      </w:r>
    </w:p>
    <w:p w14:paraId="38FECC7E" w14:textId="77777777" w:rsidR="007606C7" w:rsidRPr="00BB46CB" w:rsidRDefault="007606C7" w:rsidP="007606C7">
      <w:pPr>
        <w:pStyle w:val="ListBullet"/>
      </w:pPr>
      <w:r w:rsidRPr="00BB46CB">
        <w:rPr>
          <w:b/>
        </w:rPr>
        <w:t>Recreation and tourism</w:t>
      </w:r>
      <w:r w:rsidRPr="00BB46CB">
        <w:t>: future work could seek to refine the total visit numbers to the GORCAP EEA region and the distribution of these visits including specific recreational hotspots as the current data is based on survey information from Tourism Research  Australia which when compared with vehicle count data (i.e., field data) for the Twelve Apostles, appears to potentially underestimate visitation  to the region. This could be done as follows:</w:t>
      </w:r>
    </w:p>
    <w:p w14:paraId="21F7C8A1" w14:textId="77777777" w:rsidR="007606C7" w:rsidRPr="00BB46CB" w:rsidRDefault="007606C7" w:rsidP="007606C7">
      <w:pPr>
        <w:pStyle w:val="ListBullet2"/>
      </w:pPr>
      <w:r w:rsidRPr="00BB46CB">
        <w:t xml:space="preserve">Explore the use of mobile phone data to quantitatively monitor visitation activity in a spatially explicit way across coastal Victoria. This would enable an understanding of spatial patterns of visitation over time including identification of hotspots of high use. Deakin University have proposed an approach to DELWP to undertake such an analysis. This would require GPS coordinates for anonymised mobile phone triangulated positions within coastal postcodes within the state of Victoria and within 3 nautical miles from the coast. Attribution with time and date would allow the analysis to be undertaken. </w:t>
      </w:r>
    </w:p>
    <w:p w14:paraId="39D88D93" w14:textId="77777777" w:rsidR="007606C7" w:rsidRPr="00BB46CB" w:rsidRDefault="007606C7" w:rsidP="007606C7">
      <w:pPr>
        <w:pStyle w:val="ListBullet2"/>
      </w:pPr>
      <w:r w:rsidRPr="00BB46CB">
        <w:t xml:space="preserve">Collecting information on specific ecosystem related recreation/tourism events. Such data does not currently exist and the data DJPR have is not granular enough to isolate specific points in time. DJPR recommended using access movement data (e.g., </w:t>
      </w:r>
      <w:proofErr w:type="spellStart"/>
      <w:r w:rsidRPr="00BB46CB">
        <w:t>DSpark</w:t>
      </w:r>
      <w:proofErr w:type="spellEnd"/>
      <w:r w:rsidRPr="00BB46CB">
        <w:t xml:space="preserve"> or </w:t>
      </w:r>
      <w:proofErr w:type="spellStart"/>
      <w:r w:rsidRPr="00BB46CB">
        <w:t>Ubermedia</w:t>
      </w:r>
      <w:proofErr w:type="spellEnd"/>
      <w:r w:rsidRPr="00BB46CB">
        <w:t>) to enable such an analysis.</w:t>
      </w:r>
    </w:p>
    <w:p w14:paraId="43BC0603" w14:textId="77777777" w:rsidR="007606C7" w:rsidRPr="00BB46CB" w:rsidRDefault="007606C7" w:rsidP="007606C7">
      <w:pPr>
        <w:pStyle w:val="BodyText12ptBefore"/>
      </w:pPr>
      <w:r w:rsidRPr="00BB46CB">
        <w:t>Future work could also seek to estimate the type of nature based activity being undertaken in the GORCAP EEA region. This could include nature watching, fishing, swimming, boating, surfing etc. which would provide greater insight into the use of the environment for recreation and enable refinement of the economic value estimated. If information could also be captured on the duration / intensity of different physical activities, specifically in terms of whether it meets guidelines for “active” recreation that will provide a health benefit, then this provides greater understanding of the types of activities and the economic value (i.e., welfare, productivity, avoided health costs etc) that are being generated by ecosystem assets within the GORCAP EEA boundary. Whilst information does exist on the use of the natural environment for certain activities including fishing (EY, 2010 ; Henry and Lyle, 2003) and bushwalking, surfing (Surf Coast Shire, 2019) these do not represent the GORCAP region specifically (e.g., they cover Victoria as a whole or a specific LGA) and are not comprehensive (i.e., covering all nature based activities). Therefore, based on the information reviewed it is not currently possible to estimate visit numbers by specific nature based activities for this initial GORCAP EEA.</w:t>
      </w:r>
    </w:p>
    <w:p w14:paraId="1F3F711E" w14:textId="77777777" w:rsidR="007606C7" w:rsidRPr="00BB46CB" w:rsidRDefault="007606C7" w:rsidP="007606C7">
      <w:pPr>
        <w:pStyle w:val="BodyText"/>
      </w:pPr>
      <w:r w:rsidRPr="00BB46CB">
        <w:t>Whilst values on the avoided physical health costs associated with recreation have been obtained, there are no such values for use on the mental health benefits of outdoor recreation which are expected to be substantial (Griffith University, 2020). Further work could explore if / how to capture the mental health benefits from single or regular visits to coastal and marine ecosystems in Victoria in a way that ensures no double counting of value.</w:t>
      </w:r>
    </w:p>
    <w:p w14:paraId="5FE33F13" w14:textId="77777777" w:rsidR="007606C7" w:rsidRPr="00BB46CB" w:rsidRDefault="007606C7" w:rsidP="007606C7">
      <w:pPr>
        <w:pStyle w:val="BodyText"/>
      </w:pPr>
      <w:r w:rsidRPr="00BB46CB">
        <w:lastRenderedPageBreak/>
        <w:t>Consideration could also be given to incorporating information on visitor satisfaction (e.g., from Parks Victoria on an index of 1 to 100)</w:t>
      </w:r>
      <w:r w:rsidRPr="00BB46CB">
        <w:rPr>
          <w:vertAlign w:val="superscript"/>
        </w:rPr>
        <w:footnoteReference w:id="78"/>
      </w:r>
      <w:r w:rsidRPr="00BB46CB">
        <w:t xml:space="preserve"> into economic valuation estimates of recreation / tourism visitation to the GORCAP EEA region, on the basis that visitors place higher value on visits that provide greater satisfaction.</w:t>
      </w:r>
    </w:p>
    <w:p w14:paraId="2BF79811" w14:textId="77777777" w:rsidR="007606C7" w:rsidRPr="00BB46CB" w:rsidRDefault="007606C7" w:rsidP="007606C7">
      <w:pPr>
        <w:pStyle w:val="BodyText"/>
      </w:pPr>
      <w:r w:rsidRPr="00BB46CB">
        <w:t xml:space="preserve">The GVA estimates assume a resource rent estimate of 20 per cent of the market value in order to provide an indicative figure for the contribution of ecosystem assets to economic value, this approach could be refined by obtaining more information on gross margins for the tourism sector that depends upon ecosystem assets. </w:t>
      </w:r>
    </w:p>
    <w:p w14:paraId="549187AF" w14:textId="77777777" w:rsidR="007606C7" w:rsidRPr="00BB46CB" w:rsidRDefault="007606C7" w:rsidP="007606C7">
      <w:pPr>
        <w:pStyle w:val="ListBullet"/>
        <w:rPr>
          <w:b/>
        </w:rPr>
      </w:pPr>
      <w:r w:rsidRPr="00BB46CB">
        <w:rPr>
          <w:b/>
        </w:rPr>
        <w:t>Biomass for timber:</w:t>
      </w:r>
      <w:r w:rsidRPr="00BB46CB">
        <w:t xml:space="preserve"> The approach taken to estimate the physical and monetary provision of timber in the GORCAP EEA region is deemed to be proportionate given the relatively small level / low value of production in the GORCAP EEA region, so no further refinement of the approach is recommended for this ecosystem service. </w:t>
      </w:r>
    </w:p>
    <w:p w14:paraId="6E0F37A9" w14:textId="77777777" w:rsidR="007606C7" w:rsidRPr="00BB46CB" w:rsidRDefault="007606C7" w:rsidP="007606C7">
      <w:pPr>
        <w:pStyle w:val="ListBullet"/>
        <w:rPr>
          <w:b/>
        </w:rPr>
      </w:pPr>
      <w:r w:rsidRPr="00BB46CB">
        <w:rPr>
          <w:b/>
        </w:rPr>
        <w:t xml:space="preserve">Aesthetics: </w:t>
      </w:r>
      <w:r w:rsidRPr="00BB46CB">
        <w:t xml:space="preserve">Future work could consider the capacity of the ecosystems in the region to provide aesthetic value from a range of visual perspectives enjoyed by visitors (e.g., from boardwalks to helicopters overlooking key tourist attractions) as well as the key drivers of aesthetic value that could be captured in the condition account. Furthermore, work could be done to. estimate the users / beneficiaries of aesthetic </w:t>
      </w:r>
      <w:proofErr w:type="spellStart"/>
      <w:r w:rsidRPr="00BB46CB">
        <w:t>viewscapes</w:t>
      </w:r>
      <w:proofErr w:type="spellEnd"/>
      <w:r w:rsidRPr="00BB46CB">
        <w:t xml:space="preserve"> in order to estimate the aesthetic value of the region to people (not just the capacity to provide this value). One approach to explicitly capture the distribution and intensity of aesthetic value to users is through geo-tagged social media uploads of pictures of aesthetically valued landscapes (as per AECOM, 2015) across the GORCAP EEA area. Another approach is to isolate the number of recreational visits where aesthetic value is a primary motivation. Where aesthetic value is measured through numbers of recreational visits / interactions there will be overlap with visitor numbers estimated under the “recreation and tourism” ecosystem service and adjustments should be made to ensure that the accounts avoid double counting of value. This could be achieved by isolating recreational / tourism visits where aesthetic value is the primary motivation.</w:t>
      </w:r>
    </w:p>
    <w:p w14:paraId="58D74E98" w14:textId="77777777" w:rsidR="007606C7" w:rsidRPr="00BB46CB" w:rsidRDefault="007606C7" w:rsidP="007606C7">
      <w:pPr>
        <w:pStyle w:val="ListBullet"/>
        <w:rPr>
          <w:b/>
        </w:rPr>
      </w:pPr>
      <w:r w:rsidRPr="00BB46CB">
        <w:rPr>
          <w:b/>
        </w:rPr>
        <w:t xml:space="preserve">Social / community cohesion: </w:t>
      </w:r>
      <w:r w:rsidRPr="00BB46CB">
        <w:t xml:space="preserve">Future work could consider estimating the number of ecosystem related volunteer days and hours (using plausible assumptions) based on the number of individuals / groups and average number of days/hours per year. Consideration should be given to the ‘Volunteering Naturally’ annual audits (managed by DELWP) and whether data on the volunteering groups by location and hours contributed within the GORCAP EEA region. This would facilitate an estimate of the economic value of volunteer time, which is typically calculated based on in-kind labour estimates (i.e., average wage rates), although Parks Victoria have also commissioned research (Natural Decision, n.d.) into the economic return on investment for environmental volunteering in Victoria which includes more detail on potential benefits (i.e., beyond in-kind labour estimates) and should be used for the economic valuation as appropriate.    </w:t>
      </w:r>
    </w:p>
    <w:p w14:paraId="56EF1554" w14:textId="77777777" w:rsidR="007606C7" w:rsidRPr="00BB46CB" w:rsidRDefault="007606C7" w:rsidP="007606C7">
      <w:pPr>
        <w:pStyle w:val="ListBullet"/>
      </w:pPr>
      <w:r w:rsidRPr="00BB46CB">
        <w:rPr>
          <w:b/>
        </w:rPr>
        <w:t>Cultural heritage values - Traditional Owners living cultural heritage</w:t>
      </w:r>
      <w:r w:rsidRPr="00BB46CB">
        <w:t xml:space="preserve">: </w:t>
      </w:r>
    </w:p>
    <w:p w14:paraId="3C809AAC" w14:textId="77777777" w:rsidR="00613C84" w:rsidRDefault="007606C7" w:rsidP="00613C84">
      <w:pPr>
        <w:pStyle w:val="ListBullet"/>
        <w:numPr>
          <w:ilvl w:val="0"/>
          <w:numId w:val="0"/>
        </w:numPr>
        <w:ind w:left="340"/>
      </w:pPr>
      <w:r w:rsidRPr="00BB46CB">
        <w:t xml:space="preserve">Future iterations of the Great Ocean Road Coast and Parks environmental-economic account should include Traditional Owner cultural values determined by the Eastern Maar and </w:t>
      </w:r>
      <w:proofErr w:type="spellStart"/>
      <w:r w:rsidRPr="00BB46CB">
        <w:t>Wadawurrung</w:t>
      </w:r>
      <w:proofErr w:type="spellEnd"/>
      <w:r w:rsidRPr="00BB46CB">
        <w:t xml:space="preserve"> Traditional Owner Corporations and ensure consistency with any emerging global guidance in this area. Work is being undertaken in 2022 to develop an Aboriginal Cultural Values Assessment (CVA) for </w:t>
      </w:r>
      <w:proofErr w:type="spellStart"/>
      <w:r w:rsidRPr="00BB46CB">
        <w:t>Wadawurrung</w:t>
      </w:r>
      <w:proofErr w:type="spellEnd"/>
      <w:r w:rsidRPr="00BB46CB">
        <w:t xml:space="preserve"> Country. This is in line with the aspiration to recognise, protect, and promote the values, rights, and interests of the </w:t>
      </w:r>
      <w:proofErr w:type="spellStart"/>
      <w:r w:rsidRPr="00BB46CB">
        <w:t>Wadawurrung</w:t>
      </w:r>
      <w:proofErr w:type="spellEnd"/>
      <w:r w:rsidRPr="00BB46CB">
        <w:t xml:space="preserve"> Peoples that is set out in the Great Ocean Road Action Plan (2018). Consideration should be given to the inclusion of the outputs of this work in future iterations of the environmental-economic account for the Great Ocean Road. </w:t>
      </w:r>
    </w:p>
    <w:p w14:paraId="2A2AB67B" w14:textId="3D713EBD" w:rsidR="007606C7" w:rsidRPr="00BB46CB" w:rsidRDefault="007606C7" w:rsidP="00613C84">
      <w:pPr>
        <w:pStyle w:val="ListBullet"/>
        <w:numPr>
          <w:ilvl w:val="0"/>
          <w:numId w:val="0"/>
        </w:numPr>
        <w:ind w:left="340"/>
      </w:pPr>
      <w:r w:rsidRPr="00BB46CB">
        <w:t>A number of research pieces and case studies into the inclusion of Indigenous perspectives and value in the SEEA-EA framework have been developed across Australia since work on this report was completed, including but not limited to:</w:t>
      </w:r>
    </w:p>
    <w:p w14:paraId="43A758D0" w14:textId="77777777" w:rsidR="007606C7" w:rsidRPr="007606C7" w:rsidRDefault="007606C7" w:rsidP="000035CB">
      <w:pPr>
        <w:pStyle w:val="ListBullet"/>
        <w:numPr>
          <w:ilvl w:val="0"/>
          <w:numId w:val="31"/>
        </w:numPr>
        <w:rPr>
          <w:i/>
        </w:rPr>
      </w:pPr>
      <w:r w:rsidRPr="007606C7">
        <w:rPr>
          <w:i/>
        </w:rPr>
        <w:lastRenderedPageBreak/>
        <w:t>Jarvis et al. (2022) Valuing Indigenous cultural connections. James Cook University, Cairns.</w:t>
      </w:r>
    </w:p>
    <w:p w14:paraId="0606EC06" w14:textId="77777777" w:rsidR="007606C7" w:rsidRPr="00BB46CB" w:rsidRDefault="007606C7" w:rsidP="00613C84">
      <w:pPr>
        <w:pStyle w:val="BodyText"/>
      </w:pPr>
      <w:r w:rsidRPr="00BB46CB">
        <w:t xml:space="preserve">This project was undertaken to advise the Federal government of how best to acknowledge Indigenous cultural values within, or alongside, their experimental ecosystem accounting system, including estimates of value (if possible). It was done in partnership with the </w:t>
      </w:r>
      <w:proofErr w:type="spellStart"/>
      <w:r w:rsidRPr="00BB46CB">
        <w:t>Mungguy</w:t>
      </w:r>
      <w:proofErr w:type="spellEnd"/>
      <w:r w:rsidRPr="00BB46CB">
        <w:t xml:space="preserve"> people of Kakadu National Park (KNP) in the Northern Territory and the Board of the </w:t>
      </w:r>
      <w:proofErr w:type="spellStart"/>
      <w:r w:rsidRPr="00BB46CB">
        <w:t>Ewamian</w:t>
      </w:r>
      <w:proofErr w:type="spellEnd"/>
      <w:r w:rsidRPr="00BB46CB">
        <w:t xml:space="preserve"> Aboriginal Corporation (EAC) in Queensland. </w:t>
      </w:r>
    </w:p>
    <w:p w14:paraId="5D6F971C" w14:textId="3B8AD6F1" w:rsidR="007606C7" w:rsidRPr="00BB46CB" w:rsidRDefault="007606C7" w:rsidP="00613C84">
      <w:pPr>
        <w:pStyle w:val="BodyText"/>
      </w:pPr>
      <w:r w:rsidRPr="00BB46CB">
        <w:t>The key findings of the work were:</w:t>
      </w:r>
    </w:p>
    <w:p w14:paraId="1D04F793" w14:textId="597D6766" w:rsidR="007606C7" w:rsidRPr="00BB46CB" w:rsidRDefault="007606C7" w:rsidP="000035CB">
      <w:pPr>
        <w:pStyle w:val="ListNumber"/>
        <w:numPr>
          <w:ilvl w:val="0"/>
          <w:numId w:val="41"/>
        </w:numPr>
      </w:pPr>
      <w:r w:rsidRPr="00BB46CB">
        <w:t>Additional ‘people-focused’ indicators are needed for ecosystem accounting to capture Indigenous connections to Country</w:t>
      </w:r>
    </w:p>
    <w:p w14:paraId="5A418F11" w14:textId="77777777" w:rsidR="007606C7" w:rsidRPr="00BB46CB" w:rsidRDefault="007606C7" w:rsidP="00613C84">
      <w:pPr>
        <w:pStyle w:val="ListBullet"/>
        <w:numPr>
          <w:ilvl w:val="0"/>
          <w:numId w:val="0"/>
        </w:numPr>
        <w:ind w:left="340"/>
      </w:pPr>
      <w:r w:rsidRPr="00BB46CB">
        <w:t xml:space="preserve">The work undertaken highlights the importance of monitoring/measuring equivalent stocks and flows associated with the people who are an integral part of this connected system. The work suggests that additional indicators could be used alongside (but not integrated into) existing accounts to better capture key relationships/variables/issues that support Indigenous connections to Country. </w:t>
      </w:r>
    </w:p>
    <w:p w14:paraId="2D0109B2" w14:textId="77777777" w:rsidR="007606C7" w:rsidRPr="00BB46CB" w:rsidRDefault="007606C7" w:rsidP="00613C84">
      <w:pPr>
        <w:pStyle w:val="ListBullet"/>
        <w:numPr>
          <w:ilvl w:val="0"/>
          <w:numId w:val="0"/>
        </w:numPr>
        <w:ind w:left="340"/>
      </w:pPr>
      <w:r w:rsidRPr="00BB46CB">
        <w:t>These may include indicators of: TOs’ access to Country; the socioeconomic condition, health and wellbeing of TOs; and whether Country is being looked after the ‘right’ way by the ‘right’ people (this should also consider governance and management). Critically, just as the ‘right’ people need to look after Country the ‘right’ way, it is also important that the ‘right’ people determine what should be monitored and measured.</w:t>
      </w:r>
    </w:p>
    <w:p w14:paraId="2678E9AD" w14:textId="4DC7B832" w:rsidR="007606C7" w:rsidRPr="00BB46CB" w:rsidRDefault="007606C7" w:rsidP="00613C84">
      <w:pPr>
        <w:pStyle w:val="ListBullet"/>
        <w:numPr>
          <w:ilvl w:val="0"/>
          <w:numId w:val="0"/>
        </w:numPr>
        <w:ind w:left="340" w:hanging="227"/>
      </w:pPr>
      <w:r w:rsidRPr="00BB46CB">
        <w:t>2.</w:t>
      </w:r>
      <w:r w:rsidRPr="00BB46CB">
        <w:tab/>
        <w:t xml:space="preserve">The development of specific indicators for ‘valuing’ connections to Country must be </w:t>
      </w:r>
      <w:proofErr w:type="gramStart"/>
      <w:r w:rsidRPr="00BB46CB">
        <w:t>Indigenous-led</w:t>
      </w:r>
      <w:proofErr w:type="gramEnd"/>
    </w:p>
    <w:p w14:paraId="0647F6A3" w14:textId="77777777" w:rsidR="007606C7" w:rsidRPr="00BB46CB" w:rsidRDefault="007606C7" w:rsidP="00613C84">
      <w:pPr>
        <w:pStyle w:val="ListBullet"/>
        <w:numPr>
          <w:ilvl w:val="0"/>
          <w:numId w:val="0"/>
        </w:numPr>
        <w:ind w:left="340"/>
      </w:pPr>
      <w:r w:rsidRPr="00BB46CB">
        <w:t>The development of specific indicators must be Indigenous led and context specific. The collection of specific indicators that reflect the distinct culture, history, practices and circumstances of each Indigenous group should be led and/or directed by TOs, following appropriate knowledge-sharing protocols. The additional data could be used by TOs to support decision-making as well as more broadly.</w:t>
      </w:r>
    </w:p>
    <w:p w14:paraId="11CD6E36" w14:textId="77777777" w:rsidR="007606C7" w:rsidRPr="00BB46CB" w:rsidRDefault="007606C7" w:rsidP="007606C7">
      <w:pPr>
        <w:pStyle w:val="ListBullet"/>
        <w:rPr>
          <w:i/>
        </w:rPr>
      </w:pPr>
      <w:proofErr w:type="spellStart"/>
      <w:r w:rsidRPr="00BB46CB">
        <w:rPr>
          <w:i/>
        </w:rPr>
        <w:t>Normyle</w:t>
      </w:r>
      <w:proofErr w:type="spellEnd"/>
      <w:r w:rsidRPr="00BB46CB">
        <w:rPr>
          <w:i/>
        </w:rPr>
        <w:t xml:space="preserve"> et al. (2022) An Indigenous perspective on ecosystem accounting: Challenges and opportunities revealed by an Australian case study. The Australian National University, Canberra.</w:t>
      </w:r>
    </w:p>
    <w:p w14:paraId="1109BA6D" w14:textId="77777777" w:rsidR="007606C7" w:rsidRPr="00BB46CB" w:rsidRDefault="007606C7" w:rsidP="00613C84">
      <w:pPr>
        <w:pStyle w:val="ListBullet"/>
        <w:numPr>
          <w:ilvl w:val="0"/>
          <w:numId w:val="0"/>
        </w:numPr>
        <w:ind w:left="340"/>
      </w:pPr>
      <w:r w:rsidRPr="00BB46CB">
        <w:t xml:space="preserve">This project investigates an Indigenous perspective on the potential of the System of Environmental-Economic Accounting – Ecosystem Accounts (SEEA-EA) to support cultural and environmental management through collaborative workshops with managers of Nyamba Buru Yawuru (NBY), the Prescribed Body Corporate representing the Yawuru Traditional Owners in Western Australia. </w:t>
      </w:r>
    </w:p>
    <w:p w14:paraId="1C791073" w14:textId="77777777" w:rsidR="007606C7" w:rsidRPr="00BB46CB" w:rsidRDefault="007606C7" w:rsidP="00613C84">
      <w:pPr>
        <w:pStyle w:val="ListBullet"/>
        <w:numPr>
          <w:ilvl w:val="0"/>
          <w:numId w:val="0"/>
        </w:numPr>
        <w:ind w:left="340"/>
      </w:pPr>
      <w:r w:rsidRPr="00BB46CB">
        <w:t>The discussions highlight that while the SEEA-EA may be a valuable tool for empowering Indigenous people and supporting the management of their lands and seas, there are areas where the SEEA-EA needs to be broadened to better reflect cultural values, and the services to ecosystems provided by Indigenous peoples. Embedding Indigenous perspectives into the SEEA-EA would mean that it is of greater use to Indigenous peoples and their representative organisations and ensure that these values are better recognised in the policymaking of government.</w:t>
      </w:r>
    </w:p>
    <w:p w14:paraId="1710BB74" w14:textId="77777777" w:rsidR="007606C7" w:rsidRPr="00BB46CB" w:rsidRDefault="007606C7" w:rsidP="00613C84">
      <w:pPr>
        <w:pStyle w:val="ListBullet"/>
        <w:numPr>
          <w:ilvl w:val="0"/>
          <w:numId w:val="0"/>
        </w:numPr>
        <w:ind w:left="340"/>
      </w:pPr>
      <w:r w:rsidRPr="00BB46CB">
        <w:t>The most commonly discussed opportunities revolved around using ecosystem accounting as a tool to empower Indigenous peoples, both for Yawuru people specifically and for Indigenous peoples elsewhere in Australia and around the world. By playing a leading role in the development of a culturally inclusive application of ecosystem accounting, Yawuru people, it was anticipated, would have an opportunity to ensure that (1) non-Western values are represented within the SEEA framework; and (2) SEEA based accounts can be used to support the aims of Traditional Owners as part of Australia’s broader National Environmental Economic Accounting Strategy and Action Plan (</w:t>
      </w:r>
      <w:proofErr w:type="spellStart"/>
      <w:r w:rsidRPr="00BB46CB">
        <w:t>DoEE</w:t>
      </w:r>
      <w:proofErr w:type="spellEnd"/>
      <w:r w:rsidRPr="00BB46CB">
        <w:t xml:space="preserve"> 2018). </w:t>
      </w:r>
    </w:p>
    <w:p w14:paraId="69F15595" w14:textId="77777777" w:rsidR="007606C7" w:rsidRPr="00BB46CB" w:rsidRDefault="007606C7" w:rsidP="00613C84">
      <w:pPr>
        <w:pStyle w:val="ListBullet"/>
        <w:numPr>
          <w:ilvl w:val="0"/>
          <w:numId w:val="0"/>
        </w:numPr>
        <w:ind w:left="340"/>
      </w:pPr>
      <w:r w:rsidRPr="00BB46CB">
        <w:t>It was discussed that in developing a unique ecosystem accounting system for Yawuru Country, NBY could use traditional knowledge to take the first steps towards modelling culturally inclusive ecosystem accounting frameworks, extending the current SEEA-EA. Such frameworks could be transferred to and adapted by other Indigenous peoples both in Australia and globally and included in updates to the SEEA-EA.</w:t>
      </w:r>
    </w:p>
    <w:p w14:paraId="77C3F0A8" w14:textId="6D6C093F" w:rsidR="007606C7" w:rsidRPr="00BB46CB" w:rsidRDefault="007606C7" w:rsidP="00613C84">
      <w:pPr>
        <w:pStyle w:val="ListBullet"/>
        <w:numPr>
          <w:ilvl w:val="0"/>
          <w:numId w:val="0"/>
        </w:numPr>
        <w:ind w:left="340"/>
      </w:pPr>
      <w:r w:rsidRPr="00BB46CB">
        <w:t>Participants observed that an accounting system could be used to consolidate information about ecosystem services, and particularly cultural services, while also integrating the connectivity of Yawuru social and cultural wellbeing with Country. This information was viewed as potentially valuable for the ongoing monitoring, evaluation, and communication about current practices.</w:t>
      </w:r>
    </w:p>
    <w:p w14:paraId="60B87A6D" w14:textId="6A97DA6E" w:rsidR="007606C7" w:rsidRPr="00BB46CB" w:rsidRDefault="007606C7" w:rsidP="00613C84">
      <w:pPr>
        <w:pStyle w:val="ListBullet"/>
        <w:numPr>
          <w:ilvl w:val="0"/>
          <w:numId w:val="0"/>
        </w:numPr>
        <w:ind w:left="340"/>
      </w:pPr>
      <w:r w:rsidRPr="00BB46CB">
        <w:t xml:space="preserve">The challenge of assuring social and cultural relevance for account development was a key concern for NBY. The organisation’s managers noted that maintaining local relevance to ensure community buy-in </w:t>
      </w:r>
      <w:r w:rsidRPr="00BB46CB">
        <w:lastRenderedPageBreak/>
        <w:t>would be crucial, as would ensuring that any accounts developed are inclusive of, and provide tangible benefits to, the broader Yawuru community.</w:t>
      </w:r>
    </w:p>
    <w:p w14:paraId="203D8D81" w14:textId="77777777" w:rsidR="007606C7" w:rsidRPr="00BB46CB" w:rsidRDefault="007606C7" w:rsidP="007606C7">
      <w:pPr>
        <w:pStyle w:val="ListBullet"/>
        <w:rPr>
          <w:i/>
        </w:rPr>
      </w:pPr>
      <w:proofErr w:type="spellStart"/>
      <w:r w:rsidRPr="00BB46CB">
        <w:rPr>
          <w:i/>
        </w:rPr>
        <w:t>Normyle</w:t>
      </w:r>
      <w:proofErr w:type="spellEnd"/>
      <w:r w:rsidRPr="00BB46CB">
        <w:rPr>
          <w:i/>
        </w:rPr>
        <w:t xml:space="preserve"> et al. (2021) Accounting for Indigenous perspectives in SEEA-EA in theory and practice. The Australian National University, Canberra.</w:t>
      </w:r>
    </w:p>
    <w:p w14:paraId="746A4289" w14:textId="77777777" w:rsidR="007606C7" w:rsidRPr="00BB46CB" w:rsidRDefault="007606C7" w:rsidP="00613C84">
      <w:pPr>
        <w:pStyle w:val="ListBullet"/>
        <w:numPr>
          <w:ilvl w:val="0"/>
          <w:numId w:val="0"/>
        </w:numPr>
        <w:ind w:left="340"/>
      </w:pPr>
      <w:r w:rsidRPr="00BB46CB">
        <w:t>This paper provides more information on assessing the usefulness of a SEEA-EA approach to support Yawuru Country managers in Broome. It provides details of a trial of practical accounting approaches in the Yawuru context - pilot land cover and fire accounts - to assess their usefulness for supporting management on Roebuck Plains Station (RPS), a key asset of Yawuru Country.</w:t>
      </w:r>
    </w:p>
    <w:p w14:paraId="06CEB396" w14:textId="54AE636A" w:rsidR="007606C7" w:rsidRPr="00BB46CB" w:rsidRDefault="007606C7" w:rsidP="00613C84">
      <w:pPr>
        <w:pStyle w:val="ListBullet"/>
        <w:numPr>
          <w:ilvl w:val="0"/>
          <w:numId w:val="0"/>
        </w:numPr>
        <w:ind w:left="340"/>
      </w:pPr>
      <w:r w:rsidRPr="00BB46CB">
        <w:t xml:space="preserve">On the applications of the land cover account, participants commented that the capture of consistent vegetation data over an extended period would provide a useful management tool for identifying areas where additional conservation activities, such as cattle exclusion and revegetation could be conducted. It was noted that the index for the relative landscape ‘greenness’ provided by the vegetation data appeared to align well with cultural management aims for RPS, as it allowed for a more continuous capture of vegetation change across the landscape compared to a compartmentalisation of discrete ecosystems. </w:t>
      </w:r>
    </w:p>
    <w:p w14:paraId="3057F169" w14:textId="1649A567" w:rsidR="007606C7" w:rsidRPr="00BB46CB" w:rsidRDefault="007606C7" w:rsidP="00613C84">
      <w:pPr>
        <w:pStyle w:val="ListBullet"/>
        <w:numPr>
          <w:ilvl w:val="0"/>
          <w:numId w:val="0"/>
        </w:numPr>
        <w:ind w:left="340"/>
      </w:pPr>
      <w:r w:rsidRPr="00BB46CB">
        <w:t>It was also noted that work to specifically incorporate a cultural dimension to land cover condition reporting was needed. For example, by creating a land cover condition account based on an assessment of the cultural health of Country. This would help ensure that future accounts better align with Yawuru cultural knowledge. Likewise, the collection of accounting data on a more regular basis, and in alignment with the six Yawuru seasons was identified as a way to improve the account’s alignment with NBY’s seasonal cultural management agenda.</w:t>
      </w:r>
    </w:p>
    <w:p w14:paraId="640ACAF3" w14:textId="77777777" w:rsidR="007606C7" w:rsidRPr="00BB46CB" w:rsidRDefault="007606C7" w:rsidP="00613C84">
      <w:pPr>
        <w:pStyle w:val="ListBullet"/>
        <w:numPr>
          <w:ilvl w:val="0"/>
          <w:numId w:val="0"/>
        </w:numPr>
        <w:ind w:left="340"/>
      </w:pPr>
      <w:r w:rsidRPr="00BB46CB">
        <w:t>The use of fire (also called burning) is a key component of NBY’s management of RPS, and as such NBY’s managers suggested that the experimental fire account would align well to the organisation’s Monitoring, Evaluation, Reporting and Improvement targets for management reporting. It would also provide NBY with an independent, timely and accessible source of information on fire management that could be used to communicate the social and ecological outcomes of cultural burning on Country.</w:t>
      </w:r>
    </w:p>
    <w:p w14:paraId="0D18B721" w14:textId="77777777" w:rsidR="007606C7" w:rsidRPr="00BB46CB" w:rsidRDefault="007606C7" w:rsidP="007606C7">
      <w:pPr>
        <w:pStyle w:val="ListBullet"/>
        <w:rPr>
          <w:i/>
        </w:rPr>
      </w:pPr>
      <w:proofErr w:type="spellStart"/>
      <w:r w:rsidRPr="00BB46CB">
        <w:rPr>
          <w:i/>
        </w:rPr>
        <w:t>Normyle</w:t>
      </w:r>
      <w:proofErr w:type="spellEnd"/>
      <w:r w:rsidRPr="00BB46CB">
        <w:rPr>
          <w:i/>
        </w:rPr>
        <w:t xml:space="preserve"> et al. (2022)</w:t>
      </w:r>
      <w:r w:rsidRPr="00BB46CB">
        <w:t xml:space="preserve"> </w:t>
      </w:r>
      <w:r w:rsidRPr="00BB46CB">
        <w:rPr>
          <w:i/>
        </w:rPr>
        <w:t>Aligning Indigenous values and cultural ecosystem services for ecosystem accounting: A review. The Australian National University, Canberra.</w:t>
      </w:r>
    </w:p>
    <w:p w14:paraId="08362138" w14:textId="77777777" w:rsidR="007606C7" w:rsidRPr="00BB46CB" w:rsidRDefault="007606C7" w:rsidP="00613C84">
      <w:pPr>
        <w:pStyle w:val="ListBullet"/>
        <w:numPr>
          <w:ilvl w:val="0"/>
          <w:numId w:val="0"/>
        </w:numPr>
        <w:ind w:left="340"/>
      </w:pPr>
      <w:r w:rsidRPr="00BB46CB">
        <w:t xml:space="preserve">This work assesses the key challenges and opportunities for cultural ecosystem services (CES) approaches to better recognise Indigenous people’s values and perspectives on landscapes in studies using SEEA EA, by reviewing publications that define and measure CES from the perspective of Indigenous people. </w:t>
      </w:r>
    </w:p>
    <w:p w14:paraId="18D50837" w14:textId="572C5369" w:rsidR="007606C7" w:rsidRPr="00BB46CB" w:rsidRDefault="007606C7" w:rsidP="00613C84">
      <w:pPr>
        <w:pStyle w:val="ListBullet"/>
        <w:numPr>
          <w:ilvl w:val="0"/>
          <w:numId w:val="0"/>
        </w:numPr>
        <w:ind w:left="340"/>
      </w:pPr>
      <w:r w:rsidRPr="00BB46CB">
        <w:t>The study found that:</w:t>
      </w:r>
    </w:p>
    <w:p w14:paraId="503D1A8A" w14:textId="3D2CDA26" w:rsidR="007606C7" w:rsidRPr="00BB46CB" w:rsidRDefault="007606C7" w:rsidP="000035CB">
      <w:pPr>
        <w:pStyle w:val="ListNumber"/>
        <w:numPr>
          <w:ilvl w:val="0"/>
          <w:numId w:val="42"/>
        </w:numPr>
      </w:pPr>
      <w:r w:rsidRPr="00BB46CB">
        <w:t>In the Indigenous context, ecosystem assets can encompass varied land cover types and should therefore not necessarily be considered as one homogenous land cover type.</w:t>
      </w:r>
    </w:p>
    <w:p w14:paraId="5330043C" w14:textId="77777777" w:rsidR="007606C7" w:rsidRPr="00BB46CB" w:rsidRDefault="007606C7" w:rsidP="000035CB">
      <w:pPr>
        <w:pStyle w:val="ListNumber"/>
        <w:numPr>
          <w:ilvl w:val="0"/>
          <w:numId w:val="42"/>
        </w:numPr>
      </w:pPr>
      <w:r w:rsidRPr="00BB46CB">
        <w:t>Indigenous CES often encompass notions of connection and care for people and place, which are underpinned by reciprocal value flows from nature to people and from people to nature.</w:t>
      </w:r>
    </w:p>
    <w:p w14:paraId="741F6569" w14:textId="77777777" w:rsidR="007606C7" w:rsidRPr="00BB46CB" w:rsidRDefault="007606C7" w:rsidP="000035CB">
      <w:pPr>
        <w:pStyle w:val="ListNumber"/>
        <w:numPr>
          <w:ilvl w:val="0"/>
          <w:numId w:val="42"/>
        </w:numPr>
      </w:pPr>
      <w:r w:rsidRPr="00BB46CB">
        <w:t>Benefits may not be clearly attributable to distinct CES flows. Many values are intertwined with other ecosystem services and benefits are often viewed from a collective rather than an individual perspective.</w:t>
      </w:r>
    </w:p>
    <w:p w14:paraId="73825165" w14:textId="77777777" w:rsidR="007606C7" w:rsidRPr="00BB46CB" w:rsidRDefault="007606C7" w:rsidP="000035CB">
      <w:pPr>
        <w:pStyle w:val="ListNumber"/>
        <w:numPr>
          <w:ilvl w:val="0"/>
          <w:numId w:val="42"/>
        </w:numPr>
      </w:pPr>
      <w:r w:rsidRPr="00BB46CB">
        <w:t>Measuring Indigenous CES largely requires qualitative methodologies with small sample sizes. These methods may not align with existing accounting conventions.</w:t>
      </w:r>
    </w:p>
    <w:p w14:paraId="69799164" w14:textId="77777777" w:rsidR="007606C7" w:rsidRPr="00BB46CB" w:rsidRDefault="007606C7" w:rsidP="007606C7">
      <w:pPr>
        <w:pStyle w:val="BodyText12ptBefore"/>
      </w:pPr>
      <w:r w:rsidRPr="00BB46CB">
        <w:t>Future work could draw on this research and others in engaging with the Traditional Owners of the Great Ocean Road Coast and Parks.</w:t>
      </w:r>
    </w:p>
    <w:p w14:paraId="77CB9359" w14:textId="77777777" w:rsidR="007606C7" w:rsidRPr="00BB46CB" w:rsidRDefault="007606C7" w:rsidP="007606C7">
      <w:pPr>
        <w:pStyle w:val="BodyText"/>
      </w:pPr>
      <w:r w:rsidRPr="00BB46CB">
        <w:t xml:space="preserve">Some of the studies reviewed in the scoping phase of this GORCAP EEA (including the Mapping Ocean Wealth Australia study (Carnell et al, 2019) and the Canadian coastal and marine assessment (Guerry et al, 2012)) adopted the publicly available biophysical model </w:t>
      </w:r>
      <w:proofErr w:type="spellStart"/>
      <w:r w:rsidRPr="00BB46CB">
        <w:t>InVEST</w:t>
      </w:r>
      <w:proofErr w:type="spellEnd"/>
      <w:r w:rsidRPr="00BB46CB">
        <w:t xml:space="preserve"> (Integrated Valuation of Ecosystem Services and Trade-offs) to estimate physical (and monetary) provision of ecosystem services. Future work could consider the use of existing bio-physical and economic models (e.g., </w:t>
      </w:r>
      <w:proofErr w:type="spellStart"/>
      <w:r w:rsidRPr="00BB46CB">
        <w:t>InVEST</w:t>
      </w:r>
      <w:proofErr w:type="spellEnd"/>
      <w:r w:rsidRPr="00BB46CB">
        <w:t xml:space="preserve">) to further explore the level of confidence in the estimated physical and monetary figures. The potential advantage of models such as </w:t>
      </w:r>
      <w:proofErr w:type="spellStart"/>
      <w:r w:rsidRPr="00BB46CB">
        <w:t>InVEST</w:t>
      </w:r>
      <w:proofErr w:type="spellEnd"/>
      <w:r w:rsidRPr="00BB46CB">
        <w:t xml:space="preserve"> is that they can promote a consistent and comparable approach to assessing ecosystem services globally by adopting the same underlying methodology, although the predictive value and robustness of these models has to be weighed up against the use of customised approaches using local data and context specific assumptions. This was demonstrated through the use of the Carnell et al (2019) analysis of coastal </w:t>
      </w:r>
      <w:r w:rsidRPr="00BB46CB">
        <w:lastRenderedPageBreak/>
        <w:t xml:space="preserve">protection for this GORCAP EEA which was based on </w:t>
      </w:r>
      <w:proofErr w:type="spellStart"/>
      <w:r w:rsidRPr="00BB46CB">
        <w:t>InVEST</w:t>
      </w:r>
      <w:proofErr w:type="spellEnd"/>
      <w:r w:rsidRPr="00BB46CB">
        <w:t xml:space="preserve"> (i.e., the use of global assumptions, global data) to estimate coastal protection services at a localised level (i.e., the GORCAP EEA boundary) and so any future use of </w:t>
      </w:r>
      <w:proofErr w:type="spellStart"/>
      <w:r w:rsidRPr="00BB46CB">
        <w:t>InVEST</w:t>
      </w:r>
      <w:proofErr w:type="spellEnd"/>
      <w:r w:rsidRPr="00BB46CB">
        <w:t xml:space="preserve"> would need to ensure that the model can incorporate locally specific data and assumptions. According to Guerry et al (2012), the current set of marine (and coastal) </w:t>
      </w:r>
      <w:proofErr w:type="spellStart"/>
      <w:r w:rsidRPr="00BB46CB">
        <w:t>InVEST</w:t>
      </w:r>
      <w:proofErr w:type="spellEnd"/>
      <w:r w:rsidRPr="00BB46CB">
        <w:t xml:space="preserve"> models (those released or in advanced stages of development) includes:</w:t>
      </w:r>
    </w:p>
    <w:p w14:paraId="57E0BE5C" w14:textId="77777777" w:rsidR="007606C7" w:rsidRPr="00BB46CB" w:rsidRDefault="007606C7" w:rsidP="00613C84">
      <w:pPr>
        <w:pStyle w:val="ListBullet"/>
      </w:pPr>
      <w:r w:rsidRPr="00BB46CB">
        <w:t>Renewable energy.</w:t>
      </w:r>
    </w:p>
    <w:p w14:paraId="63F3A12B" w14:textId="77777777" w:rsidR="007606C7" w:rsidRPr="00BB46CB" w:rsidRDefault="007606C7" w:rsidP="00613C84">
      <w:pPr>
        <w:pStyle w:val="ListBullet"/>
      </w:pPr>
      <w:r w:rsidRPr="00BB46CB">
        <w:t>Food from fisheries and aquaculture.</w:t>
      </w:r>
    </w:p>
    <w:p w14:paraId="147ACEFB" w14:textId="77777777" w:rsidR="007606C7" w:rsidRPr="00BB46CB" w:rsidRDefault="007606C7" w:rsidP="00613C84">
      <w:pPr>
        <w:pStyle w:val="ListBullet"/>
      </w:pPr>
      <w:r w:rsidRPr="00BB46CB">
        <w:t>Coastal protection.</w:t>
      </w:r>
    </w:p>
    <w:p w14:paraId="46633D4A" w14:textId="77777777" w:rsidR="007606C7" w:rsidRPr="00BB46CB" w:rsidRDefault="007606C7" w:rsidP="00613C84">
      <w:pPr>
        <w:pStyle w:val="ListBullet"/>
      </w:pPr>
      <w:r w:rsidRPr="00BB46CB">
        <w:t>Aesthetic views.</w:t>
      </w:r>
    </w:p>
    <w:p w14:paraId="68330C02" w14:textId="77777777" w:rsidR="007606C7" w:rsidRPr="00BB46CB" w:rsidRDefault="007606C7" w:rsidP="00613C84">
      <w:pPr>
        <w:pStyle w:val="ListBullet"/>
      </w:pPr>
      <w:r w:rsidRPr="00BB46CB">
        <w:t>Recreation.</w:t>
      </w:r>
    </w:p>
    <w:p w14:paraId="0960978D" w14:textId="77777777" w:rsidR="007606C7" w:rsidRPr="00BB46CB" w:rsidRDefault="007606C7" w:rsidP="00613C84">
      <w:pPr>
        <w:pStyle w:val="ListBullet"/>
      </w:pPr>
      <w:r w:rsidRPr="00BB46CB">
        <w:t xml:space="preserve">Carbon storage and sequestration. </w:t>
      </w:r>
    </w:p>
    <w:p w14:paraId="59A2A223" w14:textId="77777777" w:rsidR="007606C7" w:rsidRPr="00BB46CB" w:rsidRDefault="007606C7" w:rsidP="00613C84">
      <w:pPr>
        <w:pStyle w:val="ListBullet"/>
      </w:pPr>
      <w:r w:rsidRPr="00BB46CB">
        <w:t xml:space="preserve">Marine </w:t>
      </w:r>
      <w:proofErr w:type="spellStart"/>
      <w:r w:rsidRPr="00BB46CB">
        <w:t>InVEST</w:t>
      </w:r>
      <w:proofErr w:type="spellEnd"/>
      <w:r w:rsidRPr="00BB46CB">
        <w:t xml:space="preserve"> also currently includes two supporting service models that account for ecological linkages between the processes that generate changes in the ecosystem services listed above: water quality and habitat risk assessment.</w:t>
      </w:r>
    </w:p>
    <w:p w14:paraId="4F32EF1B" w14:textId="77777777" w:rsidR="007606C7" w:rsidRPr="00BB46CB" w:rsidRDefault="007606C7" w:rsidP="007606C7">
      <w:pPr>
        <w:pStyle w:val="BodyText12ptBefore"/>
      </w:pPr>
      <w:r w:rsidRPr="00BB46CB">
        <w:t>Another cross-cutting area for refinement is associated with monetary valuation estimates, specifically the v</w:t>
      </w:r>
      <w:r w:rsidRPr="00BB46CB">
        <w:rPr>
          <w:b/>
        </w:rPr>
        <w:t>alidity of stated preference (e.g., willingness-to-pay) based survey estimates</w:t>
      </w:r>
      <w:r w:rsidRPr="00BB46CB">
        <w:t xml:space="preserve">. In many cases the ecosystem services that are provided by ecosystem assets are enjoyed for free to society at the point of use.  For example, the entrance to see the Twelve Apostles for recreation is free. In this case, market data suggests the site has no economic value. However, in reality users derive benefit from using or viewing the Twelve Apostles and so the economic value is potentially significant. This example demonstrates the difference between economic value and financial value. The economic (or “welfare”) value of ecosystem services (in this case recreational / aesthetic value of the Twelve Apostles) can be measured by carefully designing stated preference surveys to estimate individual willingness to pay for the service and aggregating these values over the beneficiary population. The design of these surveys and studies is critical to their validity and further work should be done to build the evidence base on the value of coastal ecosystem services in Victoria where stated preference methods have been adopted in this account. </w:t>
      </w:r>
    </w:p>
    <w:p w14:paraId="700BC934" w14:textId="77777777" w:rsidR="007606C7" w:rsidRPr="00BB46CB" w:rsidRDefault="007606C7" w:rsidP="007606C7">
      <w:pPr>
        <w:pStyle w:val="Heading3"/>
      </w:pPr>
      <w:bookmarkStart w:id="374" w:name="_Toc98854708"/>
      <w:bookmarkStart w:id="375" w:name="_Toc163547094"/>
      <w:r w:rsidRPr="00BB46CB">
        <w:t>Expansion of GORCAP EEA</w:t>
      </w:r>
      <w:bookmarkEnd w:id="374"/>
      <w:bookmarkEnd w:id="375"/>
    </w:p>
    <w:p w14:paraId="5B000BA5" w14:textId="77777777" w:rsidR="00613C84" w:rsidRDefault="007606C7" w:rsidP="007606C7">
      <w:pPr>
        <w:pStyle w:val="BodyText"/>
        <w:sectPr w:rsidR="00613C84" w:rsidSect="00E52A9A">
          <w:headerReference w:type="even" r:id="rId268"/>
          <w:headerReference w:type="default" r:id="rId269"/>
          <w:footerReference w:type="even" r:id="rId270"/>
          <w:footerReference w:type="default" r:id="rId271"/>
          <w:pgSz w:w="11907" w:h="16840" w:code="9"/>
          <w:pgMar w:top="1134" w:right="1134" w:bottom="1134" w:left="1134" w:header="283" w:footer="283" w:gutter="0"/>
          <w:cols w:space="284"/>
          <w:docGrid w:linePitch="360"/>
        </w:sectPr>
      </w:pPr>
      <w:r w:rsidRPr="00BB46CB">
        <w:t>In terms of expansion of the GORCAP EEA, the following ecosystem services were scoped out for consideration under this initial GORCAP EEA but could be incorporated in the future:</w:t>
      </w:r>
    </w:p>
    <w:p w14:paraId="0BB461C9" w14:textId="1E6920B7" w:rsidR="00613C84" w:rsidRPr="00613C84" w:rsidRDefault="00613C84" w:rsidP="00613C84">
      <w:pPr>
        <w:pStyle w:val="ListBullet"/>
      </w:pPr>
      <w:r w:rsidRPr="00613C84">
        <w:t>Air quality regulation</w:t>
      </w:r>
      <w:r w:rsidRPr="00613C84">
        <w:tab/>
      </w:r>
    </w:p>
    <w:p w14:paraId="22181D0F" w14:textId="19E89DC5" w:rsidR="00613C84" w:rsidRPr="00BB46CB" w:rsidRDefault="00613C84" w:rsidP="00613C84">
      <w:pPr>
        <w:pStyle w:val="ListBullet"/>
      </w:pPr>
      <w:r w:rsidRPr="00BB46CB">
        <w:t>Amenity (Liveability)</w:t>
      </w:r>
      <w:r w:rsidRPr="00BB46CB">
        <w:tab/>
      </w:r>
    </w:p>
    <w:p w14:paraId="121F9567" w14:textId="15417FE2" w:rsidR="00613C84" w:rsidRPr="00BB46CB" w:rsidRDefault="00613C84" w:rsidP="00613C84">
      <w:pPr>
        <w:pStyle w:val="ListBullet"/>
      </w:pPr>
      <w:r w:rsidRPr="00BB46CB">
        <w:t>Research</w:t>
      </w:r>
    </w:p>
    <w:p w14:paraId="60B358CC" w14:textId="693D421C" w:rsidR="00613C84" w:rsidRPr="00BB46CB" w:rsidRDefault="00613C84" w:rsidP="00613C84">
      <w:pPr>
        <w:pStyle w:val="ListBullet"/>
      </w:pPr>
      <w:r w:rsidRPr="00BB46CB">
        <w:t>Biomass - Energy (biofuels)</w:t>
      </w:r>
    </w:p>
    <w:p w14:paraId="4B57E25D" w14:textId="77777777" w:rsidR="00613C84" w:rsidRDefault="00613C84" w:rsidP="00613C84">
      <w:pPr>
        <w:pStyle w:val="ListBullet"/>
      </w:pPr>
      <w:r w:rsidRPr="00BB46CB">
        <w:t>Flood risk regulation</w:t>
      </w:r>
    </w:p>
    <w:p w14:paraId="64C60AC6" w14:textId="77777777" w:rsidR="00613C84" w:rsidRDefault="00613C84" w:rsidP="00666947">
      <w:pPr>
        <w:pStyle w:val="ListBullet"/>
      </w:pPr>
      <w:r w:rsidRPr="00613C84">
        <w:t>Landslide regulation</w:t>
      </w:r>
    </w:p>
    <w:p w14:paraId="20EF2A74" w14:textId="77777777" w:rsidR="00613C84" w:rsidRDefault="00613C84" w:rsidP="00666947">
      <w:pPr>
        <w:pStyle w:val="ListBullet"/>
      </w:pPr>
      <w:r w:rsidRPr="00BB46CB">
        <w:t>Local climate regulation</w:t>
      </w:r>
    </w:p>
    <w:p w14:paraId="738AF2C9" w14:textId="77777777" w:rsidR="00613C84" w:rsidRDefault="00613C84" w:rsidP="00666947">
      <w:pPr>
        <w:pStyle w:val="ListBullet"/>
      </w:pPr>
      <w:r w:rsidRPr="00BB46CB">
        <w:t>Noise and smell regulation</w:t>
      </w:r>
    </w:p>
    <w:p w14:paraId="123DE2BA" w14:textId="6B2FC6AB" w:rsidR="00613C84" w:rsidRDefault="00613C84" w:rsidP="00666947">
      <w:pPr>
        <w:pStyle w:val="ListBullet"/>
      </w:pPr>
      <w:r w:rsidRPr="00BB46CB">
        <w:t>Water provision</w:t>
      </w:r>
    </w:p>
    <w:p w14:paraId="517B4B6A" w14:textId="77777777" w:rsidR="00613C84" w:rsidRDefault="00613C84" w:rsidP="00666947">
      <w:pPr>
        <w:pStyle w:val="ListBullet"/>
      </w:pPr>
      <w:r w:rsidRPr="00BB46CB">
        <w:t>Water quality regulation</w:t>
      </w:r>
    </w:p>
    <w:p w14:paraId="3C0171DF" w14:textId="7EC1F357" w:rsidR="00613C84" w:rsidRDefault="00613C84" w:rsidP="00666947">
      <w:pPr>
        <w:pStyle w:val="ListBullet"/>
        <w:sectPr w:rsidR="00613C84" w:rsidSect="00E52A9A">
          <w:type w:val="continuous"/>
          <w:pgSz w:w="11907" w:h="16840" w:code="9"/>
          <w:pgMar w:top="1134" w:right="1134" w:bottom="1134" w:left="1134" w:header="283" w:footer="283" w:gutter="0"/>
          <w:cols w:num="2" w:space="284"/>
          <w:docGrid w:linePitch="360"/>
        </w:sectPr>
      </w:pPr>
    </w:p>
    <w:p w14:paraId="20922DBF" w14:textId="77777777" w:rsidR="007606C7" w:rsidRPr="00BB46CB" w:rsidRDefault="007606C7" w:rsidP="00613C84">
      <w:pPr>
        <w:pStyle w:val="BodyText12ptBefore"/>
      </w:pPr>
      <w:r w:rsidRPr="00BB46CB">
        <w:t xml:space="preserve">The three water based ecosystem services (flood risk regulation, water quality regulation and water provision) were scoped out for this GORCAP EEA because existing data / analysis didn’t exist for these services within the study area and to quantity and value these services requires more advanced techniques (e.g., technical bio-physical modelling), some of which exist within DELWP and/or would require further research / analysis. This could be a key area for future expansion of the accounts. </w:t>
      </w:r>
    </w:p>
    <w:p w14:paraId="22F1BFB8" w14:textId="77777777" w:rsidR="007606C7" w:rsidRPr="00BB46CB" w:rsidRDefault="007606C7" w:rsidP="007606C7">
      <w:pPr>
        <w:pStyle w:val="BodyText"/>
        <w:rPr>
          <w:b/>
        </w:rPr>
      </w:pPr>
      <w:r w:rsidRPr="00BB46CB">
        <w:t xml:space="preserve">Whilst water provision has been estimated in some studies as a provisioning service on the basis that ecosystems retain water within a catchment (prior to flowing to sea), the UN (2019) notes that water is not the result of ecosystem processes and therefore water supply may be better categorised as an abiotic (rather than a biotic) ecosystem service. The study team suggests that further work is needed to be done to understand the ecosystem service associated with water provision and how it is to be assessed in environmental-economic accounts from a practical perspective. </w:t>
      </w:r>
    </w:p>
    <w:p w14:paraId="2F54CCB0" w14:textId="77777777" w:rsidR="007606C7" w:rsidRPr="00BB46CB" w:rsidRDefault="007606C7" w:rsidP="007606C7">
      <w:pPr>
        <w:pStyle w:val="BodyText"/>
      </w:pPr>
      <w:r w:rsidRPr="00BB46CB">
        <w:t xml:space="preserve">Another key area for expansion could be research in the natural environment which is often considered alongside education in environmental-economic assessments, with the physical provision of research being measured through the number of scientific research projects (e.g., research permits issued). This has not been considered within this GORCAP EEA as the benefits of research are deemed to be sufficiently different to that of education for it to warrant its own assessment in the future. Data was obtained from Parks Victoria </w:t>
      </w:r>
      <w:r w:rsidRPr="00BB46CB">
        <w:lastRenderedPageBreak/>
        <w:t>(2021)</w:t>
      </w:r>
      <w:r w:rsidRPr="00BB46CB">
        <w:rPr>
          <w:vertAlign w:val="superscript"/>
        </w:rPr>
        <w:footnoteReference w:id="79"/>
      </w:r>
      <w:r w:rsidRPr="00BB46CB">
        <w:t>, on details of the scientific research projects and programs for the parks and reserves that are within the GORCAP EEA boundary that are recorded by Parks Victoria since 2005.</w:t>
      </w:r>
      <w:r w:rsidRPr="00BB46CB">
        <w:rPr>
          <w:vertAlign w:val="superscript"/>
        </w:rPr>
        <w:footnoteReference w:id="80"/>
      </w:r>
      <w:r w:rsidRPr="00BB46CB">
        <w:t xml:space="preserve"> This showed that 430 scientific research permits had been issued since 2005, which is an average of over 25 research permits a year, suggesting the region is highly valued for scientific research. </w:t>
      </w:r>
    </w:p>
    <w:p w14:paraId="633D436B" w14:textId="77777777" w:rsidR="007606C7" w:rsidRPr="00BB46CB" w:rsidRDefault="007606C7" w:rsidP="007606C7">
      <w:pPr>
        <w:pStyle w:val="BodyText"/>
      </w:pPr>
      <w:r w:rsidRPr="00BB46CB">
        <w:t>The benefits of research into the natural environment include productivity or efficiency gains in the management of native species, improved technology and new medicinal products through research into genetic material. In theory, the value of such research can be measured through the impact on socio-economic outcomes. However, in practice, that value will depend greatly on the research outcomes sought as well as the adoption and long-term impact of research outcomes in society. Further work into the specific use of the ecosystems within the GORCAP EEA region for environmental research could be undertaken to establish whether this value is likely to be substantial. This should utilise the work done by Sommerville (2020) for Parks Victoria on the value of research in Victoria’s parks and reserves.</w:t>
      </w:r>
    </w:p>
    <w:p w14:paraId="405044A6" w14:textId="77777777" w:rsidR="007606C7" w:rsidRPr="00BB46CB" w:rsidRDefault="007606C7" w:rsidP="007606C7">
      <w:pPr>
        <w:pStyle w:val="Heading3"/>
      </w:pPr>
      <w:bookmarkStart w:id="412" w:name="_Toc98854709"/>
      <w:bookmarkStart w:id="413" w:name="_Toc163547095"/>
      <w:r w:rsidRPr="00BB46CB">
        <w:t>Potential future use of the GORCAP EEA</w:t>
      </w:r>
      <w:bookmarkEnd w:id="412"/>
      <w:bookmarkEnd w:id="413"/>
      <w:r w:rsidRPr="00BB46CB">
        <w:t xml:space="preserve"> </w:t>
      </w:r>
    </w:p>
    <w:p w14:paraId="626679E8" w14:textId="77777777" w:rsidR="007606C7" w:rsidRPr="00BB46CB" w:rsidRDefault="007606C7" w:rsidP="007606C7">
      <w:pPr>
        <w:pStyle w:val="BodyText"/>
      </w:pPr>
      <w:r w:rsidRPr="00BB46CB">
        <w:t>In the future, the information in accounts can also be used in conjunction with other information to support decision making and reporting regarding ecosystem assets in the region, in particular:</w:t>
      </w:r>
    </w:p>
    <w:p w14:paraId="105F9ED0" w14:textId="77777777" w:rsidR="007606C7" w:rsidRPr="00BB46CB" w:rsidRDefault="007606C7" w:rsidP="000035CB">
      <w:pPr>
        <w:pStyle w:val="ListAlpha"/>
        <w:numPr>
          <w:ilvl w:val="0"/>
          <w:numId w:val="43"/>
        </w:numPr>
      </w:pPr>
      <w:r w:rsidRPr="00BB46CB">
        <w:t>Applying historical data to the framework that has been developed for GORCAP EEA to enable changes in ecosystem status and productivity to be understood over time by comparing with the GORCAP EEA for 2019. The “historical” period(s) adopted will depend primarily on data available.</w:t>
      </w:r>
    </w:p>
    <w:p w14:paraId="3F5C49C2" w14:textId="77777777" w:rsidR="007606C7" w:rsidRPr="00BB46CB" w:rsidRDefault="007606C7" w:rsidP="000035CB">
      <w:pPr>
        <w:pStyle w:val="ListAlpha"/>
        <w:numPr>
          <w:ilvl w:val="0"/>
          <w:numId w:val="43"/>
        </w:numPr>
      </w:pPr>
      <w:r w:rsidRPr="00BB46CB">
        <w:t>Applying projections of key variables (population, climate change etc.) to estimate the future magnitude and value of ecosystem services into the future as a capitalised value of ecosystem stocks (like the value of a house), rather than the annual value at a point in time (like the rent paid on a rental property) which can be useful in demonstrating the value of ecosystems over the long term. Asset values are estimated through the present value ($) of expected future flows of ecosystem services accounting for expected variations in both the physical and monetary flow due to population growth, climate change and other relevant variables over a relevant time period. Defra and ONS (2017) define the relevant time period as the time over which ecosystem services are expected to be supplied by an ecosystem asset.</w:t>
      </w:r>
      <w:r w:rsidRPr="00BB46CB">
        <w:rPr>
          <w:vertAlign w:val="superscript"/>
        </w:rPr>
        <w:footnoteReference w:id="81"/>
      </w:r>
    </w:p>
    <w:p w14:paraId="52867A28" w14:textId="072910FE" w:rsidR="00C3435F" w:rsidRDefault="007606C7" w:rsidP="000035CB">
      <w:pPr>
        <w:pStyle w:val="ListAlpha"/>
        <w:numPr>
          <w:ilvl w:val="0"/>
          <w:numId w:val="43"/>
        </w:numPr>
      </w:pPr>
      <w:r w:rsidRPr="00BB46CB">
        <w:t>Consider integration of the GORCAP EEA information with other information to report on the Sustainable Development Goals (SDGs) which are a collection of 17 interlinked global goals designed to be a “blueprint to achieve a better and more sustainable future for all”. The SDGs identify specific targets for each goal, along with indicators that are used to measure progress towards each target. UN SEEA framework is</w:t>
      </w:r>
      <w:r w:rsidRPr="00BB46CB" w:rsidDel="00D541B1">
        <w:t xml:space="preserve"> </w:t>
      </w:r>
      <w:r w:rsidRPr="00BB46CB">
        <w:t>a systematic approach to environmental-economic accounting which makes it useful for directly measuring several SDG indicators. Progress towards the 17 SDG goals are monitored through 244 indicators. The United Nations Commission of Experts on Environmental-Economic Accounting (UNCEEA) considers how the SDG goals can be informed or evaluated using SEEA data. Table 88 provides examples related specifically to environmental-economic accounting.</w:t>
      </w:r>
      <w:r w:rsidR="00C3435F">
        <w:br w:type="page"/>
      </w:r>
    </w:p>
    <w:p w14:paraId="0C0932D7" w14:textId="77777777" w:rsidR="007606C7" w:rsidRPr="00BB46CB" w:rsidRDefault="007606C7" w:rsidP="00613C84">
      <w:pPr>
        <w:pStyle w:val="Caption"/>
      </w:pPr>
      <w:r w:rsidRPr="00350AC5">
        <w:lastRenderedPageBreak/>
        <w:t>Table 88. Links between SDG’s and environmental-economic accounts</w:t>
      </w:r>
    </w:p>
    <w:tbl>
      <w:tblPr>
        <w:tblStyle w:val="TableGrid"/>
        <w:tblW w:w="5000" w:type="pct"/>
        <w:tblLook w:val="04A0" w:firstRow="1" w:lastRow="0" w:firstColumn="1" w:lastColumn="0" w:noHBand="0" w:noVBand="1"/>
      </w:tblPr>
      <w:tblGrid>
        <w:gridCol w:w="1493"/>
        <w:gridCol w:w="6147"/>
        <w:gridCol w:w="927"/>
        <w:gridCol w:w="1072"/>
      </w:tblGrid>
      <w:tr w:rsidR="007606C7" w:rsidRPr="00BB46CB" w14:paraId="1DAB7B62" w14:textId="77777777" w:rsidTr="00C3435F">
        <w:trPr>
          <w:cnfStyle w:val="100000000000" w:firstRow="1" w:lastRow="0" w:firstColumn="0" w:lastColumn="0" w:oddVBand="0" w:evenVBand="0" w:oddHBand="0" w:evenHBand="0" w:firstRowFirstColumn="0" w:firstRowLastColumn="0" w:lastRowFirstColumn="0" w:lastRowLastColumn="0"/>
          <w:trHeight w:val="125"/>
        </w:trPr>
        <w:tc>
          <w:tcPr>
            <w:cnfStyle w:val="001000000000" w:firstRow="0" w:lastRow="0" w:firstColumn="1" w:lastColumn="0" w:oddVBand="0" w:evenVBand="0" w:oddHBand="0" w:evenHBand="0" w:firstRowFirstColumn="0" w:firstRowLastColumn="0" w:lastRowFirstColumn="0" w:lastRowLastColumn="0"/>
            <w:tcW w:w="774" w:type="pct"/>
            <w:vMerge w:val="restart"/>
            <w:hideMark/>
          </w:tcPr>
          <w:p w14:paraId="3244B21C" w14:textId="77777777" w:rsidR="007606C7" w:rsidRPr="00BB46CB" w:rsidRDefault="007606C7" w:rsidP="00666947">
            <w:pPr>
              <w:pStyle w:val="TableTextLeft"/>
            </w:pPr>
            <w:r w:rsidRPr="00BB46CB">
              <w:rPr>
                <w:b/>
              </w:rPr>
              <w:t>SDG Goal</w:t>
            </w:r>
          </w:p>
        </w:tc>
        <w:tc>
          <w:tcPr>
            <w:tcW w:w="3189" w:type="pct"/>
            <w:vMerge w:val="restart"/>
            <w:hideMark/>
          </w:tcPr>
          <w:p w14:paraId="1071AE5F" w14:textId="77777777" w:rsidR="007606C7" w:rsidRPr="00BB46CB" w:rsidRDefault="007606C7" w:rsidP="00666947">
            <w:pPr>
              <w:pStyle w:val="TableTextLeft"/>
              <w:cnfStyle w:val="100000000000" w:firstRow="1" w:lastRow="0" w:firstColumn="0" w:lastColumn="0" w:oddVBand="0" w:evenVBand="0" w:oddHBand="0" w:evenHBand="0" w:firstRowFirstColumn="0" w:firstRowLastColumn="0" w:lastRowFirstColumn="0" w:lastRowLastColumn="0"/>
            </w:pPr>
            <w:r w:rsidRPr="00BB46CB">
              <w:rPr>
                <w:b/>
              </w:rPr>
              <w:t>SDG indicator example</w:t>
            </w:r>
          </w:p>
        </w:tc>
        <w:tc>
          <w:tcPr>
            <w:tcW w:w="1037" w:type="pct"/>
            <w:gridSpan w:val="2"/>
            <w:tcBorders>
              <w:bottom w:val="single" w:sz="4" w:space="0" w:color="FFFFFF" w:themeColor="background1"/>
            </w:tcBorders>
            <w:hideMark/>
          </w:tcPr>
          <w:p w14:paraId="743B2FF3" w14:textId="77777777" w:rsidR="007606C7" w:rsidRPr="00BB46CB" w:rsidRDefault="007606C7" w:rsidP="00C3435F">
            <w:pPr>
              <w:pStyle w:val="TableTextLeft"/>
              <w:jc w:val="center"/>
              <w:cnfStyle w:val="100000000000" w:firstRow="1" w:lastRow="0" w:firstColumn="0" w:lastColumn="0" w:oddVBand="0" w:evenVBand="0" w:oddHBand="0" w:evenHBand="0" w:firstRowFirstColumn="0" w:firstRowLastColumn="0" w:lastRowFirstColumn="0" w:lastRowLastColumn="0"/>
            </w:pPr>
            <w:r w:rsidRPr="00BB46CB">
              <w:rPr>
                <w:b/>
              </w:rPr>
              <w:t>Potentially relevant SEEA-EA account</w:t>
            </w:r>
          </w:p>
        </w:tc>
      </w:tr>
      <w:tr w:rsidR="007606C7" w:rsidRPr="00BB46CB" w14:paraId="6550F9DD" w14:textId="77777777" w:rsidTr="00C3435F">
        <w:trPr>
          <w:trHeight w:val="456"/>
        </w:trPr>
        <w:tc>
          <w:tcPr>
            <w:cnfStyle w:val="001000000000" w:firstRow="0" w:lastRow="0" w:firstColumn="1" w:lastColumn="0" w:oddVBand="0" w:evenVBand="0" w:oddHBand="0" w:evenHBand="0" w:firstRowFirstColumn="0" w:firstRowLastColumn="0" w:lastRowFirstColumn="0" w:lastRowLastColumn="0"/>
            <w:tcW w:w="774" w:type="pct"/>
            <w:vMerge/>
            <w:hideMark/>
          </w:tcPr>
          <w:p w14:paraId="56A92D0D" w14:textId="77777777" w:rsidR="007606C7" w:rsidRPr="00BB46CB" w:rsidRDefault="007606C7" w:rsidP="00666947">
            <w:pPr>
              <w:pStyle w:val="TableTextLeft"/>
            </w:pPr>
          </w:p>
        </w:tc>
        <w:tc>
          <w:tcPr>
            <w:tcW w:w="3189" w:type="pct"/>
            <w:vMerge/>
            <w:hideMark/>
          </w:tcPr>
          <w:p w14:paraId="33322C62"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481" w:type="pct"/>
            <w:tcBorders>
              <w:top w:val="single" w:sz="4" w:space="0" w:color="FFFFFF" w:themeColor="background1"/>
            </w:tcBorders>
            <w:shd w:val="clear" w:color="auto" w:fill="004C97" w:themeFill="accent1"/>
            <w:hideMark/>
          </w:tcPr>
          <w:p w14:paraId="26DD6B38" w14:textId="77777777" w:rsidR="007606C7" w:rsidRPr="00C3435F" w:rsidRDefault="007606C7" w:rsidP="00C3435F">
            <w:pPr>
              <w:pStyle w:val="TableHeadingLeft"/>
              <w:cnfStyle w:val="000000000000" w:firstRow="0" w:lastRow="0" w:firstColumn="0" w:lastColumn="0" w:oddVBand="0" w:evenVBand="0" w:oddHBand="0" w:evenHBand="0" w:firstRowFirstColumn="0" w:firstRowLastColumn="0" w:lastRowFirstColumn="0" w:lastRowLastColumn="0"/>
              <w:rPr>
                <w:b w:val="0"/>
                <w:bCs/>
              </w:rPr>
            </w:pPr>
            <w:r w:rsidRPr="00C3435F">
              <w:rPr>
                <w:b w:val="0"/>
                <w:bCs/>
              </w:rPr>
              <w:t>Extent account</w:t>
            </w:r>
          </w:p>
        </w:tc>
        <w:tc>
          <w:tcPr>
            <w:tcW w:w="556" w:type="pct"/>
            <w:tcBorders>
              <w:top w:val="single" w:sz="4" w:space="0" w:color="FFFFFF" w:themeColor="background1"/>
            </w:tcBorders>
            <w:shd w:val="clear" w:color="auto" w:fill="004C97" w:themeFill="accent1"/>
            <w:hideMark/>
          </w:tcPr>
          <w:p w14:paraId="1766FEFD" w14:textId="77777777" w:rsidR="007606C7" w:rsidRPr="00C3435F" w:rsidRDefault="007606C7" w:rsidP="00C3435F">
            <w:pPr>
              <w:pStyle w:val="TableHeadingLeft"/>
              <w:cnfStyle w:val="000000000000" w:firstRow="0" w:lastRow="0" w:firstColumn="0" w:lastColumn="0" w:oddVBand="0" w:evenVBand="0" w:oddHBand="0" w:evenHBand="0" w:firstRowFirstColumn="0" w:firstRowLastColumn="0" w:lastRowFirstColumn="0" w:lastRowLastColumn="0"/>
              <w:rPr>
                <w:b w:val="0"/>
                <w:bCs/>
              </w:rPr>
            </w:pPr>
            <w:r w:rsidRPr="00C3435F">
              <w:rPr>
                <w:b w:val="0"/>
                <w:bCs/>
              </w:rPr>
              <w:t>Condition account</w:t>
            </w:r>
          </w:p>
        </w:tc>
      </w:tr>
      <w:tr w:rsidR="007606C7" w:rsidRPr="00BB46CB" w14:paraId="06A1FD7C" w14:textId="77777777" w:rsidTr="00C3435F">
        <w:trPr>
          <w:trHeight w:val="286"/>
        </w:trPr>
        <w:tc>
          <w:tcPr>
            <w:cnfStyle w:val="001000000000" w:firstRow="0" w:lastRow="0" w:firstColumn="1" w:lastColumn="0" w:oddVBand="0" w:evenVBand="0" w:oddHBand="0" w:evenHBand="0" w:firstRowFirstColumn="0" w:firstRowLastColumn="0" w:lastRowFirstColumn="0" w:lastRowLastColumn="0"/>
            <w:tcW w:w="774" w:type="pct"/>
            <w:shd w:val="clear" w:color="auto" w:fill="004C97" w:themeFill="accent1"/>
            <w:hideMark/>
          </w:tcPr>
          <w:p w14:paraId="6E8E77D6" w14:textId="77777777" w:rsidR="007606C7" w:rsidRPr="00BB46CB" w:rsidRDefault="007606C7" w:rsidP="00C3435F">
            <w:pPr>
              <w:pStyle w:val="TableHeadingLeft"/>
            </w:pPr>
            <w:r w:rsidRPr="00BB46CB">
              <w:t>2. Zero Hunger</w:t>
            </w:r>
          </w:p>
        </w:tc>
        <w:tc>
          <w:tcPr>
            <w:tcW w:w="3189" w:type="pct"/>
            <w:hideMark/>
          </w:tcPr>
          <w:p w14:paraId="6A9843CD"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 xml:space="preserve">2.4.1. Proportion of agricultural area that is productive and sustainable </w:t>
            </w:r>
          </w:p>
        </w:tc>
        <w:tc>
          <w:tcPr>
            <w:tcW w:w="481" w:type="pct"/>
            <w:hideMark/>
          </w:tcPr>
          <w:p w14:paraId="6E6E0170" w14:textId="77777777" w:rsidR="007606C7" w:rsidRPr="00BB46CB" w:rsidRDefault="007606C7" w:rsidP="00350AC5">
            <w:pPr>
              <w:pStyle w:val="TableTextLeft"/>
              <w:jc w:val="center"/>
              <w:cnfStyle w:val="000000000000" w:firstRow="0" w:lastRow="0" w:firstColumn="0" w:lastColumn="0" w:oddVBand="0" w:evenVBand="0" w:oddHBand="0" w:evenHBand="0" w:firstRowFirstColumn="0" w:firstRowLastColumn="0" w:lastRowFirstColumn="0" w:lastRowLastColumn="0"/>
            </w:pPr>
            <w:r w:rsidRPr="00BB46CB">
              <w:t>●</w:t>
            </w:r>
          </w:p>
        </w:tc>
        <w:tc>
          <w:tcPr>
            <w:tcW w:w="556" w:type="pct"/>
            <w:hideMark/>
          </w:tcPr>
          <w:p w14:paraId="0D3A0A18" w14:textId="77777777" w:rsidR="007606C7" w:rsidRPr="00BB46CB" w:rsidRDefault="007606C7" w:rsidP="00350AC5">
            <w:pPr>
              <w:pStyle w:val="TableTextLeft"/>
              <w:jc w:val="center"/>
              <w:cnfStyle w:val="000000000000" w:firstRow="0" w:lastRow="0" w:firstColumn="0" w:lastColumn="0" w:oddVBand="0" w:evenVBand="0" w:oddHBand="0" w:evenHBand="0" w:firstRowFirstColumn="0" w:firstRowLastColumn="0" w:lastRowFirstColumn="0" w:lastRowLastColumn="0"/>
            </w:pPr>
            <w:r w:rsidRPr="00BB46CB">
              <w:t>●</w:t>
            </w:r>
          </w:p>
        </w:tc>
      </w:tr>
      <w:tr w:rsidR="00C3435F" w:rsidRPr="00BB46CB" w14:paraId="4937F1D2" w14:textId="77777777" w:rsidTr="00C3435F">
        <w:trPr>
          <w:trHeight w:val="687"/>
        </w:trPr>
        <w:tc>
          <w:tcPr>
            <w:cnfStyle w:val="001000000000" w:firstRow="0" w:lastRow="0" w:firstColumn="1" w:lastColumn="0" w:oddVBand="0" w:evenVBand="0" w:oddHBand="0" w:evenHBand="0" w:firstRowFirstColumn="0" w:firstRowLastColumn="0" w:lastRowFirstColumn="0" w:lastRowLastColumn="0"/>
            <w:tcW w:w="774" w:type="pct"/>
            <w:vMerge w:val="restart"/>
            <w:shd w:val="clear" w:color="auto" w:fill="004C97" w:themeFill="accent1"/>
            <w:hideMark/>
          </w:tcPr>
          <w:p w14:paraId="0F862B75" w14:textId="77777777" w:rsidR="00C3435F" w:rsidRPr="00BB46CB" w:rsidRDefault="00C3435F" w:rsidP="00C3435F">
            <w:pPr>
              <w:pStyle w:val="TableHeadingLeft"/>
            </w:pPr>
            <w:r w:rsidRPr="00BB46CB">
              <w:t>6. Clean Water and Sanitation</w:t>
            </w:r>
          </w:p>
        </w:tc>
        <w:tc>
          <w:tcPr>
            <w:tcW w:w="3189" w:type="pct"/>
            <w:hideMark/>
          </w:tcPr>
          <w:p w14:paraId="4573DBF1" w14:textId="6A6F56C4" w:rsidR="00C3435F" w:rsidRPr="00BB46CB" w:rsidRDefault="00C3435F" w:rsidP="00C3435F">
            <w:pPr>
              <w:pStyle w:val="TableTextLeft"/>
              <w:cnfStyle w:val="000000000000" w:firstRow="0" w:lastRow="0" w:firstColumn="0" w:lastColumn="0" w:oddVBand="0" w:evenVBand="0" w:oddHBand="0" w:evenHBand="0" w:firstRowFirstColumn="0" w:firstRowLastColumn="0" w:lastRowFirstColumn="0" w:lastRowLastColumn="0"/>
            </w:pPr>
            <w:r w:rsidRPr="00BB46CB">
              <w:t>6.3.2. Proportion of bodies of water with good ambient water quality</w:t>
            </w:r>
          </w:p>
        </w:tc>
        <w:tc>
          <w:tcPr>
            <w:tcW w:w="481" w:type="pct"/>
            <w:hideMark/>
          </w:tcPr>
          <w:p w14:paraId="35AB8235" w14:textId="0CCB32FA" w:rsidR="00C3435F" w:rsidRPr="00BB46CB" w:rsidRDefault="00C3435F" w:rsidP="00350AC5">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556" w:type="pct"/>
            <w:hideMark/>
          </w:tcPr>
          <w:p w14:paraId="0FAF0AA4" w14:textId="77777777" w:rsidR="00C3435F" w:rsidRPr="00BB46CB" w:rsidRDefault="00C3435F" w:rsidP="00350AC5">
            <w:pPr>
              <w:pStyle w:val="TableTextLeft"/>
              <w:jc w:val="center"/>
              <w:cnfStyle w:val="000000000000" w:firstRow="0" w:lastRow="0" w:firstColumn="0" w:lastColumn="0" w:oddVBand="0" w:evenVBand="0" w:oddHBand="0" w:evenHBand="0" w:firstRowFirstColumn="0" w:firstRowLastColumn="0" w:lastRowFirstColumn="0" w:lastRowLastColumn="0"/>
            </w:pPr>
            <w:r w:rsidRPr="00BB46CB">
              <w:t>●</w:t>
            </w:r>
          </w:p>
        </w:tc>
      </w:tr>
      <w:tr w:rsidR="00C3435F" w:rsidRPr="00BB46CB" w14:paraId="5671E497" w14:textId="77777777" w:rsidTr="00C3435F">
        <w:trPr>
          <w:trHeight w:val="687"/>
        </w:trPr>
        <w:tc>
          <w:tcPr>
            <w:cnfStyle w:val="001000000000" w:firstRow="0" w:lastRow="0" w:firstColumn="1" w:lastColumn="0" w:oddVBand="0" w:evenVBand="0" w:oddHBand="0" w:evenHBand="0" w:firstRowFirstColumn="0" w:firstRowLastColumn="0" w:lastRowFirstColumn="0" w:lastRowLastColumn="0"/>
            <w:tcW w:w="774" w:type="pct"/>
            <w:vMerge/>
            <w:shd w:val="clear" w:color="auto" w:fill="004C97" w:themeFill="accent1"/>
          </w:tcPr>
          <w:p w14:paraId="4BADB299" w14:textId="77777777" w:rsidR="00C3435F" w:rsidRPr="00BB46CB" w:rsidRDefault="00C3435F" w:rsidP="00C3435F">
            <w:pPr>
              <w:pStyle w:val="TableHeadingLeft"/>
            </w:pPr>
          </w:p>
        </w:tc>
        <w:tc>
          <w:tcPr>
            <w:tcW w:w="3189" w:type="pct"/>
          </w:tcPr>
          <w:p w14:paraId="61A983DA" w14:textId="6B0D535C" w:rsidR="00C3435F" w:rsidRPr="00BB46CB" w:rsidRDefault="00C3435F" w:rsidP="00666947">
            <w:pPr>
              <w:pStyle w:val="TableTextLeft"/>
              <w:cnfStyle w:val="000000000000" w:firstRow="0" w:lastRow="0" w:firstColumn="0" w:lastColumn="0" w:oddVBand="0" w:evenVBand="0" w:oddHBand="0" w:evenHBand="0" w:firstRowFirstColumn="0" w:firstRowLastColumn="0" w:lastRowFirstColumn="0" w:lastRowLastColumn="0"/>
            </w:pPr>
            <w:r w:rsidRPr="00BB46CB">
              <w:t>6.6.1. Change in the extent of water-related ecosystems over time</w:t>
            </w:r>
          </w:p>
        </w:tc>
        <w:tc>
          <w:tcPr>
            <w:tcW w:w="481" w:type="pct"/>
          </w:tcPr>
          <w:p w14:paraId="3F342E18" w14:textId="3F31A90F" w:rsidR="00C3435F" w:rsidRDefault="00C3435F" w:rsidP="00350AC5">
            <w:pPr>
              <w:pStyle w:val="TableTextLeft"/>
              <w:jc w:val="center"/>
              <w:cnfStyle w:val="000000000000" w:firstRow="0" w:lastRow="0" w:firstColumn="0" w:lastColumn="0" w:oddVBand="0" w:evenVBand="0" w:oddHBand="0" w:evenHBand="0" w:firstRowFirstColumn="0" w:firstRowLastColumn="0" w:lastRowFirstColumn="0" w:lastRowLastColumn="0"/>
            </w:pPr>
            <w:r w:rsidRPr="00BB46CB">
              <w:t>●</w:t>
            </w:r>
          </w:p>
        </w:tc>
        <w:tc>
          <w:tcPr>
            <w:tcW w:w="556" w:type="pct"/>
          </w:tcPr>
          <w:p w14:paraId="4FD917C6" w14:textId="77777777" w:rsidR="00C3435F" w:rsidRPr="00BB46CB" w:rsidRDefault="00C3435F" w:rsidP="00350AC5">
            <w:pPr>
              <w:pStyle w:val="TableTextLeft"/>
              <w:jc w:val="center"/>
              <w:cnfStyle w:val="000000000000" w:firstRow="0" w:lastRow="0" w:firstColumn="0" w:lastColumn="0" w:oddVBand="0" w:evenVBand="0" w:oddHBand="0" w:evenHBand="0" w:firstRowFirstColumn="0" w:firstRowLastColumn="0" w:lastRowFirstColumn="0" w:lastRowLastColumn="0"/>
            </w:pPr>
          </w:p>
        </w:tc>
      </w:tr>
      <w:tr w:rsidR="007606C7" w:rsidRPr="00BB46CB" w14:paraId="42FC206A" w14:textId="77777777" w:rsidTr="00C3435F">
        <w:trPr>
          <w:trHeight w:val="928"/>
        </w:trPr>
        <w:tc>
          <w:tcPr>
            <w:cnfStyle w:val="001000000000" w:firstRow="0" w:lastRow="0" w:firstColumn="1" w:lastColumn="0" w:oddVBand="0" w:evenVBand="0" w:oddHBand="0" w:evenHBand="0" w:firstRowFirstColumn="0" w:firstRowLastColumn="0" w:lastRowFirstColumn="0" w:lastRowLastColumn="0"/>
            <w:tcW w:w="774" w:type="pct"/>
            <w:shd w:val="clear" w:color="auto" w:fill="004C97" w:themeFill="accent1"/>
            <w:hideMark/>
          </w:tcPr>
          <w:p w14:paraId="0244E0A1" w14:textId="77777777" w:rsidR="007606C7" w:rsidRPr="00BB46CB" w:rsidRDefault="007606C7" w:rsidP="00C3435F">
            <w:pPr>
              <w:pStyle w:val="TableHeadingLeft"/>
            </w:pPr>
            <w:r w:rsidRPr="00BB46CB">
              <w:t>11. Sustainable Cities and Communities</w:t>
            </w:r>
          </w:p>
        </w:tc>
        <w:tc>
          <w:tcPr>
            <w:tcW w:w="3189" w:type="pct"/>
            <w:hideMark/>
          </w:tcPr>
          <w:p w14:paraId="276A4413"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11.3.1. Ratio of land consumption rate to population growth rate</w:t>
            </w:r>
          </w:p>
          <w:p w14:paraId="32C2609A"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 xml:space="preserve">11.6.2. Annual mean levels of fine particulate matter in cities </w:t>
            </w:r>
          </w:p>
          <w:p w14:paraId="6600BA4D"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 xml:space="preserve">11.7.1. Average share of built-up area of cities that is open space </w:t>
            </w:r>
          </w:p>
        </w:tc>
        <w:tc>
          <w:tcPr>
            <w:tcW w:w="481" w:type="pct"/>
            <w:hideMark/>
          </w:tcPr>
          <w:p w14:paraId="44F80B51" w14:textId="77777777" w:rsidR="007606C7" w:rsidRPr="00BB46CB" w:rsidRDefault="007606C7" w:rsidP="00350AC5">
            <w:pPr>
              <w:pStyle w:val="TableTextLeft"/>
              <w:jc w:val="center"/>
              <w:cnfStyle w:val="000000000000" w:firstRow="0" w:lastRow="0" w:firstColumn="0" w:lastColumn="0" w:oddVBand="0" w:evenVBand="0" w:oddHBand="0" w:evenHBand="0" w:firstRowFirstColumn="0" w:firstRowLastColumn="0" w:lastRowFirstColumn="0" w:lastRowLastColumn="0"/>
            </w:pPr>
            <w:r w:rsidRPr="00BB46CB">
              <w:t>●</w:t>
            </w:r>
          </w:p>
          <w:p w14:paraId="4A6790C3" w14:textId="77777777" w:rsidR="00C3435F" w:rsidRDefault="00C3435F" w:rsidP="00350AC5">
            <w:pPr>
              <w:pStyle w:val="TableTextLeft"/>
              <w:jc w:val="center"/>
              <w:cnfStyle w:val="000000000000" w:firstRow="0" w:lastRow="0" w:firstColumn="0" w:lastColumn="0" w:oddVBand="0" w:evenVBand="0" w:oddHBand="0" w:evenHBand="0" w:firstRowFirstColumn="0" w:firstRowLastColumn="0" w:lastRowFirstColumn="0" w:lastRowLastColumn="0"/>
            </w:pPr>
          </w:p>
          <w:p w14:paraId="7AD6F91D" w14:textId="29129EEC" w:rsidR="007606C7" w:rsidRPr="00BB46CB" w:rsidRDefault="007606C7" w:rsidP="00350AC5">
            <w:pPr>
              <w:pStyle w:val="TableTextLeft"/>
              <w:jc w:val="center"/>
              <w:cnfStyle w:val="000000000000" w:firstRow="0" w:lastRow="0" w:firstColumn="0" w:lastColumn="0" w:oddVBand="0" w:evenVBand="0" w:oddHBand="0" w:evenHBand="0" w:firstRowFirstColumn="0" w:firstRowLastColumn="0" w:lastRowFirstColumn="0" w:lastRowLastColumn="0"/>
            </w:pPr>
            <w:r w:rsidRPr="00BB46CB">
              <w:t>●</w:t>
            </w:r>
          </w:p>
        </w:tc>
        <w:tc>
          <w:tcPr>
            <w:tcW w:w="556" w:type="pct"/>
            <w:hideMark/>
          </w:tcPr>
          <w:p w14:paraId="241FD3CF" w14:textId="77777777" w:rsidR="007606C7" w:rsidRPr="00BB46CB" w:rsidRDefault="007606C7" w:rsidP="00350AC5">
            <w:pPr>
              <w:pStyle w:val="TableTextLeft"/>
              <w:jc w:val="center"/>
              <w:cnfStyle w:val="000000000000" w:firstRow="0" w:lastRow="0" w:firstColumn="0" w:lastColumn="0" w:oddVBand="0" w:evenVBand="0" w:oddHBand="0" w:evenHBand="0" w:firstRowFirstColumn="0" w:firstRowLastColumn="0" w:lastRowFirstColumn="0" w:lastRowLastColumn="0"/>
            </w:pPr>
          </w:p>
          <w:p w14:paraId="740D72DB" w14:textId="77777777" w:rsidR="007606C7" w:rsidRPr="00BB46CB" w:rsidRDefault="007606C7" w:rsidP="00350AC5">
            <w:pPr>
              <w:pStyle w:val="TableTextLeft"/>
              <w:jc w:val="center"/>
              <w:cnfStyle w:val="000000000000" w:firstRow="0" w:lastRow="0" w:firstColumn="0" w:lastColumn="0" w:oddVBand="0" w:evenVBand="0" w:oddHBand="0" w:evenHBand="0" w:firstRowFirstColumn="0" w:firstRowLastColumn="0" w:lastRowFirstColumn="0" w:lastRowLastColumn="0"/>
            </w:pPr>
            <w:r w:rsidRPr="00BB46CB">
              <w:t>●</w:t>
            </w:r>
          </w:p>
        </w:tc>
      </w:tr>
      <w:tr w:rsidR="007606C7" w:rsidRPr="00BB46CB" w14:paraId="0B052EF1" w14:textId="77777777" w:rsidTr="00C3435F">
        <w:trPr>
          <w:trHeight w:val="1400"/>
        </w:trPr>
        <w:tc>
          <w:tcPr>
            <w:cnfStyle w:val="001000000000" w:firstRow="0" w:lastRow="0" w:firstColumn="1" w:lastColumn="0" w:oddVBand="0" w:evenVBand="0" w:oddHBand="0" w:evenHBand="0" w:firstRowFirstColumn="0" w:firstRowLastColumn="0" w:lastRowFirstColumn="0" w:lastRowLastColumn="0"/>
            <w:tcW w:w="774" w:type="pct"/>
            <w:shd w:val="clear" w:color="auto" w:fill="004C97" w:themeFill="accent1"/>
            <w:hideMark/>
          </w:tcPr>
          <w:p w14:paraId="5D7448DD" w14:textId="77777777" w:rsidR="007606C7" w:rsidRPr="00BB46CB" w:rsidRDefault="007606C7" w:rsidP="00C3435F">
            <w:pPr>
              <w:pStyle w:val="TableHeadingLeft"/>
            </w:pPr>
            <w:r w:rsidRPr="00BB46CB">
              <w:t>14. Life Below Water</w:t>
            </w:r>
          </w:p>
        </w:tc>
        <w:tc>
          <w:tcPr>
            <w:tcW w:w="3189" w:type="pct"/>
            <w:hideMark/>
          </w:tcPr>
          <w:p w14:paraId="511C35A1"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 xml:space="preserve">14.1.1. Index of coastal eutrophication and floating plastic debris density </w:t>
            </w:r>
          </w:p>
          <w:p w14:paraId="4242382E"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14.3.1. Average marine acidity (pH) at representative sampling stations</w:t>
            </w:r>
          </w:p>
          <w:p w14:paraId="01721CA0"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14.4.1. Proportion of fish stocks within biologically sustainable levels</w:t>
            </w:r>
          </w:p>
          <w:p w14:paraId="11C0C66C"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 xml:space="preserve">14.5.1. Coverage of protected areas in relation to marine areas </w:t>
            </w:r>
          </w:p>
        </w:tc>
        <w:tc>
          <w:tcPr>
            <w:tcW w:w="481" w:type="pct"/>
            <w:hideMark/>
          </w:tcPr>
          <w:p w14:paraId="2B88DBBA" w14:textId="77777777" w:rsidR="007606C7" w:rsidRPr="00BB46CB" w:rsidRDefault="007606C7" w:rsidP="00350AC5">
            <w:pPr>
              <w:pStyle w:val="TableTextLeft"/>
              <w:jc w:val="center"/>
              <w:cnfStyle w:val="000000000000" w:firstRow="0" w:lastRow="0" w:firstColumn="0" w:lastColumn="0" w:oddVBand="0" w:evenVBand="0" w:oddHBand="0" w:evenHBand="0" w:firstRowFirstColumn="0" w:firstRowLastColumn="0" w:lastRowFirstColumn="0" w:lastRowLastColumn="0"/>
            </w:pPr>
          </w:p>
        </w:tc>
        <w:tc>
          <w:tcPr>
            <w:tcW w:w="556" w:type="pct"/>
            <w:hideMark/>
          </w:tcPr>
          <w:p w14:paraId="3C624048" w14:textId="77777777" w:rsidR="007606C7" w:rsidRPr="00BB46CB" w:rsidRDefault="007606C7" w:rsidP="00350AC5">
            <w:pPr>
              <w:pStyle w:val="TableTextLeft"/>
              <w:jc w:val="center"/>
              <w:cnfStyle w:val="000000000000" w:firstRow="0" w:lastRow="0" w:firstColumn="0" w:lastColumn="0" w:oddVBand="0" w:evenVBand="0" w:oddHBand="0" w:evenHBand="0" w:firstRowFirstColumn="0" w:firstRowLastColumn="0" w:lastRowFirstColumn="0" w:lastRowLastColumn="0"/>
            </w:pPr>
            <w:r w:rsidRPr="00BB46CB">
              <w:t>●</w:t>
            </w:r>
          </w:p>
          <w:p w14:paraId="2048D3DA" w14:textId="77777777" w:rsidR="007606C7" w:rsidRPr="00BB46CB" w:rsidRDefault="007606C7" w:rsidP="00350AC5">
            <w:pPr>
              <w:pStyle w:val="TableTextLeft"/>
              <w:jc w:val="center"/>
              <w:cnfStyle w:val="000000000000" w:firstRow="0" w:lastRow="0" w:firstColumn="0" w:lastColumn="0" w:oddVBand="0" w:evenVBand="0" w:oddHBand="0" w:evenHBand="0" w:firstRowFirstColumn="0" w:firstRowLastColumn="0" w:lastRowFirstColumn="0" w:lastRowLastColumn="0"/>
            </w:pPr>
            <w:r w:rsidRPr="00BB46CB">
              <w:t>●</w:t>
            </w:r>
          </w:p>
          <w:p w14:paraId="24F40B25" w14:textId="77777777" w:rsidR="007606C7" w:rsidRPr="00BB46CB" w:rsidRDefault="007606C7" w:rsidP="00350AC5">
            <w:pPr>
              <w:pStyle w:val="TableTextLeft"/>
              <w:jc w:val="center"/>
              <w:cnfStyle w:val="000000000000" w:firstRow="0" w:lastRow="0" w:firstColumn="0" w:lastColumn="0" w:oddVBand="0" w:evenVBand="0" w:oddHBand="0" w:evenHBand="0" w:firstRowFirstColumn="0" w:firstRowLastColumn="0" w:lastRowFirstColumn="0" w:lastRowLastColumn="0"/>
            </w:pPr>
            <w:r w:rsidRPr="00BB46CB">
              <w:t>●</w:t>
            </w:r>
          </w:p>
          <w:p w14:paraId="415C3FB7" w14:textId="77777777" w:rsidR="007606C7" w:rsidRPr="00BB46CB" w:rsidRDefault="007606C7" w:rsidP="00350AC5">
            <w:pPr>
              <w:pStyle w:val="TableTextLeft"/>
              <w:jc w:val="center"/>
              <w:cnfStyle w:val="000000000000" w:firstRow="0" w:lastRow="0" w:firstColumn="0" w:lastColumn="0" w:oddVBand="0" w:evenVBand="0" w:oddHBand="0" w:evenHBand="0" w:firstRowFirstColumn="0" w:firstRowLastColumn="0" w:lastRowFirstColumn="0" w:lastRowLastColumn="0"/>
            </w:pPr>
            <w:r w:rsidRPr="00BB46CB">
              <w:t>●</w:t>
            </w:r>
          </w:p>
        </w:tc>
      </w:tr>
      <w:tr w:rsidR="007606C7" w:rsidRPr="00BB46CB" w14:paraId="0840BE33" w14:textId="77777777" w:rsidTr="00C3435F">
        <w:trPr>
          <w:trHeight w:val="1637"/>
        </w:trPr>
        <w:tc>
          <w:tcPr>
            <w:cnfStyle w:val="001000000000" w:firstRow="0" w:lastRow="0" w:firstColumn="1" w:lastColumn="0" w:oddVBand="0" w:evenVBand="0" w:oddHBand="0" w:evenHBand="0" w:firstRowFirstColumn="0" w:firstRowLastColumn="0" w:lastRowFirstColumn="0" w:lastRowLastColumn="0"/>
            <w:tcW w:w="774" w:type="pct"/>
            <w:shd w:val="clear" w:color="auto" w:fill="004C97" w:themeFill="accent1"/>
            <w:hideMark/>
          </w:tcPr>
          <w:p w14:paraId="60E696C3" w14:textId="77777777" w:rsidR="007606C7" w:rsidRPr="00BB46CB" w:rsidRDefault="007606C7" w:rsidP="00C3435F">
            <w:pPr>
              <w:pStyle w:val="TableHeadingLeft"/>
            </w:pPr>
            <w:r w:rsidRPr="00BB46CB">
              <w:t>15. Life on Land</w:t>
            </w:r>
          </w:p>
        </w:tc>
        <w:tc>
          <w:tcPr>
            <w:tcW w:w="3189" w:type="pct"/>
            <w:hideMark/>
          </w:tcPr>
          <w:p w14:paraId="09328E0F"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15.1.1. Forest area as a proportion of total land area</w:t>
            </w:r>
          </w:p>
          <w:p w14:paraId="73809968"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15.1.2. Proportion of important sites for biodiversity that are protected areas</w:t>
            </w:r>
          </w:p>
          <w:p w14:paraId="278A2152"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 xml:space="preserve">15.3.1. Proportion of land that is degraded over total land area </w:t>
            </w:r>
          </w:p>
          <w:p w14:paraId="792D080C"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15.4.1. Coverage of important sites for mountain biodiversity that are protected</w:t>
            </w:r>
          </w:p>
          <w:p w14:paraId="4F9ABC94"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15.4.2 Mountain Green Cover Index</w:t>
            </w:r>
          </w:p>
          <w:p w14:paraId="7E415C4B" w14:textId="77777777" w:rsidR="007606C7" w:rsidRPr="00BB46CB" w:rsidRDefault="007606C7" w:rsidP="00666947">
            <w:pPr>
              <w:pStyle w:val="TableTextLeft"/>
              <w:cnfStyle w:val="000000000000" w:firstRow="0" w:lastRow="0" w:firstColumn="0" w:lastColumn="0" w:oddVBand="0" w:evenVBand="0" w:oddHBand="0" w:evenHBand="0" w:firstRowFirstColumn="0" w:firstRowLastColumn="0" w:lastRowFirstColumn="0" w:lastRowLastColumn="0"/>
            </w:pPr>
            <w:r w:rsidRPr="00BB46CB">
              <w:t>15.5.1 Red List Index</w:t>
            </w:r>
          </w:p>
        </w:tc>
        <w:tc>
          <w:tcPr>
            <w:tcW w:w="481" w:type="pct"/>
            <w:hideMark/>
          </w:tcPr>
          <w:p w14:paraId="2C7EA3FB" w14:textId="77777777" w:rsidR="007606C7" w:rsidRPr="00BB46CB" w:rsidRDefault="007606C7" w:rsidP="00350AC5">
            <w:pPr>
              <w:pStyle w:val="TableTextLeft"/>
              <w:jc w:val="center"/>
              <w:cnfStyle w:val="000000000000" w:firstRow="0" w:lastRow="0" w:firstColumn="0" w:lastColumn="0" w:oddVBand="0" w:evenVBand="0" w:oddHBand="0" w:evenHBand="0" w:firstRowFirstColumn="0" w:firstRowLastColumn="0" w:lastRowFirstColumn="0" w:lastRowLastColumn="0"/>
            </w:pPr>
            <w:r w:rsidRPr="00BB46CB">
              <w:t>●</w:t>
            </w:r>
          </w:p>
        </w:tc>
        <w:tc>
          <w:tcPr>
            <w:tcW w:w="556" w:type="pct"/>
            <w:hideMark/>
          </w:tcPr>
          <w:p w14:paraId="11659C0B" w14:textId="77777777" w:rsidR="007606C7" w:rsidRPr="00BB46CB" w:rsidRDefault="007606C7" w:rsidP="00350AC5">
            <w:pPr>
              <w:pStyle w:val="TableTextLeft"/>
              <w:jc w:val="center"/>
              <w:cnfStyle w:val="000000000000" w:firstRow="0" w:lastRow="0" w:firstColumn="0" w:lastColumn="0" w:oddVBand="0" w:evenVBand="0" w:oddHBand="0" w:evenHBand="0" w:firstRowFirstColumn="0" w:firstRowLastColumn="0" w:lastRowFirstColumn="0" w:lastRowLastColumn="0"/>
            </w:pPr>
          </w:p>
          <w:p w14:paraId="02200CE5" w14:textId="77777777" w:rsidR="007606C7" w:rsidRPr="00BB46CB" w:rsidRDefault="007606C7" w:rsidP="00350AC5">
            <w:pPr>
              <w:pStyle w:val="TableTextLeft"/>
              <w:jc w:val="center"/>
              <w:cnfStyle w:val="000000000000" w:firstRow="0" w:lastRow="0" w:firstColumn="0" w:lastColumn="0" w:oddVBand="0" w:evenVBand="0" w:oddHBand="0" w:evenHBand="0" w:firstRowFirstColumn="0" w:firstRowLastColumn="0" w:lastRowFirstColumn="0" w:lastRowLastColumn="0"/>
            </w:pPr>
            <w:r w:rsidRPr="00BB46CB">
              <w:t>●</w:t>
            </w:r>
          </w:p>
          <w:p w14:paraId="229B57D4" w14:textId="77777777" w:rsidR="007606C7" w:rsidRPr="00BB46CB" w:rsidRDefault="007606C7" w:rsidP="00350AC5">
            <w:pPr>
              <w:pStyle w:val="TableTextLeft"/>
              <w:jc w:val="center"/>
              <w:cnfStyle w:val="000000000000" w:firstRow="0" w:lastRow="0" w:firstColumn="0" w:lastColumn="0" w:oddVBand="0" w:evenVBand="0" w:oddHBand="0" w:evenHBand="0" w:firstRowFirstColumn="0" w:firstRowLastColumn="0" w:lastRowFirstColumn="0" w:lastRowLastColumn="0"/>
            </w:pPr>
            <w:r w:rsidRPr="00BB46CB">
              <w:t>●</w:t>
            </w:r>
          </w:p>
          <w:p w14:paraId="3C85210E" w14:textId="77777777" w:rsidR="007606C7" w:rsidRPr="00BB46CB" w:rsidRDefault="007606C7" w:rsidP="00350AC5">
            <w:pPr>
              <w:pStyle w:val="TableTextLeft"/>
              <w:jc w:val="center"/>
              <w:cnfStyle w:val="000000000000" w:firstRow="0" w:lastRow="0" w:firstColumn="0" w:lastColumn="0" w:oddVBand="0" w:evenVBand="0" w:oddHBand="0" w:evenHBand="0" w:firstRowFirstColumn="0" w:firstRowLastColumn="0" w:lastRowFirstColumn="0" w:lastRowLastColumn="0"/>
            </w:pPr>
            <w:r w:rsidRPr="00BB46CB">
              <w:t>●</w:t>
            </w:r>
          </w:p>
          <w:p w14:paraId="5A51FA0A" w14:textId="77777777" w:rsidR="007606C7" w:rsidRPr="00BB46CB" w:rsidRDefault="007606C7" w:rsidP="00350AC5">
            <w:pPr>
              <w:pStyle w:val="TableTextLeft"/>
              <w:jc w:val="center"/>
              <w:cnfStyle w:val="000000000000" w:firstRow="0" w:lastRow="0" w:firstColumn="0" w:lastColumn="0" w:oddVBand="0" w:evenVBand="0" w:oddHBand="0" w:evenHBand="0" w:firstRowFirstColumn="0" w:firstRowLastColumn="0" w:lastRowFirstColumn="0" w:lastRowLastColumn="0"/>
            </w:pPr>
            <w:r w:rsidRPr="00BB46CB">
              <w:t>●</w:t>
            </w:r>
          </w:p>
          <w:p w14:paraId="15F23750" w14:textId="77777777" w:rsidR="007606C7" w:rsidRPr="00BB46CB" w:rsidRDefault="007606C7" w:rsidP="00350AC5">
            <w:pPr>
              <w:pStyle w:val="TableTextLeft"/>
              <w:jc w:val="center"/>
              <w:cnfStyle w:val="000000000000" w:firstRow="0" w:lastRow="0" w:firstColumn="0" w:lastColumn="0" w:oddVBand="0" w:evenVBand="0" w:oddHBand="0" w:evenHBand="0" w:firstRowFirstColumn="0" w:firstRowLastColumn="0" w:lastRowFirstColumn="0" w:lastRowLastColumn="0"/>
            </w:pPr>
            <w:r w:rsidRPr="00BB46CB">
              <w:t>●</w:t>
            </w:r>
          </w:p>
        </w:tc>
      </w:tr>
    </w:tbl>
    <w:p w14:paraId="7FB31CFF" w14:textId="77777777" w:rsidR="007606C7" w:rsidRPr="00BB46CB" w:rsidRDefault="007606C7" w:rsidP="00707038">
      <w:pPr>
        <w:pStyle w:val="ListBullet"/>
        <w:spacing w:before="240"/>
      </w:pPr>
      <w:r w:rsidRPr="00BB46CB">
        <w:t>To build the business case for investment to expand ecosystem assets within the GORCAP EEA. The underlying data and analysis that is used to build the GORCAP EEA could be applied to estimate the physical and monetary value of prospective changes in ecosystem extent that might be delivered through future policy/management/investment. For example, options to restore historical ecosystem extent within the GORCAP EEA could be assessed and estimates of the type, magnitude and value of ecosystem service provision could be developed to inform decision making. Carnell et al (forthcoming) have undertaken some analysis of where to target investment in ecosystem restoration in Western Port and Port Phillip Bay based on restoring ecosystems where they previously existed (where current land use allows) and a similar analysis could be undertaken across the GORCAP EEA area;</w:t>
      </w:r>
    </w:p>
    <w:p w14:paraId="156C67CA" w14:textId="77777777" w:rsidR="007606C7" w:rsidRPr="00BB46CB" w:rsidRDefault="007606C7" w:rsidP="007606C7">
      <w:pPr>
        <w:pStyle w:val="ListBullet"/>
      </w:pPr>
      <w:r w:rsidRPr="00BB46CB">
        <w:t>To assess the magnitude and value of the loss of ecosystem service associated with pressures and risks in the GORCAP EEA region. Marine and coastal assets exhibit the characteristics of ‘common pool resources’ which mean that excessive use (for production or consumption) may cause problems of congestion (e.g., too many visitors) or overuse (e.g., poor water quality due to pollution loads being in excess of assimilative capacity or fish stock degradation due to over-harvesting) and asset degradation (DELWP, 2016). The key pressures on ecosystem asset status (ecosystems, habitats and species) and productivity (i.e., provision of socio-economic benefits) noted in the reviewed literature (i.e., in global assessment of coastal and marine areas / beyond the GORCAP region) are listed and summarised below:</w:t>
      </w:r>
    </w:p>
    <w:p w14:paraId="7AD65B50" w14:textId="77777777" w:rsidR="007606C7" w:rsidRPr="00BB46CB" w:rsidRDefault="007606C7" w:rsidP="007606C7">
      <w:pPr>
        <w:pStyle w:val="ListBullet"/>
      </w:pPr>
      <w:r w:rsidRPr="00BB46CB">
        <w:lastRenderedPageBreak/>
        <w:t>Climate change induced sea level rise and increasing storm intensity leading to coastal erosion and flooding.</w:t>
      </w:r>
    </w:p>
    <w:p w14:paraId="0C7A0F57" w14:textId="77777777" w:rsidR="007606C7" w:rsidRPr="00BB46CB" w:rsidRDefault="007606C7" w:rsidP="007606C7">
      <w:pPr>
        <w:pStyle w:val="ListBullet"/>
      </w:pPr>
      <w:r w:rsidRPr="00BB46CB">
        <w:t>Industrial expansion including fishing, forestry, agriculture, tourism, oil, gas, renewables.</w:t>
      </w:r>
    </w:p>
    <w:p w14:paraId="41AB3913" w14:textId="77777777" w:rsidR="007606C7" w:rsidRPr="00BB46CB" w:rsidRDefault="007606C7" w:rsidP="007606C7">
      <w:pPr>
        <w:pStyle w:val="ListBullet"/>
      </w:pPr>
      <w:r w:rsidRPr="00BB46CB">
        <w:t xml:space="preserve">Overfishing. </w:t>
      </w:r>
    </w:p>
    <w:p w14:paraId="60B957C8" w14:textId="77777777" w:rsidR="007606C7" w:rsidRPr="00BB46CB" w:rsidRDefault="007606C7" w:rsidP="007606C7">
      <w:pPr>
        <w:pStyle w:val="ListBullet"/>
      </w:pPr>
      <w:r w:rsidRPr="00BB46CB">
        <w:t>Pollution to water, land and air including nutrients, sediments, litter and other contaminants such as endocrine-disrupting compounds, pharmaceuticals, flame retardants, pesticides (other than organochlorines) and microplastics.</w:t>
      </w:r>
    </w:p>
    <w:p w14:paraId="4169713E" w14:textId="77777777" w:rsidR="007606C7" w:rsidRPr="00BB46CB" w:rsidRDefault="007606C7" w:rsidP="007606C7">
      <w:pPr>
        <w:pStyle w:val="ListBullet"/>
      </w:pPr>
      <w:r w:rsidRPr="00BB46CB">
        <w:t xml:space="preserve">Invasive (non-native) species (e.g., black sea urchin </w:t>
      </w:r>
      <w:proofErr w:type="spellStart"/>
      <w:r w:rsidRPr="00BB46CB">
        <w:rPr>
          <w:i/>
        </w:rPr>
        <w:t>Centrostephanus</w:t>
      </w:r>
      <w:proofErr w:type="spellEnd"/>
      <w:r w:rsidRPr="00BB46CB">
        <w:rPr>
          <w:i/>
        </w:rPr>
        <w:t xml:space="preserve"> </w:t>
      </w:r>
      <w:proofErr w:type="spellStart"/>
      <w:r w:rsidRPr="00BB46CB">
        <w:rPr>
          <w:i/>
        </w:rPr>
        <w:t>rodgersii</w:t>
      </w:r>
      <w:proofErr w:type="spellEnd"/>
      <w:r w:rsidRPr="00BB46CB">
        <w:t xml:space="preserve"> and cordgrass </w:t>
      </w:r>
      <w:r w:rsidRPr="00BB46CB">
        <w:rPr>
          <w:i/>
        </w:rPr>
        <w:t xml:space="preserve">Spartina </w:t>
      </w:r>
      <w:proofErr w:type="spellStart"/>
      <w:r w:rsidRPr="00BB46CB">
        <w:rPr>
          <w:i/>
        </w:rPr>
        <w:t>anglica</w:t>
      </w:r>
      <w:proofErr w:type="spellEnd"/>
      <w:r w:rsidRPr="00BB46CB">
        <w:t xml:space="preserve"> and </w:t>
      </w:r>
      <w:r w:rsidRPr="00BB46CB">
        <w:rPr>
          <w:i/>
        </w:rPr>
        <w:t xml:space="preserve">S. x </w:t>
      </w:r>
      <w:proofErr w:type="spellStart"/>
      <w:r w:rsidRPr="00BB46CB">
        <w:rPr>
          <w:i/>
        </w:rPr>
        <w:t>townsendii</w:t>
      </w:r>
      <w:proofErr w:type="spellEnd"/>
      <w:r w:rsidRPr="00BB46CB">
        <w:t>);</w:t>
      </w:r>
    </w:p>
    <w:p w14:paraId="052A2C59" w14:textId="77777777" w:rsidR="007606C7" w:rsidRPr="00BB46CB" w:rsidRDefault="007606C7" w:rsidP="007606C7">
      <w:pPr>
        <w:pStyle w:val="ListBullet"/>
      </w:pPr>
      <w:r w:rsidRPr="00BB46CB">
        <w:t>Urban expansion;</w:t>
      </w:r>
    </w:p>
    <w:p w14:paraId="3DF3F71F" w14:textId="77777777" w:rsidR="007606C7" w:rsidRPr="00BB46CB" w:rsidRDefault="007606C7" w:rsidP="007606C7">
      <w:pPr>
        <w:pStyle w:val="ListBullet"/>
      </w:pPr>
      <w:r w:rsidRPr="00BB46CB">
        <w:t>Coastal erosion;</w:t>
      </w:r>
    </w:p>
    <w:p w14:paraId="535C4138" w14:textId="77777777" w:rsidR="007606C7" w:rsidRPr="00BB46CB" w:rsidRDefault="007606C7" w:rsidP="007606C7">
      <w:pPr>
        <w:pStyle w:val="ListBullet"/>
      </w:pPr>
      <w:r w:rsidRPr="00BB46CB">
        <w:t>Noise.</w:t>
      </w:r>
    </w:p>
    <w:p w14:paraId="153EDCD6" w14:textId="77777777" w:rsidR="007606C7" w:rsidRPr="00BB46CB" w:rsidRDefault="007606C7" w:rsidP="007606C7">
      <w:pPr>
        <w:pStyle w:val="BodyText12ptBefore"/>
      </w:pPr>
      <w:r w:rsidRPr="00BB46CB">
        <w:t xml:space="preserve">Worley Parsons (2013) note that parts of Victoria’s coast are intensively used for agriculture, human settlement and industry, which lead to considerable benefits to individuals and society. These benefits have, in effect, been traded off against changes to the coastal ecosystem, resulting in the loss of habitats and the ecosystem services they provide. Specific pressures noted by Worley Parsons (2013) of relevance to the Victorian coastline include loss and/or degradation of seagrass, mangrove and other important habitats and associated plant and animal populations over preceding decades due to increasing land use and coastal development, habitat fragmentation, river catchment modification, pollution in the form of excessive nutrients or toxicants, introduced species (predators and weeds) and overfishing. In addition to these local and regional pressures, the predicted effects of climate change are likely to cause global changes to coastal and marine ecosystems. </w:t>
      </w:r>
    </w:p>
    <w:p w14:paraId="27AAA8E7" w14:textId="77777777" w:rsidR="007606C7" w:rsidRPr="00BB46CB" w:rsidRDefault="007606C7" w:rsidP="007606C7">
      <w:pPr>
        <w:pStyle w:val="BodyText"/>
      </w:pPr>
      <w:r w:rsidRPr="00BB46CB">
        <w:t xml:space="preserve">Many of these changes to the natural environment are the inadvertent result of human use of ecosystem services (e.g., pollution assimilation by water bodies), often in parts of the catchment distant from where the effects are felt. Quantifying the cause and effect relationships between human activities and their impact on ecosystem services, particularly where the effects of the activity are separated from the activity in space and/or time is the key challenge in adopting a sustainable decision approach for the Victorian coast. </w:t>
      </w:r>
    </w:p>
    <w:p w14:paraId="591E715F" w14:textId="77777777" w:rsidR="007606C7" w:rsidRPr="00BB46CB" w:rsidRDefault="007606C7" w:rsidP="007606C7">
      <w:pPr>
        <w:pStyle w:val="BodyText"/>
      </w:pPr>
      <w:r w:rsidRPr="00BB46CB">
        <w:t xml:space="preserve">Traditional decision making frameworks have been unable to encompass such interactions (e.g., across a catchment), nor have they allowed for a full assessment of the trade-offs that are sometimes inherent in the use of the natural environment for human benefit. As a result, the value of ecosystem services that is being traded off in pursuit of commercial gain is not captured and decisions are made on partial information about costs and benefit to society. Non-market valuation methods can be used to estimate the economic value ($) of non-commercial activities. By quantifying the value of all of the ecosystem services that are at risk of being lost, comprehensive trade-off decisions can be taken on the basis of full information about </w:t>
      </w:r>
      <w:r w:rsidRPr="00BB46CB">
        <w:rPr>
          <w:i/>
        </w:rPr>
        <w:t>all</w:t>
      </w:r>
      <w:r w:rsidRPr="00BB46CB">
        <w:t xml:space="preserve"> economic values, not just those associated with commercial interests (Worley Parsons, 2013). </w:t>
      </w:r>
    </w:p>
    <w:p w14:paraId="7FF01FFA" w14:textId="77777777" w:rsidR="007606C7" w:rsidRPr="00BB46CB" w:rsidRDefault="007606C7" w:rsidP="007606C7">
      <w:pPr>
        <w:pStyle w:val="BodyText"/>
      </w:pPr>
      <w:r w:rsidRPr="00BB46CB">
        <w:t>The URS (2007) study into the value of Victoria’s coast describes the following pressures</w:t>
      </w:r>
      <w:r w:rsidRPr="00BB46CB">
        <w:rPr>
          <w:vertAlign w:val="superscript"/>
        </w:rPr>
        <w:footnoteReference w:id="82"/>
      </w:r>
      <w:r w:rsidRPr="00BB46CB">
        <w:t>: population shift to the coast leading to population pressure and urban expansion; expansion of resource-based industries including petroleum industries, port facilities, wind farms, forest plantations; aquaculture, geo-sequestration of CO</w:t>
      </w:r>
      <w:r w:rsidRPr="00BB46CB">
        <w:rPr>
          <w:vertAlign w:val="subscript"/>
        </w:rPr>
        <w:t>2</w:t>
      </w:r>
      <w:r w:rsidRPr="00BB46CB">
        <w:t xml:space="preserve">; growing demand for the regions agricultural produce and for "hobby farms"; drought and higher, more reliable rainfall leading to potential increases in agricultural and forestry practices. </w:t>
      </w:r>
    </w:p>
    <w:p w14:paraId="3A07AB30" w14:textId="77777777" w:rsidR="007606C7" w:rsidRPr="00BB46CB" w:rsidRDefault="007606C7" w:rsidP="007606C7">
      <w:pPr>
        <w:pStyle w:val="BodyText"/>
      </w:pPr>
      <w:r w:rsidRPr="00BB46CB">
        <w:t xml:space="preserve">A qualitative / descriptive “sustainability assessment” (see Arena et al, 2015) could be a simple way to summarise pressures on the status and productivity of ecosystem assets within the GOR Coast and Parks area. Alternatively, the DPSIR framework (see Waite et al, 2014) provides a systematic and internationally accepted framework to assess pressures on ecosystem asset status (ecosystems, habitats and species) and changes in productivity (i.e., provision of socio-economic benefits) in the GORCAP EEA. </w:t>
      </w:r>
    </w:p>
    <w:p w14:paraId="533F2388" w14:textId="77777777" w:rsidR="007606C7" w:rsidRPr="00BB46CB" w:rsidRDefault="007606C7" w:rsidP="007606C7">
      <w:pPr>
        <w:pStyle w:val="BodyText"/>
      </w:pPr>
      <w:r w:rsidRPr="00BB46CB">
        <w:t xml:space="preserve">The Drivers, Pressure, State, Impact, Response (DPSIR) framework has been used by the European Environment Agency and the United States Environmental Protection Agency amongst others (Waite et al, 2014) to describe the multiple causal biophysical links between pressures and impacts on ecosystems. The DPSIR framework is a complementary framework to environmental-economic accounts insofar as it assess </w:t>
      </w:r>
      <w:r w:rsidRPr="00BB46CB">
        <w:lastRenderedPageBreak/>
        <w:t>pressures (e.g., invasive species) on the status of an ecosystem asset stock and the associated change in ecosystem service flows (DELWP, 2016).</w:t>
      </w:r>
    </w:p>
    <w:p w14:paraId="3843031B" w14:textId="77777777" w:rsidR="007606C7" w:rsidRDefault="007606C7" w:rsidP="007606C7">
      <w:pPr>
        <w:pStyle w:val="BodyText"/>
      </w:pPr>
      <w:r w:rsidRPr="00BB46CB">
        <w:t>The DPSIR framework is best suited to situations where there are clear and distinct drivers of change that need to be considered, such as increased tourism (Waite et al, 2014). The DPSIR approach allows stakeholders to think through how drivers and pressures cause changes in the natural environment, what the potential impacts are, and what responses (such as a policy change) could reduce or eliminate the impacts or improve ecosystem condition. See Box 3 for an example of the application of the DSPIR framework (Waite et al, 2014).</w:t>
      </w:r>
    </w:p>
    <w:tbl>
      <w:tblPr>
        <w:tblStyle w:val="LogoPlaceholder"/>
        <w:tblW w:w="5000" w:type="pct"/>
        <w:tblBorders>
          <w:top w:val="single" w:sz="18" w:space="0" w:color="004C97" w:themeColor="accent1"/>
          <w:left w:val="single" w:sz="18" w:space="0" w:color="004C97" w:themeColor="accent1"/>
          <w:bottom w:val="single" w:sz="18" w:space="0" w:color="004C97" w:themeColor="accent1"/>
          <w:right w:val="single" w:sz="18" w:space="0" w:color="004C97" w:themeColor="accent1"/>
        </w:tblBorders>
        <w:shd w:val="clear" w:color="auto" w:fill="E7F7F8" w:themeFill="accent2" w:themeFillTint="33"/>
        <w:tblLook w:val="04A0" w:firstRow="1" w:lastRow="0" w:firstColumn="1" w:lastColumn="0" w:noHBand="0" w:noVBand="1"/>
      </w:tblPr>
      <w:tblGrid>
        <w:gridCol w:w="9593"/>
      </w:tblGrid>
      <w:tr w:rsidR="00707038" w14:paraId="7BD5665B" w14:textId="77777777" w:rsidTr="004D3FC0">
        <w:tc>
          <w:tcPr>
            <w:tcW w:w="4704" w:type="pct"/>
            <w:shd w:val="clear" w:color="auto" w:fill="E7F7F8" w:themeFill="accent2" w:themeFillTint="33"/>
          </w:tcPr>
          <w:p w14:paraId="7D26A798" w14:textId="77777777" w:rsidR="00707038" w:rsidRPr="00C3435F" w:rsidRDefault="00707038" w:rsidP="004D3FC0">
            <w:pPr>
              <w:pStyle w:val="TableTextLeftBold"/>
            </w:pPr>
            <w:r w:rsidRPr="00C3435F">
              <w:t xml:space="preserve">Box 3. Example of the Drivers, Pressure, State, Impact, Response (DPSIR) framework (Waite et al, 2014)  </w:t>
            </w:r>
          </w:p>
          <w:p w14:paraId="4EF879EA" w14:textId="77777777" w:rsidR="00707038" w:rsidRPr="00BB46CB" w:rsidRDefault="00707038" w:rsidP="00707038">
            <w:pPr>
              <w:pStyle w:val="TableTextBullet"/>
            </w:pPr>
            <w:r>
              <w:rPr>
                <w:b/>
              </w:rPr>
              <w:t>D</w:t>
            </w:r>
            <w:r w:rsidRPr="00BB46CB">
              <w:rPr>
                <w:b/>
              </w:rPr>
              <w:t>river:</w:t>
            </w:r>
            <w:r w:rsidRPr="00BB46CB">
              <w:t xml:space="preserve"> the underlying policy question that is driving the issue is “How to further develop tourism and housing on the island sustainably, without degrading coastal ecosystems?”</w:t>
            </w:r>
          </w:p>
          <w:p w14:paraId="2D69DE0D" w14:textId="77777777" w:rsidR="00707038" w:rsidRPr="00BB46CB" w:rsidRDefault="00707038" w:rsidP="00707038">
            <w:pPr>
              <w:pStyle w:val="TableTextBullet"/>
            </w:pPr>
            <w:r w:rsidRPr="00BB46CB">
              <w:rPr>
                <w:b/>
              </w:rPr>
              <w:t>Pressure:</w:t>
            </w:r>
            <w:r w:rsidRPr="00BB46CB">
              <w:t xml:space="preserve"> the key pressure associated with this issue is from development, specifically an increased demand for housing (local and retiree) and increased demand for tourist accommodation.</w:t>
            </w:r>
          </w:p>
          <w:p w14:paraId="51785C9B" w14:textId="77777777" w:rsidR="00707038" w:rsidRPr="00BB46CB" w:rsidRDefault="00707038" w:rsidP="00707038">
            <w:pPr>
              <w:pStyle w:val="TableTextBullet"/>
            </w:pPr>
            <w:r w:rsidRPr="00BB46CB">
              <w:rPr>
                <w:b/>
              </w:rPr>
              <w:t>State:</w:t>
            </w:r>
            <w:r w:rsidRPr="00BB46CB">
              <w:t xml:space="preserve"> the issue will potentially lead to a change in state of the environment if land is cleared for development (lowland and/or upland) leading to potential loss in mangrove area, runoff of sediment from roads and upland development and increased sewage. </w:t>
            </w:r>
          </w:p>
          <w:p w14:paraId="118595E1" w14:textId="77777777" w:rsidR="00707038" w:rsidRPr="00BB46CB" w:rsidRDefault="00707038" w:rsidP="00707038">
            <w:pPr>
              <w:pStyle w:val="TableTextBullet"/>
            </w:pPr>
            <w:r w:rsidRPr="00BB46CB">
              <w:rPr>
                <w:b/>
              </w:rPr>
              <w:t>Impact:</w:t>
            </w:r>
            <w:r w:rsidRPr="00BB46CB">
              <w:t xml:space="preserve"> the change in environmental status could lead to is soil erosion (loss from uplands), increased sediment and nutrients in coastal water, coral degradation, diminished storm protection by reefs and mangroves, increased beach erosion, increased coastal flooding and increased employment. </w:t>
            </w:r>
          </w:p>
          <w:p w14:paraId="4CD39DF9" w14:textId="77777777" w:rsidR="00707038" w:rsidRPr="00BB46CB" w:rsidRDefault="00707038" w:rsidP="00707038">
            <w:pPr>
              <w:pStyle w:val="TableTextBullet"/>
            </w:pPr>
            <w:r w:rsidRPr="00BB46CB">
              <w:rPr>
                <w:b/>
              </w:rPr>
              <w:t>Response</w:t>
            </w:r>
            <w:r w:rsidRPr="00BB46CB">
              <w:t>: possible responses to the issue include:</w:t>
            </w:r>
          </w:p>
          <w:p w14:paraId="6D602D00" w14:textId="77777777" w:rsidR="00707038" w:rsidRPr="00BB46CB" w:rsidRDefault="00707038" w:rsidP="00707038">
            <w:pPr>
              <w:pStyle w:val="TableTextBullet2"/>
              <w:rPr>
                <w:b/>
              </w:rPr>
            </w:pPr>
            <w:r w:rsidRPr="00BB46CB">
              <w:t>Coastal zoning: Restrict removal of coastal mangroves and establish a coastal development setback;</w:t>
            </w:r>
          </w:p>
          <w:p w14:paraId="1DAB4726" w14:textId="77777777" w:rsidR="00707038" w:rsidRPr="00BB46CB" w:rsidRDefault="00707038" w:rsidP="00707038">
            <w:pPr>
              <w:pStyle w:val="TableTextBullet2"/>
              <w:rPr>
                <w:b/>
              </w:rPr>
            </w:pPr>
            <w:r w:rsidRPr="00BB46CB">
              <w:t>Land management: Establish and enforce strict controls on upland development (maximum slope and controls on erosion, such as sediment traps);</w:t>
            </w:r>
          </w:p>
          <w:p w14:paraId="4ED530BB" w14:textId="77777777" w:rsidR="00707038" w:rsidRPr="00BB46CB" w:rsidRDefault="00707038" w:rsidP="00707038">
            <w:pPr>
              <w:pStyle w:val="TableTextBullet2"/>
              <w:rPr>
                <w:b/>
              </w:rPr>
            </w:pPr>
            <w:r w:rsidRPr="00BB46CB">
              <w:t>Nutrient Control: Require sewage treatment for all new developments; improve treatment of existing sources;</w:t>
            </w:r>
          </w:p>
          <w:p w14:paraId="32943C2D" w14:textId="0B56F301" w:rsidR="00707038" w:rsidRDefault="00707038" w:rsidP="00707038">
            <w:pPr>
              <w:pStyle w:val="TableTextBullet2"/>
            </w:pPr>
            <w:r w:rsidRPr="00BB46CB">
              <w:t>Incentives: Provide economic incentives for smaller, high-end, eco-friendly or “green” tourist accommodation versus mass tourism development (quality over quantity).</w:t>
            </w:r>
          </w:p>
        </w:tc>
      </w:tr>
    </w:tbl>
    <w:p w14:paraId="6CD0516D" w14:textId="77777777" w:rsidR="007606C7" w:rsidRPr="00707038" w:rsidRDefault="007606C7" w:rsidP="00707038">
      <w:pPr>
        <w:pStyle w:val="BodyText12ptBefore"/>
      </w:pPr>
      <w:r w:rsidRPr="00707038">
        <w:t xml:space="preserve">A list of data and evidence to inform the scope of pressures that could be included in a future assessment in conjunction with the data in the GORCAP EEA is set out in Annex 13. </w:t>
      </w:r>
    </w:p>
    <w:p w14:paraId="0ED0AECC" w14:textId="77777777" w:rsidR="007606C7" w:rsidRPr="00BB46CB" w:rsidRDefault="007606C7" w:rsidP="007606C7">
      <w:pPr>
        <w:pStyle w:val="BodyText"/>
        <w:sectPr w:rsidR="007606C7" w:rsidRPr="00BB46CB" w:rsidSect="00E52A9A">
          <w:type w:val="continuous"/>
          <w:pgSz w:w="11907" w:h="16840" w:code="9"/>
          <w:pgMar w:top="1134" w:right="1134" w:bottom="1134" w:left="1134" w:header="283" w:footer="283" w:gutter="0"/>
          <w:cols w:space="284"/>
          <w:docGrid w:linePitch="360"/>
        </w:sectPr>
      </w:pPr>
    </w:p>
    <w:p w14:paraId="76CE86AC" w14:textId="77777777" w:rsidR="007606C7" w:rsidRPr="00BB46CB" w:rsidRDefault="007606C7" w:rsidP="0004232F">
      <w:pPr>
        <w:pStyle w:val="Heading1"/>
      </w:pPr>
      <w:bookmarkStart w:id="414" w:name="_Toc98854710"/>
      <w:bookmarkStart w:id="415" w:name="_Toc163547096"/>
      <w:r w:rsidRPr="00BB46CB">
        <w:lastRenderedPageBreak/>
        <w:t>References</w:t>
      </w:r>
      <w:bookmarkEnd w:id="414"/>
      <w:bookmarkEnd w:id="415"/>
    </w:p>
    <w:p w14:paraId="6C116805" w14:textId="77777777" w:rsidR="007606C7" w:rsidRPr="00BB46CB" w:rsidRDefault="007606C7" w:rsidP="007606C7">
      <w:pPr>
        <w:pStyle w:val="BodyText"/>
      </w:pPr>
      <w:r w:rsidRPr="00BB46CB">
        <w:t>ABS (2012) Catalogue 4177.0 - Participation in Sport and Physical Recreation, Australia, 2011-12</w:t>
      </w:r>
    </w:p>
    <w:p w14:paraId="72D08B9D" w14:textId="44E33B17" w:rsidR="007606C7" w:rsidRPr="00BB46CB" w:rsidRDefault="007606C7" w:rsidP="007606C7">
      <w:pPr>
        <w:pStyle w:val="BodyText"/>
        <w:rPr>
          <w:rFonts w:eastAsia="Calibri"/>
          <w:u w:val="single"/>
        </w:rPr>
      </w:pPr>
      <w:r w:rsidRPr="00BB46CB">
        <w:t xml:space="preserve">ABS Agricultural Commodities, Australia, 2017-18 </w:t>
      </w:r>
      <w:r w:rsidRPr="00BB46CB">
        <w:rPr>
          <w:rFonts w:eastAsia="Calibri"/>
        </w:rPr>
        <w:t xml:space="preserve">[Available Online: </w:t>
      </w:r>
      <w:hyperlink r:id="rId272" w:history="1">
        <w:r w:rsidRPr="00BB46CB">
          <w:rPr>
            <w:rStyle w:val="Hyperlink"/>
            <w:rFonts w:eastAsia="Calibri"/>
          </w:rPr>
          <w:t>https://www.abs.gov.au/statistics/industry/agriculture/agricultural-commodities-australia/2017-18/71210do001_201718.xls</w:t>
        </w:r>
      </w:hyperlink>
      <w:r w:rsidRPr="00BB46CB">
        <w:rPr>
          <w:rFonts w:eastAsia="Calibri"/>
          <w:u w:val="single"/>
        </w:rPr>
        <w:t>]</w:t>
      </w:r>
    </w:p>
    <w:p w14:paraId="4588F35B" w14:textId="3AE9ABB2" w:rsidR="007606C7" w:rsidRPr="00BB46CB" w:rsidRDefault="007606C7" w:rsidP="007606C7">
      <w:pPr>
        <w:pStyle w:val="BodyText"/>
        <w:rPr>
          <w:rFonts w:eastAsia="Calibri"/>
        </w:rPr>
      </w:pPr>
      <w:r w:rsidRPr="00BB46CB">
        <w:rPr>
          <w:rFonts w:eastAsia="Calibri"/>
        </w:rPr>
        <w:t xml:space="preserve">ABS (2020a) Value of Agricultural commodities, Australia - 2018-19 [Available Online: </w:t>
      </w:r>
      <w:hyperlink r:id="rId273" w:history="1">
        <w:r w:rsidRPr="00BB46CB">
          <w:rPr>
            <w:rStyle w:val="Hyperlink"/>
            <w:rFonts w:eastAsia="Calibri"/>
          </w:rPr>
          <w:t>Value of Agricultural Commodities Produced, Australia, 2018-19 financial year | Australian Bureau of Statistics (abs.gov.au)</w:t>
        </w:r>
      </w:hyperlink>
      <w:r w:rsidRPr="00BB46CB">
        <w:rPr>
          <w:rFonts w:eastAsia="Calibri"/>
        </w:rPr>
        <w:t>]</w:t>
      </w:r>
    </w:p>
    <w:p w14:paraId="31ECC480" w14:textId="309A5196" w:rsidR="007606C7" w:rsidRPr="00BB46CB" w:rsidRDefault="007606C7" w:rsidP="007606C7">
      <w:pPr>
        <w:pStyle w:val="BodyText"/>
        <w:rPr>
          <w:rFonts w:eastAsia="Calibri"/>
        </w:rPr>
      </w:pPr>
      <w:r w:rsidRPr="00BB46CB">
        <w:rPr>
          <w:rFonts w:eastAsia="Calibri"/>
        </w:rPr>
        <w:t xml:space="preserve">ABS (2020b) Agricultural commodities, Australia - 2018-19 [Available Online: </w:t>
      </w:r>
      <w:hyperlink r:id="rId274" w:history="1">
        <w:r w:rsidRPr="00BB46CB">
          <w:rPr>
            <w:rStyle w:val="Hyperlink"/>
            <w:rFonts w:eastAsia="Calibri"/>
          </w:rPr>
          <w:t>Agricultural Commodities, Australia, 2018-19 financial year | Australian Bureau of Statistics (abs.gov.au)</w:t>
        </w:r>
      </w:hyperlink>
      <w:r w:rsidRPr="00BB46CB">
        <w:rPr>
          <w:rFonts w:eastAsia="Calibri"/>
        </w:rPr>
        <w:t>]</w:t>
      </w:r>
    </w:p>
    <w:p w14:paraId="633B1F31" w14:textId="77777777" w:rsidR="007606C7" w:rsidRPr="00BB46CB" w:rsidRDefault="007606C7" w:rsidP="007606C7">
      <w:pPr>
        <w:pStyle w:val="BodyText"/>
      </w:pPr>
      <w:r w:rsidRPr="00BB46CB">
        <w:t>ABS (2000) Unpaid Work and the Australian Economy</w:t>
      </w:r>
    </w:p>
    <w:p w14:paraId="6E287995" w14:textId="77777777" w:rsidR="007606C7" w:rsidRPr="00BB46CB" w:rsidRDefault="007606C7" w:rsidP="007606C7">
      <w:pPr>
        <w:pStyle w:val="BodyText"/>
      </w:pPr>
      <w:r w:rsidRPr="00BB46CB">
        <w:t xml:space="preserve">Australian Bureau of Agricultural and Resource Economics and Sciences (ABARES), Australian forest and wood product statistics, accessed October 2019 at http://www.agriculture.gov.au/abares/forestsaustralia/australian-forest-and-wood-products-statistics  </w:t>
      </w:r>
    </w:p>
    <w:p w14:paraId="21CD40B7" w14:textId="3BA2A873" w:rsidR="007606C7" w:rsidRPr="00BB46CB" w:rsidRDefault="007606C7" w:rsidP="007606C7">
      <w:pPr>
        <w:pStyle w:val="BodyText"/>
        <w:rPr>
          <w:rFonts w:eastAsia="Calibri"/>
        </w:rPr>
      </w:pPr>
      <w:r w:rsidRPr="00BB46CB">
        <w:t>ABARES (2020)</w:t>
      </w:r>
      <w:r w:rsidRPr="00BB46CB">
        <w:rPr>
          <w:rFonts w:eastAsia="Calibri"/>
        </w:rPr>
        <w:t xml:space="preserve"> </w:t>
      </w:r>
      <w:r w:rsidRPr="00BB46CB">
        <w:t xml:space="preserve">About my region – Victoria - Department of Agriculture [Available online: </w:t>
      </w:r>
      <w:hyperlink r:id="rId275" w:anchor="agricultural-sector" w:history="1">
        <w:r w:rsidRPr="00BB46CB">
          <w:rPr>
            <w:rStyle w:val="Hyperlink"/>
            <w:rFonts w:eastAsia="Calibri"/>
          </w:rPr>
          <w:t>About my region – Victoria - Department of Agriculture</w:t>
        </w:r>
      </w:hyperlink>
      <w:r w:rsidRPr="00BB46CB">
        <w:rPr>
          <w:rFonts w:eastAsia="Calibri"/>
          <w:u w:val="single"/>
        </w:rPr>
        <w:t>]</w:t>
      </w:r>
    </w:p>
    <w:p w14:paraId="5A38826C" w14:textId="77777777" w:rsidR="007606C7" w:rsidRPr="00BB46CB" w:rsidRDefault="007606C7" w:rsidP="007606C7">
      <w:pPr>
        <w:pStyle w:val="BodyText"/>
      </w:pPr>
      <w:r w:rsidRPr="00BB46CB">
        <w:t>AECOM (2015) Developing environmental-economic accounts for Protected Areas in England and Scotland</w:t>
      </w:r>
    </w:p>
    <w:p w14:paraId="44F05030" w14:textId="77777777" w:rsidR="007606C7" w:rsidRPr="00BB46CB" w:rsidRDefault="007606C7" w:rsidP="007606C7">
      <w:pPr>
        <w:pStyle w:val="BodyText"/>
      </w:pPr>
      <w:r w:rsidRPr="00BB46CB">
        <w:t xml:space="preserve">Aither (2015) </w:t>
      </w:r>
      <w:r w:rsidRPr="00BB46CB">
        <w:rPr>
          <w:i/>
        </w:rPr>
        <w:t>Valuing externalities for integrated water cycle management planning</w:t>
      </w:r>
      <w:r w:rsidRPr="00BB46CB">
        <w:t>, p. 33.</w:t>
      </w:r>
    </w:p>
    <w:p w14:paraId="52410AF1" w14:textId="77777777" w:rsidR="007606C7" w:rsidRPr="00BB46CB" w:rsidRDefault="007606C7" w:rsidP="007606C7">
      <w:pPr>
        <w:pStyle w:val="BodyText"/>
      </w:pPr>
      <w:r w:rsidRPr="00BB46CB">
        <w:t xml:space="preserve">Arena, M., </w:t>
      </w:r>
      <w:proofErr w:type="spellStart"/>
      <w:r w:rsidRPr="00BB46CB">
        <w:t>Salcone</w:t>
      </w:r>
      <w:proofErr w:type="spellEnd"/>
      <w:r w:rsidRPr="00BB46CB">
        <w:t>, J., Leport, G., Pascal, N., Fernandes, L., Brander, L., Wendt, H. (2015) National Marine Ecosystem Service Valuation: Solomon Islands</w:t>
      </w:r>
    </w:p>
    <w:p w14:paraId="244DA0A9" w14:textId="77777777" w:rsidR="007606C7" w:rsidRPr="00BB46CB" w:rsidRDefault="007606C7" w:rsidP="007606C7">
      <w:pPr>
        <w:pStyle w:val="BodyText"/>
      </w:pPr>
      <w:r w:rsidRPr="00BB46CB">
        <w:t xml:space="preserve">Arkema KK, </w:t>
      </w:r>
      <w:proofErr w:type="spellStart"/>
      <w:r w:rsidRPr="00BB46CB">
        <w:t>Guannel</w:t>
      </w:r>
      <w:proofErr w:type="spellEnd"/>
      <w:r w:rsidRPr="00BB46CB">
        <w:t xml:space="preserve"> G, </w:t>
      </w:r>
      <w:proofErr w:type="spellStart"/>
      <w:r w:rsidRPr="00BB46CB">
        <w:t>Verutes</w:t>
      </w:r>
      <w:proofErr w:type="spellEnd"/>
      <w:r w:rsidRPr="00BB46CB">
        <w:t xml:space="preserve"> G, Wood SA, Guerry A, Ruckelshaus M, et al. 2013. Coastal habitats shield people and property from sea-level rise and storms. Nature Climate Change 3: 913–918. [Available Online: Arkema et al 2013_Nature Climate Change.pdf (conservationgateway.org)]</w:t>
      </w:r>
    </w:p>
    <w:p w14:paraId="51193674" w14:textId="77777777" w:rsidR="007606C7" w:rsidRPr="00BB46CB" w:rsidRDefault="007606C7" w:rsidP="007606C7">
      <w:pPr>
        <w:pStyle w:val="BodyText"/>
      </w:pPr>
      <w:r w:rsidRPr="00BB46CB">
        <w:t>Aurecon (2018) AV / ZEV Environmental &amp; Health Impact Assessment</w:t>
      </w:r>
    </w:p>
    <w:p w14:paraId="4F4AEFC8" w14:textId="2989EF21" w:rsidR="007606C7" w:rsidRPr="00BB46CB" w:rsidRDefault="007606C7" w:rsidP="007606C7">
      <w:pPr>
        <w:pStyle w:val="BodyText"/>
      </w:pPr>
      <w:r w:rsidRPr="00BB46CB">
        <w:t xml:space="preserve">Australian Camping Association’s Prices and Occupancy Survey Report 2016-17 (2018) [Available Online: </w:t>
      </w:r>
      <w:hyperlink r:id="rId276" w:history="1">
        <w:r w:rsidRPr="00BB46CB">
          <w:rPr>
            <w:rStyle w:val="Hyperlink"/>
          </w:rPr>
          <w:t>PandO_1617FY_Survey_Report_Final.pdf (auscamps.asn.au)</w:t>
        </w:r>
      </w:hyperlink>
      <w:r w:rsidRPr="00BB46CB">
        <w:t>]</w:t>
      </w:r>
    </w:p>
    <w:p w14:paraId="08DDBE3A" w14:textId="553DA273" w:rsidR="007606C7" w:rsidRPr="00BB46CB" w:rsidRDefault="007606C7" w:rsidP="007606C7">
      <w:pPr>
        <w:pStyle w:val="BodyText"/>
        <w:rPr>
          <w:u w:val="single"/>
        </w:rPr>
      </w:pPr>
      <w:r w:rsidRPr="00BB46CB">
        <w:t xml:space="preserve">Australian Institute of Health and Welfare (2020) Health expenditure Australia 2018–19. Health and welfare expenditure series no.66. Cat. no. HWE 80. Canberra: AIHW. </w:t>
      </w:r>
      <w:hyperlink r:id="rId277" w:history="1">
        <w:r w:rsidRPr="00BB46CB">
          <w:rPr>
            <w:rStyle w:val="Hyperlink"/>
          </w:rPr>
          <w:t>Health expenditure Australia 2018-19 (aihw.gov.au)</w:t>
        </w:r>
      </w:hyperlink>
    </w:p>
    <w:p w14:paraId="3DD76022" w14:textId="77777777" w:rsidR="007606C7" w:rsidRPr="00BB46CB" w:rsidRDefault="007606C7" w:rsidP="007606C7">
      <w:pPr>
        <w:pStyle w:val="BodyText"/>
      </w:pPr>
      <w:r w:rsidRPr="00BB46CB">
        <w:t>AW Maritime (2021) Coastal Protection Asset Condition Data Collection. Data Appendix B</w:t>
      </w:r>
    </w:p>
    <w:p w14:paraId="0A8FC083" w14:textId="3A397A89" w:rsidR="007606C7" w:rsidRPr="00BB46CB" w:rsidRDefault="007606C7" w:rsidP="007606C7">
      <w:pPr>
        <w:pStyle w:val="BodyText"/>
      </w:pPr>
      <w:r w:rsidRPr="00BB46CB">
        <w:t xml:space="preserve">Barton D.N., </w:t>
      </w:r>
      <w:proofErr w:type="spellStart"/>
      <w:r w:rsidRPr="00BB46CB">
        <w:t>Caparrós</w:t>
      </w:r>
      <w:proofErr w:type="spellEnd"/>
      <w:r w:rsidRPr="00BB46CB">
        <w:t xml:space="preserve"> A., Conner N., Edens B., Piaggio M., </w:t>
      </w:r>
      <w:proofErr w:type="spellStart"/>
      <w:r w:rsidRPr="00BB46CB">
        <w:t>Turpie</w:t>
      </w:r>
      <w:proofErr w:type="spellEnd"/>
      <w:r w:rsidRPr="00BB46CB">
        <w:t xml:space="preserve"> J. (2019). Discussion paper 5.1: Defining exchange and welfare values, articulating institutional arrangements and establishing the valuation context for environmental-economic accounting. Paper drafted as input into the revision of the System on Environmental-Economic Accounting 2012– Experimental Environmental-economic accounting. Version of 25 July 2019. </w:t>
      </w:r>
      <w:hyperlink r:id="rId278" w:history="1">
        <w:r w:rsidRPr="00BB46CB">
          <w:rPr>
            <w:rStyle w:val="Hyperlink"/>
          </w:rPr>
          <w:t>https://seea.un.org/sites/seea.un.org/files/documents/EEA/discussion_paper_5.1_defining_values_for_erg_aug_2019.pdf</w:t>
        </w:r>
      </w:hyperlink>
      <w:r w:rsidRPr="00BB46CB">
        <w:t xml:space="preserve"> </w:t>
      </w:r>
    </w:p>
    <w:p w14:paraId="47D911FE" w14:textId="77777777" w:rsidR="007606C7" w:rsidRPr="00BB46CB" w:rsidRDefault="007606C7" w:rsidP="007606C7">
      <w:pPr>
        <w:pStyle w:val="BodyText"/>
      </w:pPr>
      <w:r w:rsidRPr="00BB46CB">
        <w:t>BDA Group (2015) Valuing the benefits of Victorian waterway management</w:t>
      </w:r>
    </w:p>
    <w:p w14:paraId="6D942426" w14:textId="77777777" w:rsidR="007606C7" w:rsidRPr="00BB46CB" w:rsidRDefault="007606C7" w:rsidP="007606C7">
      <w:pPr>
        <w:pStyle w:val="BodyText"/>
      </w:pPr>
      <w:r w:rsidRPr="00BB46CB">
        <w:t xml:space="preserve">Blandon, A. and </w:t>
      </w:r>
      <w:proofErr w:type="spellStart"/>
      <w:r w:rsidRPr="00BB46CB">
        <w:t>zu</w:t>
      </w:r>
      <w:proofErr w:type="spellEnd"/>
      <w:r w:rsidRPr="00BB46CB">
        <w:t xml:space="preserve"> </w:t>
      </w:r>
      <w:proofErr w:type="spellStart"/>
      <w:r w:rsidRPr="00BB46CB">
        <w:t>Ermgassen</w:t>
      </w:r>
      <w:proofErr w:type="spellEnd"/>
      <w:r w:rsidRPr="00BB46CB">
        <w:t xml:space="preserve"> P.S.E. (2014) Quantitative estimate of commercial fish enhancement by seagrass habitat in southern Australia. </w:t>
      </w:r>
      <w:r w:rsidRPr="00BB46CB">
        <w:rPr>
          <w:i/>
        </w:rPr>
        <w:t xml:space="preserve">Estuarine, Coastal and Shelf Science 141, </w:t>
      </w:r>
      <w:r w:rsidRPr="00BB46CB">
        <w:t xml:space="preserve">pp.1-8.  </w:t>
      </w:r>
    </w:p>
    <w:p w14:paraId="673BAEB4" w14:textId="77777777" w:rsidR="007606C7" w:rsidRPr="00BB46CB" w:rsidRDefault="007606C7" w:rsidP="007606C7">
      <w:pPr>
        <w:pStyle w:val="BodyText"/>
        <w:rPr>
          <w:rFonts w:eastAsia="Calibri"/>
        </w:rPr>
      </w:pPr>
      <w:r w:rsidRPr="00BB46CB">
        <w:rPr>
          <w:rFonts w:eastAsia="Calibri"/>
        </w:rPr>
        <w:t xml:space="preserve">Blandon and </w:t>
      </w:r>
      <w:proofErr w:type="spellStart"/>
      <w:r w:rsidRPr="00BB46CB">
        <w:rPr>
          <w:rFonts w:eastAsia="Calibri"/>
        </w:rPr>
        <w:t>zu</w:t>
      </w:r>
      <w:proofErr w:type="spellEnd"/>
      <w:r w:rsidRPr="00BB46CB">
        <w:rPr>
          <w:rFonts w:eastAsia="Calibri"/>
        </w:rPr>
        <w:t xml:space="preserve"> </w:t>
      </w:r>
      <w:proofErr w:type="spellStart"/>
      <w:r w:rsidRPr="00BB46CB">
        <w:rPr>
          <w:rFonts w:eastAsia="Calibri"/>
        </w:rPr>
        <w:t>Ermgassen</w:t>
      </w:r>
      <w:proofErr w:type="spellEnd"/>
      <w:r w:rsidRPr="00BB46CB">
        <w:rPr>
          <w:rFonts w:eastAsia="Calibri"/>
        </w:rPr>
        <w:t xml:space="preserve">  (2014) Corrigendum to </w:t>
      </w:r>
      <w:r w:rsidRPr="00BB46CB">
        <w:t xml:space="preserve">Quantitative estimate of commercial fish enhancement by seagrass habitat in southern Australia. </w:t>
      </w:r>
      <w:r w:rsidRPr="00BB46CB">
        <w:rPr>
          <w:i/>
        </w:rPr>
        <w:t xml:space="preserve">Estuarine, Coastal and Shelf Science 141, </w:t>
      </w:r>
      <w:r w:rsidRPr="00BB46CB">
        <w:t xml:space="preserve">pp.1-8.  </w:t>
      </w:r>
    </w:p>
    <w:p w14:paraId="77AA149E" w14:textId="13A15E98" w:rsidR="007606C7" w:rsidRPr="00BB46CB" w:rsidRDefault="007606C7" w:rsidP="007606C7">
      <w:pPr>
        <w:pStyle w:val="BodyText"/>
      </w:pPr>
      <w:r w:rsidRPr="00BB46CB">
        <w:t xml:space="preserve">Bordt (2019) SEEA 2019 Forum of Experts in SEEA Experimental Environmental-economic accounting, 26-27 June 2019, Glen Cove, NY. Session paper Session 5b: Marine areas. Concept note for session 5b on marine areas [Available Online: </w:t>
      </w:r>
      <w:hyperlink r:id="rId279" w:history="1">
        <w:r w:rsidRPr="00BB46CB">
          <w:rPr>
            <w:rStyle w:val="Hyperlink"/>
          </w:rPr>
          <w:t>https://seea.un.org/sites/seea.un.org/files/forum_2019_concept_note_marine_ecosystems.pdf</w:t>
        </w:r>
      </w:hyperlink>
      <w:r w:rsidRPr="00BB46CB">
        <w:t>]</w:t>
      </w:r>
    </w:p>
    <w:p w14:paraId="52E5DA72" w14:textId="77777777" w:rsidR="007606C7" w:rsidRPr="00BB46CB" w:rsidRDefault="007606C7" w:rsidP="007606C7">
      <w:pPr>
        <w:pStyle w:val="BodyText"/>
      </w:pPr>
      <w:proofErr w:type="spellStart"/>
      <w:r w:rsidRPr="00BB46CB">
        <w:t>Cadilhac</w:t>
      </w:r>
      <w:proofErr w:type="spellEnd"/>
      <w:r w:rsidRPr="00BB46CB">
        <w:t xml:space="preserve"> et al. (2011) The economic benefits of reducing physical inactivity: an Australian example </w:t>
      </w:r>
    </w:p>
    <w:p w14:paraId="56FA3ABA" w14:textId="77777777" w:rsidR="007606C7" w:rsidRPr="00BB46CB" w:rsidRDefault="007606C7" w:rsidP="007606C7">
      <w:pPr>
        <w:pStyle w:val="BodyText"/>
      </w:pPr>
      <w:r w:rsidRPr="00BB46CB">
        <w:t xml:space="preserve">Carnell at </w:t>
      </w:r>
      <w:proofErr w:type="spellStart"/>
      <w:r w:rsidRPr="00BB46CB">
        <w:t>al</w:t>
      </w:r>
      <w:proofErr w:type="spellEnd"/>
      <w:r w:rsidRPr="00BB46CB">
        <w:t xml:space="preserve"> (2015) The Distribution and Abundance of ‘Blue Carbon’ within Corangamite</w:t>
      </w:r>
    </w:p>
    <w:p w14:paraId="58ABE050" w14:textId="77777777" w:rsidR="007606C7" w:rsidRPr="00BB46CB" w:rsidRDefault="007606C7" w:rsidP="007606C7">
      <w:pPr>
        <w:pStyle w:val="BodyText"/>
      </w:pPr>
      <w:r w:rsidRPr="00BB46CB">
        <w:lastRenderedPageBreak/>
        <w:t>Carnell et al (2016) Carbon sequestration by Victorian inland wetlands</w:t>
      </w:r>
    </w:p>
    <w:p w14:paraId="54C948BC" w14:textId="68D26340" w:rsidR="007606C7" w:rsidRPr="00BB46CB" w:rsidRDefault="007606C7" w:rsidP="007606C7">
      <w:pPr>
        <w:pStyle w:val="BodyText"/>
      </w:pPr>
      <w:r w:rsidRPr="00BB46CB">
        <w:t xml:space="preserve">Carnell et al (2019) Mapping Ocean Wealth Australia </w:t>
      </w:r>
      <w:r w:rsidRPr="00BB46CB">
        <w:rPr>
          <w:rFonts w:eastAsia="Calibri"/>
        </w:rPr>
        <w:t xml:space="preserve">[Available Online: </w:t>
      </w:r>
      <w:hyperlink r:id="rId280" w:history="1">
        <w:r w:rsidRPr="00BB46CB">
          <w:rPr>
            <w:rStyle w:val="Hyperlink"/>
            <w:rFonts w:eastAsia="Calibri"/>
          </w:rPr>
          <w:t>https://www.natureaustralia.org.au/content/dam/tnc/nature/en/documents/australia/MOW_Report_Web.pdf</w:t>
        </w:r>
      </w:hyperlink>
      <w:r w:rsidRPr="00BB46CB">
        <w:rPr>
          <w:rFonts w:eastAsia="Calibri"/>
        </w:rPr>
        <w:t>]</w:t>
      </w:r>
    </w:p>
    <w:p w14:paraId="48F82ECF" w14:textId="77777777" w:rsidR="007606C7" w:rsidRPr="00BB46CB" w:rsidRDefault="007606C7" w:rsidP="007606C7">
      <w:pPr>
        <w:pStyle w:val="BodyText"/>
      </w:pPr>
      <w:r w:rsidRPr="00BB46CB">
        <w:t xml:space="preserve">Carnell, P., McLeod, R., Young, M., Gillies, C., Obst, C., </w:t>
      </w:r>
      <w:proofErr w:type="spellStart"/>
      <w:r w:rsidRPr="00BB46CB">
        <w:t>Eigenraam</w:t>
      </w:r>
      <w:proofErr w:type="spellEnd"/>
      <w:r w:rsidRPr="00BB46CB">
        <w:t xml:space="preserve">, M., Macreadie, P.I., Reeves, S., Kelvin, J., Jänes, H., </w:t>
      </w:r>
      <w:proofErr w:type="spellStart"/>
      <w:r w:rsidRPr="00BB46CB">
        <w:t>Ierodiaconou</w:t>
      </w:r>
      <w:proofErr w:type="spellEnd"/>
      <w:r w:rsidRPr="00BB46CB">
        <w:t xml:space="preserve">, D., Nicholson, E. (forthcoming) Prioritising the restoration of marine and coastal ecosystems using environmental-economic accounting: a case study from southeast Australia  </w:t>
      </w:r>
    </w:p>
    <w:p w14:paraId="7428A538" w14:textId="77777777" w:rsidR="007606C7" w:rsidRPr="00BB46CB" w:rsidRDefault="007606C7" w:rsidP="007606C7">
      <w:pPr>
        <w:pStyle w:val="BodyText"/>
      </w:pPr>
      <w:r w:rsidRPr="00BB46CB">
        <w:t>Chen et al (2020) Environmental-economic accounting's potential to support coastal and marine governance</w:t>
      </w:r>
    </w:p>
    <w:p w14:paraId="5657565F" w14:textId="77777777" w:rsidR="007606C7" w:rsidRPr="00BB46CB" w:rsidRDefault="007606C7" w:rsidP="007606C7">
      <w:pPr>
        <w:pStyle w:val="BodyText"/>
      </w:pPr>
      <w:r w:rsidRPr="00BB46CB">
        <w:t>Clare Scott Planning (2019) Great Ocean Road Region Landscape Assessment Review Stage 1: Scoping</w:t>
      </w:r>
    </w:p>
    <w:p w14:paraId="6F994C42" w14:textId="44AB875F" w:rsidR="007606C7" w:rsidRPr="00BB46CB" w:rsidRDefault="007606C7" w:rsidP="007606C7">
      <w:pPr>
        <w:pStyle w:val="BodyText"/>
      </w:pPr>
      <w:r w:rsidRPr="00BB46CB">
        <w:t xml:space="preserve">Clark (2019) ABS Environmental-Economic Accounts for the Great Barrier Reef, 2017 [Available Online: </w:t>
      </w:r>
      <w:hyperlink r:id="rId281" w:history="1">
        <w:r w:rsidRPr="00BB46CB">
          <w:rPr>
            <w:rStyle w:val="Hyperlink"/>
          </w:rPr>
          <w:t>https://seea.un.org/sites/seea.un.org/files/amanda_clark_gbr_presentation_-_new_york_2019.pdf</w:t>
        </w:r>
      </w:hyperlink>
      <w:r w:rsidRPr="00BB46CB">
        <w:t>]</w:t>
      </w:r>
    </w:p>
    <w:p w14:paraId="670F6055" w14:textId="77777777" w:rsidR="007606C7" w:rsidRPr="00BB46CB" w:rsidRDefault="007606C7" w:rsidP="007606C7">
      <w:pPr>
        <w:pStyle w:val="BodyText"/>
      </w:pPr>
      <w:r w:rsidRPr="00BB46CB">
        <w:t>CRCWSC (2019) Estimating the economic benefits of Urban Heat Island mitigation – Economic analysis</w:t>
      </w:r>
    </w:p>
    <w:p w14:paraId="53EF8D7F" w14:textId="77777777" w:rsidR="007606C7" w:rsidRPr="00BB46CB" w:rsidRDefault="007606C7" w:rsidP="007606C7">
      <w:pPr>
        <w:pStyle w:val="BodyText"/>
      </w:pPr>
      <w:r w:rsidRPr="00BB46CB">
        <w:t>Dahlhaus, P. (2003) Landslides and erosion, background for the Corangamite Soil Health Strategy, prepared for the Corangamite Catchment Management Authority. [Available Online:</w:t>
      </w:r>
    </w:p>
    <w:p w14:paraId="28141B34" w14:textId="77777777" w:rsidR="007606C7" w:rsidRPr="00BB46CB" w:rsidRDefault="007606C7" w:rsidP="007606C7">
      <w:pPr>
        <w:pStyle w:val="BodyText"/>
      </w:pPr>
      <w:r w:rsidRPr="00BB46CB">
        <w:rPr>
          <w:u w:val="single"/>
        </w:rPr>
        <w:t>http://vro.agriculture.vic.gov.au/dpi/vro/coranregn.nsf/pages/coran_landslides_erosion_pdf/$FILE/Landslides_and_erosion_final.pdf</w:t>
      </w:r>
      <w:r w:rsidRPr="00BB46CB">
        <w:t>]</w:t>
      </w:r>
    </w:p>
    <w:p w14:paraId="26645A1B" w14:textId="77777777" w:rsidR="007606C7" w:rsidRPr="00BB46CB" w:rsidRDefault="007606C7" w:rsidP="007606C7">
      <w:pPr>
        <w:pStyle w:val="BodyText"/>
      </w:pPr>
      <w:r w:rsidRPr="00BB46CB">
        <w:t>Deakin Uni (2014) The Distribution and Abundance of ‘Blue Carbon’ within East Gippsland A report for the East Gippsland CMA</w:t>
      </w:r>
    </w:p>
    <w:p w14:paraId="72E18AD5" w14:textId="77777777" w:rsidR="007606C7" w:rsidRPr="00BB46CB" w:rsidRDefault="007606C7" w:rsidP="007606C7">
      <w:pPr>
        <w:pStyle w:val="BodyText"/>
      </w:pPr>
      <w:r w:rsidRPr="00BB46CB">
        <w:t xml:space="preserve">Deakin Uni (2020) Estimating future carbon sequestration and economic value in restored or eroded blue carbon ecosystems   </w:t>
      </w:r>
    </w:p>
    <w:p w14:paraId="51980317" w14:textId="77777777" w:rsidR="007606C7" w:rsidRPr="00BB46CB" w:rsidRDefault="007606C7" w:rsidP="007606C7">
      <w:pPr>
        <w:pStyle w:val="BodyText"/>
        <w:rPr>
          <w:rFonts w:eastAsia="Arial"/>
        </w:rPr>
      </w:pPr>
      <w:r w:rsidRPr="00BB46CB">
        <w:rPr>
          <w:rFonts w:eastAsia="Arial"/>
        </w:rPr>
        <w:t>Decisive Consulting (2020) How the visitor economy of the Great Ocean Road Region is expected to recover post virus. Prepared for Great Ocean Road Regional Tourism Board</w:t>
      </w:r>
    </w:p>
    <w:p w14:paraId="4FBB70FB" w14:textId="77777777" w:rsidR="007606C7" w:rsidRPr="00BB46CB" w:rsidRDefault="007606C7" w:rsidP="007606C7">
      <w:pPr>
        <w:pStyle w:val="BodyText"/>
      </w:pPr>
      <w:r w:rsidRPr="00BB46CB">
        <w:t>DEDJTR (2018a), Great Ocean Road Tourism Summary, year ending March 2018, Factsheet published by the Tourism Events and Visitor Economy (TEVE) Research Unit, July 2018.</w:t>
      </w:r>
    </w:p>
    <w:p w14:paraId="64EA2F0A" w14:textId="403F8359" w:rsidR="007606C7" w:rsidRPr="00BB46CB" w:rsidRDefault="007606C7" w:rsidP="007606C7">
      <w:pPr>
        <w:pStyle w:val="BodyText"/>
      </w:pPr>
      <w:r w:rsidRPr="00BB46CB">
        <w:t xml:space="preserve">DEDJTR (2018b) Victoria’s Tourism Regions map [Available Online: </w:t>
      </w:r>
      <w:hyperlink r:id="rId282" w:history="1">
        <w:r w:rsidRPr="00BB46CB">
          <w:rPr>
            <w:rStyle w:val="Hyperlink"/>
          </w:rPr>
          <w:t>Microsoft Word - Victoria’s Regions map 2017_REVISED.DOCX (business.vic.gov.au)</w:t>
        </w:r>
      </w:hyperlink>
      <w:r w:rsidRPr="00BB46CB">
        <w:t>]</w:t>
      </w:r>
    </w:p>
    <w:p w14:paraId="071B7504" w14:textId="77777777" w:rsidR="007606C7" w:rsidRPr="00BB46CB" w:rsidRDefault="007606C7" w:rsidP="007606C7">
      <w:pPr>
        <w:pStyle w:val="BodyText"/>
      </w:pPr>
      <w:r w:rsidRPr="00BB46CB">
        <w:t>Dedman (2011) Greening the West: a public health perspective</w:t>
      </w:r>
    </w:p>
    <w:p w14:paraId="4364E0E3" w14:textId="6B2E9EED" w:rsidR="007606C7" w:rsidRPr="00BB46CB" w:rsidRDefault="007606C7" w:rsidP="007606C7">
      <w:pPr>
        <w:pStyle w:val="BodyText"/>
      </w:pPr>
      <w:r w:rsidRPr="00BB46CB">
        <w:t xml:space="preserve">Defra and ONS (2017) Principles of Natural Capital Accounting [Available Online: </w:t>
      </w:r>
      <w:hyperlink r:id="rId283" w:history="1">
        <w:r w:rsidRPr="00BB46CB">
          <w:rPr>
            <w:rStyle w:val="Hyperlink"/>
          </w:rPr>
          <w:t>https://www.ons.gov.uk/economy/environmentalaccounts/methodologies/principlesofnaturalcapitalaccounting</w:t>
        </w:r>
      </w:hyperlink>
      <w:r w:rsidRPr="00BB46CB">
        <w:t>]</w:t>
      </w:r>
    </w:p>
    <w:p w14:paraId="1014346B" w14:textId="77777777" w:rsidR="007606C7" w:rsidRPr="00BB46CB" w:rsidRDefault="007606C7" w:rsidP="007606C7">
      <w:pPr>
        <w:pStyle w:val="BodyText"/>
      </w:pPr>
      <w:r w:rsidRPr="00BB46CB">
        <w:t>Deloitte (2014) Report on Valuing the Tourism Services provided by Victorian Parks</w:t>
      </w:r>
    </w:p>
    <w:p w14:paraId="722B9913" w14:textId="77777777" w:rsidR="007606C7" w:rsidRPr="00BB46CB" w:rsidRDefault="007606C7" w:rsidP="007606C7">
      <w:pPr>
        <w:pStyle w:val="BodyText"/>
      </w:pPr>
      <w:r w:rsidRPr="00BB46CB">
        <w:t>Deloitte Access Economics (2014), The economic contribution of tourist visitation to Victorian parks</w:t>
      </w:r>
    </w:p>
    <w:p w14:paraId="0D9C748D" w14:textId="77777777" w:rsidR="007606C7" w:rsidRPr="00BB46CB" w:rsidRDefault="007606C7" w:rsidP="007606C7">
      <w:pPr>
        <w:pStyle w:val="BodyText"/>
      </w:pPr>
      <w:r w:rsidRPr="00BB46CB">
        <w:t>DELWP (2010), 2010 Index of Stream Condition Scores, [Available Online:</w:t>
      </w:r>
    </w:p>
    <w:p w14:paraId="4630086F" w14:textId="233A219A" w:rsidR="007606C7" w:rsidRPr="00BB46CB" w:rsidRDefault="007606C7" w:rsidP="007606C7">
      <w:pPr>
        <w:pStyle w:val="BodyText"/>
      </w:pPr>
      <w:hyperlink r:id="rId284" w:history="1">
        <w:r w:rsidRPr="00BB46CB">
          <w:rPr>
            <w:rStyle w:val="Hyperlink"/>
          </w:rPr>
          <w:t>https://discover.data.vic.gov.au/dataset/2010-index-of-stream-condition-scores</w:t>
        </w:r>
      </w:hyperlink>
      <w:r w:rsidRPr="00BB46CB">
        <w:t>]</w:t>
      </w:r>
    </w:p>
    <w:p w14:paraId="3BC0618B" w14:textId="77777777" w:rsidR="007606C7" w:rsidRPr="00BB46CB" w:rsidRDefault="007606C7" w:rsidP="007606C7">
      <w:pPr>
        <w:pStyle w:val="BodyText"/>
      </w:pPr>
      <w:r w:rsidRPr="00BB46CB">
        <w:t>DELWP (2016) Marine and Coastal Environmental-economic accounting: Port Phillip Bay</w:t>
      </w:r>
    </w:p>
    <w:p w14:paraId="5E6AD574" w14:textId="77777777" w:rsidR="007606C7" w:rsidRPr="00BB46CB" w:rsidRDefault="007606C7" w:rsidP="007606C7">
      <w:pPr>
        <w:pStyle w:val="BodyText"/>
      </w:pPr>
      <w:r w:rsidRPr="00BB46CB">
        <w:t>DELWP (2016b) Valuing the benefits provided by Port Phillip Bay Internal working paper</w:t>
      </w:r>
    </w:p>
    <w:p w14:paraId="438BB9AD" w14:textId="77777777" w:rsidR="007606C7" w:rsidRPr="00BB46CB" w:rsidRDefault="007606C7" w:rsidP="007606C7">
      <w:pPr>
        <w:pStyle w:val="BodyText"/>
      </w:pPr>
      <w:r w:rsidRPr="00BB46CB">
        <w:t>DELWP (2016c) Strategic Biodiversity Score [Available Online:</w:t>
      </w:r>
    </w:p>
    <w:p w14:paraId="625F0952" w14:textId="7AEBDAC7" w:rsidR="007606C7" w:rsidRPr="00BB46CB" w:rsidRDefault="007606C7" w:rsidP="007606C7">
      <w:pPr>
        <w:pStyle w:val="BodyText"/>
      </w:pPr>
      <w:hyperlink r:id="rId285" w:history="1">
        <w:r w:rsidRPr="00BB46CB">
          <w:rPr>
            <w:rStyle w:val="Hyperlink"/>
          </w:rPr>
          <w:t>http://services.land.vic.gov.au/SpatialDatamart/dataSearchViewMetadata.html?anzlicId=ANZVI0803005827&amp;extractionProviderId=2</w:t>
        </w:r>
      </w:hyperlink>
      <w:r w:rsidRPr="00BB46CB">
        <w:t>]</w:t>
      </w:r>
    </w:p>
    <w:p w14:paraId="72F58912" w14:textId="77777777" w:rsidR="007606C7" w:rsidRPr="00BB46CB" w:rsidRDefault="007606C7" w:rsidP="007606C7">
      <w:pPr>
        <w:pStyle w:val="BodyText"/>
      </w:pPr>
      <w:r w:rsidRPr="00BB46CB">
        <w:t xml:space="preserve">DELWP (2016d) </w:t>
      </w:r>
      <w:proofErr w:type="spellStart"/>
      <w:r w:rsidRPr="00BB46CB">
        <w:t>Vicmap</w:t>
      </w:r>
      <w:proofErr w:type="spellEnd"/>
      <w:r w:rsidRPr="00BB46CB">
        <w:t xml:space="preserve"> Elevation DEM 10m</w:t>
      </w:r>
    </w:p>
    <w:p w14:paraId="50986229" w14:textId="77777777" w:rsidR="007606C7" w:rsidRPr="00BB46CB" w:rsidRDefault="007606C7" w:rsidP="007606C7">
      <w:pPr>
        <w:pStyle w:val="BodyText"/>
        <w:rPr>
          <w:u w:val="single"/>
        </w:rPr>
      </w:pPr>
      <w:r w:rsidRPr="00BB46CB">
        <w:rPr>
          <w:u w:val="single"/>
        </w:rPr>
        <w:t>https://discover.data.vic.gov.au/dataset/vicmap-elevation-dem-10m</w:t>
      </w:r>
    </w:p>
    <w:p w14:paraId="00FAAB05" w14:textId="77777777" w:rsidR="007606C7" w:rsidRPr="00BB46CB" w:rsidRDefault="007606C7" w:rsidP="007606C7">
      <w:pPr>
        <w:pStyle w:val="BodyText"/>
      </w:pPr>
      <w:r w:rsidRPr="00BB46CB">
        <w:t>DELWP (2017) Native Vegetation Regulation Condition [Available Online:</w:t>
      </w:r>
    </w:p>
    <w:p w14:paraId="2B7F966A" w14:textId="1FA3BABF" w:rsidR="007606C7" w:rsidRPr="00BB46CB" w:rsidRDefault="007606C7" w:rsidP="007606C7">
      <w:pPr>
        <w:pStyle w:val="BodyText"/>
      </w:pPr>
      <w:hyperlink r:id="rId286" w:anchor="tab0" w:history="1">
        <w:r w:rsidRPr="00BB46CB">
          <w:rPr>
            <w:rStyle w:val="Hyperlink"/>
          </w:rPr>
          <w:t>http://services.land.vic.gov.au/catalogue/metadata?anzlicId=ANZVI0803005812&amp;publicId=guest&amp;extractionProviderId=3#tab0</w:t>
        </w:r>
      </w:hyperlink>
      <w:r w:rsidRPr="00BB46CB">
        <w:t>]</w:t>
      </w:r>
    </w:p>
    <w:p w14:paraId="58BA31CE" w14:textId="1ACB51FC" w:rsidR="007606C7" w:rsidRPr="00BB46CB" w:rsidRDefault="007606C7" w:rsidP="007606C7">
      <w:pPr>
        <w:pStyle w:val="BodyText"/>
      </w:pPr>
      <w:r w:rsidRPr="00BB46CB">
        <w:t xml:space="preserve">DELWP (2018) Great Ocean Road Action Plan [Available Online: </w:t>
      </w:r>
      <w:hyperlink r:id="rId287" w:history="1">
        <w:r w:rsidRPr="00BB46CB">
          <w:rPr>
            <w:rStyle w:val="Hyperlink"/>
          </w:rPr>
          <w:t>https://www.planning.vic.gov.au/__data/assets/pdf_file/0026/394271/GreatOceanRoad_ActionPlan.pdf</w:t>
        </w:r>
      </w:hyperlink>
      <w:r w:rsidRPr="00BB46CB">
        <w:t>]</w:t>
      </w:r>
    </w:p>
    <w:p w14:paraId="7A15943F" w14:textId="77777777" w:rsidR="007606C7" w:rsidRPr="00BB46CB" w:rsidRDefault="007606C7" w:rsidP="007606C7">
      <w:pPr>
        <w:pStyle w:val="BodyText"/>
      </w:pPr>
      <w:r w:rsidRPr="00BB46CB">
        <w:t>DELWP (2018b) Victorian Forest Monitoring Program</w:t>
      </w:r>
    </w:p>
    <w:p w14:paraId="28E52654" w14:textId="0DCFE81B" w:rsidR="007606C7" w:rsidRPr="00BB46CB" w:rsidRDefault="007606C7" w:rsidP="007606C7">
      <w:pPr>
        <w:pStyle w:val="BodyText"/>
      </w:pPr>
      <w:hyperlink r:id="rId288" w:history="1">
        <w:r w:rsidRPr="00BB46CB">
          <w:rPr>
            <w:rStyle w:val="Hyperlink"/>
          </w:rPr>
          <w:t>https://www.forestsandreserves.vic.gov.au/forest-management/victorian-forest-monitoring-program</w:t>
        </w:r>
      </w:hyperlink>
      <w:r w:rsidRPr="00BB46CB">
        <w:t>]</w:t>
      </w:r>
    </w:p>
    <w:p w14:paraId="79FC3EA7" w14:textId="41C2BB65" w:rsidR="007606C7" w:rsidRPr="00BB46CB" w:rsidRDefault="007606C7" w:rsidP="007606C7">
      <w:pPr>
        <w:pStyle w:val="BodyText"/>
      </w:pPr>
      <w:r w:rsidRPr="00BB46CB">
        <w:t xml:space="preserve">DELWP (2018c) Native Vegetation - Modelled 1750 Ecological Vegetation Classes [Available Online: </w:t>
      </w:r>
      <w:hyperlink r:id="rId289" w:history="1">
        <w:r w:rsidRPr="00BB46CB">
          <w:rPr>
            <w:rStyle w:val="Hyperlink"/>
          </w:rPr>
          <w:t>https://discover.data.vic.gov.au/dataset/native-vegetation-modelled-1750-ecological-vegetation-classes</w:t>
        </w:r>
      </w:hyperlink>
      <w:r w:rsidRPr="00BB46CB">
        <w:t xml:space="preserve">] </w:t>
      </w:r>
    </w:p>
    <w:p w14:paraId="5CFC7A36" w14:textId="77777777" w:rsidR="007606C7" w:rsidRPr="00BB46CB" w:rsidRDefault="007606C7" w:rsidP="007606C7">
      <w:pPr>
        <w:pStyle w:val="BodyText"/>
      </w:pPr>
      <w:r w:rsidRPr="00BB46CB">
        <w:t>DELWP (2019), Ecosystem Services from Forests in Victoria: Assessment of Regional Forest Agreement Regions [Available Online: Ecosystem services from forests in Victoria: Assessment of Regional Forest Agreement regions (</w:t>
      </w:r>
      <w:r w:rsidRPr="00BB46CB">
        <w:rPr>
          <w:u w:val="single"/>
        </w:rPr>
        <w:t>environment.vic.gov.au</w:t>
      </w:r>
      <w:r w:rsidRPr="00BB46CB">
        <w:t>)]</w:t>
      </w:r>
    </w:p>
    <w:p w14:paraId="5CE95909" w14:textId="77777777" w:rsidR="007606C7" w:rsidRPr="00BB46CB" w:rsidRDefault="007606C7" w:rsidP="007606C7">
      <w:pPr>
        <w:pStyle w:val="BodyText"/>
      </w:pPr>
      <w:r w:rsidRPr="00BB46CB">
        <w:t>DELWP (2019b) Marine and Coastal Community Attitudes and Behaviour Report</w:t>
      </w:r>
    </w:p>
    <w:p w14:paraId="7F098BED" w14:textId="07C70526" w:rsidR="007606C7" w:rsidRPr="00BB46CB" w:rsidRDefault="007606C7" w:rsidP="007606C7">
      <w:pPr>
        <w:pStyle w:val="BodyText"/>
      </w:pPr>
      <w:r w:rsidRPr="00BB46CB">
        <w:t xml:space="preserve">DELWP (2019c) Overview of Victoria's Forest Management System [Available Online: </w:t>
      </w:r>
      <w:hyperlink r:id="rId290" w:history="1">
        <w:proofErr w:type="spellStart"/>
        <w:r w:rsidRPr="00BB46CB">
          <w:rPr>
            <w:rStyle w:val="Hyperlink"/>
          </w:rPr>
          <w:t>Att</w:t>
        </w:r>
        <w:proofErr w:type="spellEnd"/>
        <w:r w:rsidRPr="00BB46CB">
          <w:rPr>
            <w:rStyle w:val="Hyperlink"/>
          </w:rPr>
          <w:t xml:space="preserve"> 6 - Overview of Victoria's Forest Management System (delwp.vic.gov.au)</w:t>
        </w:r>
      </w:hyperlink>
      <w:r w:rsidRPr="00BB46CB">
        <w:t>]</w:t>
      </w:r>
    </w:p>
    <w:p w14:paraId="2C4A0540" w14:textId="77777777" w:rsidR="007606C7" w:rsidRPr="00BB46CB" w:rsidRDefault="007606C7" w:rsidP="007606C7">
      <w:pPr>
        <w:pStyle w:val="BodyText"/>
      </w:pPr>
      <w:r w:rsidRPr="00BB46CB">
        <w:t>DELWP (2019d) The Victoria Heritage Database [Available Online:</w:t>
      </w:r>
    </w:p>
    <w:p w14:paraId="2EB82F5C" w14:textId="77777777" w:rsidR="007606C7" w:rsidRPr="00BB46CB" w:rsidRDefault="007606C7" w:rsidP="007606C7">
      <w:pPr>
        <w:pStyle w:val="BodyText"/>
      </w:pPr>
      <w:r w:rsidRPr="00BB46CB">
        <w:t>https://discover.data.vic.gov.au/dataset/the-victorian-heritage-database]</w:t>
      </w:r>
    </w:p>
    <w:p w14:paraId="6AFD9E5B" w14:textId="72226988" w:rsidR="007606C7" w:rsidRPr="00BB46CB" w:rsidRDefault="007606C7" w:rsidP="007606C7">
      <w:pPr>
        <w:pStyle w:val="BodyText"/>
      </w:pPr>
      <w:r w:rsidRPr="00BB46CB">
        <w:t xml:space="preserve">DELWP (2020) </w:t>
      </w:r>
      <w:proofErr w:type="spellStart"/>
      <w:r w:rsidRPr="00BB46CB">
        <w:t>CoastKit</w:t>
      </w:r>
      <w:proofErr w:type="spellEnd"/>
      <w:r w:rsidRPr="00BB46CB">
        <w:t xml:space="preserve"> Resources [Available Online: </w:t>
      </w:r>
      <w:hyperlink r:id="rId291" w:history="1">
        <w:r w:rsidRPr="00BB46CB">
          <w:rPr>
            <w:rStyle w:val="Hyperlink"/>
          </w:rPr>
          <w:t>http://dev-coastkit.cbics.org/</w:t>
        </w:r>
      </w:hyperlink>
      <w:r w:rsidRPr="00BB46CB">
        <w:t>]</w:t>
      </w:r>
    </w:p>
    <w:p w14:paraId="1EB10345" w14:textId="430F04A1" w:rsidR="007606C7" w:rsidRPr="00BB46CB" w:rsidRDefault="007606C7" w:rsidP="007606C7">
      <w:pPr>
        <w:pStyle w:val="BodyText"/>
      </w:pPr>
      <w:r w:rsidRPr="00BB46CB">
        <w:t xml:space="preserve">DELWP (2020b) Multi-temporal Native Vegetation Extent for Victoria [Available online: </w:t>
      </w:r>
      <w:hyperlink r:id="rId292" w:history="1">
        <w:r w:rsidRPr="00BB46CB">
          <w:rPr>
            <w:rStyle w:val="Hyperlink"/>
          </w:rPr>
          <w:t>https://www.environment.vic.gov.au/biodiversity/Victorias-Land-Cover-Time-Series</w:t>
        </w:r>
      </w:hyperlink>
      <w:r w:rsidRPr="00BB46CB">
        <w:t>]</w:t>
      </w:r>
    </w:p>
    <w:p w14:paraId="07D72B70" w14:textId="77777777" w:rsidR="007606C7" w:rsidRPr="00BB46CB" w:rsidRDefault="007606C7" w:rsidP="007606C7">
      <w:pPr>
        <w:pStyle w:val="BodyText"/>
      </w:pPr>
      <w:r w:rsidRPr="00BB46CB">
        <w:t>DELWP (2020c) Victorian Biodiversity Atlas</w:t>
      </w:r>
    </w:p>
    <w:p w14:paraId="64AA1218" w14:textId="77777777" w:rsidR="007606C7" w:rsidRPr="00BB46CB" w:rsidRDefault="007606C7" w:rsidP="007606C7">
      <w:pPr>
        <w:pStyle w:val="BodyText"/>
      </w:pPr>
      <w:r w:rsidRPr="00BB46CB">
        <w:t>DELWP (2020d) Coastal demographics in Victoria</w:t>
      </w:r>
    </w:p>
    <w:p w14:paraId="6B851B93" w14:textId="77777777" w:rsidR="007606C7" w:rsidRPr="00BB46CB" w:rsidRDefault="007606C7" w:rsidP="007606C7">
      <w:pPr>
        <w:pStyle w:val="BodyText"/>
      </w:pPr>
      <w:r w:rsidRPr="00BB46CB">
        <w:t>DELWP (2021) Victorian Biodiversity Atlas</w:t>
      </w:r>
    </w:p>
    <w:p w14:paraId="6C7FD614" w14:textId="2ECF6DC4" w:rsidR="007606C7" w:rsidRPr="00BB46CB" w:rsidRDefault="007606C7" w:rsidP="007606C7">
      <w:pPr>
        <w:pStyle w:val="BodyText"/>
      </w:pPr>
      <w:hyperlink r:id="rId293" w:history="1">
        <w:r w:rsidRPr="00BB46CB">
          <w:rPr>
            <w:rStyle w:val="Hyperlink"/>
          </w:rPr>
          <w:t>https://www.environment.vic.gov.au/biodiversity/victorian-biodiversity-atlas</w:t>
        </w:r>
      </w:hyperlink>
    </w:p>
    <w:p w14:paraId="7F44AAE2" w14:textId="77777777" w:rsidR="007606C7" w:rsidRPr="00BB46CB" w:rsidRDefault="007606C7" w:rsidP="007606C7">
      <w:pPr>
        <w:pStyle w:val="BodyText"/>
      </w:pPr>
      <w:r w:rsidRPr="00BB46CB">
        <w:t>DELWP (2021b) Victorian Index of Estuary Condition Score, in production,</w:t>
      </w:r>
    </w:p>
    <w:p w14:paraId="085C966B" w14:textId="716DCCFD" w:rsidR="007606C7" w:rsidRPr="00BB46CB" w:rsidRDefault="007606C7" w:rsidP="007606C7">
      <w:pPr>
        <w:pStyle w:val="BodyText"/>
        <w:rPr>
          <w:u w:val="single"/>
        </w:rPr>
      </w:pPr>
      <w:hyperlink r:id="rId294" w:history="1">
        <w:r w:rsidRPr="00BB46CB">
          <w:rPr>
            <w:rStyle w:val="Hyperlink"/>
          </w:rPr>
          <w:t>https://www.ari.vic.gov.au/research/rivers-and-estuaries/index-of-estuary-condition</w:t>
        </w:r>
      </w:hyperlink>
    </w:p>
    <w:p w14:paraId="63033327" w14:textId="77777777" w:rsidR="007606C7" w:rsidRPr="00BB46CB" w:rsidRDefault="007606C7" w:rsidP="007606C7">
      <w:pPr>
        <w:pStyle w:val="BodyText"/>
      </w:pPr>
      <w:r w:rsidRPr="00BB46CB">
        <w:t>DELWP (2021c) Public Land Management (PLM25) [Available Online:</w:t>
      </w:r>
    </w:p>
    <w:p w14:paraId="0CCE466C" w14:textId="5DF7FA09" w:rsidR="007606C7" w:rsidRPr="00BB46CB" w:rsidRDefault="007606C7" w:rsidP="007606C7">
      <w:pPr>
        <w:pStyle w:val="BodyText"/>
      </w:pPr>
      <w:hyperlink r:id="rId295" w:history="1">
        <w:r w:rsidRPr="00BB46CB">
          <w:rPr>
            <w:rStyle w:val="Hyperlink"/>
          </w:rPr>
          <w:t>https://discover.data.vic.gov.au/dataset/public-land-management-plm25</w:t>
        </w:r>
      </w:hyperlink>
      <w:r w:rsidRPr="00BB46CB">
        <w:t>]</w:t>
      </w:r>
    </w:p>
    <w:p w14:paraId="60705C3F" w14:textId="77777777" w:rsidR="007606C7" w:rsidRPr="00BB46CB" w:rsidRDefault="007606C7" w:rsidP="007606C7">
      <w:pPr>
        <w:pStyle w:val="BodyText"/>
      </w:pPr>
      <w:r w:rsidRPr="00BB46CB">
        <w:t xml:space="preserve">DELWP (2021d) </w:t>
      </w:r>
      <w:proofErr w:type="spellStart"/>
      <w:r w:rsidRPr="00BB46CB">
        <w:t>Vicmap</w:t>
      </w:r>
      <w:proofErr w:type="spellEnd"/>
      <w:r w:rsidRPr="00BB46CB">
        <w:t xml:space="preserve"> Transport Road Network [Available Online:</w:t>
      </w:r>
    </w:p>
    <w:p w14:paraId="518FD3DF" w14:textId="705DC34F" w:rsidR="007606C7" w:rsidRPr="00BB46CB" w:rsidRDefault="007606C7" w:rsidP="007606C7">
      <w:pPr>
        <w:pStyle w:val="BodyText"/>
      </w:pPr>
      <w:hyperlink r:id="rId296" w:history="1">
        <w:r w:rsidRPr="00BB46CB">
          <w:rPr>
            <w:rStyle w:val="Hyperlink"/>
          </w:rPr>
          <w:t>http://services.land.vic.gov.au/catalogue/metadata?anzlicId=ANZVI0803002595&amp;publicId=guest&amp;extractionProviderId=1</w:t>
        </w:r>
      </w:hyperlink>
      <w:r w:rsidRPr="00BB46CB">
        <w:t>]</w:t>
      </w:r>
    </w:p>
    <w:p w14:paraId="15BFFCF0" w14:textId="77777777" w:rsidR="007606C7" w:rsidRPr="00BB46CB" w:rsidRDefault="007606C7" w:rsidP="007606C7">
      <w:pPr>
        <w:pStyle w:val="BodyText"/>
      </w:pPr>
      <w:r w:rsidRPr="00BB46CB">
        <w:t>DELWP (2021e) Relative Age, Statewide Forest Resource Inventory (SFRI), [Available Online: https://metashare.maps.vic.gov.au/geonetwork/srv/api/records/1a88a30f-46c8-5f89-b94e-fe020351c563/formatters/sdm-html?root=html&amp;output=html]</w:t>
      </w:r>
    </w:p>
    <w:p w14:paraId="01573E63" w14:textId="77777777" w:rsidR="007606C7" w:rsidRPr="00BB46CB" w:rsidRDefault="007606C7" w:rsidP="007606C7">
      <w:pPr>
        <w:pStyle w:val="BodyText"/>
      </w:pPr>
      <w:r w:rsidRPr="00BB46CB">
        <w:t>DELWP (TBC) Victorian Carbon Map</w:t>
      </w:r>
    </w:p>
    <w:p w14:paraId="0B00FC1D" w14:textId="77777777" w:rsidR="007606C7" w:rsidRPr="00BB46CB" w:rsidRDefault="007606C7" w:rsidP="007606C7">
      <w:pPr>
        <w:pStyle w:val="BodyText"/>
      </w:pPr>
      <w:r w:rsidRPr="00BB46CB">
        <w:t xml:space="preserve">Department of the Environment and Energy 2017, </w:t>
      </w:r>
      <w:r w:rsidRPr="00BB46CB">
        <w:rPr>
          <w:i/>
        </w:rPr>
        <w:t>National greenhouse accounts factors: Australian national greenhouse accounts</w:t>
      </w:r>
      <w:r w:rsidRPr="00BB46CB">
        <w:t xml:space="preserve">, Commonwealth of Australia, Canberra.   </w:t>
      </w:r>
    </w:p>
    <w:p w14:paraId="3FD49517" w14:textId="77777777" w:rsidR="007606C7" w:rsidRPr="00BB46CB" w:rsidRDefault="007606C7" w:rsidP="007606C7">
      <w:pPr>
        <w:pStyle w:val="BodyText"/>
      </w:pPr>
      <w:r w:rsidRPr="00BB46CB">
        <w:t>Dept. Human Services (2009) January 2009 Heatwave in Victoria: An Assessment of Health Impacts</w:t>
      </w:r>
    </w:p>
    <w:p w14:paraId="59686D4E" w14:textId="77777777" w:rsidR="007606C7" w:rsidRPr="00BB46CB" w:rsidRDefault="007606C7" w:rsidP="007606C7">
      <w:pPr>
        <w:pStyle w:val="BodyText"/>
      </w:pPr>
      <w:r w:rsidRPr="00BB46CB">
        <w:t>DISER (2021) Department of Industry Science Energy and Resources, Land Sector Carbon Modelling</w:t>
      </w:r>
    </w:p>
    <w:p w14:paraId="163638AF" w14:textId="77777777" w:rsidR="007606C7" w:rsidRPr="00BB46CB" w:rsidRDefault="007606C7" w:rsidP="007606C7">
      <w:pPr>
        <w:pStyle w:val="BodyText"/>
        <w:rPr>
          <w:u w:val="single"/>
        </w:rPr>
      </w:pPr>
      <w:r w:rsidRPr="00BB46CB">
        <w:rPr>
          <w:u w:val="single"/>
        </w:rPr>
        <w:t>https://www.industry.gov.au/data-and-publications/full-carbon-accounting-model-fullcam</w:t>
      </w:r>
    </w:p>
    <w:p w14:paraId="392941E7" w14:textId="77777777" w:rsidR="007606C7" w:rsidRPr="00BB46CB" w:rsidRDefault="007606C7" w:rsidP="007606C7">
      <w:pPr>
        <w:pStyle w:val="BodyText"/>
        <w:rPr>
          <w:u w:val="single"/>
        </w:rPr>
      </w:pPr>
      <w:r w:rsidRPr="00BB46CB">
        <w:t>DJPR (2003)</w:t>
      </w:r>
      <w:r w:rsidRPr="00BB46CB">
        <w:rPr>
          <w:u w:val="single"/>
        </w:rPr>
        <w:t xml:space="preserve"> </w:t>
      </w:r>
      <w:r w:rsidRPr="00BB46CB">
        <w:t>Acid sulphate soil hazard maps, [Available Online:</w:t>
      </w:r>
      <w:r w:rsidRPr="00BB46CB">
        <w:rPr>
          <w:u w:val="single"/>
        </w:rPr>
        <w:t xml:space="preserve"> </w:t>
      </w:r>
    </w:p>
    <w:p w14:paraId="7ED21AD3" w14:textId="11AB32CF" w:rsidR="007606C7" w:rsidRPr="00BB46CB" w:rsidRDefault="007606C7" w:rsidP="007606C7">
      <w:pPr>
        <w:pStyle w:val="BodyText"/>
        <w:rPr>
          <w:u w:val="single"/>
        </w:rPr>
      </w:pPr>
      <w:hyperlink r:id="rId297" w:history="1">
        <w:r w:rsidRPr="00BB46CB">
          <w:rPr>
            <w:rStyle w:val="Hyperlink"/>
          </w:rPr>
          <w:t>http://vro.agriculture.vic.gov.au/dpi/vro/vrosite.nsf/pages/soil_acid_sulfate_soils</w:t>
        </w:r>
      </w:hyperlink>
      <w:r w:rsidRPr="00BB46CB">
        <w:rPr>
          <w:u w:val="single"/>
        </w:rPr>
        <w:t>]</w:t>
      </w:r>
    </w:p>
    <w:p w14:paraId="5D5BFDAC" w14:textId="77777777" w:rsidR="007606C7" w:rsidRPr="00BB46CB" w:rsidRDefault="007606C7" w:rsidP="007606C7">
      <w:pPr>
        <w:pStyle w:val="BodyText"/>
        <w:rPr>
          <w:u w:val="single"/>
        </w:rPr>
      </w:pPr>
      <w:r w:rsidRPr="00BB46CB">
        <w:t>DJPR (2017) Geomorphology of Victoria, [Available Online:</w:t>
      </w:r>
    </w:p>
    <w:p w14:paraId="2D1F946A" w14:textId="77777777" w:rsidR="007606C7" w:rsidRPr="00BB46CB" w:rsidRDefault="007606C7" w:rsidP="007606C7">
      <w:pPr>
        <w:pStyle w:val="BodyText"/>
        <w:rPr>
          <w:u w:val="single"/>
        </w:rPr>
      </w:pPr>
      <w:r w:rsidRPr="00BB46CB">
        <w:rPr>
          <w:u w:val="single"/>
        </w:rPr>
        <w:t>http://services.land.vic.gov.au/catalogue/metadata?anzlicId=ANZVI0803002863&amp;publicId=guest&amp;extractionProviderId=1]</w:t>
      </w:r>
    </w:p>
    <w:p w14:paraId="2F8D73AF" w14:textId="0B675919" w:rsidR="007606C7" w:rsidRPr="00BB46CB" w:rsidRDefault="007606C7" w:rsidP="007606C7">
      <w:pPr>
        <w:pStyle w:val="BodyText"/>
        <w:rPr>
          <w:u w:val="single"/>
        </w:rPr>
      </w:pPr>
      <w:r w:rsidRPr="00BB46CB">
        <w:t xml:space="preserve">DJPR (2020a) Great Ocean Road. Regional Tourism Summary [Available Online: </w:t>
      </w:r>
      <w:hyperlink r:id="rId298" w:history="1">
        <w:r w:rsidRPr="00BB46CB">
          <w:rPr>
            <w:rStyle w:val="Hyperlink"/>
          </w:rPr>
          <w:t>PowerPoint Presentation (business.vic.gov.au)</w:t>
        </w:r>
      </w:hyperlink>
      <w:r w:rsidRPr="00BB46CB">
        <w:rPr>
          <w:u w:val="single"/>
        </w:rPr>
        <w:t xml:space="preserve">] </w:t>
      </w:r>
    </w:p>
    <w:p w14:paraId="609BDDDC" w14:textId="083AD220" w:rsidR="007606C7" w:rsidRPr="00BB46CB" w:rsidRDefault="007606C7" w:rsidP="007606C7">
      <w:pPr>
        <w:pStyle w:val="BodyText"/>
        <w:rPr>
          <w:u w:val="single"/>
        </w:rPr>
      </w:pPr>
      <w:r w:rsidRPr="00BB46CB">
        <w:t xml:space="preserve">DJPR (2020b) The economic contribution of tourism to Victoria’s regions 2018-19 [Available Online: </w:t>
      </w:r>
      <w:hyperlink r:id="rId299" w:history="1">
        <w:r w:rsidRPr="00BB46CB">
          <w:rPr>
            <w:rStyle w:val="Hyperlink"/>
          </w:rPr>
          <w:t>PowerPoint Presentation (business.vic.gov.au)</w:t>
        </w:r>
      </w:hyperlink>
      <w:r w:rsidRPr="00BB46CB">
        <w:rPr>
          <w:u w:val="single"/>
        </w:rPr>
        <w:t>]</w:t>
      </w:r>
    </w:p>
    <w:p w14:paraId="569B203B" w14:textId="1BC0ADA3" w:rsidR="007606C7" w:rsidRPr="00BB46CB" w:rsidRDefault="007606C7" w:rsidP="007606C7">
      <w:pPr>
        <w:pStyle w:val="BodyText"/>
      </w:pPr>
      <w:r w:rsidRPr="00BB46CB">
        <w:lastRenderedPageBreak/>
        <w:t xml:space="preserve">Driver and Nel (2019) Plans for Protected Area Accounts in South Africa [Available Online: </w:t>
      </w:r>
      <w:hyperlink r:id="rId300" w:history="1">
        <w:r w:rsidRPr="00BB46CB">
          <w:rPr>
            <w:rStyle w:val="Hyperlink"/>
          </w:rPr>
          <w:t>https://seea.un.org/sites/seea.un.org/files/session_5d_protected_area_accounts_-_plans_for_pa_accounts_in_sa.pdf</w:t>
        </w:r>
      </w:hyperlink>
      <w:r w:rsidRPr="00BB46CB">
        <w:t>]</w:t>
      </w:r>
    </w:p>
    <w:p w14:paraId="18305313" w14:textId="77777777" w:rsidR="007606C7" w:rsidRPr="00BB46CB" w:rsidRDefault="007606C7" w:rsidP="007606C7">
      <w:pPr>
        <w:pStyle w:val="BodyText"/>
      </w:pPr>
      <w:r w:rsidRPr="00BB46CB">
        <w:t>DSE (2012) Putting the buzz back in agriculture</w:t>
      </w:r>
    </w:p>
    <w:p w14:paraId="10EFB900" w14:textId="77777777" w:rsidR="007606C7" w:rsidRPr="00BB46CB" w:rsidRDefault="007606C7" w:rsidP="007606C7">
      <w:pPr>
        <w:pStyle w:val="BodyText"/>
      </w:pPr>
      <w:proofErr w:type="spellStart"/>
      <w:r w:rsidRPr="00BB46CB">
        <w:t>Dvarskas</w:t>
      </w:r>
      <w:proofErr w:type="spellEnd"/>
      <w:r w:rsidRPr="00BB46CB">
        <w:t xml:space="preserve"> (2019) Applying SEEA EEA to Marine and Coastal Areas: Long Island Bays</w:t>
      </w:r>
    </w:p>
    <w:p w14:paraId="5798F836" w14:textId="17258FD2" w:rsidR="007606C7" w:rsidRPr="00BB46CB" w:rsidRDefault="007606C7" w:rsidP="007606C7">
      <w:pPr>
        <w:pStyle w:val="BodyText"/>
      </w:pPr>
      <w:proofErr w:type="spellStart"/>
      <w:r w:rsidRPr="00BB46CB">
        <w:t>eftec</w:t>
      </w:r>
      <w:proofErr w:type="spellEnd"/>
      <w:r w:rsidRPr="00BB46CB">
        <w:t xml:space="preserve"> (2011) Assessing the benefits of learning outside the classroom in natural environments [Available Online: </w:t>
      </w:r>
      <w:hyperlink r:id="rId301" w:history="1">
        <w:r w:rsidRPr="00BB46CB">
          <w:rPr>
            <w:rStyle w:val="Hyperlink"/>
          </w:rPr>
          <w:t>https://ecosystemsknowledge.net/sites/default/files/wp-content/uploads/2013/03/Learning-in-Natural-Environments-report-280211.pdf</w:t>
        </w:r>
      </w:hyperlink>
      <w:r w:rsidRPr="00BB46CB">
        <w:t xml:space="preserve">] </w:t>
      </w:r>
    </w:p>
    <w:p w14:paraId="227706D6" w14:textId="77777777" w:rsidR="007606C7" w:rsidRPr="00BB46CB" w:rsidRDefault="007606C7" w:rsidP="007606C7">
      <w:pPr>
        <w:pStyle w:val="BodyText"/>
      </w:pPr>
      <w:proofErr w:type="spellStart"/>
      <w:r w:rsidRPr="00BB46CB">
        <w:t>eftec</w:t>
      </w:r>
      <w:proofErr w:type="spellEnd"/>
      <w:r w:rsidRPr="00BB46CB">
        <w:t xml:space="preserve"> (2015) Developing UK Natural Capital Accounts: Marine Scoping Study</w:t>
      </w:r>
    </w:p>
    <w:p w14:paraId="4B4E03B4" w14:textId="77777777" w:rsidR="007606C7" w:rsidRPr="00BB46CB" w:rsidRDefault="007606C7" w:rsidP="007606C7">
      <w:pPr>
        <w:pStyle w:val="BodyText"/>
      </w:pPr>
      <w:r w:rsidRPr="00BB46CB">
        <w:t>England et al. (2006). Rates of carbon sequestration in environmental plantings in north-central Victoria</w:t>
      </w:r>
    </w:p>
    <w:p w14:paraId="0AF0E091" w14:textId="77777777" w:rsidR="007606C7" w:rsidRPr="00BB46CB" w:rsidRDefault="007606C7" w:rsidP="007606C7">
      <w:pPr>
        <w:pStyle w:val="BodyText"/>
      </w:pPr>
      <w:r w:rsidRPr="00BB46CB">
        <w:t>Ewers et al (2018) Variability and vulnerability of coastal ‘blue carbon’ stocks: A case study from southeast Australia</w:t>
      </w:r>
    </w:p>
    <w:p w14:paraId="55E3DBCA" w14:textId="22AD7F99" w:rsidR="007606C7" w:rsidRPr="00BB46CB" w:rsidRDefault="007606C7" w:rsidP="007606C7">
      <w:pPr>
        <w:pStyle w:val="BodyText"/>
      </w:pPr>
      <w:r w:rsidRPr="00BB46CB">
        <w:t xml:space="preserve">European Environment Agency (2018) Towards a Common International Classification of Ecosystem Services (CICES) for Integrated Environmental and Economic Accounting [Available Online: </w:t>
      </w:r>
      <w:hyperlink r:id="rId302" w:history="1">
        <w:r w:rsidRPr="00BB46CB">
          <w:rPr>
            <w:rStyle w:val="Hyperlink"/>
          </w:rPr>
          <w:t>https://cices.eu/resources/</w:t>
        </w:r>
      </w:hyperlink>
      <w:r w:rsidRPr="00BB46CB">
        <w:t>]</w:t>
      </w:r>
    </w:p>
    <w:p w14:paraId="2173A84E" w14:textId="77777777" w:rsidR="007606C7" w:rsidRPr="00BB46CB" w:rsidRDefault="007606C7" w:rsidP="007606C7">
      <w:pPr>
        <w:pStyle w:val="BodyText"/>
      </w:pPr>
      <w:r w:rsidRPr="00BB46CB">
        <w:t xml:space="preserve">EY (2010) Economic study of recreational fishing in Victoria </w:t>
      </w:r>
    </w:p>
    <w:p w14:paraId="6D0C7C98" w14:textId="56A259ED" w:rsidR="007606C7" w:rsidRPr="00BB46CB" w:rsidRDefault="007606C7" w:rsidP="007606C7">
      <w:pPr>
        <w:pStyle w:val="BodyText"/>
      </w:pPr>
      <w:r w:rsidRPr="00BB46CB">
        <w:t xml:space="preserve">Figueroa (2019) SEEA-EEA Mx and Natural Protected Areas (NPA) [Available Online </w:t>
      </w:r>
      <w:hyperlink r:id="rId303" w:history="1">
        <w:r w:rsidRPr="00BB46CB">
          <w:rPr>
            <w:rStyle w:val="Hyperlink"/>
          </w:rPr>
          <w:t>https://seea.un.org/sites/seea.un.org/files/raul_figueroa_seea-eea_mx_anp_glencove_en.pdf</w:t>
        </w:r>
      </w:hyperlink>
      <w:r w:rsidRPr="00BB46CB">
        <w:t>]</w:t>
      </w:r>
    </w:p>
    <w:p w14:paraId="1314BF45" w14:textId="77777777" w:rsidR="007606C7" w:rsidRPr="00BB46CB" w:rsidRDefault="007606C7" w:rsidP="007606C7">
      <w:pPr>
        <w:pStyle w:val="BodyText"/>
      </w:pPr>
      <w:r w:rsidRPr="00BB46CB">
        <w:t>Geoscience Australia (2011) Sea level rise maps. [Available Online:</w:t>
      </w:r>
    </w:p>
    <w:p w14:paraId="1DFA6AD9" w14:textId="725E6B9D" w:rsidR="007606C7" w:rsidRPr="00BB46CB" w:rsidRDefault="007606C7" w:rsidP="007606C7">
      <w:pPr>
        <w:pStyle w:val="BodyText"/>
      </w:pPr>
      <w:hyperlink r:id="rId304" w:history="1">
        <w:r w:rsidRPr="00BB46CB">
          <w:rPr>
            <w:rStyle w:val="Hyperlink"/>
          </w:rPr>
          <w:t>http://ozcoasts.gov.au/climate/sd_visual.jsp</w:t>
        </w:r>
      </w:hyperlink>
      <w:r w:rsidRPr="00BB46CB">
        <w:t>] FRDC Project No. 2010/536. Fisheries Research and Development Corporation Canberra</w:t>
      </w:r>
    </w:p>
    <w:p w14:paraId="2AE1C3D3" w14:textId="77777777" w:rsidR="007606C7" w:rsidRPr="00BB46CB" w:rsidRDefault="007606C7" w:rsidP="007606C7">
      <w:pPr>
        <w:pStyle w:val="BodyText"/>
      </w:pPr>
      <w:r w:rsidRPr="00BB46CB">
        <w:t xml:space="preserve">Griffith University (2020) Economic value of protected areas via visitor mental health. </w:t>
      </w:r>
      <w:r w:rsidRPr="00BB46CB">
        <w:rPr>
          <w:i/>
        </w:rPr>
        <w:t>Nature Communications</w:t>
      </w:r>
      <w:r w:rsidRPr="00BB46CB">
        <w:t>.</w:t>
      </w:r>
    </w:p>
    <w:p w14:paraId="322249F3" w14:textId="77777777" w:rsidR="007606C7" w:rsidRPr="00BB46CB" w:rsidRDefault="007606C7" w:rsidP="007606C7">
      <w:pPr>
        <w:pStyle w:val="BodyText"/>
      </w:pPr>
      <w:r w:rsidRPr="00BB46CB">
        <w:t>Guerry et al (2012) Modelling benefits from nature: using ecosystem services to inform coastal and marine spatial planning</w:t>
      </w:r>
    </w:p>
    <w:p w14:paraId="687BB003" w14:textId="77777777" w:rsidR="007606C7" w:rsidRPr="00BB46CB" w:rsidRDefault="007606C7" w:rsidP="007606C7">
      <w:pPr>
        <w:pStyle w:val="BodyText"/>
      </w:pPr>
      <w:r w:rsidRPr="00BB46CB">
        <w:t>Herron et al (2015) Geographic Information Systems and Coastal Planning in Australia</w:t>
      </w:r>
    </w:p>
    <w:p w14:paraId="6C1C60E4" w14:textId="77777777" w:rsidR="007606C7" w:rsidRPr="00BB46CB" w:rsidRDefault="007606C7" w:rsidP="007606C7">
      <w:pPr>
        <w:pStyle w:val="BodyText"/>
      </w:pPr>
      <w:r w:rsidRPr="00BB46CB">
        <w:t>Henry and Lyle (2003) The National Recreational and Indigenous Fishing Survey</w:t>
      </w:r>
    </w:p>
    <w:p w14:paraId="17BE0A0F" w14:textId="77777777" w:rsidR="007606C7" w:rsidRPr="00BB46CB" w:rsidRDefault="007606C7" w:rsidP="007606C7">
      <w:pPr>
        <w:pStyle w:val="BodyText"/>
        <w:rPr>
          <w:rFonts w:eastAsia="Calibri"/>
        </w:rPr>
      </w:pPr>
      <w:proofErr w:type="spellStart"/>
      <w:r w:rsidRPr="00BB46CB">
        <w:rPr>
          <w:rFonts w:eastAsia="Calibri"/>
        </w:rPr>
        <w:t>Ierodiaconou</w:t>
      </w:r>
      <w:proofErr w:type="spellEnd"/>
      <w:r w:rsidRPr="00BB46CB">
        <w:rPr>
          <w:rFonts w:eastAsia="Calibri"/>
        </w:rPr>
        <w:t xml:space="preserve"> et al (2018) Patterns of interaction between habitat and oceanographic variables affecting the connectivity and productivity of invertebrate fisheries</w:t>
      </w:r>
    </w:p>
    <w:p w14:paraId="7094A568" w14:textId="77777777" w:rsidR="007606C7" w:rsidRPr="00BB46CB" w:rsidRDefault="007606C7" w:rsidP="007606C7">
      <w:pPr>
        <w:pStyle w:val="BodyText"/>
      </w:pPr>
      <w:proofErr w:type="spellStart"/>
      <w:r w:rsidRPr="00BB46CB">
        <w:t>Ierodiaconou</w:t>
      </w:r>
      <w:proofErr w:type="spellEnd"/>
      <w:r w:rsidRPr="00BB46CB">
        <w:t xml:space="preserve">, D., Young, M., Miller, A.D., Treml, E., Swearer, S., Sherman, C,, Murphy, N.P., </w:t>
      </w:r>
      <w:proofErr w:type="spellStart"/>
      <w:r w:rsidRPr="00BB46CB">
        <w:t>Strugnell</w:t>
      </w:r>
      <w:proofErr w:type="spellEnd"/>
      <w:r w:rsidRPr="00BB46CB">
        <w:t xml:space="preserve">, J., </w:t>
      </w:r>
      <w:proofErr w:type="spellStart"/>
      <w:r w:rsidRPr="00BB46CB">
        <w:t>Gorfine</w:t>
      </w:r>
      <w:proofErr w:type="spellEnd"/>
      <w:r w:rsidRPr="00BB46CB">
        <w:t>, H.G. (2018) Patterns of interaction between habitat and oceanographic variables affecting the connectivity and productivity of invertebrate fisheries [Available Online: 2015-025 FRDC Draft technical report]</w:t>
      </w:r>
    </w:p>
    <w:p w14:paraId="119A7D52" w14:textId="77777777" w:rsidR="007606C7" w:rsidRPr="00BB46CB" w:rsidRDefault="007606C7" w:rsidP="007606C7">
      <w:pPr>
        <w:pStyle w:val="BodyText"/>
      </w:pPr>
      <w:r w:rsidRPr="00BB46CB">
        <w:t>Infrastructure Victoria and Aither (2018) What makes a locality attractive? Estimates of the amenity value of parks for Victoria</w:t>
      </w:r>
    </w:p>
    <w:p w14:paraId="6EC6740D" w14:textId="77777777" w:rsidR="007606C7" w:rsidRPr="00BB46CB" w:rsidRDefault="007606C7" w:rsidP="007606C7">
      <w:pPr>
        <w:pStyle w:val="BodyText"/>
      </w:pPr>
      <w:r w:rsidRPr="00BB46CB">
        <w:t>Intergovernmental Panel on Climate Change (2014) ‘Working Group III Contribution to the Fifth Assessment Report, Climate Change 2014—Mitigation’, Cambridge University Press, Cambridge, p.450.</w:t>
      </w:r>
    </w:p>
    <w:p w14:paraId="4E5EF894" w14:textId="77777777" w:rsidR="007606C7" w:rsidRPr="00BB46CB" w:rsidRDefault="007606C7" w:rsidP="007606C7">
      <w:pPr>
        <w:pStyle w:val="BodyText"/>
        <w:rPr>
          <w:rFonts w:eastAsia="Calibri"/>
        </w:rPr>
      </w:pPr>
      <w:r w:rsidRPr="00BB46CB">
        <w:rPr>
          <w:rFonts w:eastAsia="Calibri"/>
        </w:rPr>
        <w:t>Jänes et al (2020)  Quantifying fisheries enhancement from coastal vegetated ecosystems. Ecosystem Services 43  [Available Online: Quantifying fisheries enhancement from coastal vegetated ecosystems (oceanwealth.org)]</w:t>
      </w:r>
    </w:p>
    <w:p w14:paraId="2C73284C" w14:textId="77777777" w:rsidR="007606C7" w:rsidRPr="00BB46CB" w:rsidRDefault="007606C7" w:rsidP="007606C7">
      <w:pPr>
        <w:pStyle w:val="BodyText"/>
      </w:pPr>
      <w:r w:rsidRPr="00BB46CB">
        <w:t xml:space="preserve">Keith, H, Vardon, M, Stein, J, Stein J &amp; Lindenmayer, D 2017a, </w:t>
      </w:r>
      <w:r w:rsidRPr="00BB46CB">
        <w:rPr>
          <w:i/>
        </w:rPr>
        <w:t>Experimental environmental-economic accounts for the Central Highlands of Victoria: Draft technical report</w:t>
      </w:r>
      <w:r w:rsidRPr="00BB46CB">
        <w:t xml:space="preserve">, Australian National University Fenner School of Environment and Society, Canberra; Keith, H, Vardon, M, Stein, J, Stein J &amp; Lindenmayer, D 2017b, </w:t>
      </w:r>
      <w:r w:rsidRPr="00BB46CB">
        <w:rPr>
          <w:i/>
        </w:rPr>
        <w:t>Experimental environmental-economic accounts for the Central Highlands of Victoria: Appendices</w:t>
      </w:r>
      <w:r w:rsidRPr="00BB46CB">
        <w:t>, Australian National University Fenner School of Environment and Society, Canberra</w:t>
      </w:r>
    </w:p>
    <w:p w14:paraId="58DDBFFA" w14:textId="77777777" w:rsidR="007606C7" w:rsidRPr="00BB46CB" w:rsidRDefault="007606C7" w:rsidP="007606C7">
      <w:pPr>
        <w:pStyle w:val="BodyText"/>
      </w:pPr>
      <w:r w:rsidRPr="00BB46CB">
        <w:t>Kirkpatrick (2012) The Economic Value of Natural and Built Coastal Assets Part 2: Built Coastal Assets</w:t>
      </w:r>
    </w:p>
    <w:p w14:paraId="4E1AC7E4" w14:textId="77777777" w:rsidR="007606C7" w:rsidRPr="00BB46CB" w:rsidRDefault="007606C7" w:rsidP="007606C7">
      <w:pPr>
        <w:pStyle w:val="BodyText"/>
      </w:pPr>
      <w:r w:rsidRPr="00BB46CB">
        <w:t xml:space="preserve">KPMG (1997) The Bays Asset Management Study. </w:t>
      </w:r>
      <w:r w:rsidRPr="00BB46CB">
        <w:rPr>
          <w:rFonts w:eastAsia="Calibri"/>
        </w:rPr>
        <w:t>Department of State Development</w:t>
      </w:r>
    </w:p>
    <w:p w14:paraId="74734925" w14:textId="77777777" w:rsidR="007606C7" w:rsidRPr="00BB46CB" w:rsidRDefault="007606C7" w:rsidP="007606C7">
      <w:pPr>
        <w:pStyle w:val="BodyText"/>
      </w:pPr>
      <w:r w:rsidRPr="00BB46CB">
        <w:t>Life Saving Victoria (2014), Annual Report 2013-14</w:t>
      </w:r>
    </w:p>
    <w:p w14:paraId="05CA100C" w14:textId="395DC5B8" w:rsidR="007606C7" w:rsidRPr="00BB46CB" w:rsidRDefault="007606C7" w:rsidP="007606C7">
      <w:pPr>
        <w:pStyle w:val="BodyText"/>
        <w:rPr>
          <w:u w:val="single"/>
        </w:rPr>
      </w:pPr>
      <w:r w:rsidRPr="00BB46CB">
        <w:lastRenderedPageBreak/>
        <w:t xml:space="preserve">Mace (2014) Towards a Framework for Defining and Measuring Changes in Natural Capital [Available Online: </w:t>
      </w:r>
      <w:hyperlink r:id="rId305" w:history="1">
        <w:r w:rsidRPr="00BB46CB">
          <w:rPr>
            <w:rStyle w:val="Hyperlink"/>
          </w:rPr>
          <w:t>http://nebula.wsimg.com/9d9fdbbf3bf3b8ed5c7de3bdd3a62dc3?AccessKeyId=68F83A8E994328D64D3D&amp;disposition=0&amp;alloworigin=1</w:t>
        </w:r>
      </w:hyperlink>
      <w:r w:rsidRPr="00BB46CB">
        <w:rPr>
          <w:u w:val="single"/>
        </w:rPr>
        <w:t xml:space="preserve">] </w:t>
      </w:r>
    </w:p>
    <w:p w14:paraId="33D65CB9" w14:textId="77777777" w:rsidR="007606C7" w:rsidRPr="00BB46CB" w:rsidRDefault="007606C7" w:rsidP="007606C7">
      <w:pPr>
        <w:pStyle w:val="BodyText"/>
      </w:pPr>
      <w:r w:rsidRPr="00BB46CB">
        <w:t xml:space="preserve">Martínez-Harms, M. J. &amp; Balvanera, P. Methods for mapping ecosystem service supply: a review. Int. J. </w:t>
      </w:r>
      <w:proofErr w:type="spellStart"/>
      <w:r w:rsidRPr="00BB46CB">
        <w:t>Biodivers</w:t>
      </w:r>
      <w:proofErr w:type="spellEnd"/>
      <w:r w:rsidRPr="00BB46CB">
        <w:t xml:space="preserve">. Sci. </w:t>
      </w:r>
      <w:proofErr w:type="spellStart"/>
      <w:r w:rsidRPr="00BB46CB">
        <w:t>Ecosyst</w:t>
      </w:r>
      <w:proofErr w:type="spellEnd"/>
      <w:r w:rsidRPr="00BB46CB">
        <w:t>. Serv. Manag. 8, 17–25 (2012).</w:t>
      </w:r>
    </w:p>
    <w:p w14:paraId="41B0002C" w14:textId="77777777" w:rsidR="007606C7" w:rsidRPr="00BB46CB" w:rsidRDefault="007606C7" w:rsidP="007606C7">
      <w:pPr>
        <w:pStyle w:val="BodyText"/>
      </w:pPr>
      <w:r w:rsidRPr="00BB46CB">
        <w:t xml:space="preserve">Marsden Jacob Associates (2016), Victoria’s nature-based outdoor economy </w:t>
      </w:r>
    </w:p>
    <w:p w14:paraId="18035F18" w14:textId="77777777" w:rsidR="007606C7" w:rsidRPr="00BB46CB" w:rsidRDefault="007606C7" w:rsidP="007606C7">
      <w:pPr>
        <w:pStyle w:val="BodyText"/>
      </w:pPr>
      <w:r w:rsidRPr="00BB46CB">
        <w:t>Medibank (2008) The cost of physical inactivity</w:t>
      </w:r>
    </w:p>
    <w:p w14:paraId="5463DDA8" w14:textId="77777777" w:rsidR="007606C7" w:rsidRPr="00BB46CB" w:rsidRDefault="007606C7" w:rsidP="007606C7">
      <w:pPr>
        <w:pStyle w:val="BodyText"/>
      </w:pPr>
      <w:r w:rsidRPr="00BB46CB">
        <w:t>Mekala et al. (2015) Valuing the Benefits of Creek Rehabilitation</w:t>
      </w:r>
    </w:p>
    <w:p w14:paraId="163B49E1" w14:textId="77777777" w:rsidR="007606C7" w:rsidRPr="00BB46CB" w:rsidRDefault="007606C7" w:rsidP="007606C7">
      <w:pPr>
        <w:pStyle w:val="BodyText"/>
      </w:pPr>
      <w:r w:rsidRPr="00BB46CB">
        <w:t>Melbourne Water (2014) Stormwater offset rate increase: Questions and answers.</w:t>
      </w:r>
    </w:p>
    <w:p w14:paraId="7B8DFA07" w14:textId="77777777" w:rsidR="007606C7" w:rsidRPr="00BB46CB" w:rsidRDefault="007606C7" w:rsidP="007606C7">
      <w:pPr>
        <w:pStyle w:val="BodyText"/>
      </w:pPr>
      <w:r w:rsidRPr="00BB46CB">
        <w:t>Milon, J. W. and, S. (2019) The Elusive Quest for Valuation of Coastal and Marine Ecosystem Services</w:t>
      </w:r>
    </w:p>
    <w:p w14:paraId="10BDCEB7" w14:textId="77777777" w:rsidR="007606C7" w:rsidRPr="00BB46CB" w:rsidRDefault="007606C7" w:rsidP="007606C7">
      <w:pPr>
        <w:pStyle w:val="BodyText"/>
      </w:pPr>
      <w:r w:rsidRPr="00BB46CB">
        <w:t>Mourato et al. (2011) UK National Economic Assessment: Assessment of Ecosystem Related UK Cultural Services</w:t>
      </w:r>
    </w:p>
    <w:p w14:paraId="5CAFF2CF" w14:textId="77777777" w:rsidR="007606C7" w:rsidRPr="00BB46CB" w:rsidRDefault="007606C7" w:rsidP="007606C7">
      <w:pPr>
        <w:pStyle w:val="BodyText"/>
      </w:pPr>
      <w:r w:rsidRPr="00BB46CB">
        <w:t xml:space="preserve">Naber at </w:t>
      </w:r>
      <w:proofErr w:type="spellStart"/>
      <w:r w:rsidRPr="00BB46CB">
        <w:t>al</w:t>
      </w:r>
      <w:proofErr w:type="spellEnd"/>
      <w:r w:rsidRPr="00BB46CB">
        <w:t xml:space="preserve"> (2008) Valuation of Marine Ecosystem Services: A Gap Analysis</w:t>
      </w:r>
    </w:p>
    <w:p w14:paraId="6502CF1B" w14:textId="77777777" w:rsidR="007606C7" w:rsidRPr="00BB46CB" w:rsidRDefault="007606C7" w:rsidP="007606C7">
      <w:pPr>
        <w:pStyle w:val="BodyText"/>
      </w:pPr>
      <w:r w:rsidRPr="00BB46CB">
        <w:t>Nathan Associates Inc. (2017) Assessing the Economic Value of Natural Infrastructure in Coastal Ecosystems for Disaster Risk Reduction, Response and Coastal Resilience in APEC Region</w:t>
      </w:r>
    </w:p>
    <w:p w14:paraId="37D02BD5" w14:textId="370EE9D8" w:rsidR="007606C7" w:rsidRPr="00BB46CB" w:rsidRDefault="007606C7" w:rsidP="007606C7">
      <w:pPr>
        <w:pStyle w:val="BodyText"/>
      </w:pPr>
      <w:r w:rsidRPr="00BB46CB">
        <w:t xml:space="preserve">Natural Capital Project (n.d.) </w:t>
      </w:r>
      <w:proofErr w:type="spellStart"/>
      <w:r w:rsidRPr="00BB46CB">
        <w:t>InVEST</w:t>
      </w:r>
      <w:proofErr w:type="spellEnd"/>
      <w:r w:rsidRPr="00BB46CB">
        <w:t xml:space="preserve"> [Available Online: </w:t>
      </w:r>
      <w:hyperlink r:id="rId306" w:history="1">
        <w:proofErr w:type="spellStart"/>
        <w:r w:rsidRPr="00BB46CB">
          <w:rPr>
            <w:rStyle w:val="Hyperlink"/>
          </w:rPr>
          <w:t>InVEST</w:t>
        </w:r>
        <w:proofErr w:type="spellEnd"/>
        <w:r w:rsidRPr="00BB46CB">
          <w:rPr>
            <w:rStyle w:val="Hyperlink"/>
          </w:rPr>
          <w:t xml:space="preserve"> | Natural Capital Project (stanford.edu)</w:t>
        </w:r>
      </w:hyperlink>
      <w:r w:rsidRPr="00BB46CB">
        <w:t>]</w:t>
      </w:r>
    </w:p>
    <w:p w14:paraId="482E48DE" w14:textId="44259628" w:rsidR="007606C7" w:rsidRPr="00BB46CB" w:rsidRDefault="007606C7" w:rsidP="007606C7">
      <w:pPr>
        <w:pStyle w:val="BodyText"/>
      </w:pPr>
      <w:r w:rsidRPr="00BB46CB">
        <w:t xml:space="preserve">Natural Capital Project (2015) </w:t>
      </w:r>
      <w:hyperlink r:id="rId307" w:history="1">
        <w:r w:rsidRPr="00BB46CB">
          <w:rPr>
            <w:rStyle w:val="Hyperlink"/>
          </w:rPr>
          <w:t xml:space="preserve">Introduction to the </w:t>
        </w:r>
        <w:proofErr w:type="spellStart"/>
        <w:r w:rsidRPr="00BB46CB">
          <w:rPr>
            <w:rStyle w:val="Hyperlink"/>
          </w:rPr>
          <w:t>InVEST</w:t>
        </w:r>
        <w:proofErr w:type="spellEnd"/>
        <w:r w:rsidRPr="00BB46CB">
          <w:rPr>
            <w:rStyle w:val="Hyperlink"/>
          </w:rPr>
          <w:t xml:space="preserve"> Coastal Protection Toolbox: Nearshore Waves &amp; Erosion Model - YouTube</w:t>
        </w:r>
      </w:hyperlink>
    </w:p>
    <w:p w14:paraId="32AE5938" w14:textId="77777777" w:rsidR="007606C7" w:rsidRPr="00BB46CB" w:rsidRDefault="007606C7" w:rsidP="007606C7">
      <w:pPr>
        <w:pStyle w:val="BodyText"/>
      </w:pPr>
      <w:r w:rsidRPr="00BB46CB">
        <w:t>Natural Decision (n.d.) Economic Return on Investment for Environmental Volunteering in Victoria. Report for Parks Victoria</w:t>
      </w:r>
    </w:p>
    <w:p w14:paraId="65A19AC0" w14:textId="77777777" w:rsidR="007606C7" w:rsidRPr="00BB46CB" w:rsidRDefault="007606C7" w:rsidP="007606C7">
      <w:pPr>
        <w:pStyle w:val="BodyText"/>
      </w:pPr>
      <w:proofErr w:type="spellStart"/>
      <w:r w:rsidRPr="00BB46CB">
        <w:t>NCEconomics</w:t>
      </w:r>
      <w:proofErr w:type="spellEnd"/>
      <w:r w:rsidRPr="00BB46CB">
        <w:t xml:space="preserve"> (2018) Heatwaves in Victoria: a vulnerability assessment</w:t>
      </w:r>
    </w:p>
    <w:p w14:paraId="03BA96B0" w14:textId="77777777" w:rsidR="007606C7" w:rsidRPr="00BB46CB" w:rsidRDefault="007606C7" w:rsidP="007606C7">
      <w:pPr>
        <w:pStyle w:val="BodyText"/>
      </w:pPr>
      <w:r w:rsidRPr="00BB46CB">
        <w:t xml:space="preserve">Office of Commissioner for Environmental Sustainability (OCES) (2018) State of the Forests 2018,  </w:t>
      </w:r>
    </w:p>
    <w:p w14:paraId="283396BC" w14:textId="680DAEA3" w:rsidR="007606C7" w:rsidRPr="00BB46CB" w:rsidRDefault="007606C7" w:rsidP="007606C7">
      <w:pPr>
        <w:pStyle w:val="BodyText"/>
      </w:pPr>
      <w:r w:rsidRPr="00BB46CB">
        <w:t xml:space="preserve">ONS (2016) Scoping UK coastal margin environmental-economic accounts [Available Online: </w:t>
      </w:r>
      <w:hyperlink r:id="rId308" w:history="1">
        <w:r w:rsidRPr="00BB46CB">
          <w:rPr>
            <w:rStyle w:val="Hyperlink"/>
          </w:rPr>
          <w:t>Scoping UK coastal margin environmental-economic accounts - Office for National Statistics (ons.gov.uk)</w:t>
        </w:r>
      </w:hyperlink>
      <w:r w:rsidRPr="00BB46CB">
        <w:t>]</w:t>
      </w:r>
    </w:p>
    <w:p w14:paraId="5E2A77FF" w14:textId="77777777" w:rsidR="007606C7" w:rsidRPr="00BB46CB" w:rsidRDefault="007606C7" w:rsidP="007606C7">
      <w:pPr>
        <w:pStyle w:val="BodyText"/>
      </w:pPr>
      <w:r w:rsidRPr="00BB46CB">
        <w:t>ONS (2018) UK Natural Capital: interim review and revised 2020 roadmap [Available Online:</w:t>
      </w:r>
    </w:p>
    <w:p w14:paraId="1E4A5957" w14:textId="24450F7A" w:rsidR="007606C7" w:rsidRPr="00BB46CB" w:rsidRDefault="007606C7" w:rsidP="007606C7">
      <w:pPr>
        <w:pStyle w:val="BodyText"/>
      </w:pPr>
      <w:hyperlink r:id="rId309" w:history="1">
        <w:r w:rsidRPr="00BB46CB">
          <w:rPr>
            <w:rStyle w:val="Hyperlink"/>
          </w:rPr>
          <w:t>https://www.ons.gov.uk/economy/environmentalaccounts/methodologies/uknaturalcapitalinterimreviewandrevised2020roadmap</w:t>
        </w:r>
      </w:hyperlink>
      <w:r w:rsidRPr="00BB46CB">
        <w:rPr>
          <w:u w:val="single"/>
        </w:rPr>
        <w:t>]</w:t>
      </w:r>
    </w:p>
    <w:p w14:paraId="25522112" w14:textId="77777777" w:rsidR="007606C7" w:rsidRPr="00BB46CB" w:rsidRDefault="007606C7" w:rsidP="007606C7">
      <w:pPr>
        <w:pStyle w:val="BodyText"/>
      </w:pPr>
      <w:r w:rsidRPr="00BB46CB">
        <w:t>PAE Holmes (2013) Methodology for valuing the health impacts of changes in particle emissions</w:t>
      </w:r>
    </w:p>
    <w:p w14:paraId="5ACB676F" w14:textId="378CC7AD" w:rsidR="007606C7" w:rsidRPr="00BB46CB" w:rsidRDefault="007606C7" w:rsidP="007606C7">
      <w:pPr>
        <w:pStyle w:val="BodyText"/>
      </w:pPr>
      <w:r w:rsidRPr="00BB46CB">
        <w:t>Parks Victoria (n.d.) Conservation and Science [Available Online:</w:t>
      </w:r>
      <w:hyperlink r:id="rId310" w:anchor=":~:text=The%20ecosystems%20found%20in%20Victoria,and%20948%20native%20animal%20species." w:history="1">
        <w:r w:rsidRPr="00BB46CB">
          <w:rPr>
            <w:rStyle w:val="Hyperlink"/>
          </w:rPr>
          <w:t>https://www.parks.vic.gov.au/get-into-nature/conservation-and-science#:~:text=The%20ecosystems%20found%20in%20Victoria,and%20948%20native%20animal%20species.</w:t>
        </w:r>
      </w:hyperlink>
    </w:p>
    <w:p w14:paraId="484BFA7F" w14:textId="77777777" w:rsidR="007606C7" w:rsidRPr="00BB46CB" w:rsidRDefault="007606C7" w:rsidP="007606C7">
      <w:pPr>
        <w:pStyle w:val="BodyText"/>
      </w:pPr>
      <w:r w:rsidRPr="00BB46CB">
        <w:t>Parry et al. (2014) Getting energy prices right: From principle to practice</w:t>
      </w:r>
    </w:p>
    <w:p w14:paraId="25D5A691" w14:textId="77777777" w:rsidR="007606C7" w:rsidRPr="00BB46CB" w:rsidRDefault="007606C7" w:rsidP="007606C7">
      <w:pPr>
        <w:pStyle w:val="BodyText"/>
      </w:pPr>
      <w:r w:rsidRPr="00BB46CB">
        <w:t xml:space="preserve">Port Phillip and Westernport CMA (2015) </w:t>
      </w:r>
      <w:r w:rsidRPr="00BB46CB">
        <w:rPr>
          <w:i/>
        </w:rPr>
        <w:t>The distribution and abundance of ‘blue carbon’ within Port Phillip and Westernport</w:t>
      </w:r>
    </w:p>
    <w:p w14:paraId="1063C6A5" w14:textId="77777777" w:rsidR="007606C7" w:rsidRPr="00BB46CB" w:rsidRDefault="007606C7" w:rsidP="007606C7">
      <w:pPr>
        <w:pStyle w:val="BodyText"/>
      </w:pPr>
      <w:r w:rsidRPr="00BB46CB">
        <w:t xml:space="preserve">Quantum Market Research (2019) Understanding state forest visitation and tourism for DELWP </w:t>
      </w:r>
    </w:p>
    <w:p w14:paraId="5EC863BC" w14:textId="77777777" w:rsidR="007606C7" w:rsidRPr="00BB46CB" w:rsidRDefault="007606C7" w:rsidP="007606C7">
      <w:pPr>
        <w:pStyle w:val="BodyText"/>
      </w:pPr>
      <w:r w:rsidRPr="00BB46CB">
        <w:t>Raybould et al (2013) Beach and surf tourism and recreation in Australia: Vulnerability and adaptation</w:t>
      </w:r>
    </w:p>
    <w:p w14:paraId="48A6FB30" w14:textId="77777777" w:rsidR="007606C7" w:rsidRPr="00BB46CB" w:rsidRDefault="007606C7" w:rsidP="007606C7">
      <w:pPr>
        <w:pStyle w:val="BodyText"/>
      </w:pPr>
      <w:r w:rsidRPr="00BB46CB">
        <w:t>Read et al (1999) Economic assessment of the recreational values of Victorian Parks</w:t>
      </w:r>
    </w:p>
    <w:p w14:paraId="48FF3CC0" w14:textId="3EC9A1F9" w:rsidR="007606C7" w:rsidRPr="00BB46CB" w:rsidRDefault="007606C7" w:rsidP="007606C7">
      <w:pPr>
        <w:pStyle w:val="BodyText"/>
        <w:rPr>
          <w:rFonts w:eastAsia="Calibri"/>
        </w:rPr>
      </w:pPr>
      <w:r w:rsidRPr="00BB46CB">
        <w:rPr>
          <w:rFonts w:eastAsia="Calibri"/>
        </w:rPr>
        <w:t xml:space="preserve">RIRDC (2008) Australian honeybee industry survey, 2006-07. RIRDC Publication No. 08/170 [Available Online: </w:t>
      </w:r>
      <w:hyperlink r:id="rId311" w:history="1">
        <w:r w:rsidRPr="00BB46CB">
          <w:rPr>
            <w:rStyle w:val="Hyperlink"/>
            <w:rFonts w:eastAsia="Calibri"/>
          </w:rPr>
          <w:t xml:space="preserve">Microsoft Word - </w:t>
        </w:r>
        <w:proofErr w:type="spellStart"/>
        <w:r w:rsidRPr="00BB46CB">
          <w:rPr>
            <w:rStyle w:val="Hyperlink"/>
            <w:rFonts w:eastAsia="Calibri"/>
          </w:rPr>
          <w:t>rirdc_honeybee</w:t>
        </w:r>
        <w:proofErr w:type="spellEnd"/>
        <w:r w:rsidRPr="00BB46CB">
          <w:rPr>
            <w:rStyle w:val="Hyperlink"/>
            <w:rFonts w:eastAsia="Calibri"/>
          </w:rPr>
          <w:t xml:space="preserve"> report v6 PUBLICATIONS COPY (agrifutures.com.au)</w:t>
        </w:r>
      </w:hyperlink>
      <w:r w:rsidRPr="00BB46CB">
        <w:rPr>
          <w:rFonts w:eastAsia="Calibri"/>
        </w:rPr>
        <w:t>]</w:t>
      </w:r>
    </w:p>
    <w:p w14:paraId="02CA6333" w14:textId="77777777" w:rsidR="007606C7" w:rsidRPr="00BB46CB" w:rsidRDefault="007606C7" w:rsidP="007606C7">
      <w:pPr>
        <w:pStyle w:val="BodyText"/>
      </w:pPr>
      <w:proofErr w:type="spellStart"/>
      <w:r w:rsidRPr="00BB46CB">
        <w:t>Salcone</w:t>
      </w:r>
      <w:proofErr w:type="spellEnd"/>
      <w:r w:rsidRPr="00BB46CB">
        <w:t xml:space="preserve"> J, L Brander, A Seidl (2016) Guidance manual on economic valuation of marine and coastal ecosystem services in the Pacific. Report to the MACBIO Project (GIZ, IUCN, SPREP): Suva, Fiji</w:t>
      </w:r>
    </w:p>
    <w:p w14:paraId="294C6003" w14:textId="77777777" w:rsidR="007606C7" w:rsidRPr="00BB46CB" w:rsidRDefault="007606C7" w:rsidP="007606C7">
      <w:pPr>
        <w:pStyle w:val="BodyText"/>
      </w:pPr>
      <w:r w:rsidRPr="00BB46CB">
        <w:t>Schirmer, J., Mylek, M., Magnusson, A., Yabsley, B., and Morison, J. (2018) Socio-economic impacts of the forest industry – Victoria (exc. the Green Triangle). University of Canberra, Canberra, p. 3.</w:t>
      </w:r>
    </w:p>
    <w:p w14:paraId="720C2DAE" w14:textId="77777777" w:rsidR="007606C7" w:rsidRPr="00BB46CB" w:rsidRDefault="007606C7" w:rsidP="007606C7">
      <w:pPr>
        <w:pStyle w:val="BodyText"/>
      </w:pPr>
      <w:r w:rsidRPr="00BB46CB">
        <w:t>Sinden (1990) Valuation of the Recreational Benefits of River Management</w:t>
      </w:r>
    </w:p>
    <w:p w14:paraId="58414DD7" w14:textId="77777777" w:rsidR="007606C7" w:rsidRPr="00BB46CB" w:rsidRDefault="007606C7" w:rsidP="007606C7">
      <w:pPr>
        <w:pStyle w:val="BodyText"/>
      </w:pPr>
    </w:p>
    <w:p w14:paraId="5C542505" w14:textId="77777777" w:rsidR="007606C7" w:rsidRPr="00BB46CB" w:rsidRDefault="007606C7" w:rsidP="007606C7">
      <w:pPr>
        <w:pStyle w:val="BodyText"/>
      </w:pPr>
      <w:proofErr w:type="spellStart"/>
      <w:r w:rsidRPr="00BB46CB">
        <w:t>Skirtun</w:t>
      </w:r>
      <w:proofErr w:type="spellEnd"/>
      <w:r w:rsidRPr="00BB46CB">
        <w:t xml:space="preserve"> et al (2012) Australian fisheries statistics 2011</w:t>
      </w:r>
      <w:r w:rsidRPr="00BB46CB">
        <w:rPr>
          <w:rFonts w:eastAsia="Calibri"/>
        </w:rPr>
        <w:t>, ABARES [Available Online: AustFishStats_2011_v1.2.0.pdf (daff.gov.au)]</w:t>
      </w:r>
    </w:p>
    <w:p w14:paraId="231D0A95" w14:textId="77777777" w:rsidR="007606C7" w:rsidRPr="00BB46CB" w:rsidRDefault="007606C7" w:rsidP="007606C7">
      <w:pPr>
        <w:pStyle w:val="BodyText"/>
      </w:pPr>
      <w:r w:rsidRPr="00BB46CB">
        <w:t>Sommerville, P. (2020) Benefits beyond boundaries: The true value of research in Victoria’s parks and reserves. Draft technical report for Parks Victoria</w:t>
      </w:r>
    </w:p>
    <w:p w14:paraId="2C2BC0D5" w14:textId="77777777" w:rsidR="007606C7" w:rsidRPr="00BB46CB" w:rsidRDefault="007606C7" w:rsidP="007606C7">
      <w:pPr>
        <w:pStyle w:val="BodyText"/>
      </w:pPr>
      <w:r w:rsidRPr="00BB46CB">
        <w:t>Sousa et al (2016) Ecosystem services provided by a complex coastal region: challenges of classification and mapping</w:t>
      </w:r>
    </w:p>
    <w:p w14:paraId="259188E4" w14:textId="77777777" w:rsidR="007606C7" w:rsidRPr="00BB46CB" w:rsidRDefault="007606C7" w:rsidP="007606C7">
      <w:pPr>
        <w:pStyle w:val="BodyText"/>
      </w:pPr>
      <w:r w:rsidRPr="00BB46CB">
        <w:t>Stare, J., (2021) https://www.lightpollutionmap.info/</w:t>
      </w:r>
    </w:p>
    <w:p w14:paraId="5B3D60AD" w14:textId="77777777" w:rsidR="007606C7" w:rsidRPr="00BB46CB" w:rsidRDefault="007606C7" w:rsidP="007606C7">
      <w:pPr>
        <w:pStyle w:val="BodyText"/>
      </w:pPr>
      <w:r w:rsidRPr="00BB46CB">
        <w:t>Surf Coast Shire (2019) Visitor Insights 2019</w:t>
      </w:r>
    </w:p>
    <w:p w14:paraId="5CB2C27C" w14:textId="3477EEC4" w:rsidR="007606C7" w:rsidRPr="00BB46CB" w:rsidRDefault="007606C7" w:rsidP="007606C7">
      <w:pPr>
        <w:pStyle w:val="BodyText"/>
      </w:pPr>
      <w:r w:rsidRPr="00BB46CB">
        <w:br/>
        <w:t>The Nature Conservancy et al, (</w:t>
      </w:r>
      <w:proofErr w:type="spellStart"/>
      <w:r w:rsidRPr="00BB46CB">
        <w:t>n.d</w:t>
      </w:r>
      <w:proofErr w:type="spellEnd"/>
      <w:r w:rsidRPr="00BB46CB">
        <w:t xml:space="preserve">) </w:t>
      </w:r>
      <w:hyperlink r:id="rId312" w:history="1">
        <w:r w:rsidRPr="00BB46CB">
          <w:rPr>
            <w:rStyle w:val="Hyperlink"/>
          </w:rPr>
          <w:t>Mapping Ocean Wealth Explorer | Mapping Ocean Ecosystem Services</w:t>
        </w:r>
      </w:hyperlink>
    </w:p>
    <w:p w14:paraId="50DBEFA1" w14:textId="0CD7C961" w:rsidR="007606C7" w:rsidRPr="00BB46CB" w:rsidRDefault="007606C7" w:rsidP="007606C7">
      <w:pPr>
        <w:pStyle w:val="BodyText"/>
      </w:pPr>
      <w:r w:rsidRPr="00BB46CB">
        <w:t xml:space="preserve">Topeto (2019) Status of Samoa’s Ocean Account ‘PILOT’ Project  [Available Online: </w:t>
      </w:r>
      <w:hyperlink r:id="rId313" w:history="1">
        <w:r w:rsidRPr="00BB46CB">
          <w:rPr>
            <w:rStyle w:val="Hyperlink"/>
          </w:rPr>
          <w:t>https://seea.un.org/sites/seea.un.org/files/samoa_oa_pilot_presentation_final.pdf</w:t>
        </w:r>
      </w:hyperlink>
      <w:r w:rsidRPr="00BB46CB">
        <w:t>]</w:t>
      </w:r>
    </w:p>
    <w:p w14:paraId="2084D280" w14:textId="77777777" w:rsidR="007606C7" w:rsidRPr="00BB46CB" w:rsidRDefault="007606C7" w:rsidP="007606C7">
      <w:pPr>
        <w:pStyle w:val="BodyText"/>
      </w:pPr>
      <w:r w:rsidRPr="00BB46CB">
        <w:t>Tourism Research Australia (2013) Great Ocean Road Visitor Profile and Satisfaction Report</w:t>
      </w:r>
    </w:p>
    <w:p w14:paraId="228C3844" w14:textId="3A93F6A6" w:rsidR="007606C7" w:rsidRPr="00BB46CB" w:rsidRDefault="007606C7" w:rsidP="007606C7">
      <w:pPr>
        <w:pStyle w:val="BodyText"/>
      </w:pPr>
      <w:r w:rsidRPr="00BB46CB">
        <w:t xml:space="preserve">TRA (2021) Regional Tourism Satellite Accounts 2018-19 [Available Online </w:t>
      </w:r>
      <w:hyperlink r:id="rId314" w:history="1">
        <w:r w:rsidRPr="00BB46CB">
          <w:rPr>
            <w:rStyle w:val="Hyperlink"/>
          </w:rPr>
          <w:t>Regional Tourism Satellite Accounts | Tourism Research Australia</w:t>
        </w:r>
      </w:hyperlink>
      <w:r w:rsidRPr="00BB46CB">
        <w:t>]</w:t>
      </w:r>
    </w:p>
    <w:p w14:paraId="78575248" w14:textId="53D73003" w:rsidR="007606C7" w:rsidRPr="00BB46CB" w:rsidRDefault="007606C7" w:rsidP="007606C7">
      <w:pPr>
        <w:pStyle w:val="BodyText"/>
        <w:rPr>
          <w:u w:val="single"/>
        </w:rPr>
      </w:pPr>
      <w:r w:rsidRPr="00BB46CB">
        <w:t xml:space="preserve">TRA (2021) Local Government Area Profiles </w:t>
      </w:r>
      <w:hyperlink r:id="rId315" w:history="1">
        <w:r w:rsidRPr="00BB46CB">
          <w:rPr>
            <w:rStyle w:val="Hyperlink"/>
          </w:rPr>
          <w:t>https://www.tra.gov.au/Regional/local-government-area-profiles</w:t>
        </w:r>
      </w:hyperlink>
    </w:p>
    <w:p w14:paraId="48FC7C3B" w14:textId="77777777" w:rsidR="007606C7" w:rsidRPr="00BB46CB" w:rsidRDefault="007606C7" w:rsidP="007606C7">
      <w:pPr>
        <w:pStyle w:val="BodyText"/>
      </w:pPr>
      <w:proofErr w:type="spellStart"/>
      <w:r w:rsidRPr="00BB46CB">
        <w:t>Trailforks</w:t>
      </w:r>
      <w:proofErr w:type="spellEnd"/>
      <w:r w:rsidRPr="00BB46CB">
        <w:t xml:space="preserve"> (2021) https://www.trailforks.com/</w:t>
      </w:r>
    </w:p>
    <w:p w14:paraId="1936C8D0" w14:textId="6C9A7225" w:rsidR="007606C7" w:rsidRPr="00BB46CB" w:rsidRDefault="007606C7" w:rsidP="007606C7">
      <w:pPr>
        <w:pStyle w:val="BodyText"/>
      </w:pPr>
      <w:r w:rsidRPr="00BB46CB">
        <w:t xml:space="preserve">Tourism Victoria (2014) </w:t>
      </w:r>
      <w:r w:rsidRPr="00BB46CB">
        <w:rPr>
          <w:i/>
        </w:rPr>
        <w:t>Economic importance of tourism in Victoria’s regions</w:t>
      </w:r>
      <w:r w:rsidRPr="00BB46CB">
        <w:t xml:space="preserve">, available at </w:t>
      </w:r>
      <w:hyperlink r:id="rId316" w:history="1">
        <w:r w:rsidRPr="00BB46CB">
          <w:rPr>
            <w:rStyle w:val="Hyperlink"/>
          </w:rPr>
          <w:t>http://www.tourism.vic.gov.au/research/economic-significance.html</w:t>
        </w:r>
      </w:hyperlink>
      <w:r w:rsidRPr="00BB46CB">
        <w:t>,</w:t>
      </w:r>
    </w:p>
    <w:p w14:paraId="65C2A42F" w14:textId="77777777" w:rsidR="007606C7" w:rsidRPr="00BB46CB" w:rsidRDefault="007606C7" w:rsidP="007606C7">
      <w:pPr>
        <w:pStyle w:val="BodyText"/>
      </w:pPr>
      <w:r w:rsidRPr="00BB46CB">
        <w:t>Tourism Victoria (2012) Victoria market profile year ending June 2012</w:t>
      </w:r>
    </w:p>
    <w:p w14:paraId="772189FE" w14:textId="77777777" w:rsidR="007606C7" w:rsidRPr="00BB46CB" w:rsidRDefault="007606C7" w:rsidP="007606C7">
      <w:pPr>
        <w:pStyle w:val="BodyText"/>
      </w:pPr>
      <w:r w:rsidRPr="00BB46CB">
        <w:t>United Nations (2019) Global Ocean Accounts Partnership. Technical Guidance on Ocean Accounting for Sustainable Development</w:t>
      </w:r>
    </w:p>
    <w:p w14:paraId="5CB7DD31" w14:textId="095F2A56" w:rsidR="007606C7" w:rsidRPr="00BB46CB" w:rsidRDefault="007606C7" w:rsidP="007606C7">
      <w:pPr>
        <w:pStyle w:val="BodyText"/>
      </w:pPr>
      <w:r w:rsidRPr="00BB46CB">
        <w:t xml:space="preserve">UN et al. (2012) System of Environmental-Economic Accounts – Experimental Environmental-economic accounts [Available Online: </w:t>
      </w:r>
      <w:hyperlink r:id="rId317" w:history="1">
        <w:r w:rsidRPr="00BB46CB">
          <w:rPr>
            <w:rStyle w:val="Hyperlink"/>
          </w:rPr>
          <w:t>https://seea.un.org/sites/seea.un.org/files/seea_eea_final_en_1.pdf</w:t>
        </w:r>
      </w:hyperlink>
      <w:r w:rsidRPr="00BB46CB">
        <w:t>]</w:t>
      </w:r>
    </w:p>
    <w:p w14:paraId="14AD8DD3" w14:textId="1AE1C67E" w:rsidR="007606C7" w:rsidRPr="00BB46CB" w:rsidRDefault="007606C7" w:rsidP="007606C7">
      <w:pPr>
        <w:pStyle w:val="BodyText"/>
      </w:pPr>
      <w:r w:rsidRPr="00BB46CB">
        <w:t>UN et al (</w:t>
      </w:r>
      <w:proofErr w:type="spellStart"/>
      <w:r w:rsidRPr="00BB46CB">
        <w:t>n.d</w:t>
      </w:r>
      <w:proofErr w:type="spellEnd"/>
      <w:r w:rsidRPr="00BB46CB">
        <w:t xml:space="preserve">) Technical Recommendations in support of the System of Environmental-Economic Accounting 2012 [Available Online: </w:t>
      </w:r>
      <w:hyperlink r:id="rId318" w:history="1">
        <w:r w:rsidRPr="00BB46CB">
          <w:rPr>
            <w:rStyle w:val="Hyperlink"/>
          </w:rPr>
          <w:t>https://seea.un.org/sites/seea.un.org/files/technical_recommendations_in_support_of_the_seea_eea_final_white_cover.pdf</w:t>
        </w:r>
      </w:hyperlink>
      <w:r w:rsidRPr="00BB46CB">
        <w:rPr>
          <w:u w:val="single"/>
        </w:rPr>
        <w:t>]</w:t>
      </w:r>
    </w:p>
    <w:p w14:paraId="61269624" w14:textId="2DE5D478" w:rsidR="007606C7" w:rsidRPr="00BB46CB" w:rsidRDefault="007606C7" w:rsidP="007606C7">
      <w:pPr>
        <w:pStyle w:val="BodyText"/>
      </w:pPr>
      <w:r w:rsidRPr="00BB46CB">
        <w:t xml:space="preserve">UN et al (2018) SEEA Experimental Environmental-economic accounting Revision 2020. Revision Issue Note – Final. [Available Online: </w:t>
      </w:r>
      <w:hyperlink r:id="rId319" w:history="1">
        <w:r w:rsidRPr="00BB46CB">
          <w:rPr>
            <w:rStyle w:val="Hyperlink"/>
          </w:rPr>
          <w:t>https://seea.un.org/sites/seea.un.org/files/documents/EEA/eea_2020_revision_issue_final_jul2018.pdf</w:t>
        </w:r>
      </w:hyperlink>
      <w:r w:rsidRPr="00BB46CB">
        <w:t>]</w:t>
      </w:r>
    </w:p>
    <w:p w14:paraId="205ACFA7" w14:textId="77777777" w:rsidR="007606C7" w:rsidRPr="00BB46CB" w:rsidRDefault="007606C7" w:rsidP="007606C7">
      <w:pPr>
        <w:pStyle w:val="BodyText"/>
      </w:pPr>
      <w:r w:rsidRPr="00BB46CB">
        <w:t>UN et al (2021) System of Environmental-Economic Accounting—Environmental-economic accounting:</w:t>
      </w:r>
    </w:p>
    <w:p w14:paraId="56DCF4B6" w14:textId="6B4B0FFA" w:rsidR="007606C7" w:rsidRPr="00BB46CB" w:rsidRDefault="007606C7" w:rsidP="007606C7">
      <w:pPr>
        <w:pStyle w:val="BodyText"/>
        <w:rPr>
          <w:u w:val="single"/>
        </w:rPr>
      </w:pPr>
      <w:r w:rsidRPr="00BB46CB">
        <w:t xml:space="preserve">Final Draft [Available Online: </w:t>
      </w:r>
      <w:hyperlink r:id="rId320" w:history="1">
        <w:r w:rsidRPr="00BB46CB">
          <w:rPr>
            <w:rStyle w:val="Hyperlink"/>
          </w:rPr>
          <w:t>BG-3f-SEEA-EA_Final_draft-E.pdf (un.org)</w:t>
        </w:r>
      </w:hyperlink>
    </w:p>
    <w:p w14:paraId="75A4C90C" w14:textId="77777777" w:rsidR="007606C7" w:rsidRPr="00BB46CB" w:rsidRDefault="007606C7" w:rsidP="007606C7">
      <w:pPr>
        <w:pStyle w:val="BodyText"/>
      </w:pPr>
      <w:r w:rsidRPr="00BB46CB">
        <w:t>UN Economic and Social Commission for Asia and the Pacific (2018) Asia and the Pacific Regional Expert Workshop on Ocean Accounts</w:t>
      </w:r>
    </w:p>
    <w:p w14:paraId="4DC1D6E2" w14:textId="51D847E5" w:rsidR="007606C7" w:rsidRPr="00BB46CB" w:rsidRDefault="007606C7" w:rsidP="007606C7">
      <w:pPr>
        <w:pStyle w:val="BodyText"/>
      </w:pPr>
      <w:r w:rsidRPr="00BB46CB">
        <w:t xml:space="preserve">UN et al (2019) SEEA EEA Revision Expert Consultation Working group 1: Spatial units. Discussion paper 1.2: Treatment of ecosystems assets in urban areas [Available Online: </w:t>
      </w:r>
      <w:hyperlink r:id="rId321" w:history="1">
        <w:r w:rsidRPr="00BB46CB">
          <w:rPr>
            <w:rStyle w:val="Hyperlink"/>
          </w:rPr>
          <w:t>https://seea.un.org/sites/seea.un.org/files/seea_eea_revision_wg1_discussion_paper_1.2_urban_areas_0.pdf</w:t>
        </w:r>
      </w:hyperlink>
      <w:r w:rsidRPr="00BB46CB">
        <w:t>]</w:t>
      </w:r>
    </w:p>
    <w:p w14:paraId="205D69F4" w14:textId="77777777" w:rsidR="007606C7" w:rsidRPr="00BB46CB" w:rsidRDefault="007606C7" w:rsidP="007606C7">
      <w:pPr>
        <w:pStyle w:val="BodyText"/>
      </w:pPr>
      <w:r w:rsidRPr="00BB46CB">
        <w:t>UN (2019b) Expert Meeting on SEEA Indicators for SDGs and Post-2020 Agenda [Available Online: https://seea.un.org/events/expert-meeting-seea-indicators-sdgs-and-post-2020-agenda]</w:t>
      </w:r>
    </w:p>
    <w:p w14:paraId="3AB684EA" w14:textId="77777777" w:rsidR="007606C7" w:rsidRPr="00BB46CB" w:rsidRDefault="007606C7" w:rsidP="007606C7">
      <w:pPr>
        <w:pStyle w:val="BodyText"/>
      </w:pPr>
      <w:r w:rsidRPr="00BB46CB">
        <w:t>UN (2019c) Technical Guidance on Ocean Accounting for Sustainable Development</w:t>
      </w:r>
    </w:p>
    <w:p w14:paraId="0715E598" w14:textId="77777777" w:rsidR="007606C7" w:rsidRPr="00BB46CB" w:rsidRDefault="007606C7" w:rsidP="007606C7">
      <w:pPr>
        <w:pStyle w:val="BodyText"/>
      </w:pPr>
      <w:r w:rsidRPr="00BB46CB">
        <w:t>URS (2007) Assessing the Value of Coast to Victoria [Available Online: https://www.marineandcoasts.vic.gov.au/__data/assets/pdf_file/0025/405934/AssessingtheValueoftheCoasttoVictoria_2007.pdf]</w:t>
      </w:r>
    </w:p>
    <w:p w14:paraId="6E15B0DD" w14:textId="77777777" w:rsidR="007606C7" w:rsidRPr="00BB46CB" w:rsidRDefault="007606C7" w:rsidP="007606C7">
      <w:pPr>
        <w:pStyle w:val="BodyText"/>
      </w:pPr>
      <w:r w:rsidRPr="00BB46CB">
        <w:t>VEAC (2017) Fibre and wood supply: Assessment report, State of Victoria, East Melbourne, p. 20</w:t>
      </w:r>
    </w:p>
    <w:p w14:paraId="512EF469" w14:textId="77777777" w:rsidR="007606C7" w:rsidRPr="00BB46CB" w:rsidRDefault="007606C7" w:rsidP="007606C7">
      <w:pPr>
        <w:pStyle w:val="BodyText"/>
      </w:pPr>
      <w:r w:rsidRPr="00BB46CB">
        <w:lastRenderedPageBreak/>
        <w:t>VEAC (2019) Assessment of the Values of Victoria’s Marine Environment</w:t>
      </w:r>
    </w:p>
    <w:p w14:paraId="1163502A" w14:textId="77777777" w:rsidR="007606C7" w:rsidRPr="00BB46CB" w:rsidRDefault="007606C7" w:rsidP="007606C7">
      <w:pPr>
        <w:pStyle w:val="BodyText"/>
      </w:pPr>
      <w:r w:rsidRPr="00BB46CB">
        <w:t>VEAC (2020) Assessment of Victoria’s Coastal Reserves</w:t>
      </w:r>
    </w:p>
    <w:p w14:paraId="2A0723F1" w14:textId="627D11B5" w:rsidR="007606C7" w:rsidRPr="00BB46CB" w:rsidRDefault="007606C7" w:rsidP="007606C7">
      <w:pPr>
        <w:pStyle w:val="BodyText"/>
      </w:pPr>
      <w:r w:rsidRPr="00BB46CB">
        <w:t xml:space="preserve">VFA (2019) Victoria Fisheries Authority Commercial Fish Production Information Bulletin 2019 [Available Online: </w:t>
      </w:r>
      <w:hyperlink r:id="rId322" w:history="1">
        <w:r w:rsidRPr="00BB46CB">
          <w:rPr>
            <w:rStyle w:val="Hyperlink"/>
          </w:rPr>
          <w:t>VFA-Commercial-Fish-Production-Information-Bulletin-1819.pdf</w:t>
        </w:r>
      </w:hyperlink>
      <w:r w:rsidRPr="00BB46CB">
        <w:t>]</w:t>
      </w:r>
    </w:p>
    <w:p w14:paraId="6EFA8F5E" w14:textId="77777777" w:rsidR="007606C7" w:rsidRPr="00BB46CB" w:rsidRDefault="007606C7" w:rsidP="007606C7">
      <w:pPr>
        <w:pStyle w:val="BodyText"/>
      </w:pPr>
      <w:r w:rsidRPr="00BB46CB">
        <w:t>VicForests (2018) VicForests annual report 2017-18 and</w:t>
      </w:r>
    </w:p>
    <w:p w14:paraId="1D5AF98B" w14:textId="77777777" w:rsidR="007606C7" w:rsidRPr="00BB46CB" w:rsidRDefault="007606C7" w:rsidP="007606C7">
      <w:pPr>
        <w:pStyle w:val="BodyText"/>
      </w:pPr>
      <w:r w:rsidRPr="00BB46CB">
        <w:t>Victorian Environmental Assessment Council (VEAC) (2020) Assessment of Victoria’s Coastal Reserves – Draft technical report. Victorian Environmental Assessment Council, Melbourne. ISBN 978-1-76077-976-4. [Available Online: http://www.veac.vic.gov.au/documents/VEAC_CRA_final-report_2020_HR_with-links.pdf]</w:t>
      </w:r>
    </w:p>
    <w:p w14:paraId="46240EA8" w14:textId="439481E7" w:rsidR="007606C7" w:rsidRPr="00BB46CB" w:rsidRDefault="007606C7" w:rsidP="007606C7">
      <w:pPr>
        <w:pStyle w:val="BodyText"/>
        <w:rPr>
          <w:u w:val="single"/>
        </w:rPr>
      </w:pPr>
      <w:r w:rsidRPr="00BB46CB">
        <w:t xml:space="preserve">Victorian Government (2018) Independent Co-Chairs Draft technical report Great Ocean Road Taskforce [Available Online: </w:t>
      </w:r>
      <w:hyperlink r:id="rId323" w:history="1">
        <w:r w:rsidRPr="00BB46CB">
          <w:rPr>
            <w:rStyle w:val="Hyperlink"/>
          </w:rPr>
          <w:t>https://www.planning.vic.gov.au/__data/assets/pdf_file/0029/394346/GreatOceanRoad_FinalReport_web.pdf</w:t>
        </w:r>
      </w:hyperlink>
      <w:r w:rsidRPr="00BB46CB">
        <w:t>]</w:t>
      </w:r>
      <w:r w:rsidRPr="00BB46CB">
        <w:rPr>
          <w:u w:val="single"/>
        </w:rPr>
        <w:t xml:space="preserve"> </w:t>
      </w:r>
    </w:p>
    <w:p w14:paraId="70530F9B" w14:textId="77777777" w:rsidR="007606C7" w:rsidRPr="00BB46CB" w:rsidRDefault="007606C7" w:rsidP="007606C7">
      <w:pPr>
        <w:pStyle w:val="BodyText"/>
      </w:pPr>
      <w:r w:rsidRPr="00BB46CB">
        <w:t>Waite et al (2014) Coastal Capital: Ecosystem Valuation for Decision Making in the Caribbean</w:t>
      </w:r>
    </w:p>
    <w:p w14:paraId="3D8A9F93" w14:textId="77777777" w:rsidR="007606C7" w:rsidRPr="00BB46CB" w:rsidRDefault="007606C7" w:rsidP="007606C7">
      <w:pPr>
        <w:pStyle w:val="BodyText"/>
      </w:pPr>
      <w:r w:rsidRPr="00BB46CB">
        <w:t>WAVES (2016) Policy Briefing. Using natural capital accounts to inform marine and coastal ecosystems policy</w:t>
      </w:r>
    </w:p>
    <w:p w14:paraId="0A18A465" w14:textId="7A6F568F" w:rsidR="007606C7" w:rsidRPr="00BB46CB" w:rsidRDefault="007606C7" w:rsidP="007606C7">
      <w:pPr>
        <w:pStyle w:val="BodyText"/>
      </w:pPr>
      <w:r w:rsidRPr="00BB46CB">
        <w:t xml:space="preserve">Worley Parsons (2013) Assessing the value of Coastal Resources in Victoria [Available Online: </w:t>
      </w:r>
      <w:hyperlink r:id="rId324" w:history="1">
        <w:r w:rsidRPr="00BB46CB">
          <w:rPr>
            <w:rStyle w:val="Hyperlink"/>
          </w:rPr>
          <w:t>https://www.marineandcoasts.vic.gov.au/__data/assets/pdf_file/0025/405943/VCC_Economic_Study_Report_FINAL.pdf</w:t>
        </w:r>
      </w:hyperlink>
      <w:r w:rsidRPr="00BB46CB">
        <w:t>]</w:t>
      </w:r>
    </w:p>
    <w:p w14:paraId="6E676FEF" w14:textId="77777777" w:rsidR="007606C7" w:rsidRPr="00BB46CB" w:rsidRDefault="007606C7" w:rsidP="007606C7">
      <w:pPr>
        <w:pStyle w:val="BodyText"/>
      </w:pPr>
      <w:r w:rsidRPr="00BB46CB">
        <w:t>Young et al (2018) Optimal soil carbon sampling designs to achieve cost-effectiveness: a case study in blue carbon ecosystems</w:t>
      </w:r>
    </w:p>
    <w:p w14:paraId="113E1B57" w14:textId="77777777" w:rsidR="007606C7" w:rsidRPr="00BB46CB" w:rsidRDefault="007606C7" w:rsidP="007606C7">
      <w:pPr>
        <w:pStyle w:val="BodyText"/>
      </w:pPr>
      <w:r w:rsidRPr="00BB46CB">
        <w:t>Young et al (forthcoming) Estimating future carbon sequestration and economic value in restored or eroded blue carbon ecosystems</w:t>
      </w:r>
    </w:p>
    <w:p w14:paraId="16AB814B" w14:textId="77777777" w:rsidR="007606C7" w:rsidRPr="00BB46CB" w:rsidRDefault="007606C7" w:rsidP="007606C7">
      <w:pPr>
        <w:pStyle w:val="BodyText"/>
      </w:pPr>
    </w:p>
    <w:p w14:paraId="4C8BE5EC" w14:textId="77777777" w:rsidR="007606C7" w:rsidRPr="00BB46CB" w:rsidRDefault="007606C7" w:rsidP="007606C7">
      <w:pPr>
        <w:pStyle w:val="BodyText"/>
      </w:pPr>
    </w:p>
    <w:p w14:paraId="2E007A1C" w14:textId="77777777" w:rsidR="007606C7" w:rsidRPr="00BB46CB" w:rsidRDefault="007606C7" w:rsidP="007606C7">
      <w:pPr>
        <w:pStyle w:val="Heading2"/>
        <w:sectPr w:rsidR="007606C7" w:rsidRPr="00BB46CB" w:rsidSect="00E52A9A">
          <w:pgSz w:w="11907" w:h="16840" w:code="9"/>
          <w:pgMar w:top="1134" w:right="1134" w:bottom="1134" w:left="1134" w:header="283" w:footer="283" w:gutter="0"/>
          <w:cols w:space="284"/>
          <w:docGrid w:linePitch="360"/>
        </w:sectPr>
      </w:pPr>
    </w:p>
    <w:p w14:paraId="635942CF" w14:textId="77777777" w:rsidR="007606C7" w:rsidRPr="00BB46CB" w:rsidRDefault="007606C7" w:rsidP="00C3435F">
      <w:pPr>
        <w:pStyle w:val="Heading1"/>
        <w:numPr>
          <w:ilvl w:val="0"/>
          <w:numId w:val="0"/>
        </w:numPr>
      </w:pPr>
      <w:bookmarkStart w:id="416" w:name="_Toc98854711"/>
      <w:bookmarkStart w:id="417" w:name="_Toc163547097"/>
      <w:r w:rsidRPr="00BB46CB">
        <w:lastRenderedPageBreak/>
        <w:t>Annex 1. Defining the assessment boundary</w:t>
      </w:r>
      <w:bookmarkEnd w:id="416"/>
      <w:bookmarkEnd w:id="417"/>
    </w:p>
    <w:p w14:paraId="7264F9B4" w14:textId="77777777" w:rsidR="007606C7" w:rsidRPr="00BB46CB" w:rsidRDefault="007606C7" w:rsidP="007606C7">
      <w:pPr>
        <w:pStyle w:val="BodyText"/>
      </w:pPr>
      <w:r w:rsidRPr="00BB46CB">
        <w:t xml:space="preserve">This section summarises how the boundary of coastal, marine and protected area environmental-economic accounts are defined in the reviewed assessments and guidance and outlines the approach for the GORCAP EEA . </w:t>
      </w:r>
    </w:p>
    <w:p w14:paraId="26CC6DEC" w14:textId="77777777" w:rsidR="007606C7" w:rsidRPr="00BB46CB" w:rsidRDefault="007606C7" w:rsidP="000C23D8">
      <w:pPr>
        <w:pStyle w:val="Heading2"/>
        <w:numPr>
          <w:ilvl w:val="0"/>
          <w:numId w:val="0"/>
        </w:numPr>
      </w:pPr>
      <w:bookmarkStart w:id="418" w:name="_Toc163547098"/>
      <w:r w:rsidRPr="00BB46CB">
        <w:t>A1.1. Review of boundary definition in global assessments of coastal, marine and protected areas</w:t>
      </w:r>
      <w:bookmarkEnd w:id="418"/>
    </w:p>
    <w:p w14:paraId="0BA1B035" w14:textId="77777777" w:rsidR="007606C7" w:rsidRPr="00BB46CB" w:rsidRDefault="007606C7" w:rsidP="007606C7">
      <w:pPr>
        <w:pStyle w:val="BodyText"/>
      </w:pPr>
      <w:r w:rsidRPr="00BB46CB">
        <w:t>In the context of environmental-economic accounts that support integrated management, the boundary selected must balance ecological, social and jurisdictional factors (Sousa et al, 2016). Based on the reviewed literature, the geographic area of environmental-economic accounts are typically based on:</w:t>
      </w:r>
    </w:p>
    <w:p w14:paraId="54F1A0F1" w14:textId="77777777" w:rsidR="007606C7" w:rsidRPr="00BB46CB" w:rsidRDefault="007606C7" w:rsidP="000035CB">
      <w:pPr>
        <w:pStyle w:val="ListBullet"/>
        <w:numPr>
          <w:ilvl w:val="0"/>
          <w:numId w:val="30"/>
        </w:numPr>
      </w:pPr>
      <w:r w:rsidRPr="007606C7">
        <w:rPr>
          <w:b/>
        </w:rPr>
        <w:t>Administrative or statistical boundaries</w:t>
      </w:r>
      <w:r w:rsidRPr="00BB46CB">
        <w:t xml:space="preserve">: such as state jurisdictions, local government areas, catchment regions, spatial planning regions or protected areas. For example, the DELWP and PV (2015) account of Victoria’s Parks used the boundary of (ecosystem, cultural and built) assets that are managed by Parks Victoria. These geographic boundaries do not always correspond to the geography of human uses (e.g. fish harvesting), ecosystem processes or boundaries (such as those based on biogeography, oceanography and/or bathymetry) (Sousa et al, 2016). As noted in SEEA discussion papers, environmental-economic accounts for an (administrative/statistical) area should compile information on the multiple component ecosystem types within that area (UN et al., 2018;2019). </w:t>
      </w:r>
    </w:p>
    <w:p w14:paraId="54B82686" w14:textId="77777777" w:rsidR="007606C7" w:rsidRPr="00BB46CB" w:rsidRDefault="007606C7" w:rsidP="007606C7">
      <w:pPr>
        <w:pStyle w:val="ListBullet"/>
      </w:pPr>
      <w:r w:rsidRPr="00BB46CB">
        <w:rPr>
          <w:b/>
        </w:rPr>
        <w:t>Large-scale natural features and processes</w:t>
      </w:r>
      <w:r w:rsidRPr="00BB46CB">
        <w:t xml:space="preserve">: such as land cover, topography (e.g. catchments) and bioregions which are classified based on common climate, geology, landform, native vegetation and species information. This was the adopted boundary for the Port Phillip Bay environmental-economic account in Victoria, which aligned to the five geographically distinct bioregions </w:t>
      </w:r>
      <w:r w:rsidRPr="00BB46CB">
        <w:rPr>
          <w:i/>
        </w:rPr>
        <w:t>within the Bay</w:t>
      </w:r>
      <w:r w:rsidRPr="00BB46CB">
        <w:t xml:space="preserve"> (DELWP, 2016). </w:t>
      </w:r>
    </w:p>
    <w:p w14:paraId="37AACEE1" w14:textId="77777777" w:rsidR="007606C7" w:rsidRPr="00BB46CB" w:rsidRDefault="007606C7" w:rsidP="007606C7">
      <w:pPr>
        <w:pStyle w:val="BodyText12ptBefore"/>
      </w:pPr>
      <w:r w:rsidRPr="00BB46CB">
        <w:t>Where the focus is on developing a set of comprehensive and mutually exclusive environmental-economic accounts for the entire land area within an administrative or statistical area (e.g. at the state jurisdiction, national level or within a protected area), it becomes necessary to define the boundaries of the ecosystems for which accounts will be developed. Examples of “ecological system” boundaries that are used to develop a set of mutually exclusive accounts are “habitats”, see Box A1. For this reason, broad habitats are used to define the boundaries of UK national environmental-economic accounts (the UK is to develop a suite of environmental-economic accounts for 8 broad habitats including coastal margins. In practice a land cover map is used and aligned to these broad habitats) (Defra and ONS, 2017).</w:t>
      </w:r>
    </w:p>
    <w:p w14:paraId="2ECF4C4E" w14:textId="77777777" w:rsidR="007606C7" w:rsidRPr="00BB46CB" w:rsidRDefault="007606C7" w:rsidP="007606C7">
      <w:pPr>
        <w:pStyle w:val="BodyText"/>
      </w:pPr>
      <w:r w:rsidRPr="00BB46CB">
        <w:t xml:space="preserve">In this context, defining the boundary of the </w:t>
      </w:r>
      <w:r w:rsidRPr="00BB46CB">
        <w:rPr>
          <w:i/>
        </w:rPr>
        <w:t>coastal margin</w:t>
      </w:r>
      <w:r w:rsidRPr="00BB46CB">
        <w:t xml:space="preserve"> area becomes a particular challenge as it </w:t>
      </w:r>
      <w:r w:rsidRPr="00BB46CB">
        <w:rPr>
          <w:i/>
        </w:rPr>
        <w:t xml:space="preserve">can </w:t>
      </w:r>
      <w:r w:rsidRPr="00BB46CB">
        <w:t>be defined by its ecosystems (habitats)</w:t>
      </w:r>
      <w:r w:rsidRPr="00BB46CB">
        <w:rPr>
          <w:vertAlign w:val="superscript"/>
        </w:rPr>
        <w:footnoteReference w:id="83"/>
      </w:r>
      <w:r w:rsidRPr="00BB46CB">
        <w:t>, but coastal areas are defined not only by habitats by also by geographical position as the transition zone between terrestrial and marine (ONS, 2016). In this context, a range of ecosystems, land covers or land uses</w:t>
      </w:r>
      <w:r w:rsidRPr="00BB46CB">
        <w:rPr>
          <w:vertAlign w:val="superscript"/>
        </w:rPr>
        <w:footnoteReference w:id="84"/>
      </w:r>
      <w:r w:rsidRPr="00BB46CB">
        <w:t xml:space="preserve"> can be situated on what would be called “the coast” including grassland, urban areas and farmland. Defining coastal margin by specific ecosystems/habitats would therefore not define the whole of the geographical region people associate as “the coast” (for example, the UKNEA classification of coastal margins is a habitat based approach which excludes coastal towns and harbours, estuaries, coastal grasslands and rocky shores). </w:t>
      </w:r>
    </w:p>
    <w:p w14:paraId="61AF1983" w14:textId="77777777" w:rsidR="007606C7" w:rsidRPr="00BB46CB" w:rsidRDefault="007606C7" w:rsidP="007606C7">
      <w:pPr>
        <w:pStyle w:val="BodyText"/>
      </w:pPr>
      <w:r w:rsidRPr="00BB46CB">
        <w:t xml:space="preserve">For the purposes of developing an initial environmental-economic account for the GOR Coast and Parks area, ecosystems are classified separately where this is informative from an ecosystem services perspective (see Section 4.2.1.1.) but are not used to define the accounting boundary. Defining accounting boundaries </w:t>
      </w:r>
      <w:r w:rsidRPr="00BB46CB">
        <w:lastRenderedPageBreak/>
        <w:t>by ecosystems is a relevant consideration in Victoria if a set of mutually exclusive environmental-economic accounts for Victoria are of interest in the future.</w:t>
      </w:r>
    </w:p>
    <w:p w14:paraId="157293E1" w14:textId="77777777" w:rsidR="007606C7" w:rsidRPr="00BB46CB" w:rsidRDefault="007606C7" w:rsidP="007606C7">
      <w:pPr>
        <w:pStyle w:val="BodyText"/>
      </w:pPr>
      <w:r w:rsidRPr="00BB46CB">
        <w:t xml:space="preserve">Finally, boundaries based on large-scale natural features and processes (such as habitats) needs to account for the physical boundaries of the main ecosystems </w:t>
      </w:r>
      <w:r w:rsidRPr="00BB46CB">
        <w:rPr>
          <w:i/>
        </w:rPr>
        <w:t xml:space="preserve">and </w:t>
      </w:r>
      <w:r w:rsidRPr="00BB46CB">
        <w:t xml:space="preserve">their interfaces in order to include significant connective structures (e.g. contiguous habitat) and functions (e.g. runoff) of the landscape and thus adopt a system-wide approach (Sousa et al, 2016). Accounting for the functional connectivity across a landscape is of paramount importance when considering habitat sensitivity and vulnerability (to pressures) in a risk assessment (e.g. upstream pollution creates pressure on downstream habitats) (Sousa et al, 2016), which is something that is being considered within this GORCAP EEA. </w:t>
      </w:r>
    </w:p>
    <w:p w14:paraId="679FD7AF" w14:textId="77777777" w:rsidR="007606C7" w:rsidRPr="00BB46CB" w:rsidRDefault="007606C7" w:rsidP="007606C7">
      <w:pPr>
        <w:pStyle w:val="BodyText"/>
      </w:pPr>
      <w:r w:rsidRPr="00BB46CB">
        <w:t>Many of the studies reviewed adopt a mix of an administrative boundary and large-scale natural boundaries and this is typical of environmental-economic accounts (Chen et al, 2020). For example:</w:t>
      </w:r>
    </w:p>
    <w:p w14:paraId="7A223035" w14:textId="77777777" w:rsidR="007606C7" w:rsidRPr="00BB46CB" w:rsidRDefault="007606C7" w:rsidP="007606C7">
      <w:pPr>
        <w:pStyle w:val="ListBullet"/>
      </w:pPr>
      <w:r w:rsidRPr="00BB46CB">
        <w:t xml:space="preserve">URS (2007) and Worley Parsons (2013) assessment of the value of Victoria’s coast set the boundary as either side of high water mark - 5.5km (3 nautical miles) to state limit out in the sea and 5km inland which was deemed adequate to capture all coastal ecosystems. However, economic, social and demographic statistics are not collected on this basis. Official statistics from the ABS are available on a Statistical Local Area (SLA) basis that does not correspond closely with biophysical regions. Accordingly, it is not possible to get a perfect fit between the biophysical boundaries of the coastal region and the statistical boundaries. The coastal region is defined as all SLAs that have a border on the coast. </w:t>
      </w:r>
    </w:p>
    <w:p w14:paraId="0CA06714" w14:textId="77777777" w:rsidR="007606C7" w:rsidRPr="00BB46CB" w:rsidRDefault="007606C7" w:rsidP="007606C7">
      <w:pPr>
        <w:pStyle w:val="ListBullet"/>
      </w:pPr>
      <w:r w:rsidRPr="00BB46CB">
        <w:t xml:space="preserve">ABS (2015) account for the Great Barrier Reef  used the area designated as a World Heritage Site (ninety-nine percent of which is made up of the Marine Park) and the broader terrestrial river catchments that drain into the sea in the area (captured through Natural Resource Management areas) so as to account for the direct impact of actions in these areas on the Great Barrier Reef (covering over 38 million hectares). This wider boundary, which considers the broader interactions that occur across the natural environment, facilitates an understanding of the trade-offs that exist across spatial areas (i.e. agricultural runoff at the expense of reef condition) and the need for an integrated approach to natural resource management. This is consistent with the system-wide approach to defining the boundary that accounts for connections between the main ecosystems (the Great Barrier Reef) and its “interfaces” (i.e. terrestrial catchments) as noted by Sousa et al (2016); </w:t>
      </w:r>
    </w:p>
    <w:p w14:paraId="009F2DA1" w14:textId="77777777" w:rsidR="007606C7" w:rsidRPr="00BB46CB" w:rsidRDefault="007606C7" w:rsidP="007606C7">
      <w:pPr>
        <w:pStyle w:val="ListBullet"/>
      </w:pPr>
      <w:r w:rsidRPr="00BB46CB">
        <w:t>The USA marine and coastal application in Long Island Bays, New York (</w:t>
      </w:r>
      <w:proofErr w:type="spellStart"/>
      <w:r w:rsidRPr="00BB46CB">
        <w:t>Dvarskas</w:t>
      </w:r>
      <w:proofErr w:type="spellEnd"/>
      <w:r w:rsidRPr="00BB46CB">
        <w:t xml:space="preserve">, 2018) identified the challenge of defining environmental-economic accounting asset (EA) units (see Box 2) in the coastal and marine context suggesting the use of administrative </w:t>
      </w:r>
      <w:r w:rsidRPr="00BB46CB">
        <w:rPr>
          <w:i/>
        </w:rPr>
        <w:t>or</w:t>
      </w:r>
      <w:r w:rsidRPr="00BB46CB">
        <w:t xml:space="preserve"> watershed boundaries for terrestrial areas and the use policy-relevant areas such as bioregions for marine areas; </w:t>
      </w:r>
    </w:p>
    <w:p w14:paraId="75A63846" w14:textId="77777777" w:rsidR="007606C7" w:rsidRPr="00BB46CB" w:rsidRDefault="007606C7" w:rsidP="007606C7">
      <w:pPr>
        <w:pStyle w:val="ListBullet"/>
      </w:pPr>
      <w:r w:rsidRPr="00BB46CB">
        <w:t xml:space="preserve">The UK marine account developed by </w:t>
      </w:r>
      <w:proofErr w:type="spellStart"/>
      <w:r w:rsidRPr="00BB46CB">
        <w:t>eftec</w:t>
      </w:r>
      <w:proofErr w:type="spellEnd"/>
      <w:r w:rsidRPr="00BB46CB">
        <w:t xml:space="preserve"> (2015) defined the spatial boundary as the area within the UK Exclusive Economic Zone (EEZ) to the mean </w:t>
      </w:r>
      <w:proofErr w:type="gramStart"/>
      <w:r w:rsidRPr="00BB46CB">
        <w:t>high water</w:t>
      </w:r>
      <w:proofErr w:type="gramEnd"/>
      <w:r w:rsidRPr="00BB46CB">
        <w:t xml:space="preserve"> mark (HWM) with limits to estuaries on the coast and to the surface of the seabed; </w:t>
      </w:r>
    </w:p>
    <w:p w14:paraId="04C9DDE1" w14:textId="77777777" w:rsidR="007606C7" w:rsidRPr="00BB46CB" w:rsidRDefault="007606C7" w:rsidP="007606C7">
      <w:pPr>
        <w:pStyle w:val="ListBullet"/>
      </w:pPr>
      <w:r w:rsidRPr="00BB46CB">
        <w:t xml:space="preserve">The Solomon Islands marine account (Arena et al, 2015) also use the Exclusive Economic Zone (EEZ) as the boundary of the account. The use of EEZ is consistent with the Ocean Accounts Framework which is designed to cover coastal and marine environments within the seaward limit of a country’s national maritime zones (i.e. up to the seaward limit of the EEZ and/or continental shelf) (UN, 2019). Whilst the EEZ aligns with the geography of human use in terms of the boundary within which marine resources can be exploited (i.e. fish can be harvested by Australian vessels), it does not necessarily align with the boundary of ecological processes (e.g. the ecosystems that are relied on throughout the full life cycle of fish stocks). </w:t>
      </w:r>
    </w:p>
    <w:p w14:paraId="4F51B6E9" w14:textId="7AC9655C" w:rsidR="007606C7" w:rsidRPr="00BB46CB" w:rsidRDefault="007606C7" w:rsidP="000C23D8">
      <w:pPr>
        <w:pStyle w:val="Heading2"/>
        <w:numPr>
          <w:ilvl w:val="0"/>
          <w:numId w:val="0"/>
        </w:numPr>
      </w:pPr>
      <w:bookmarkStart w:id="419" w:name="_Toc163547099"/>
      <w:r w:rsidRPr="00BB46CB">
        <w:t>A1.2. Key considerations when defining the GOR-EEA assessment boundary</w:t>
      </w:r>
      <w:bookmarkEnd w:id="419"/>
      <w:r w:rsidRPr="00BB46CB">
        <w:t xml:space="preserve"> </w:t>
      </w:r>
    </w:p>
    <w:p w14:paraId="0CE2EF00" w14:textId="623F0DA8" w:rsidR="007606C7" w:rsidRPr="00BB46CB" w:rsidRDefault="007606C7" w:rsidP="007606C7">
      <w:pPr>
        <w:pStyle w:val="BodyText"/>
      </w:pPr>
      <w:r w:rsidRPr="00BB46CB">
        <w:t>The aim of the GOR environmental-economic account is to inform the management plan for the GOR Coast and Parks Authority. It is therefore logical that the geographic area of the account should align with the boundary of the GOR Authority’s management remit. However, the precise land area within the GOR Coast and Parks Area that is to be under the Authority’s management will be established in the future, within the following boundaries (</w:t>
      </w:r>
      <w:r w:rsidR="004B4F63">
        <w:t>DELWP</w:t>
      </w:r>
      <w:r w:rsidRPr="00BB46CB">
        <w:t>, pers. comm):</w:t>
      </w:r>
    </w:p>
    <w:p w14:paraId="78F78B1E" w14:textId="77777777" w:rsidR="007606C7" w:rsidRPr="00BB46CB" w:rsidRDefault="007606C7" w:rsidP="007606C7">
      <w:pPr>
        <w:pStyle w:val="ListBullet"/>
      </w:pPr>
      <w:r w:rsidRPr="00BB46CB">
        <w:t>Minimum land area that could fall under the Authority’s management which is the grey shaded area in Figure A1.1;</w:t>
      </w:r>
    </w:p>
    <w:p w14:paraId="4BA0FFF9" w14:textId="77777777" w:rsidR="007606C7" w:rsidRPr="00BB46CB" w:rsidRDefault="007606C7" w:rsidP="007606C7">
      <w:pPr>
        <w:pStyle w:val="ListBullet"/>
      </w:pPr>
      <w:r w:rsidRPr="00BB46CB">
        <w:lastRenderedPageBreak/>
        <w:t xml:space="preserve">Maximum land area that could fall under the management of the Authority which includes all Crown land (including marine areas) that lies within the outer perimeter of the statutory declared GOR Coast and Parks Area, as shown by the land area within the red dotted line in Figure A1.1. </w:t>
      </w:r>
    </w:p>
    <w:p w14:paraId="7A88D9E1" w14:textId="27FBCBA3" w:rsidR="007606C7" w:rsidRPr="00BB46CB" w:rsidRDefault="007606C7" w:rsidP="007606C7">
      <w:pPr>
        <w:pStyle w:val="BodyText12ptBefore"/>
      </w:pPr>
      <w:r w:rsidRPr="00BB46CB">
        <w:t xml:space="preserve">The statutory declared GOR Coast and Parks Area aligns with the boundary for an environmental-economic account for the GOR as set out under the GOR Action Plan (DELWP, 2018). Action 3 states that a set of environmental-economic accounts should be developed for the Great Ocean Road Coast and Parks and for the OCES to report periodically on the environmental condition of this area as part of the regular Victorian State of the Environment reporting. Whilst the Coast and Parks Area will include some assets that are outside of the Authority’s management (i.e. non-Crown land), this is expected to be small area and the accounts can be developed to recognise the status and productivity of Crown and non-Crown land where this deemed to be significant for informing the Authority’s management. The Coast and Parks Area will also remain static over time which is important if the accounts are to be used to understand changes in the status and value of GOR assets over time (whereas the land under Authority’s management could change over time, pers. comm. </w:t>
      </w:r>
      <w:r w:rsidR="004B4F63">
        <w:t>DELWP</w:t>
      </w:r>
      <w:r w:rsidRPr="00BB46CB">
        <w:t xml:space="preserve">). Therefore, the GOR Coast and Parks Area appears to be a good candidate for the boundary of the account.  </w:t>
      </w:r>
    </w:p>
    <w:p w14:paraId="6F1B988D" w14:textId="77777777" w:rsidR="007606C7" w:rsidRPr="00BB46CB" w:rsidRDefault="007606C7" w:rsidP="007606C7">
      <w:pPr>
        <w:pStyle w:val="BodyText"/>
      </w:pPr>
      <w:r w:rsidRPr="00BB46CB">
        <w:t>However, the economic value of assets within the GOR Coast and Parks area is (partially) dependent on the tourism facilities in the broader region which support visitor numbers to the area. This dependency of GOR Coast and Parks assets on the broader region led to the Great Ocean Road Strategic Framework Plan boundary (see Figure A1.2) to develop a unifying, strategic framework plan that aligns the fragmented decision-making processes and activities of all relevant government authorities (including councils, Parks Vic, Catchment Management Authorities etc.) along the length of the Great Ocean Road (Victorian Government, 2018).</w:t>
      </w:r>
    </w:p>
    <w:p w14:paraId="1754FD0B" w14:textId="65C57A2B" w:rsidR="00F50B5A" w:rsidRDefault="007606C7" w:rsidP="008F2D59">
      <w:pPr>
        <w:pStyle w:val="BodyText"/>
        <w:sectPr w:rsidR="00F50B5A" w:rsidSect="00E52A9A">
          <w:headerReference w:type="even" r:id="rId325"/>
          <w:headerReference w:type="default" r:id="rId326"/>
          <w:footerReference w:type="even" r:id="rId327"/>
          <w:footerReference w:type="default" r:id="rId328"/>
          <w:headerReference w:type="first" r:id="rId329"/>
          <w:footerReference w:type="first" r:id="rId330"/>
          <w:pgSz w:w="11907" w:h="16840" w:code="9"/>
          <w:pgMar w:top="1134" w:right="1134" w:bottom="1134" w:left="1134" w:header="283" w:footer="283" w:gutter="0"/>
          <w:cols w:space="284"/>
          <w:docGrid w:linePitch="360"/>
        </w:sectPr>
      </w:pPr>
      <w:r w:rsidRPr="00BB46CB">
        <w:t>This strategic boundary covers a broader geographic area than the GOR Coast and Parks area, including the National Heritage-listed length of the Great Ocean Road and its land and seascapes, from Torquay to Allansford, with secondary interface areas to the east, west and north. The area of coverage includes the distinctive areas and landscapes, and national parks as well as the coastal towns.</w:t>
      </w:r>
    </w:p>
    <w:p w14:paraId="327C4A57" w14:textId="01BFEB62" w:rsidR="00F50B5A" w:rsidRDefault="00F50B5A" w:rsidP="008F2D59">
      <w:pPr>
        <w:pStyle w:val="Caption"/>
        <w:rPr>
          <w:lang w:val="en-US"/>
        </w:rPr>
      </w:pPr>
      <w:r w:rsidRPr="00B05DF3">
        <w:lastRenderedPageBreak/>
        <w:t xml:space="preserve">Figure </w:t>
      </w:r>
      <w:r>
        <w:t>A</w:t>
      </w:r>
      <w:r w:rsidRPr="00B05DF3">
        <w:t>1.</w:t>
      </w:r>
      <w:r>
        <w:t>1.</w:t>
      </w:r>
      <w:r w:rsidRPr="00B05DF3">
        <w:t xml:space="preserve"> </w:t>
      </w:r>
      <w:r w:rsidR="004B4F63">
        <w:t>Indicative</w:t>
      </w:r>
      <w:r w:rsidR="004B4F63" w:rsidRPr="00B05DF3">
        <w:t xml:space="preserve"> </w:t>
      </w:r>
      <w:r w:rsidRPr="00B05DF3">
        <w:t>Great Ocean Road Coast and Parks Area</w:t>
      </w:r>
      <w:r w:rsidRPr="00B05DF3">
        <w:rPr>
          <w:lang w:val="en-US"/>
        </w:rPr>
        <w:t> </w:t>
      </w:r>
    </w:p>
    <w:p w14:paraId="66A08165" w14:textId="7894E8A7" w:rsidR="00F50B5A" w:rsidRDefault="001E7483" w:rsidP="00F50B5A">
      <w:pPr>
        <w:spacing w:line="240" w:lineRule="auto"/>
        <w:jc w:val="center"/>
        <w:textAlignment w:val="baseline"/>
        <w:rPr>
          <w:rFonts w:ascii="Arial" w:hAnsi="Arial"/>
          <w:lang w:val="en-US"/>
        </w:rPr>
      </w:pPr>
      <w:r>
        <w:rPr>
          <w:noProof/>
        </w:rPr>
        <mc:AlternateContent>
          <mc:Choice Requires="wpg">
            <w:drawing>
              <wp:inline distT="0" distB="0" distL="0" distR="0" wp14:anchorId="03AE3DF1" wp14:editId="375703DF">
                <wp:extent cx="11812270" cy="7793355"/>
                <wp:effectExtent l="0" t="0" r="0" b="4445"/>
                <wp:docPr id="1377884466" name="Group 1377884466"/>
                <wp:cNvGraphicFramePr/>
                <a:graphic xmlns:a="http://schemas.openxmlformats.org/drawingml/2006/main">
                  <a:graphicData uri="http://schemas.microsoft.com/office/word/2010/wordprocessingGroup">
                    <wpg:wgp>
                      <wpg:cNvGrpSpPr/>
                      <wpg:grpSpPr>
                        <a:xfrm>
                          <a:off x="0" y="0"/>
                          <a:ext cx="11812270" cy="7793355"/>
                          <a:chOff x="0" y="0"/>
                          <a:chExt cx="11812270" cy="7793355"/>
                        </a:xfrm>
                      </wpg:grpSpPr>
                      <pic:pic xmlns:pic="http://schemas.openxmlformats.org/drawingml/2006/picture">
                        <pic:nvPicPr>
                          <pic:cNvPr id="615" name="Picture 615" descr="A map of the united states&#10;&#10;Description automatically generated"/>
                          <pic:cNvPicPr>
                            <a:picLocks noChangeAspect="1"/>
                          </pic:cNvPicPr>
                        </pic:nvPicPr>
                        <pic:blipFill>
                          <a:blip r:embed="rId84" cstate="email">
                            <a:extLst>
                              <a:ext uri="{28A0092B-C50C-407E-A947-70E740481C1C}">
                                <a14:useLocalDpi xmlns:a14="http://schemas.microsoft.com/office/drawing/2010/main"/>
                              </a:ext>
                            </a:extLst>
                          </a:blip>
                          <a:stretch>
                            <a:fillRect/>
                          </a:stretch>
                        </pic:blipFill>
                        <pic:spPr>
                          <a:xfrm>
                            <a:off x="0" y="0"/>
                            <a:ext cx="11812270" cy="7793355"/>
                          </a:xfrm>
                          <a:prstGeom prst="rect">
                            <a:avLst/>
                          </a:prstGeom>
                        </pic:spPr>
                      </pic:pic>
                      <wps:wsp>
                        <wps:cNvPr id="2013542102" name="Rectangle 1"/>
                        <wps:cNvSpPr/>
                        <wps:spPr>
                          <a:xfrm>
                            <a:off x="9918915" y="4742482"/>
                            <a:ext cx="1800000" cy="1083240"/>
                          </a:xfrm>
                          <a:prstGeom prst="rect">
                            <a:avLst/>
                          </a:prstGeom>
                          <a:solidFill>
                            <a:srgbClr val="E6F7F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3A6E0FB" id="Group 1377884466" o:spid="_x0000_s1026" style="width:930.1pt;height:613.65pt;mso-position-horizontal-relative:char;mso-position-vertical-relative:line" coordsize="118122,779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">
                <v:shape id="Picture 615" o:spid="_x0000_s1027" type="#_x0000_t75" alt="A map of the united states&#10;&#10;Description automatically generated" style="position:absolute;width:118122;height:77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">
                  <v:imagedata r:id="rId85" o:title="A map of the united states&#10;&#10;Description automatically generated"/>
                </v:shape>
                <v:rect id="Rectangle 1" o:spid="_x0000_s1028" style="position:absolute;left:99189;top:47424;width:18000;height:108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" fillcolor="#e6f7fe" stroked="f" strokeweight="2pt"/>
                <w10:anchorlock/>
              </v:group>
            </w:pict>
          </mc:Fallback>
        </mc:AlternateContent>
      </w:r>
    </w:p>
    <w:p w14:paraId="721D983A" w14:textId="7312D8B0" w:rsidR="00F50B5A" w:rsidRPr="00B05DF3" w:rsidRDefault="00F50B5A" w:rsidP="008F2D59">
      <w:pPr>
        <w:pStyle w:val="NoteHeading"/>
        <w:rPr>
          <w:rFonts w:ascii="Times New Roman" w:hAnsi="Times New Roman" w:cs="Times New Roman"/>
          <w:lang w:val="en-US"/>
        </w:rPr>
      </w:pPr>
      <w:r w:rsidRPr="00C6652E">
        <w:rPr>
          <w:b/>
          <w:bCs/>
        </w:rPr>
        <w:t>Source</w:t>
      </w:r>
      <w:r w:rsidRPr="00B05DF3">
        <w:t xml:space="preserve">: </w:t>
      </w:r>
      <w:r w:rsidRPr="00042C75">
        <w:t xml:space="preserve"> </w:t>
      </w:r>
      <w:r w:rsidR="004B4F63">
        <w:t xml:space="preserve">DELWP </w:t>
      </w:r>
      <w:r>
        <w:t>(pers. comm., 2020)</w:t>
      </w:r>
      <w:r w:rsidRPr="00B05DF3">
        <w:rPr>
          <w:lang w:val="en-US"/>
        </w:rPr>
        <w:t> </w:t>
      </w:r>
    </w:p>
    <w:p w14:paraId="7465CC33" w14:textId="77777777" w:rsidR="00F50B5A" w:rsidRDefault="00F50B5A" w:rsidP="008F2D59">
      <w:pPr>
        <w:pStyle w:val="Caption"/>
      </w:pPr>
      <w:r w:rsidRPr="000313A3">
        <w:lastRenderedPageBreak/>
        <w:t xml:space="preserve">Figure </w:t>
      </w:r>
      <w:r>
        <w:t>A1.</w:t>
      </w:r>
      <w:r w:rsidRPr="000313A3">
        <w:t>2. Indicative area for the Great Ocean Road Strategic Framework Plan</w:t>
      </w:r>
    </w:p>
    <w:p w14:paraId="3D95C534" w14:textId="77777777" w:rsidR="00F50B5A" w:rsidRDefault="00F50B5A" w:rsidP="00F50B5A">
      <w:pPr>
        <w:pStyle w:val="BodyText"/>
        <w:widowControl w:val="0"/>
        <w:jc w:val="center"/>
      </w:pPr>
      <w:r>
        <w:rPr>
          <w:noProof/>
        </w:rPr>
        <w:drawing>
          <wp:inline distT="0" distB="0" distL="0" distR="0" wp14:anchorId="0172ECEA" wp14:editId="7C6B3180">
            <wp:extent cx="11815948" cy="7609447"/>
            <wp:effectExtent l="0" t="0" r="0" b="0"/>
            <wp:docPr id="225" name="Picture 225" descr="A map of a larg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A map of a large area&#10;&#10;Description automatically generated"/>
                    <pic:cNvPicPr/>
                  </pic:nvPicPr>
                  <pic:blipFill>
                    <a:blip r:embed="rId331" cstate="email">
                      <a:extLst>
                        <a:ext uri="{28A0092B-C50C-407E-A947-70E740481C1C}">
                          <a14:useLocalDpi xmlns:a14="http://schemas.microsoft.com/office/drawing/2010/main"/>
                        </a:ext>
                      </a:extLst>
                    </a:blip>
                    <a:stretch>
                      <a:fillRect/>
                    </a:stretch>
                  </pic:blipFill>
                  <pic:spPr>
                    <a:xfrm>
                      <a:off x="0" y="0"/>
                      <a:ext cx="11818306" cy="7610966"/>
                    </a:xfrm>
                    <a:prstGeom prst="rect">
                      <a:avLst/>
                    </a:prstGeom>
                  </pic:spPr>
                </pic:pic>
              </a:graphicData>
            </a:graphic>
          </wp:inline>
        </w:drawing>
      </w:r>
    </w:p>
    <w:p w14:paraId="69EF4827" w14:textId="7573B69D" w:rsidR="00F50B5A" w:rsidRDefault="004B4F63" w:rsidP="008F2D59">
      <w:pPr>
        <w:pStyle w:val="NoteHeading"/>
        <w:sectPr w:rsidR="00F50B5A" w:rsidSect="00E52A9A">
          <w:headerReference w:type="even" r:id="rId332"/>
          <w:headerReference w:type="default" r:id="rId333"/>
          <w:footerReference w:type="even" r:id="rId334"/>
          <w:footerReference w:type="default" r:id="rId335"/>
          <w:pgSz w:w="23811" w:h="16838" w:orient="landscape" w:code="8"/>
          <w:pgMar w:top="1134" w:right="1134" w:bottom="1134" w:left="1134" w:header="283" w:footer="283" w:gutter="0"/>
          <w:cols w:space="284"/>
          <w:docGrid w:linePitch="360"/>
        </w:sectPr>
      </w:pPr>
      <w:r>
        <w:rPr>
          <w:b/>
          <w:bCs/>
        </w:rPr>
        <w:t>S</w:t>
      </w:r>
      <w:r w:rsidR="00F50B5A" w:rsidRPr="00C6652E">
        <w:rPr>
          <w:b/>
          <w:bCs/>
        </w:rPr>
        <w:t>ource</w:t>
      </w:r>
      <w:r w:rsidR="00F50B5A" w:rsidRPr="00B05DF3">
        <w:t xml:space="preserve">: </w:t>
      </w:r>
      <w:r>
        <w:t xml:space="preserve">DELWP </w:t>
      </w:r>
      <w:r w:rsidR="00F50B5A">
        <w:t>(pers. comm., 2020)</w:t>
      </w:r>
      <w:r w:rsidR="00F50B5A" w:rsidRPr="00B05DF3">
        <w:rPr>
          <w:lang w:val="en-US"/>
        </w:rPr>
        <w:t> </w:t>
      </w:r>
      <w:r w:rsidR="00F50B5A">
        <w:rPr>
          <w:lang w:eastAsia="en-US"/>
        </w:rPr>
        <w:tab/>
      </w:r>
    </w:p>
    <w:p w14:paraId="1BAFF9DB" w14:textId="77777777" w:rsidR="00F50B5A" w:rsidRDefault="00F50B5A" w:rsidP="00F50B5A">
      <w:pPr>
        <w:pStyle w:val="BodyText"/>
        <w:widowControl w:val="0"/>
      </w:pPr>
      <w:r w:rsidRPr="00EB0401">
        <w:lastRenderedPageBreak/>
        <w:t>Just as the visitor numbers</w:t>
      </w:r>
      <w:r>
        <w:t xml:space="preserve"> and experience</w:t>
      </w:r>
      <w:r w:rsidRPr="00EB0401">
        <w:t xml:space="preserve"> to the GOR Coast and Parks</w:t>
      </w:r>
      <w:r>
        <w:t xml:space="preserve"> area</w:t>
      </w:r>
      <w:r w:rsidRPr="00EB0401">
        <w:t xml:space="preserve"> </w:t>
      </w:r>
      <w:r>
        <w:t xml:space="preserve">is </w:t>
      </w:r>
      <w:r w:rsidRPr="00EB0401">
        <w:t xml:space="preserve">dependent on </w:t>
      </w:r>
      <w:r>
        <w:t xml:space="preserve">built </w:t>
      </w:r>
      <w:r w:rsidRPr="00EB0401">
        <w:t xml:space="preserve">assets </w:t>
      </w:r>
      <w:r>
        <w:t xml:space="preserve">(i.e. tourist facilities) </w:t>
      </w:r>
      <w:r w:rsidRPr="00EB0401">
        <w:t xml:space="preserve">outside of the </w:t>
      </w:r>
      <w:r>
        <w:t>area</w:t>
      </w:r>
      <w:r w:rsidRPr="00EB0401">
        <w:t xml:space="preserve">, the </w:t>
      </w:r>
      <w:r>
        <w:t xml:space="preserve">ecosystem assets within the </w:t>
      </w:r>
      <w:r w:rsidRPr="00EB0401">
        <w:t>Coast and Parks</w:t>
      </w:r>
      <w:r>
        <w:t xml:space="preserve"> area are also part of broader</w:t>
      </w:r>
      <w:r w:rsidRPr="00EB0401">
        <w:t xml:space="preserve"> </w:t>
      </w:r>
      <w:r w:rsidRPr="00BD042B">
        <w:rPr>
          <w:i/>
          <w:iCs/>
        </w:rPr>
        <w:t xml:space="preserve">ecological </w:t>
      </w:r>
      <w:r w:rsidRPr="00EB0401">
        <w:t>system</w:t>
      </w:r>
      <w:r>
        <w:t>s. T</w:t>
      </w:r>
      <w:r w:rsidRPr="00EB0401">
        <w:t>he</w:t>
      </w:r>
      <w:r>
        <w:t xml:space="preserve"> ecological</w:t>
      </w:r>
      <w:r w:rsidRPr="00EB0401">
        <w:t xml:space="preserve"> condition and productive value of </w:t>
      </w:r>
      <w:r>
        <w:t>ecosystem asset</w:t>
      </w:r>
      <w:r w:rsidRPr="00EB0401">
        <w:t>s in the GOR Coast and Parks</w:t>
      </w:r>
      <w:r>
        <w:t xml:space="preserve"> </w:t>
      </w:r>
      <w:r w:rsidRPr="00EB0401">
        <w:t>boundary is determined (</w:t>
      </w:r>
      <w:r>
        <w:t xml:space="preserve">in </w:t>
      </w:r>
      <w:r w:rsidRPr="00EB0401">
        <w:t xml:space="preserve">part) by environmental processes, </w:t>
      </w:r>
      <w:r>
        <w:t>dis-service</w:t>
      </w:r>
      <w:r w:rsidRPr="00EB0401">
        <w:t xml:space="preserve">s (e.g. forest fires) and externalities (i.e. pressures such as upstream pollution) across the wider landscape </w:t>
      </w:r>
      <w:r>
        <w:t>/</w:t>
      </w:r>
      <w:r w:rsidRPr="00EB0401">
        <w:t xml:space="preserve"> seascape. </w:t>
      </w:r>
      <w:r>
        <w:t>T</w:t>
      </w:r>
      <w:r w:rsidRPr="00EB0401">
        <w:t>hese</w:t>
      </w:r>
      <w:r>
        <w:t xml:space="preserve"> broader</w:t>
      </w:r>
      <w:r w:rsidRPr="00EB0401">
        <w:t xml:space="preserve"> “eco-systems” will only be partially captured within a </w:t>
      </w:r>
      <w:r>
        <w:t>GORCAP EEA</w:t>
      </w:r>
      <w:r w:rsidRPr="00EB0401">
        <w:t xml:space="preserve"> that adheres to an administrative boundary</w:t>
      </w:r>
      <w:r>
        <w:t xml:space="preserve"> such as the GOR </w:t>
      </w:r>
      <w:r w:rsidRPr="00EB0401">
        <w:t>Coast and Parks</w:t>
      </w:r>
      <w:r>
        <w:t xml:space="preserve"> area in Figure A1</w:t>
      </w:r>
      <w:r w:rsidRPr="00EB0401">
        <w:t xml:space="preserve"> (rather than an ecological boundary)</w:t>
      </w:r>
      <w:r>
        <w:t xml:space="preserve">. It is for this reason that the boundaries adopted in the reviewed literature </w:t>
      </w:r>
      <w:r w:rsidRPr="0038527D">
        <w:t>adopt a mix of an administrative boundary and large-scale natural boundaries</w:t>
      </w:r>
      <w:r>
        <w:t xml:space="preserve"> with consideration given to </w:t>
      </w:r>
      <w:r w:rsidRPr="00BB134B">
        <w:t>the for connections between the main ecosystems and its “interfaces” through a systems-wide approach to defining the boundary.</w:t>
      </w:r>
    </w:p>
    <w:p w14:paraId="2B3DFDFA" w14:textId="77777777" w:rsidR="00F50B5A" w:rsidRDefault="00F50B5A" w:rsidP="00F50B5A">
      <w:pPr>
        <w:pStyle w:val="BodyText"/>
        <w:widowControl w:val="0"/>
      </w:pPr>
      <w:r w:rsidRPr="00EB0401">
        <w:t xml:space="preserve">Defining the relevant ecological boundary for the GOR-EEA is challenging because it will (in reality) vary according to the </w:t>
      </w:r>
      <w:r>
        <w:t>ecosystem asset</w:t>
      </w:r>
      <w:r w:rsidRPr="00EB0401">
        <w:t>, ecosystem service and interaction of interest</w:t>
      </w:r>
      <w:r>
        <w:t xml:space="preserve"> </w:t>
      </w:r>
      <w:r w:rsidRPr="00EB0401">
        <w:t xml:space="preserve">(see Box </w:t>
      </w:r>
      <w:r>
        <w:t>A</w:t>
      </w:r>
      <w:r w:rsidRPr="00EB0401">
        <w:t xml:space="preserve">1). However, </w:t>
      </w:r>
      <w:r>
        <w:t xml:space="preserve">it is suggested that </w:t>
      </w:r>
      <w:r w:rsidRPr="00EB0401">
        <w:t>where possible, a pragmatic approach should be taken to capture the status of the ecological interactions that occur across the GOR Coast and Parks</w:t>
      </w:r>
      <w:r>
        <w:t xml:space="preserve"> area</w:t>
      </w:r>
      <w:r w:rsidRPr="00EB0401">
        <w:t xml:space="preserve">. This information can be used to inform </w:t>
      </w:r>
      <w:r>
        <w:t xml:space="preserve">the </w:t>
      </w:r>
      <w:r w:rsidRPr="00EB0401">
        <w:t>policy and management actions t</w:t>
      </w:r>
      <w:r>
        <w:t xml:space="preserve">hat are necessary to </w:t>
      </w:r>
      <w:r w:rsidRPr="00EB0401">
        <w:t xml:space="preserve">maintain the good status of these interactions </w:t>
      </w:r>
      <w:r>
        <w:t>and subsequently</w:t>
      </w:r>
      <w:r w:rsidRPr="00EB0401">
        <w:t xml:space="preserve"> to sustaining the value of </w:t>
      </w:r>
      <w:r>
        <w:t>ecosystem asset</w:t>
      </w:r>
      <w:r w:rsidRPr="00EB0401">
        <w:t xml:space="preserve">s </w:t>
      </w:r>
      <w:r>
        <w:t xml:space="preserve">within the </w:t>
      </w:r>
      <w:r w:rsidRPr="00EB0401">
        <w:t>Coast and Parks</w:t>
      </w:r>
      <w:r>
        <w:t xml:space="preserve"> area</w:t>
      </w:r>
      <w:r w:rsidRPr="00EB0401">
        <w:t>.</w:t>
      </w:r>
    </w:p>
    <w:p w14:paraId="6DE1A427" w14:textId="77777777" w:rsidR="00F50B5A" w:rsidRPr="00EB0401" w:rsidRDefault="00F50B5A" w:rsidP="00F50B5A">
      <w:pPr>
        <w:pStyle w:val="BodyText"/>
        <w:widowControl w:val="0"/>
      </w:pPr>
      <w:r w:rsidRPr="00EB0401">
        <w:t xml:space="preserve">Including information on these interactions in the </w:t>
      </w:r>
      <w:r>
        <w:t xml:space="preserve">GORCAP EEA </w:t>
      </w:r>
      <w:r w:rsidRPr="00EB0401">
        <w:t xml:space="preserve"> would mean a divergence from a focus solely on quantifying and monetising the value of the natural environment for</w:t>
      </w:r>
      <w:r>
        <w:t xml:space="preserve"> the</w:t>
      </w:r>
      <w:r w:rsidRPr="00EB0401">
        <w:t xml:space="preserve"> purpose of developing “satellite accounts” to national GDP accounts (as per the original purpose of SEEA accounts)</w:t>
      </w:r>
      <w:r>
        <w:t xml:space="preserve"> </w:t>
      </w:r>
      <w:r w:rsidRPr="00EB0401">
        <w:t xml:space="preserve">but would not preclude this. </w:t>
      </w:r>
    </w:p>
    <w:tbl>
      <w:tblPr>
        <w:tblStyle w:val="PullOutBoxTable"/>
        <w:tblW w:w="0" w:type="auto"/>
        <w:tblCellSpacing w:w="142" w:type="dxa"/>
        <w:tblBorders>
          <w:top w:val="single" w:sz="18" w:space="0" w:color="004C97" w:themeColor="accent1"/>
          <w:left w:val="single" w:sz="18" w:space="0" w:color="004C97" w:themeColor="accent1"/>
          <w:bottom w:val="single" w:sz="18" w:space="0" w:color="004C97" w:themeColor="accent1"/>
          <w:right w:val="single" w:sz="18" w:space="0" w:color="004C97" w:themeColor="accent1"/>
        </w:tblBorders>
        <w:shd w:val="clear" w:color="auto" w:fill="E7F7F8" w:themeFill="accent2" w:themeFillTint="33"/>
        <w:tblCellMar>
          <w:top w:w="0" w:type="dxa"/>
          <w:left w:w="0" w:type="dxa"/>
          <w:bottom w:w="0" w:type="dxa"/>
          <w:right w:w="0" w:type="dxa"/>
        </w:tblCellMar>
        <w:tblLook w:val="04A0" w:firstRow="1" w:lastRow="0" w:firstColumn="1" w:lastColumn="0" w:noHBand="0" w:noVBand="1"/>
      </w:tblPr>
      <w:tblGrid>
        <w:gridCol w:w="9592"/>
      </w:tblGrid>
      <w:tr w:rsidR="00F50B5A" w14:paraId="406BE38F" w14:textId="77777777" w:rsidTr="00455E8D">
        <w:trPr>
          <w:tblCellSpacing w:w="142" w:type="dxa"/>
        </w:trPr>
        <w:tc>
          <w:tcPr>
            <w:tcW w:w="10204" w:type="dxa"/>
            <w:shd w:val="clear" w:color="auto" w:fill="E7F7F8" w:themeFill="accent2" w:themeFillTint="33"/>
          </w:tcPr>
          <w:p w14:paraId="719DF428" w14:textId="77777777" w:rsidR="00F50B5A" w:rsidRPr="006452C2" w:rsidRDefault="00F50B5A" w:rsidP="00455E8D">
            <w:pPr>
              <w:pStyle w:val="TableTextLeftBold"/>
            </w:pPr>
            <w:r w:rsidRPr="00455E8D">
              <w:rPr>
                <w:shd w:val="clear" w:color="auto" w:fill="E7F7F8" w:themeFill="accent2" w:themeFillTint="33"/>
              </w:rPr>
              <w:t>Box</w:t>
            </w:r>
            <w:r w:rsidRPr="006452C2">
              <w:t xml:space="preserve"> </w:t>
            </w:r>
            <w:r>
              <w:t>A</w:t>
            </w:r>
            <w:r w:rsidRPr="006452C2">
              <w:t xml:space="preserve">1. Defining and capturing ecosystems in </w:t>
            </w:r>
            <w:r>
              <w:t xml:space="preserve">environmental-economic </w:t>
            </w:r>
            <w:r w:rsidRPr="006452C2">
              <w:t>accounts</w:t>
            </w:r>
          </w:p>
          <w:p w14:paraId="20C679A7" w14:textId="77777777" w:rsidR="00F50B5A" w:rsidRPr="006452C2" w:rsidRDefault="00F50B5A" w:rsidP="00455E8D">
            <w:pPr>
              <w:pStyle w:val="TableTextLeft"/>
            </w:pPr>
            <w:r w:rsidRPr="006452C2">
              <w:t>The SEEA environmental-economic accounting framework (UN et al, 2012) compiles information on the status and value of ecosystems. Examples of “ecological systems” include “habitats” and “biomes” which are ecological boundaries that have been defined based on a consistent set of:</w:t>
            </w:r>
          </w:p>
          <w:p w14:paraId="1DC336A3" w14:textId="47B786C2" w:rsidR="00F50B5A" w:rsidRDefault="00F50B5A" w:rsidP="00B954AC">
            <w:pPr>
              <w:pStyle w:val="TableTextBullet"/>
              <w:spacing w:before="120"/>
            </w:pPr>
            <w:r w:rsidRPr="006452C2">
              <w:rPr>
                <w:b/>
              </w:rPr>
              <w:t>Ecological characteristics</w:t>
            </w:r>
            <w:r w:rsidRPr="006452C2">
              <w:t xml:space="preserve">: or </w:t>
            </w:r>
            <w:r>
              <w:t>ecosystem</w:t>
            </w:r>
            <w:r w:rsidRPr="006452C2">
              <w:t xml:space="preserve"> assets including species, soils, water, atmosphere (Mace, 2014);</w:t>
            </w:r>
          </w:p>
          <w:p w14:paraId="464A2723" w14:textId="797EA5CD" w:rsidR="00F50B5A" w:rsidRPr="006452C2" w:rsidRDefault="00F50B5A" w:rsidP="00B954AC">
            <w:pPr>
              <w:pStyle w:val="TableTextBullet"/>
              <w:spacing w:before="120"/>
            </w:pPr>
            <w:r w:rsidRPr="006452C2">
              <w:rPr>
                <w:b/>
              </w:rPr>
              <w:t>Productive outputs</w:t>
            </w:r>
            <w:r w:rsidRPr="006452C2">
              <w:t xml:space="preserve">: flows of provisioning, cultural and regulating ecosystem services which benefit society.  </w:t>
            </w:r>
          </w:p>
          <w:p w14:paraId="2AD21308" w14:textId="77777777" w:rsidR="00F50B5A" w:rsidRPr="006452C2" w:rsidRDefault="00F50B5A" w:rsidP="00B954AC">
            <w:pPr>
              <w:pStyle w:val="TableTextLeft"/>
              <w:spacing w:before="240"/>
            </w:pPr>
            <w:r w:rsidRPr="006452C2">
              <w:t xml:space="preserve">These “habitat” boundaries are a human construct that simplifies the complexity of ecosystems in order to facilitate data collection and environmental management and consequently are very useful for reporting on “ecosystems” in environmental-economic accounts. However, these “habitats” do not exist in isolation but are connected. The status and value of </w:t>
            </w:r>
            <w:r>
              <w:t>a given</w:t>
            </w:r>
            <w:r w:rsidRPr="006452C2">
              <w:t xml:space="preserve"> “habitat” depends on the </w:t>
            </w:r>
            <w:r>
              <w:t xml:space="preserve">wider environment </w:t>
            </w:r>
            <w:r w:rsidRPr="006452C2">
              <w:t xml:space="preserve">through:  </w:t>
            </w:r>
          </w:p>
          <w:p w14:paraId="675A4B32" w14:textId="34C4ABB0" w:rsidR="00F50B5A" w:rsidRDefault="00F50B5A" w:rsidP="00B954AC">
            <w:pPr>
              <w:pStyle w:val="TableTextBullet"/>
              <w:spacing w:before="120"/>
            </w:pPr>
            <w:r>
              <w:rPr>
                <w:b/>
              </w:rPr>
              <w:t>Positive (ecological) dependencies</w:t>
            </w:r>
            <w:r w:rsidRPr="006452C2">
              <w:t xml:space="preserve">: biotic and abiotic processes and functions including species </w:t>
            </w:r>
            <w:proofErr w:type="gramStart"/>
            <w:r w:rsidRPr="006452C2">
              <w:t>life-cycles</w:t>
            </w:r>
            <w:proofErr w:type="gramEnd"/>
            <w:r w:rsidRPr="006452C2">
              <w:t xml:space="preserve">, pollination activity and nutrient cycles (e.g. carbon, nitrogen, phosphorous, water etc.) </w:t>
            </w:r>
            <w:r>
              <w:t xml:space="preserve">and the provision of “supporting ecosystem services” (e.g. pollination and water quality regulation) </w:t>
            </w:r>
            <w:r w:rsidRPr="006452C2">
              <w:t>that cut across “habitats”</w:t>
            </w:r>
            <w:r>
              <w:t>;</w:t>
            </w:r>
          </w:p>
          <w:p w14:paraId="3FDDD852" w14:textId="00643DA6" w:rsidR="00F50B5A" w:rsidRPr="006452C2" w:rsidRDefault="00F50B5A" w:rsidP="00B954AC">
            <w:pPr>
              <w:pStyle w:val="TableTextBullet"/>
              <w:spacing w:before="120"/>
            </w:pPr>
            <w:r>
              <w:rPr>
                <w:b/>
              </w:rPr>
              <w:t>Negative pressures</w:t>
            </w:r>
            <w:r w:rsidRPr="0047577D">
              <w:t>:</w:t>
            </w:r>
            <w:r>
              <w:t xml:space="preserve"> environmental dis-services (e.g. pests and disease; forest fires; storm surges) and human induced pressures (e.g. pollution, habitat destruction through urbanisation, tourism, fishing gear; </w:t>
            </w:r>
            <w:r w:rsidRPr="001C3395">
              <w:t>over-harvesting</w:t>
            </w:r>
            <w:r>
              <w:t>;</w:t>
            </w:r>
            <w:r w:rsidRPr="001C3395">
              <w:t xml:space="preserve"> introduction of non-</w:t>
            </w:r>
            <w:r>
              <w:t>native</w:t>
            </w:r>
            <w:r w:rsidRPr="001C3395">
              <w:t xml:space="preserve"> species</w:t>
            </w:r>
            <w:r>
              <w:t>);</w:t>
            </w:r>
          </w:p>
          <w:p w14:paraId="456132AD" w14:textId="77777777" w:rsidR="00F50B5A" w:rsidRPr="006452C2" w:rsidRDefault="00F50B5A" w:rsidP="00B954AC">
            <w:pPr>
              <w:pStyle w:val="TableTextLeft"/>
              <w:spacing w:before="240"/>
            </w:pPr>
            <w:r w:rsidRPr="006452C2">
              <w:t>Capturing this complexity in environmental-economic accounts is a challenge. From the study teams experience, environmental-economic accounts that have been developed internationally are:</w:t>
            </w:r>
          </w:p>
          <w:p w14:paraId="429C2474" w14:textId="77777777" w:rsidR="00F50B5A" w:rsidRPr="006452C2" w:rsidRDefault="00F50B5A" w:rsidP="00B954AC">
            <w:pPr>
              <w:pStyle w:val="TableTextLeft"/>
              <w:spacing w:before="120"/>
            </w:pPr>
            <w:r w:rsidRPr="006452C2">
              <w:t xml:space="preserve">Good at compiling information on the status and productive value of environmental assets in a </w:t>
            </w:r>
            <w:r w:rsidRPr="006452C2">
              <w:rPr>
                <w:i/>
              </w:rPr>
              <w:t xml:space="preserve">given location </w:t>
            </w:r>
            <w:r w:rsidRPr="006452C2">
              <w:t>(e.g. a forest habitat in a certain location produces a certain volume of biomass for timber a year). This is typically done by compiling information on broad habitat stocks and associated ecosystem service flows, as is being pursued in the UK Government’s development of broad habitat accounts (ONS, 2018)</w:t>
            </w:r>
            <w:r w:rsidRPr="006452C2">
              <w:rPr>
                <w:i/>
              </w:rPr>
              <w:t xml:space="preserve">. </w:t>
            </w:r>
            <w:r w:rsidRPr="006452C2">
              <w:t xml:space="preserve">The condition of these broad habitats is typically measured through information on the status of asset stocks (e.g. species, soils etc.). </w:t>
            </w:r>
            <w:r w:rsidRPr="006452C2">
              <w:rPr>
                <w:b/>
              </w:rPr>
              <w:t xml:space="preserve">It is recommended that the GOR account follow this approach of compiling information on broad habitat stocks and </w:t>
            </w:r>
            <w:r w:rsidRPr="006452C2">
              <w:rPr>
                <w:b/>
              </w:rPr>
              <w:lastRenderedPageBreak/>
              <w:t>associated ecosystem service flows which has worked well elsewhere in the world</w:t>
            </w:r>
            <w:r>
              <w:rPr>
                <w:b/>
              </w:rPr>
              <w:t xml:space="preserve"> (</w:t>
            </w:r>
            <w:r w:rsidRPr="0089459B">
              <w:rPr>
                <w:b/>
              </w:rPr>
              <w:t>see Section 4.2).</w:t>
            </w:r>
          </w:p>
          <w:p w14:paraId="63218A93" w14:textId="77777777" w:rsidR="00F50B5A" w:rsidRPr="006452C2" w:rsidRDefault="00F50B5A" w:rsidP="00B954AC">
            <w:pPr>
              <w:pStyle w:val="TableTextLeft"/>
              <w:spacing w:before="120"/>
            </w:pPr>
            <w:r w:rsidRPr="006452C2">
              <w:t xml:space="preserve">Less good at reporting on the status and value of the </w:t>
            </w:r>
            <w:r w:rsidRPr="006452C2">
              <w:rPr>
                <w:i/>
              </w:rPr>
              <w:t>ecological interactions</w:t>
            </w:r>
            <w:r w:rsidRPr="006452C2">
              <w:t xml:space="preserve"> that occur across space and time (e.g. linking the value of crop production to pollinator stocks or linking the value of harvested fish stocks to the wetlands in that served as nursery grounds for those stocks). </w:t>
            </w:r>
            <w:r>
              <w:t>Capturing these</w:t>
            </w:r>
            <w:r w:rsidRPr="006452C2">
              <w:t xml:space="preserve"> interactions typically requires complex scientific modelling and the scope of accounts is often confined to the assets under direct management / within a</w:t>
            </w:r>
            <w:r>
              <w:t>n administrative or</w:t>
            </w:r>
            <w:r w:rsidRPr="006452C2">
              <w:t xml:space="preserve"> management boundary (and the status of assets outside of direct management boundary are of less (no) interest).</w:t>
            </w:r>
          </w:p>
          <w:p w14:paraId="361F4800" w14:textId="77777777" w:rsidR="00F50B5A" w:rsidRPr="006452C2" w:rsidRDefault="00F50B5A" w:rsidP="00B954AC">
            <w:pPr>
              <w:pStyle w:val="TableTextLeft"/>
              <w:spacing w:before="120"/>
            </w:pPr>
            <w:r w:rsidRPr="006452C2">
              <w:t xml:space="preserve">Other interactions that </w:t>
            </w:r>
            <w:r>
              <w:t>environmental-economic account</w:t>
            </w:r>
            <w:r w:rsidRPr="006452C2">
              <w:t>s do not report on</w:t>
            </w:r>
            <w:r>
              <w:t xml:space="preserve"> </w:t>
            </w:r>
            <w:r w:rsidRPr="006452C2">
              <w:t>(as per SEEA-EA guidance) are environmental dis-</w:t>
            </w:r>
            <w:r>
              <w:t>services</w:t>
            </w:r>
            <w:r w:rsidRPr="006452C2">
              <w:t xml:space="preserve"> (e.g. forest fires, pests and disease) and externalities (e.g. pollution/littering)</w:t>
            </w:r>
            <w:r w:rsidRPr="006452C2">
              <w:rPr>
                <w:rStyle w:val="FootnoteReference"/>
                <w:color w:val="111111" w:themeColor="text1" w:themeShade="80"/>
              </w:rPr>
              <w:footnoteReference w:id="85"/>
            </w:r>
            <w:r w:rsidRPr="006452C2">
              <w:t xml:space="preserve">. There is potential policy / management interest in reporting on these interactions because they align with what people experience and is where policy action is typically targeted (i.e. to tackle </w:t>
            </w:r>
            <w:r>
              <w:t>dis-service</w:t>
            </w:r>
            <w:r w:rsidRPr="006452C2">
              <w:t xml:space="preserve">s and/or externalities). </w:t>
            </w:r>
          </w:p>
          <w:p w14:paraId="26665F89" w14:textId="77777777" w:rsidR="00F50B5A" w:rsidRDefault="00F50B5A" w:rsidP="00B954AC">
            <w:pPr>
              <w:pStyle w:val="TableTextLeft"/>
              <w:spacing w:before="120"/>
            </w:pPr>
            <w:r w:rsidRPr="006452C2">
              <w:t xml:space="preserve">Further consideration needs to be given to how ecological interactions across space and time should be captured in environmental-economic accounts. The study team will keep abreast of the SEEA Revision process (due to complete at the end of 2020) to see if any advice provided on this can be incorporated into this study. </w:t>
            </w:r>
          </w:p>
        </w:tc>
      </w:tr>
    </w:tbl>
    <w:p w14:paraId="26DC6CE4" w14:textId="77777777" w:rsidR="00F50B5A" w:rsidRPr="008C7964" w:rsidRDefault="00F50B5A" w:rsidP="008F2D59">
      <w:pPr>
        <w:pStyle w:val="Heading2"/>
        <w:numPr>
          <w:ilvl w:val="0"/>
          <w:numId w:val="0"/>
        </w:numPr>
      </w:pPr>
      <w:bookmarkStart w:id="420" w:name="_Toc163547100"/>
      <w:r w:rsidRPr="008C7964">
        <w:lastRenderedPageBreak/>
        <w:t>A1.3. GOR-EEA assessment boundary options</w:t>
      </w:r>
      <w:bookmarkEnd w:id="420"/>
    </w:p>
    <w:p w14:paraId="4618EEE4" w14:textId="77777777" w:rsidR="00F50B5A" w:rsidRPr="00EB0401" w:rsidRDefault="00F50B5A" w:rsidP="00F50B5A">
      <w:pPr>
        <w:pStyle w:val="BodyText"/>
        <w:widowControl w:val="0"/>
      </w:pPr>
      <w:r w:rsidRPr="00EB0401">
        <w:t xml:space="preserve">The appropriate </w:t>
      </w:r>
      <w:r>
        <w:t>scope</w:t>
      </w:r>
      <w:r w:rsidRPr="00EB0401">
        <w:t xml:space="preserve"> for the GOR-EEA assessment boundary is complicated by the fact that the ecological and socio-economic systems that create value do not adhere to conventional administrative boundaries such as the GOR</w:t>
      </w:r>
      <w:r w:rsidRPr="001C1E47">
        <w:t xml:space="preserve"> </w:t>
      </w:r>
      <w:r w:rsidRPr="00EB0401">
        <w:t xml:space="preserve">Coast and Parks boundary. Developing a management plan for </w:t>
      </w:r>
      <w:r>
        <w:t>ecosystem asset</w:t>
      </w:r>
      <w:r w:rsidRPr="00EB0401">
        <w:t xml:space="preserve">s without consideration of the wider ecological and socio-economic systems within which the </w:t>
      </w:r>
      <w:r>
        <w:t>GORCAP region</w:t>
      </w:r>
      <w:r w:rsidRPr="00EB0401">
        <w:t xml:space="preserve"> is situated could result in some management actions/policies in the </w:t>
      </w:r>
      <w:r>
        <w:t>GORCAP region</w:t>
      </w:r>
      <w:r w:rsidRPr="00EB0401">
        <w:t xml:space="preserve"> being:</w:t>
      </w:r>
    </w:p>
    <w:p w14:paraId="7A07792F" w14:textId="77777777" w:rsidR="00F50B5A" w:rsidRPr="00EB0401" w:rsidRDefault="00F50B5A" w:rsidP="000035CB">
      <w:pPr>
        <w:pStyle w:val="BodyText"/>
        <w:widowControl w:val="0"/>
        <w:numPr>
          <w:ilvl w:val="0"/>
          <w:numId w:val="27"/>
        </w:numPr>
        <w:spacing w:before="0" w:after="0" w:line="276" w:lineRule="auto"/>
        <w:ind w:left="360"/>
        <w:jc w:val="both"/>
      </w:pPr>
      <w:r w:rsidRPr="00EB0401">
        <w:rPr>
          <w:b/>
        </w:rPr>
        <w:t>Ineffective</w:t>
      </w:r>
      <w:r w:rsidRPr="00EB0401">
        <w:t xml:space="preserve">: if issues (e.g. pollution) outside of the </w:t>
      </w:r>
      <w:r>
        <w:t>GORCAP region</w:t>
      </w:r>
      <w:r w:rsidRPr="00EB0401">
        <w:t xml:space="preserve"> negate the effectiveness of these actions; or</w:t>
      </w:r>
    </w:p>
    <w:p w14:paraId="0BC1072C" w14:textId="77777777" w:rsidR="00F50B5A" w:rsidRPr="00EB0401" w:rsidRDefault="00F50B5A" w:rsidP="000035CB">
      <w:pPr>
        <w:pStyle w:val="BodyText"/>
        <w:widowControl w:val="0"/>
        <w:numPr>
          <w:ilvl w:val="0"/>
          <w:numId w:val="27"/>
        </w:numPr>
        <w:spacing w:before="0" w:after="0" w:line="276" w:lineRule="auto"/>
        <w:ind w:left="360"/>
        <w:jc w:val="both"/>
      </w:pPr>
      <w:r w:rsidRPr="00EB0401">
        <w:rPr>
          <w:b/>
        </w:rPr>
        <w:t>Inefficient:</w:t>
      </w:r>
      <w:r w:rsidRPr="00EB0401">
        <w:t xml:space="preserve"> if the same outcome could be delivered at lower cost by collaborating with other land managers.  </w:t>
      </w:r>
    </w:p>
    <w:p w14:paraId="46DC1D6E" w14:textId="77777777" w:rsidR="00F50B5A" w:rsidRPr="00EB0401" w:rsidRDefault="00F50B5A" w:rsidP="00F50B5A">
      <w:pPr>
        <w:pStyle w:val="BodyText"/>
        <w:widowControl w:val="0"/>
      </w:pPr>
      <w:r w:rsidRPr="00EB0401">
        <w:t>Where existing information does not exist on these interactions and (scientific or economic) modelling is not possible, the interactions could be (partially) captured by developing accounts (i) at a scale that aligns with key interactions</w:t>
      </w:r>
      <w:r>
        <w:t>, which</w:t>
      </w:r>
      <w:r w:rsidRPr="00EB0401">
        <w:t xml:space="preserve"> could partially address this issue (e.g. water catchments or the broader GOR strategic framework which captures key tourism facilities), and/or (ii) to include a qualitative assessment of</w:t>
      </w:r>
      <w:r w:rsidRPr="00693ECF">
        <w:t xml:space="preserve"> </w:t>
      </w:r>
      <w:r>
        <w:t>negative pressures</w:t>
      </w:r>
      <w:r w:rsidRPr="00EB0401">
        <w:t xml:space="preserve"> </w:t>
      </w:r>
      <w:r>
        <w:t xml:space="preserve">and positive ecological </w:t>
      </w:r>
      <w:r w:rsidRPr="00EB0401">
        <w:t xml:space="preserve">dependencies </w:t>
      </w:r>
      <w:r>
        <w:t xml:space="preserve">including with </w:t>
      </w:r>
      <w:r w:rsidRPr="00EB0401">
        <w:t>assets outside of the</w:t>
      </w:r>
      <w:r>
        <w:t xml:space="preserve"> </w:t>
      </w:r>
      <w:r w:rsidRPr="00EB0401">
        <w:t xml:space="preserve">GOR Coast and Parks </w:t>
      </w:r>
      <w:r>
        <w:t>area boundary.</w:t>
      </w:r>
    </w:p>
    <w:p w14:paraId="197BCFD1" w14:textId="77777777" w:rsidR="00F50B5A" w:rsidRDefault="00F50B5A" w:rsidP="00F50B5A">
      <w:pPr>
        <w:pStyle w:val="BodyText"/>
        <w:widowControl w:val="0"/>
      </w:pPr>
      <w:r>
        <w:t xml:space="preserve">The GORCAP EEA includes a proposed </w:t>
      </w:r>
      <w:r w:rsidRPr="003A2AAF">
        <w:t xml:space="preserve">framework </w:t>
      </w:r>
      <w:r>
        <w:t xml:space="preserve">(see Box 3, on </w:t>
      </w:r>
      <w:r w:rsidRPr="008E3C5C">
        <w:t>Drivers, Pressure, State, Impact, Response framework</w:t>
      </w:r>
      <w:r>
        <w:t>), for assessing the factors that</w:t>
      </w:r>
      <w:r w:rsidRPr="00036068">
        <w:t xml:space="preserve"> </w:t>
      </w:r>
      <w:r w:rsidRPr="00EB0401">
        <w:t xml:space="preserve">contribute to determining the productive value of </w:t>
      </w:r>
      <w:r>
        <w:t>assets within the</w:t>
      </w:r>
      <w:r w:rsidRPr="001750B0">
        <w:t xml:space="preserve"> </w:t>
      </w:r>
      <w:r w:rsidRPr="00EB0401">
        <w:t xml:space="preserve">GOR </w:t>
      </w:r>
      <w:r w:rsidRPr="00DE04FF">
        <w:t xml:space="preserve">Coast and Parks Area </w:t>
      </w:r>
      <w:r>
        <w:t>including negative pressures (dis-service</w:t>
      </w:r>
      <w:r w:rsidRPr="00EB0401">
        <w:t>s and externalities</w:t>
      </w:r>
      <w:r>
        <w:t>) and</w:t>
      </w:r>
      <w:r w:rsidRPr="00EB0401">
        <w:t xml:space="preserve"> </w:t>
      </w:r>
      <w:r>
        <w:t xml:space="preserve">positive </w:t>
      </w:r>
      <w:r w:rsidRPr="00EB0401">
        <w:t xml:space="preserve">ecological interactions that occur </w:t>
      </w:r>
      <w:r>
        <w:t>within and across</w:t>
      </w:r>
      <w:r w:rsidRPr="00EB0401">
        <w:t xml:space="preserve"> the </w:t>
      </w:r>
      <w:r>
        <w:t>assessment boundary</w:t>
      </w:r>
      <w:r w:rsidRPr="00EB0401">
        <w:t xml:space="preserve">, </w:t>
      </w:r>
      <w:r>
        <w:t xml:space="preserve">as it is envisaged that </w:t>
      </w:r>
      <w:r w:rsidRPr="00EB0401">
        <w:t xml:space="preserve">this information </w:t>
      </w:r>
      <w:r>
        <w:t>will</w:t>
      </w:r>
      <w:r w:rsidRPr="00EB0401">
        <w:t xml:space="preserve"> be useful for the GOR Authority.</w:t>
      </w:r>
      <w:r>
        <w:t xml:space="preserve"> If resources are available in the future, then a </w:t>
      </w:r>
      <w:r w:rsidRPr="00EB0401">
        <w:t>qualitative assessment</w:t>
      </w:r>
      <w:r>
        <w:t xml:space="preserve"> and preferably a quantitative assessment</w:t>
      </w:r>
      <w:r w:rsidRPr="00EB0401">
        <w:t xml:space="preserve"> of the</w:t>
      </w:r>
      <w:r>
        <w:t xml:space="preserve">se interactions would be a useful illustration of the framework in practice. </w:t>
      </w:r>
    </w:p>
    <w:p w14:paraId="3DE03D7F" w14:textId="77777777" w:rsidR="00F50B5A" w:rsidRDefault="00F50B5A" w:rsidP="00F50B5A">
      <w:pPr>
        <w:pStyle w:val="BodyText"/>
        <w:widowControl w:val="0"/>
      </w:pPr>
      <w:r w:rsidRPr="00EB0401">
        <w:t xml:space="preserve">Table </w:t>
      </w:r>
      <w:r>
        <w:t>A1</w:t>
      </w:r>
      <w:r w:rsidRPr="00EB0401">
        <w:t xml:space="preserve"> explains three options for defining the asset and interaction boundary and the pros and cons of each. Option 1 is the </w:t>
      </w:r>
      <w:r>
        <w:t>chosen</w:t>
      </w:r>
      <w:r w:rsidRPr="00EB0401">
        <w:t xml:space="preserve"> option because the focus is on the assets within the </w:t>
      </w:r>
      <w:r w:rsidRPr="000578F5">
        <w:t>outer perimeter of the GOR Coast and Parks Area (</w:t>
      </w:r>
      <w:r>
        <w:t xml:space="preserve">with a recognition of the status and productivity of Crown and non-Crown land where this deemed to be significant for informing the Authority’s management) </w:t>
      </w:r>
      <w:r w:rsidRPr="00EB0401">
        <w:t xml:space="preserve">but the wider interactions that are important determinants of the status and productive value of those assets is captured using a flexible definition of the broader assessment boundary.   </w:t>
      </w:r>
    </w:p>
    <w:p w14:paraId="5712014F" w14:textId="11324B0F" w:rsidR="00F50B5A" w:rsidRDefault="00F50B5A" w:rsidP="003F5F59">
      <w:pPr>
        <w:pStyle w:val="Caption"/>
      </w:pPr>
      <w:r w:rsidRPr="0089459B">
        <w:lastRenderedPageBreak/>
        <w:t>T</w:t>
      </w:r>
      <w:r w:rsidR="003F5F59">
        <w:t>a</w:t>
      </w:r>
      <w:r w:rsidRPr="0089459B">
        <w:t xml:space="preserve">ble </w:t>
      </w:r>
      <w:r>
        <w:t>A1</w:t>
      </w:r>
      <w:r w:rsidRPr="0089459B">
        <w:t>.</w:t>
      </w:r>
      <w:r>
        <w:t>1.</w:t>
      </w:r>
      <w:r w:rsidRPr="0089459B">
        <w:t xml:space="preserve"> GOR-EEA</w:t>
      </w:r>
      <w:r w:rsidRPr="00F63F9D">
        <w:t xml:space="preserve"> boundary option definition and assessment</w:t>
      </w:r>
      <w:r w:rsidRPr="00D45165">
        <w:t xml:space="preserve"> </w:t>
      </w:r>
    </w:p>
    <w:tbl>
      <w:tblPr>
        <w:tblStyle w:val="TableGrid"/>
        <w:tblW w:w="0" w:type="auto"/>
        <w:tblLook w:val="04A0" w:firstRow="1" w:lastRow="0" w:firstColumn="1" w:lastColumn="0" w:noHBand="0" w:noVBand="1"/>
      </w:tblPr>
      <w:tblGrid>
        <w:gridCol w:w="1316"/>
        <w:gridCol w:w="2774"/>
        <w:gridCol w:w="2774"/>
        <w:gridCol w:w="2774"/>
      </w:tblGrid>
      <w:tr w:rsidR="00B954AC" w14:paraId="15212F75" w14:textId="77777777" w:rsidTr="00B954AC">
        <w:trPr>
          <w:cnfStyle w:val="100000000000" w:firstRow="1" w:lastRow="0" w:firstColumn="0" w:lastColumn="0" w:oddVBand="0" w:evenVBand="0" w:oddHBand="0"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0" w:type="auto"/>
            <w:tcBorders>
              <w:right w:val="single" w:sz="8" w:space="0" w:color="FFFFFF" w:themeColor="background1"/>
            </w:tcBorders>
          </w:tcPr>
          <w:p w14:paraId="062D00E2" w14:textId="77777777" w:rsidR="00F50B5A" w:rsidRPr="00D45165" w:rsidRDefault="00F50B5A" w:rsidP="00B954AC">
            <w:pPr>
              <w:pStyle w:val="TableHeadingLeft"/>
            </w:pPr>
          </w:p>
        </w:tc>
        <w:tc>
          <w:tcPr>
            <w:tcW w:w="2774" w:type="dxa"/>
            <w:tcBorders>
              <w:top w:val="single" w:sz="8" w:space="0" w:color="FFFFFF" w:themeColor="background1"/>
              <w:left w:val="single" w:sz="8" w:space="0" w:color="FFFFFF" w:themeColor="background1"/>
              <w:right w:val="single" w:sz="8" w:space="0" w:color="FFFFFF" w:themeColor="background1"/>
            </w:tcBorders>
          </w:tcPr>
          <w:p w14:paraId="07879600" w14:textId="77777777" w:rsidR="00F50B5A" w:rsidRPr="00D45165" w:rsidRDefault="00F50B5A" w:rsidP="00B954AC">
            <w:pPr>
              <w:pStyle w:val="TableHeadingLeft"/>
              <w:cnfStyle w:val="100000000000" w:firstRow="1" w:lastRow="0" w:firstColumn="0" w:lastColumn="0" w:oddVBand="0" w:evenVBand="0" w:oddHBand="0" w:evenHBand="0" w:firstRowFirstColumn="0" w:firstRowLastColumn="0" w:lastRowFirstColumn="0" w:lastRowLastColumn="0"/>
            </w:pPr>
            <w:r w:rsidRPr="00D45165">
              <w:t xml:space="preserve">Option 1. GOR </w:t>
            </w:r>
            <w:r>
              <w:t>Coast and Parks area</w:t>
            </w:r>
            <w:r w:rsidRPr="00D45165">
              <w:t xml:space="preserve"> and flexible interaction definition</w:t>
            </w:r>
          </w:p>
        </w:tc>
        <w:tc>
          <w:tcPr>
            <w:tcW w:w="2774" w:type="dxa"/>
            <w:tcBorders>
              <w:top w:val="single" w:sz="8" w:space="0" w:color="FFFFFF" w:themeColor="background1"/>
              <w:left w:val="single" w:sz="8" w:space="0" w:color="FFFFFF" w:themeColor="background1"/>
              <w:right w:val="single" w:sz="8" w:space="0" w:color="FFFFFF" w:themeColor="background1"/>
            </w:tcBorders>
          </w:tcPr>
          <w:p w14:paraId="779244CE" w14:textId="77777777" w:rsidR="00F50B5A" w:rsidRPr="00D45165" w:rsidRDefault="00F50B5A" w:rsidP="00B954AC">
            <w:pPr>
              <w:pStyle w:val="TableHeadingLeft"/>
              <w:cnfStyle w:val="100000000000" w:firstRow="1" w:lastRow="0" w:firstColumn="0" w:lastColumn="0" w:oddVBand="0" w:evenVBand="0" w:oddHBand="0" w:evenHBand="0" w:firstRowFirstColumn="0" w:firstRowLastColumn="0" w:lastRowFirstColumn="0" w:lastRowLastColumn="0"/>
            </w:pPr>
            <w:r w:rsidRPr="00D45165">
              <w:t xml:space="preserve">Option 2. GOR </w:t>
            </w:r>
            <w:r>
              <w:t>Coast and Parks area</w:t>
            </w:r>
            <w:r w:rsidRPr="00D45165">
              <w:t xml:space="preserve"> and fixed interaction definition</w:t>
            </w:r>
          </w:p>
        </w:tc>
        <w:tc>
          <w:tcPr>
            <w:tcW w:w="2774" w:type="dxa"/>
            <w:tcBorders>
              <w:top w:val="single" w:sz="8" w:space="0" w:color="FFFFFF" w:themeColor="background1"/>
              <w:left w:val="single" w:sz="8" w:space="0" w:color="FFFFFF" w:themeColor="background1"/>
            </w:tcBorders>
          </w:tcPr>
          <w:p w14:paraId="416685A0" w14:textId="77777777" w:rsidR="00F50B5A" w:rsidRPr="00D45165" w:rsidRDefault="00F50B5A" w:rsidP="00B954AC">
            <w:pPr>
              <w:pStyle w:val="TableHeadingLeft"/>
              <w:cnfStyle w:val="100000000000" w:firstRow="1" w:lastRow="0" w:firstColumn="0" w:lastColumn="0" w:oddVBand="0" w:evenVBand="0" w:oddHBand="0" w:evenHBand="0" w:firstRowFirstColumn="0" w:firstRowLastColumn="0" w:lastRowFirstColumn="0" w:lastRowLastColumn="0"/>
            </w:pPr>
            <w:r w:rsidRPr="00D45165">
              <w:t>Option 3. Strategic framework and flexible interaction definition</w:t>
            </w:r>
          </w:p>
        </w:tc>
      </w:tr>
      <w:tr w:rsidR="00F50B5A" w14:paraId="01C749DE" w14:textId="77777777" w:rsidTr="00B954AC">
        <w:trPr>
          <w:trHeight w:val="1944"/>
        </w:trPr>
        <w:tc>
          <w:tcPr>
            <w:cnfStyle w:val="001000000000" w:firstRow="0" w:lastRow="0" w:firstColumn="1" w:lastColumn="0" w:oddVBand="0" w:evenVBand="0" w:oddHBand="0" w:evenHBand="0" w:firstRowFirstColumn="0" w:firstRowLastColumn="0" w:lastRowFirstColumn="0" w:lastRowLastColumn="0"/>
            <w:tcW w:w="0" w:type="auto"/>
          </w:tcPr>
          <w:p w14:paraId="3526574C" w14:textId="77777777" w:rsidR="00F50B5A" w:rsidRPr="003F5F59" w:rsidRDefault="00F50B5A" w:rsidP="003F5F59">
            <w:pPr>
              <w:pStyle w:val="TableTextLeft"/>
              <w:rPr>
                <w:b/>
                <w:bCs/>
              </w:rPr>
            </w:pPr>
            <w:r w:rsidRPr="003F5F59">
              <w:rPr>
                <w:b/>
                <w:bCs/>
              </w:rPr>
              <w:t xml:space="preserve">Asset boundary </w:t>
            </w:r>
          </w:p>
          <w:p w14:paraId="1AEFD681" w14:textId="77777777" w:rsidR="00F50B5A" w:rsidRPr="003F5F59" w:rsidRDefault="00F50B5A" w:rsidP="003F5F59">
            <w:pPr>
              <w:pStyle w:val="TableTextLeft"/>
              <w:rPr>
                <w:b/>
                <w:bCs/>
                <w:i/>
              </w:rPr>
            </w:pPr>
          </w:p>
        </w:tc>
        <w:tc>
          <w:tcPr>
            <w:tcW w:w="2774" w:type="dxa"/>
          </w:tcPr>
          <w:p w14:paraId="7E04C8CF" w14:textId="77777777" w:rsidR="00F50B5A" w:rsidRPr="00D45165" w:rsidRDefault="00F50B5A" w:rsidP="003F5F59">
            <w:pPr>
              <w:pStyle w:val="TableTextLeft"/>
              <w:cnfStyle w:val="000000000000" w:firstRow="0" w:lastRow="0" w:firstColumn="0" w:lastColumn="0" w:oddVBand="0" w:evenVBand="0" w:oddHBand="0" w:evenHBand="0" w:firstRowFirstColumn="0" w:firstRowLastColumn="0" w:lastRowFirstColumn="0" w:lastRowLastColumn="0"/>
            </w:pPr>
            <w:r w:rsidRPr="00D45165">
              <w:t xml:space="preserve">Estimate status and productive value ($) of assets within the </w:t>
            </w:r>
            <w:r w:rsidRPr="00DE04FF">
              <w:t>outer perimeter of the GOR Coast and Parks Area (</w:t>
            </w:r>
            <w:r w:rsidRPr="00010603">
              <w:t>with a recognition of the status and productivity of Crown and non-Crown land where this deemed to be significant for informing the Authority’s management)</w:t>
            </w:r>
            <w:r w:rsidRPr="00DE04FF">
              <w:t>.</w:t>
            </w:r>
          </w:p>
        </w:tc>
        <w:tc>
          <w:tcPr>
            <w:tcW w:w="2774" w:type="dxa"/>
          </w:tcPr>
          <w:p w14:paraId="1898A503" w14:textId="77777777" w:rsidR="00F50B5A" w:rsidRPr="00D45165" w:rsidRDefault="00F50B5A" w:rsidP="003F5F59">
            <w:pPr>
              <w:pStyle w:val="TableTextLeft"/>
              <w:cnfStyle w:val="000000000000" w:firstRow="0" w:lastRow="0" w:firstColumn="0" w:lastColumn="0" w:oddVBand="0" w:evenVBand="0" w:oddHBand="0" w:evenHBand="0" w:firstRowFirstColumn="0" w:firstRowLastColumn="0" w:lastRowFirstColumn="0" w:lastRowLastColumn="0"/>
            </w:pPr>
            <w:r w:rsidRPr="00D45165">
              <w:t xml:space="preserve">Estimate status and productive value ($) of assets within the </w:t>
            </w:r>
            <w:r w:rsidRPr="0056584D">
              <w:t xml:space="preserve">outer perimeter of the GOR Coast and Parks Area </w:t>
            </w:r>
            <w:r w:rsidRPr="00DE04FF">
              <w:t>(</w:t>
            </w:r>
            <w:r w:rsidRPr="00010603">
              <w:t>with a recognition of the status and productivity of Crown and non-Crown land where this deemed to be significant for informing the Authority’s management)</w:t>
            </w:r>
            <w:r w:rsidRPr="00DE04FF">
              <w:t>.</w:t>
            </w:r>
          </w:p>
        </w:tc>
        <w:tc>
          <w:tcPr>
            <w:tcW w:w="2774" w:type="dxa"/>
          </w:tcPr>
          <w:p w14:paraId="32FF28A6" w14:textId="77777777" w:rsidR="00F50B5A" w:rsidRPr="00D45165" w:rsidRDefault="00F50B5A" w:rsidP="003F5F59">
            <w:pPr>
              <w:pStyle w:val="TableTextLeft"/>
              <w:cnfStyle w:val="000000000000" w:firstRow="0" w:lastRow="0" w:firstColumn="0" w:lastColumn="0" w:oddVBand="0" w:evenVBand="0" w:oddHBand="0" w:evenHBand="0" w:firstRowFirstColumn="0" w:firstRowLastColumn="0" w:lastRowFirstColumn="0" w:lastRowLastColumn="0"/>
            </w:pPr>
            <w:r w:rsidRPr="00D45165">
              <w:t>Estimate status and productive value ($) of assets within the Great Ocean Road Strategic Framework boundary</w:t>
            </w:r>
            <w:r>
              <w:t>.</w:t>
            </w:r>
          </w:p>
        </w:tc>
      </w:tr>
      <w:tr w:rsidR="00F50B5A" w14:paraId="111D0C05" w14:textId="77777777" w:rsidTr="00B954AC">
        <w:trPr>
          <w:trHeight w:val="1088"/>
        </w:trPr>
        <w:tc>
          <w:tcPr>
            <w:cnfStyle w:val="001000000000" w:firstRow="0" w:lastRow="0" w:firstColumn="1" w:lastColumn="0" w:oddVBand="0" w:evenVBand="0" w:oddHBand="0" w:evenHBand="0" w:firstRowFirstColumn="0" w:firstRowLastColumn="0" w:lastRowFirstColumn="0" w:lastRowLastColumn="0"/>
            <w:tcW w:w="0" w:type="auto"/>
          </w:tcPr>
          <w:p w14:paraId="480C67AA" w14:textId="6370FBC7" w:rsidR="00F50B5A" w:rsidRPr="003F5F59" w:rsidRDefault="00F50B5A" w:rsidP="00B954AC">
            <w:pPr>
              <w:pStyle w:val="TableTextLeft"/>
              <w:rPr>
                <w:b/>
                <w:bCs/>
              </w:rPr>
            </w:pPr>
            <w:r w:rsidRPr="003F5F59">
              <w:rPr>
                <w:b/>
                <w:bCs/>
              </w:rPr>
              <w:t>Interaction boundary</w:t>
            </w:r>
          </w:p>
        </w:tc>
        <w:tc>
          <w:tcPr>
            <w:tcW w:w="2774" w:type="dxa"/>
          </w:tcPr>
          <w:p w14:paraId="1EF1CA37" w14:textId="77777777" w:rsidR="00F50B5A" w:rsidRPr="00D45165" w:rsidRDefault="00F50B5A" w:rsidP="003F5F59">
            <w:pPr>
              <w:pStyle w:val="TableTextLeft"/>
              <w:cnfStyle w:val="000000000000" w:firstRow="0" w:lastRow="0" w:firstColumn="0" w:lastColumn="0" w:oddVBand="0" w:evenVBand="0" w:oddHBand="0" w:evenHBand="0" w:firstRowFirstColumn="0" w:firstRowLastColumn="0" w:lastRowFirstColumn="0" w:lastRowLastColumn="0"/>
            </w:pPr>
            <w:r>
              <w:t>R</w:t>
            </w:r>
            <w:r w:rsidRPr="00D45165">
              <w:t>eport information on interactions within boundaries that are defined separately for each ecosystem service</w:t>
            </w:r>
            <w:r>
              <w:t>.</w:t>
            </w:r>
          </w:p>
        </w:tc>
        <w:tc>
          <w:tcPr>
            <w:tcW w:w="2774" w:type="dxa"/>
          </w:tcPr>
          <w:p w14:paraId="3CE75135" w14:textId="77777777" w:rsidR="00F50B5A" w:rsidRPr="00D45165" w:rsidRDefault="00F50B5A" w:rsidP="003F5F59">
            <w:pPr>
              <w:pStyle w:val="TableTextLeft"/>
              <w:cnfStyle w:val="000000000000" w:firstRow="0" w:lastRow="0" w:firstColumn="0" w:lastColumn="0" w:oddVBand="0" w:evenVBand="0" w:oddHBand="0" w:evenHBand="0" w:firstRowFirstColumn="0" w:firstRowLastColumn="0" w:lastRowFirstColumn="0" w:lastRowLastColumn="0"/>
            </w:pPr>
            <w:r>
              <w:t>R</w:t>
            </w:r>
            <w:r w:rsidRPr="00D45165">
              <w:t>eport information on interactions that occur with the (natural and built) assets in the Great Ocean Road Strategic Framework Plan</w:t>
            </w:r>
            <w:r>
              <w:t>.</w:t>
            </w:r>
            <w:r w:rsidRPr="00D45165">
              <w:t xml:space="preserve"> </w:t>
            </w:r>
          </w:p>
        </w:tc>
        <w:tc>
          <w:tcPr>
            <w:tcW w:w="2774" w:type="dxa"/>
          </w:tcPr>
          <w:p w14:paraId="1123450F" w14:textId="77777777" w:rsidR="00F50B5A" w:rsidRPr="00D45165" w:rsidRDefault="00F50B5A" w:rsidP="003F5F59">
            <w:pPr>
              <w:pStyle w:val="TableTextLeft"/>
              <w:cnfStyle w:val="000000000000" w:firstRow="0" w:lastRow="0" w:firstColumn="0" w:lastColumn="0" w:oddVBand="0" w:evenVBand="0" w:oddHBand="0" w:evenHBand="0" w:firstRowFirstColumn="0" w:firstRowLastColumn="0" w:lastRowFirstColumn="0" w:lastRowLastColumn="0"/>
            </w:pPr>
            <w:r>
              <w:t>R</w:t>
            </w:r>
            <w:r w:rsidRPr="00D45165">
              <w:t>eport information on interactions within boundaries that are defined separately for each ecosystem service</w:t>
            </w:r>
            <w:r>
              <w:t>.</w:t>
            </w:r>
          </w:p>
        </w:tc>
      </w:tr>
      <w:tr w:rsidR="00F50B5A" w14:paraId="6754DD4F" w14:textId="77777777" w:rsidTr="00B954AC">
        <w:trPr>
          <w:trHeight w:val="1504"/>
        </w:trPr>
        <w:tc>
          <w:tcPr>
            <w:cnfStyle w:val="001000000000" w:firstRow="0" w:lastRow="0" w:firstColumn="1" w:lastColumn="0" w:oddVBand="0" w:evenVBand="0" w:oddHBand="0" w:evenHBand="0" w:firstRowFirstColumn="0" w:firstRowLastColumn="0" w:lastRowFirstColumn="0" w:lastRowLastColumn="0"/>
            <w:tcW w:w="0" w:type="auto"/>
          </w:tcPr>
          <w:p w14:paraId="2262DECE" w14:textId="77777777" w:rsidR="00F50B5A" w:rsidRPr="003F5F59" w:rsidRDefault="00F50B5A" w:rsidP="003F5F59">
            <w:pPr>
              <w:pStyle w:val="TableTextLeft"/>
              <w:rPr>
                <w:b/>
                <w:bCs/>
              </w:rPr>
            </w:pPr>
            <w:r w:rsidRPr="003F5F59">
              <w:rPr>
                <w:b/>
                <w:bCs/>
              </w:rPr>
              <w:t>Pros</w:t>
            </w:r>
          </w:p>
        </w:tc>
        <w:tc>
          <w:tcPr>
            <w:tcW w:w="2774" w:type="dxa"/>
          </w:tcPr>
          <w:p w14:paraId="460A4726" w14:textId="77777777" w:rsidR="00F50B5A" w:rsidRPr="00D45165" w:rsidRDefault="00F50B5A" w:rsidP="003F5F59">
            <w:pPr>
              <w:pStyle w:val="TableTextLeft"/>
              <w:cnfStyle w:val="000000000000" w:firstRow="0" w:lastRow="0" w:firstColumn="0" w:lastColumn="0" w:oddVBand="0" w:evenVBand="0" w:oddHBand="0" w:evenHBand="0" w:firstRowFirstColumn="0" w:firstRowLastColumn="0" w:lastRowFirstColumn="0" w:lastRowLastColumn="0"/>
            </w:pPr>
            <w:r w:rsidRPr="00D45165">
              <w:t xml:space="preserve">Compiles information on all interactions that are important to properly manage to sustain / improve the value of </w:t>
            </w:r>
            <w:r>
              <w:t xml:space="preserve">all </w:t>
            </w:r>
            <w:r w:rsidRPr="00D45165">
              <w:t>assets</w:t>
            </w:r>
            <w:r>
              <w:t xml:space="preserve"> that could potentially be under the </w:t>
            </w:r>
            <w:r w:rsidRPr="007D13D0">
              <w:t>GOR Author</w:t>
            </w:r>
            <w:r>
              <w:t>ity management.</w:t>
            </w:r>
          </w:p>
        </w:tc>
        <w:tc>
          <w:tcPr>
            <w:tcW w:w="2774" w:type="dxa"/>
          </w:tcPr>
          <w:p w14:paraId="13584D22" w14:textId="77777777" w:rsidR="00F50B5A" w:rsidRPr="00D45165" w:rsidRDefault="00F50B5A" w:rsidP="003F5F59">
            <w:pPr>
              <w:pStyle w:val="TableTextLeft"/>
              <w:cnfStyle w:val="000000000000" w:firstRow="0" w:lastRow="0" w:firstColumn="0" w:lastColumn="0" w:oddVBand="0" w:evenVBand="0" w:oddHBand="0" w:evenHBand="0" w:firstRowFirstColumn="0" w:firstRowLastColumn="0" w:lastRowFirstColumn="0" w:lastRowLastColumn="0"/>
            </w:pPr>
            <w:r w:rsidRPr="00D45165">
              <w:t>Sets a single boundary for the assessment</w:t>
            </w:r>
            <w:r>
              <w:t>.</w:t>
            </w:r>
            <w:r w:rsidRPr="00D45165">
              <w:t xml:space="preserve"> </w:t>
            </w:r>
          </w:p>
        </w:tc>
        <w:tc>
          <w:tcPr>
            <w:tcW w:w="2774" w:type="dxa"/>
          </w:tcPr>
          <w:p w14:paraId="3D93BA0A" w14:textId="77777777" w:rsidR="00F50B5A" w:rsidRPr="00D45165" w:rsidRDefault="00F50B5A" w:rsidP="003F5F59">
            <w:pPr>
              <w:pStyle w:val="TableTextLeft"/>
              <w:cnfStyle w:val="000000000000" w:firstRow="0" w:lastRow="0" w:firstColumn="0" w:lastColumn="0" w:oddVBand="0" w:evenVBand="0" w:oddHBand="0" w:evenHBand="0" w:firstRowFirstColumn="0" w:firstRowLastColumn="0" w:lastRowFirstColumn="0" w:lastRowLastColumn="0"/>
            </w:pPr>
            <w:r w:rsidRPr="00D45165">
              <w:t>-</w:t>
            </w:r>
          </w:p>
        </w:tc>
      </w:tr>
      <w:tr w:rsidR="00F50B5A" w14:paraId="35A56AB5" w14:textId="77777777" w:rsidTr="00B954AC">
        <w:trPr>
          <w:trHeight w:val="1308"/>
        </w:trPr>
        <w:tc>
          <w:tcPr>
            <w:cnfStyle w:val="001000000000" w:firstRow="0" w:lastRow="0" w:firstColumn="1" w:lastColumn="0" w:oddVBand="0" w:evenVBand="0" w:oddHBand="0" w:evenHBand="0" w:firstRowFirstColumn="0" w:firstRowLastColumn="0" w:lastRowFirstColumn="0" w:lastRowLastColumn="0"/>
            <w:tcW w:w="0" w:type="auto"/>
          </w:tcPr>
          <w:p w14:paraId="3DBB0B12" w14:textId="77777777" w:rsidR="00F50B5A" w:rsidRPr="003F5F59" w:rsidRDefault="00F50B5A" w:rsidP="003F5F59">
            <w:pPr>
              <w:pStyle w:val="TableTextLeft"/>
              <w:rPr>
                <w:b/>
                <w:bCs/>
              </w:rPr>
            </w:pPr>
            <w:r w:rsidRPr="003F5F59">
              <w:rPr>
                <w:b/>
                <w:bCs/>
              </w:rPr>
              <w:t>Cons</w:t>
            </w:r>
          </w:p>
        </w:tc>
        <w:tc>
          <w:tcPr>
            <w:tcW w:w="2774" w:type="dxa"/>
          </w:tcPr>
          <w:p w14:paraId="4BA4968B" w14:textId="77777777" w:rsidR="00F50B5A" w:rsidRPr="00D45165" w:rsidRDefault="00F50B5A" w:rsidP="003F5F59">
            <w:pPr>
              <w:pStyle w:val="TableTextLeft"/>
              <w:cnfStyle w:val="000000000000" w:firstRow="0" w:lastRow="0" w:firstColumn="0" w:lastColumn="0" w:oddVBand="0" w:evenVBand="0" w:oddHBand="0" w:evenHBand="0" w:firstRowFirstColumn="0" w:firstRowLastColumn="0" w:lastRowFirstColumn="0" w:lastRowLastColumn="0"/>
            </w:pPr>
            <w:r w:rsidRPr="00D45165">
              <w:t>No single boundary definition for the assessment of interactions and requires additional work to define the boundary for each ecosystem service</w:t>
            </w:r>
            <w:r>
              <w:t>.</w:t>
            </w:r>
            <w:r w:rsidRPr="00D45165">
              <w:t xml:space="preserve"> </w:t>
            </w:r>
          </w:p>
        </w:tc>
        <w:tc>
          <w:tcPr>
            <w:tcW w:w="2774" w:type="dxa"/>
          </w:tcPr>
          <w:p w14:paraId="043026A5" w14:textId="77777777" w:rsidR="00F50B5A" w:rsidRPr="00D45165" w:rsidRDefault="00F50B5A" w:rsidP="003F5F59">
            <w:pPr>
              <w:pStyle w:val="TableTextLeft"/>
              <w:cnfStyle w:val="000000000000" w:firstRow="0" w:lastRow="0" w:firstColumn="0" w:lastColumn="0" w:oddVBand="0" w:evenVBand="0" w:oddHBand="0" w:evenHBand="0" w:firstRowFirstColumn="0" w:firstRowLastColumn="0" w:lastRowFirstColumn="0" w:lastRowLastColumn="0"/>
            </w:pPr>
            <w:r w:rsidRPr="00D45165">
              <w:t>There could be ecological interactions beyond this boundary (e.g. the importance of wetland areas as nursery grounds for fish stocks) that will not be captured</w:t>
            </w:r>
            <w:r>
              <w:t>.</w:t>
            </w:r>
          </w:p>
        </w:tc>
        <w:tc>
          <w:tcPr>
            <w:tcW w:w="2774" w:type="dxa"/>
          </w:tcPr>
          <w:p w14:paraId="46473ABE" w14:textId="77777777" w:rsidR="00F50B5A" w:rsidRPr="00D45165" w:rsidRDefault="00F50B5A" w:rsidP="003F5F59">
            <w:pPr>
              <w:pStyle w:val="TableTextLeft"/>
              <w:cnfStyle w:val="000000000000" w:firstRow="0" w:lastRow="0" w:firstColumn="0" w:lastColumn="0" w:oddVBand="0" w:evenVBand="0" w:oddHBand="0" w:evenHBand="0" w:firstRowFirstColumn="0" w:firstRowLastColumn="0" w:lastRowFirstColumn="0" w:lastRowLastColumn="0"/>
            </w:pPr>
            <w:r w:rsidRPr="00D45165">
              <w:t xml:space="preserve">Does not </w:t>
            </w:r>
            <w:r>
              <w:t xml:space="preserve">isolate the status and value of </w:t>
            </w:r>
            <w:r w:rsidRPr="00D45165">
              <w:t xml:space="preserve">assets under GOR Authority management </w:t>
            </w:r>
            <w:r>
              <w:t>from</w:t>
            </w:r>
            <w:r w:rsidRPr="00D45165">
              <w:t xml:space="preserve"> those within wider strategic framework boundary</w:t>
            </w:r>
            <w:r>
              <w:t>.</w:t>
            </w:r>
            <w:r w:rsidRPr="00D45165">
              <w:t xml:space="preserve"> </w:t>
            </w:r>
          </w:p>
        </w:tc>
      </w:tr>
    </w:tbl>
    <w:p w14:paraId="25FB79DF" w14:textId="77777777" w:rsidR="00F50B5A" w:rsidRDefault="00F50B5A" w:rsidP="00F50B5A">
      <w:pPr>
        <w:pStyle w:val="CommentText"/>
        <w:rPr>
          <w:lang w:val="en"/>
        </w:rPr>
      </w:pPr>
    </w:p>
    <w:p w14:paraId="3B7F2ADE" w14:textId="77777777" w:rsidR="00F50B5A" w:rsidRDefault="00F50B5A" w:rsidP="003F5F59">
      <w:pPr>
        <w:pStyle w:val="BodyText"/>
        <w:sectPr w:rsidR="00F50B5A" w:rsidSect="00E52A9A">
          <w:headerReference w:type="even" r:id="rId336"/>
          <w:headerReference w:type="default" r:id="rId337"/>
          <w:footerReference w:type="even" r:id="rId338"/>
          <w:footerReference w:type="default" r:id="rId339"/>
          <w:pgSz w:w="11906" w:h="16838" w:code="9"/>
          <w:pgMar w:top="1134" w:right="1134" w:bottom="1134" w:left="1134" w:header="283" w:footer="283" w:gutter="0"/>
          <w:cols w:space="284"/>
          <w:docGrid w:linePitch="360"/>
        </w:sectPr>
      </w:pPr>
    </w:p>
    <w:p w14:paraId="189C4BBC" w14:textId="77777777" w:rsidR="00F50B5A" w:rsidRPr="003F5F59" w:rsidRDefault="00F50B5A" w:rsidP="003F5F59">
      <w:pPr>
        <w:pStyle w:val="Heading1"/>
        <w:numPr>
          <w:ilvl w:val="0"/>
          <w:numId w:val="0"/>
        </w:numPr>
      </w:pPr>
      <w:bookmarkStart w:id="421" w:name="_Toc98854712"/>
      <w:bookmarkStart w:id="422" w:name="_Toc163547101"/>
      <w:r w:rsidRPr="003F5F59">
        <w:lastRenderedPageBreak/>
        <w:t>Annex 2. Scope of ecosystem services included in the reviewed literature</w:t>
      </w:r>
      <w:bookmarkEnd w:id="421"/>
      <w:bookmarkEnd w:id="422"/>
      <w:r w:rsidRPr="003F5F59">
        <w:t xml:space="preserve"> </w:t>
      </w:r>
    </w:p>
    <w:p w14:paraId="37EB044E" w14:textId="77777777" w:rsidR="00F50B5A" w:rsidRPr="0091021A" w:rsidRDefault="00F50B5A" w:rsidP="003F5F59">
      <w:pPr>
        <w:pStyle w:val="BodyText"/>
        <w:rPr>
          <w:color w:val="1A1A1A"/>
        </w:rPr>
      </w:pPr>
      <w:r w:rsidRPr="0091021A">
        <w:rPr>
          <w:color w:val="1A1A1A"/>
        </w:rPr>
        <w:t xml:space="preserve">The SEEA-EEA guidance (2020b) outlines a (non-exhaustive </w:t>
      </w:r>
      <w:r w:rsidRPr="0091021A">
        <w:rPr>
          <w:vertAlign w:val="superscript"/>
        </w:rPr>
        <w:footnoteReference w:id="86"/>
      </w:r>
      <w:r w:rsidRPr="0091021A">
        <w:rPr>
          <w:color w:val="1A1A1A"/>
        </w:rPr>
        <w:t xml:space="preserve">) reference list of selected ecosystem services (in the absence of an internationally agreed classification of ecosystem services) which provides labels and descriptions for a set of key ecosystem services relevant for </w:t>
      </w:r>
      <w:r>
        <w:rPr>
          <w:color w:val="1A1A1A"/>
        </w:rPr>
        <w:t>environmental-economic account</w:t>
      </w:r>
      <w:r w:rsidRPr="0091021A">
        <w:rPr>
          <w:color w:val="1A1A1A"/>
        </w:rPr>
        <w:t>ing. It includes both final and intermediate ecosystem services as follows:</w:t>
      </w:r>
    </w:p>
    <w:tbl>
      <w:tblPr>
        <w:tblStyle w:val="TableGrid"/>
        <w:tblW w:w="5000" w:type="pct"/>
        <w:tblLook w:val="04A0" w:firstRow="1" w:lastRow="0" w:firstColumn="1" w:lastColumn="0" w:noHBand="0" w:noVBand="1"/>
      </w:tblPr>
      <w:tblGrid>
        <w:gridCol w:w="2943"/>
        <w:gridCol w:w="6695"/>
      </w:tblGrid>
      <w:tr w:rsidR="00F50B5A" w:rsidRPr="0091021A" w14:paraId="30FB19BF" w14:textId="77777777" w:rsidTr="003F5F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7" w:type="pct"/>
          </w:tcPr>
          <w:p w14:paraId="7CE85689" w14:textId="77777777" w:rsidR="00F50B5A" w:rsidRPr="00B85318" w:rsidRDefault="00F50B5A" w:rsidP="003F5F59">
            <w:pPr>
              <w:pStyle w:val="TableHeadingLeft"/>
            </w:pPr>
            <w:r w:rsidRPr="00B85318">
              <w:t>Ecosystem service category</w:t>
            </w:r>
          </w:p>
        </w:tc>
        <w:tc>
          <w:tcPr>
            <w:tcW w:w="3473" w:type="pct"/>
          </w:tcPr>
          <w:p w14:paraId="784CAFA4" w14:textId="77777777" w:rsidR="00F50B5A" w:rsidRPr="00B85318" w:rsidRDefault="00F50B5A" w:rsidP="003F5F59">
            <w:pPr>
              <w:pStyle w:val="TableHeadingLeft"/>
              <w:cnfStyle w:val="100000000000" w:firstRow="1" w:lastRow="0" w:firstColumn="0" w:lastColumn="0" w:oddVBand="0" w:evenVBand="0" w:oddHBand="0" w:evenHBand="0" w:firstRowFirstColumn="0" w:firstRowLastColumn="0" w:lastRowFirstColumn="0" w:lastRowLastColumn="0"/>
            </w:pPr>
            <w:r w:rsidRPr="00B85318">
              <w:t>Ecosystem service</w:t>
            </w:r>
          </w:p>
        </w:tc>
      </w:tr>
      <w:tr w:rsidR="00F50B5A" w:rsidRPr="0091021A" w14:paraId="1B6919D0" w14:textId="77777777" w:rsidTr="003F5F59">
        <w:tc>
          <w:tcPr>
            <w:cnfStyle w:val="001000000000" w:firstRow="0" w:lastRow="0" w:firstColumn="1" w:lastColumn="0" w:oddVBand="0" w:evenVBand="0" w:oddHBand="0" w:evenHBand="0" w:firstRowFirstColumn="0" w:firstRowLastColumn="0" w:lastRowFirstColumn="0" w:lastRowLastColumn="0"/>
            <w:tcW w:w="1527" w:type="pct"/>
            <w:hideMark/>
          </w:tcPr>
          <w:p w14:paraId="2C176EE8" w14:textId="77777777" w:rsidR="00F50B5A" w:rsidRPr="003F5F59" w:rsidRDefault="00F50B5A" w:rsidP="003F5F59">
            <w:pPr>
              <w:pStyle w:val="TableTextLeft"/>
              <w:rPr>
                <w:b/>
                <w:bCs/>
              </w:rPr>
            </w:pPr>
            <w:r w:rsidRPr="003F5F59">
              <w:rPr>
                <w:b/>
                <w:bCs/>
              </w:rPr>
              <w:t>Provisioning</w:t>
            </w:r>
          </w:p>
        </w:tc>
        <w:tc>
          <w:tcPr>
            <w:tcW w:w="3473" w:type="pct"/>
            <w:hideMark/>
          </w:tcPr>
          <w:p w14:paraId="1A068ECE" w14:textId="77777777" w:rsidR="00F50B5A" w:rsidRPr="008E3C5C" w:rsidRDefault="00F50B5A" w:rsidP="003F5F59">
            <w:pPr>
              <w:pStyle w:val="TableTextBullet"/>
              <w:cnfStyle w:val="000000000000" w:firstRow="0" w:lastRow="0" w:firstColumn="0" w:lastColumn="0" w:oddVBand="0" w:evenVBand="0" w:oddHBand="0" w:evenHBand="0" w:firstRowFirstColumn="0" w:firstRowLastColumn="0" w:lastRowFirstColumn="0" w:lastRowLastColumn="0"/>
            </w:pPr>
            <w:r w:rsidRPr="008E3C5C">
              <w:t>Biomass provisioning (crop, timber, fish etc)</w:t>
            </w:r>
          </w:p>
          <w:p w14:paraId="08A1241F" w14:textId="77777777" w:rsidR="00F50B5A" w:rsidRPr="008E3C5C" w:rsidRDefault="00F50B5A" w:rsidP="003F5F59">
            <w:pPr>
              <w:pStyle w:val="TableTextBullet"/>
              <w:cnfStyle w:val="000000000000" w:firstRow="0" w:lastRow="0" w:firstColumn="0" w:lastColumn="0" w:oddVBand="0" w:evenVBand="0" w:oddHBand="0" w:evenHBand="0" w:firstRowFirstColumn="0" w:firstRowLastColumn="0" w:lastRowFirstColumn="0" w:lastRowLastColumn="0"/>
            </w:pPr>
            <w:r w:rsidRPr="008E3C5C">
              <w:t>Water supply</w:t>
            </w:r>
          </w:p>
          <w:p w14:paraId="28F35DFA" w14:textId="77777777" w:rsidR="00F50B5A" w:rsidRPr="008E3C5C" w:rsidRDefault="00F50B5A" w:rsidP="003F5F59">
            <w:pPr>
              <w:pStyle w:val="TableTextBullet"/>
              <w:cnfStyle w:val="000000000000" w:firstRow="0" w:lastRow="0" w:firstColumn="0" w:lastColumn="0" w:oddVBand="0" w:evenVBand="0" w:oddHBand="0" w:evenHBand="0" w:firstRowFirstColumn="0" w:firstRowLastColumn="0" w:lastRowFirstColumn="0" w:lastRowLastColumn="0"/>
            </w:pPr>
            <w:r w:rsidRPr="008E3C5C">
              <w:t>Genetic material services</w:t>
            </w:r>
          </w:p>
        </w:tc>
      </w:tr>
      <w:tr w:rsidR="00F50B5A" w:rsidRPr="0091021A" w14:paraId="304DD503" w14:textId="77777777" w:rsidTr="003F5F59">
        <w:tc>
          <w:tcPr>
            <w:cnfStyle w:val="001000000000" w:firstRow="0" w:lastRow="0" w:firstColumn="1" w:lastColumn="0" w:oddVBand="0" w:evenVBand="0" w:oddHBand="0" w:evenHBand="0" w:firstRowFirstColumn="0" w:firstRowLastColumn="0" w:lastRowFirstColumn="0" w:lastRowLastColumn="0"/>
            <w:tcW w:w="1527" w:type="pct"/>
            <w:hideMark/>
          </w:tcPr>
          <w:p w14:paraId="2A0FF9CF" w14:textId="77777777" w:rsidR="00F50B5A" w:rsidRPr="003F5F59" w:rsidRDefault="00F50B5A" w:rsidP="003F5F59">
            <w:pPr>
              <w:pStyle w:val="TableTextLeft"/>
              <w:rPr>
                <w:rFonts w:ascii="Arial" w:hAnsi="Arial"/>
                <w:b/>
                <w:bCs/>
              </w:rPr>
            </w:pPr>
            <w:r w:rsidRPr="003F5F59">
              <w:rPr>
                <w:rFonts w:ascii="Arial" w:hAnsi="Arial"/>
                <w:b/>
                <w:bCs/>
              </w:rPr>
              <w:t>Regulating</w:t>
            </w:r>
          </w:p>
        </w:tc>
        <w:tc>
          <w:tcPr>
            <w:tcW w:w="3473" w:type="pct"/>
            <w:hideMark/>
          </w:tcPr>
          <w:p w14:paraId="41EF4B59" w14:textId="77777777" w:rsidR="00F50B5A" w:rsidRPr="008E3C5C" w:rsidRDefault="00F50B5A" w:rsidP="003F5F59">
            <w:pPr>
              <w:pStyle w:val="TableTextBullet"/>
              <w:cnfStyle w:val="000000000000" w:firstRow="0" w:lastRow="0" w:firstColumn="0" w:lastColumn="0" w:oddVBand="0" w:evenVBand="0" w:oddHBand="0" w:evenHBand="0" w:firstRowFirstColumn="0" w:firstRowLastColumn="0" w:lastRowFirstColumn="0" w:lastRowLastColumn="0"/>
              <w:rPr>
                <w:rFonts w:ascii="Arial" w:hAnsi="Arial"/>
              </w:rPr>
            </w:pPr>
            <w:r w:rsidRPr="008E3C5C">
              <w:rPr>
                <w:rFonts w:ascii="Arial" w:hAnsi="Arial"/>
              </w:rPr>
              <w:t>Global climate regulation services</w:t>
            </w:r>
          </w:p>
          <w:p w14:paraId="142A644F" w14:textId="77777777" w:rsidR="00F50B5A" w:rsidRPr="008E3C5C" w:rsidRDefault="00F50B5A" w:rsidP="003F5F59">
            <w:pPr>
              <w:pStyle w:val="TableTextBullet"/>
              <w:cnfStyle w:val="000000000000" w:firstRow="0" w:lastRow="0" w:firstColumn="0" w:lastColumn="0" w:oddVBand="0" w:evenVBand="0" w:oddHBand="0" w:evenHBand="0" w:firstRowFirstColumn="0" w:firstRowLastColumn="0" w:lastRowFirstColumn="0" w:lastRowLastColumn="0"/>
              <w:rPr>
                <w:rFonts w:ascii="Arial" w:hAnsi="Arial"/>
              </w:rPr>
            </w:pPr>
            <w:r w:rsidRPr="008E3C5C">
              <w:rPr>
                <w:rFonts w:ascii="Arial" w:hAnsi="Arial"/>
              </w:rPr>
              <w:t>Rainfall pattern regulation services (at sub-continental scale)</w:t>
            </w:r>
          </w:p>
          <w:p w14:paraId="3956EF69" w14:textId="77777777" w:rsidR="00F50B5A" w:rsidRPr="008E3C5C" w:rsidRDefault="00F50B5A" w:rsidP="003F5F59">
            <w:pPr>
              <w:pStyle w:val="TableTextBullet"/>
              <w:cnfStyle w:val="000000000000" w:firstRow="0" w:lastRow="0" w:firstColumn="0" w:lastColumn="0" w:oddVBand="0" w:evenVBand="0" w:oddHBand="0" w:evenHBand="0" w:firstRowFirstColumn="0" w:firstRowLastColumn="0" w:lastRowFirstColumn="0" w:lastRowLastColumn="0"/>
              <w:rPr>
                <w:rFonts w:ascii="Arial" w:hAnsi="Arial"/>
              </w:rPr>
            </w:pPr>
            <w:r w:rsidRPr="008E3C5C">
              <w:rPr>
                <w:rFonts w:ascii="Arial" w:hAnsi="Arial"/>
              </w:rPr>
              <w:t xml:space="preserve">Local (micro and </w:t>
            </w:r>
            <w:proofErr w:type="spellStart"/>
            <w:r w:rsidRPr="008E3C5C">
              <w:rPr>
                <w:rFonts w:ascii="Arial" w:hAnsi="Arial"/>
              </w:rPr>
              <w:t>meso</w:t>
            </w:r>
            <w:proofErr w:type="spellEnd"/>
            <w:r w:rsidRPr="008E3C5C">
              <w:rPr>
                <w:rFonts w:ascii="Arial" w:hAnsi="Arial"/>
              </w:rPr>
              <w:t>) climate regulation services</w:t>
            </w:r>
          </w:p>
          <w:p w14:paraId="572B5846" w14:textId="77777777" w:rsidR="00F50B5A" w:rsidRPr="008E3C5C" w:rsidRDefault="00F50B5A" w:rsidP="003F5F59">
            <w:pPr>
              <w:pStyle w:val="TableTextBullet"/>
              <w:cnfStyle w:val="000000000000" w:firstRow="0" w:lastRow="0" w:firstColumn="0" w:lastColumn="0" w:oddVBand="0" w:evenVBand="0" w:oddHBand="0" w:evenHBand="0" w:firstRowFirstColumn="0" w:firstRowLastColumn="0" w:lastRowFirstColumn="0" w:lastRowLastColumn="0"/>
              <w:rPr>
                <w:rFonts w:ascii="Arial" w:hAnsi="Arial"/>
              </w:rPr>
            </w:pPr>
            <w:r w:rsidRPr="008E3C5C">
              <w:rPr>
                <w:rFonts w:ascii="Arial" w:hAnsi="Arial"/>
              </w:rPr>
              <w:t>Air filtration services</w:t>
            </w:r>
          </w:p>
          <w:p w14:paraId="34E65A0F" w14:textId="77777777" w:rsidR="00F50B5A" w:rsidRPr="008E3C5C" w:rsidRDefault="00F50B5A" w:rsidP="003F5F59">
            <w:pPr>
              <w:pStyle w:val="TableTextBullet"/>
              <w:cnfStyle w:val="000000000000" w:firstRow="0" w:lastRow="0" w:firstColumn="0" w:lastColumn="0" w:oddVBand="0" w:evenVBand="0" w:oddHBand="0" w:evenHBand="0" w:firstRowFirstColumn="0" w:firstRowLastColumn="0" w:lastRowFirstColumn="0" w:lastRowLastColumn="0"/>
              <w:rPr>
                <w:rFonts w:ascii="Arial" w:hAnsi="Arial"/>
              </w:rPr>
            </w:pPr>
            <w:r w:rsidRPr="008E3C5C">
              <w:rPr>
                <w:rFonts w:ascii="Arial" w:hAnsi="Arial"/>
              </w:rPr>
              <w:t>Soil quality regulation services</w:t>
            </w:r>
          </w:p>
          <w:p w14:paraId="0419C91F" w14:textId="77777777" w:rsidR="00F50B5A" w:rsidRPr="008E3C5C" w:rsidRDefault="00F50B5A" w:rsidP="003F5F59">
            <w:pPr>
              <w:pStyle w:val="TableTextBullet"/>
              <w:cnfStyle w:val="000000000000" w:firstRow="0" w:lastRow="0" w:firstColumn="0" w:lastColumn="0" w:oddVBand="0" w:evenVBand="0" w:oddHBand="0" w:evenHBand="0" w:firstRowFirstColumn="0" w:firstRowLastColumn="0" w:lastRowFirstColumn="0" w:lastRowLastColumn="0"/>
              <w:rPr>
                <w:rFonts w:ascii="Arial" w:hAnsi="Arial"/>
              </w:rPr>
            </w:pPr>
            <w:r w:rsidRPr="008E3C5C">
              <w:rPr>
                <w:rFonts w:ascii="Arial" w:hAnsi="Arial"/>
              </w:rPr>
              <w:t>Soil erosion control services (includes also sediment retention services)</w:t>
            </w:r>
          </w:p>
          <w:p w14:paraId="6C454B4D" w14:textId="77777777" w:rsidR="00F50B5A" w:rsidRPr="008E3C5C" w:rsidRDefault="00F50B5A" w:rsidP="003F5F59">
            <w:pPr>
              <w:pStyle w:val="TableTextBullet"/>
              <w:cnfStyle w:val="000000000000" w:firstRow="0" w:lastRow="0" w:firstColumn="0" w:lastColumn="0" w:oddVBand="0" w:evenVBand="0" w:oddHBand="0" w:evenHBand="0" w:firstRowFirstColumn="0" w:firstRowLastColumn="0" w:lastRowFirstColumn="0" w:lastRowLastColumn="0"/>
              <w:rPr>
                <w:rFonts w:ascii="Arial" w:hAnsi="Arial"/>
              </w:rPr>
            </w:pPr>
            <w:r w:rsidRPr="008E3C5C">
              <w:rPr>
                <w:rFonts w:ascii="Arial" w:hAnsi="Arial"/>
              </w:rPr>
              <w:t>Water purification services (water quality amelioration)</w:t>
            </w:r>
          </w:p>
          <w:p w14:paraId="3966CD26" w14:textId="77777777" w:rsidR="00F50B5A" w:rsidRPr="008E3C5C" w:rsidRDefault="00F50B5A" w:rsidP="003F5F59">
            <w:pPr>
              <w:pStyle w:val="TableTextBullet"/>
              <w:cnfStyle w:val="000000000000" w:firstRow="0" w:lastRow="0" w:firstColumn="0" w:lastColumn="0" w:oddVBand="0" w:evenVBand="0" w:oddHBand="0" w:evenHBand="0" w:firstRowFirstColumn="0" w:firstRowLastColumn="0" w:lastRowFirstColumn="0" w:lastRowLastColumn="0"/>
              <w:rPr>
                <w:rFonts w:ascii="Arial" w:hAnsi="Arial"/>
              </w:rPr>
            </w:pPr>
            <w:r w:rsidRPr="008E3C5C">
              <w:rPr>
                <w:rFonts w:ascii="Arial" w:hAnsi="Arial"/>
              </w:rPr>
              <w:t>Water regulation services</w:t>
            </w:r>
          </w:p>
          <w:p w14:paraId="37D8EE2B" w14:textId="77777777" w:rsidR="00F50B5A" w:rsidRPr="008E3C5C" w:rsidRDefault="00F50B5A" w:rsidP="003F5F59">
            <w:pPr>
              <w:pStyle w:val="TableTextBullet"/>
              <w:cnfStyle w:val="000000000000" w:firstRow="0" w:lastRow="0" w:firstColumn="0" w:lastColumn="0" w:oddVBand="0" w:evenVBand="0" w:oddHBand="0" w:evenHBand="0" w:firstRowFirstColumn="0" w:firstRowLastColumn="0" w:lastRowFirstColumn="0" w:lastRowLastColumn="0"/>
              <w:rPr>
                <w:rFonts w:ascii="Arial" w:hAnsi="Arial"/>
              </w:rPr>
            </w:pPr>
            <w:r w:rsidRPr="008E3C5C">
              <w:rPr>
                <w:rFonts w:ascii="Arial" w:hAnsi="Arial"/>
              </w:rPr>
              <w:t>Flood mitigation services</w:t>
            </w:r>
          </w:p>
          <w:p w14:paraId="1835A66A" w14:textId="77777777" w:rsidR="00F50B5A" w:rsidRPr="008E3C5C" w:rsidRDefault="00F50B5A" w:rsidP="003F5F59">
            <w:pPr>
              <w:pStyle w:val="TableTextBullet"/>
              <w:cnfStyle w:val="000000000000" w:firstRow="0" w:lastRow="0" w:firstColumn="0" w:lastColumn="0" w:oddVBand="0" w:evenVBand="0" w:oddHBand="0" w:evenHBand="0" w:firstRowFirstColumn="0" w:firstRowLastColumn="0" w:lastRowFirstColumn="0" w:lastRowLastColumn="0"/>
              <w:rPr>
                <w:rFonts w:ascii="Arial" w:hAnsi="Arial"/>
              </w:rPr>
            </w:pPr>
            <w:r w:rsidRPr="008E3C5C">
              <w:rPr>
                <w:rFonts w:ascii="Arial" w:hAnsi="Arial"/>
              </w:rPr>
              <w:t>Storm mitigation services</w:t>
            </w:r>
          </w:p>
          <w:p w14:paraId="5D3DEC39" w14:textId="77777777" w:rsidR="00F50B5A" w:rsidRPr="008E3C5C" w:rsidRDefault="00F50B5A" w:rsidP="003F5F59">
            <w:pPr>
              <w:pStyle w:val="TableTextBullet"/>
              <w:cnfStyle w:val="000000000000" w:firstRow="0" w:lastRow="0" w:firstColumn="0" w:lastColumn="0" w:oddVBand="0" w:evenVBand="0" w:oddHBand="0" w:evenHBand="0" w:firstRowFirstColumn="0" w:firstRowLastColumn="0" w:lastRowFirstColumn="0" w:lastRowLastColumn="0"/>
              <w:rPr>
                <w:rFonts w:ascii="Arial" w:hAnsi="Arial"/>
              </w:rPr>
            </w:pPr>
            <w:r w:rsidRPr="008E3C5C">
              <w:rPr>
                <w:rFonts w:ascii="Arial" w:hAnsi="Arial"/>
              </w:rPr>
              <w:t>Noise attenuation services</w:t>
            </w:r>
          </w:p>
          <w:p w14:paraId="2B9C3DFF" w14:textId="77777777" w:rsidR="00F50B5A" w:rsidRPr="008E3C5C" w:rsidRDefault="00F50B5A" w:rsidP="003F5F59">
            <w:pPr>
              <w:pStyle w:val="TableTextBullet"/>
              <w:cnfStyle w:val="000000000000" w:firstRow="0" w:lastRow="0" w:firstColumn="0" w:lastColumn="0" w:oddVBand="0" w:evenVBand="0" w:oddHBand="0" w:evenHBand="0" w:firstRowFirstColumn="0" w:firstRowLastColumn="0" w:lastRowFirstColumn="0" w:lastRowLastColumn="0"/>
              <w:rPr>
                <w:rFonts w:ascii="Arial" w:hAnsi="Arial"/>
              </w:rPr>
            </w:pPr>
            <w:r w:rsidRPr="008E3C5C">
              <w:rPr>
                <w:rFonts w:ascii="Arial" w:hAnsi="Arial"/>
              </w:rPr>
              <w:t>Pollination services</w:t>
            </w:r>
          </w:p>
          <w:p w14:paraId="240319B5" w14:textId="77777777" w:rsidR="00F50B5A" w:rsidRPr="008E3C5C" w:rsidRDefault="00F50B5A" w:rsidP="003F5F59">
            <w:pPr>
              <w:pStyle w:val="TableTextBullet"/>
              <w:cnfStyle w:val="000000000000" w:firstRow="0" w:lastRow="0" w:firstColumn="0" w:lastColumn="0" w:oddVBand="0" w:evenVBand="0" w:oddHBand="0" w:evenHBand="0" w:firstRowFirstColumn="0" w:firstRowLastColumn="0" w:lastRowFirstColumn="0" w:lastRowLastColumn="0"/>
              <w:rPr>
                <w:rFonts w:ascii="Arial" w:hAnsi="Arial"/>
              </w:rPr>
            </w:pPr>
            <w:r w:rsidRPr="008E3C5C">
              <w:rPr>
                <w:rFonts w:ascii="Arial" w:hAnsi="Arial"/>
              </w:rPr>
              <w:t>Pest control services</w:t>
            </w:r>
          </w:p>
          <w:p w14:paraId="25FE05D4" w14:textId="77777777" w:rsidR="00F50B5A" w:rsidRPr="008E3C5C" w:rsidRDefault="00F50B5A" w:rsidP="003F5F59">
            <w:pPr>
              <w:pStyle w:val="TableTextBullet"/>
              <w:cnfStyle w:val="000000000000" w:firstRow="0" w:lastRow="0" w:firstColumn="0" w:lastColumn="0" w:oddVBand="0" w:evenVBand="0" w:oddHBand="0" w:evenHBand="0" w:firstRowFirstColumn="0" w:firstRowLastColumn="0" w:lastRowFirstColumn="0" w:lastRowLastColumn="0"/>
              <w:rPr>
                <w:rFonts w:ascii="Arial" w:hAnsi="Arial"/>
              </w:rPr>
            </w:pPr>
            <w:r w:rsidRPr="008E3C5C">
              <w:rPr>
                <w:rFonts w:ascii="Arial" w:hAnsi="Arial"/>
              </w:rPr>
              <w:t>Nursery population and habitat maintenance services</w:t>
            </w:r>
          </w:p>
          <w:p w14:paraId="1D325E06" w14:textId="77777777" w:rsidR="00F50B5A" w:rsidRPr="008E3C5C" w:rsidRDefault="00F50B5A" w:rsidP="003F5F59">
            <w:pPr>
              <w:pStyle w:val="TableTextBullet"/>
              <w:cnfStyle w:val="000000000000" w:firstRow="0" w:lastRow="0" w:firstColumn="0" w:lastColumn="0" w:oddVBand="0" w:evenVBand="0" w:oddHBand="0" w:evenHBand="0" w:firstRowFirstColumn="0" w:firstRowLastColumn="0" w:lastRowFirstColumn="0" w:lastRowLastColumn="0"/>
              <w:rPr>
                <w:rFonts w:ascii="Arial" w:hAnsi="Arial"/>
              </w:rPr>
            </w:pPr>
            <w:r w:rsidRPr="008E3C5C">
              <w:rPr>
                <w:rFonts w:ascii="Arial" w:hAnsi="Arial"/>
              </w:rPr>
              <w:t>Solid waste remediation</w:t>
            </w:r>
          </w:p>
        </w:tc>
      </w:tr>
      <w:tr w:rsidR="00F50B5A" w:rsidRPr="0091021A" w14:paraId="1AE94146" w14:textId="77777777" w:rsidTr="003F5F59">
        <w:tc>
          <w:tcPr>
            <w:cnfStyle w:val="001000000000" w:firstRow="0" w:lastRow="0" w:firstColumn="1" w:lastColumn="0" w:oddVBand="0" w:evenVBand="0" w:oddHBand="0" w:evenHBand="0" w:firstRowFirstColumn="0" w:firstRowLastColumn="0" w:lastRowFirstColumn="0" w:lastRowLastColumn="0"/>
            <w:tcW w:w="1527" w:type="pct"/>
            <w:hideMark/>
          </w:tcPr>
          <w:p w14:paraId="34F19CD9" w14:textId="77777777" w:rsidR="00F50B5A" w:rsidRPr="003F5F59" w:rsidRDefault="00F50B5A" w:rsidP="003F5F59">
            <w:pPr>
              <w:pStyle w:val="TableTextLeft"/>
              <w:rPr>
                <w:rFonts w:ascii="Arial" w:hAnsi="Arial"/>
                <w:b/>
                <w:bCs/>
              </w:rPr>
            </w:pPr>
            <w:r w:rsidRPr="003F5F59">
              <w:rPr>
                <w:rFonts w:ascii="Arial" w:hAnsi="Arial"/>
                <w:b/>
                <w:bCs/>
              </w:rPr>
              <w:t>Cultural</w:t>
            </w:r>
          </w:p>
        </w:tc>
        <w:tc>
          <w:tcPr>
            <w:tcW w:w="3473" w:type="pct"/>
            <w:hideMark/>
          </w:tcPr>
          <w:p w14:paraId="341AF29F" w14:textId="77777777" w:rsidR="00F50B5A" w:rsidRPr="008E3C5C" w:rsidRDefault="00F50B5A" w:rsidP="003F5F59">
            <w:pPr>
              <w:pStyle w:val="TableTextBullet"/>
              <w:cnfStyle w:val="000000000000" w:firstRow="0" w:lastRow="0" w:firstColumn="0" w:lastColumn="0" w:oddVBand="0" w:evenVBand="0" w:oddHBand="0" w:evenHBand="0" w:firstRowFirstColumn="0" w:firstRowLastColumn="0" w:lastRowFirstColumn="0" w:lastRowLastColumn="0"/>
              <w:rPr>
                <w:rFonts w:ascii="Arial" w:hAnsi="Arial"/>
              </w:rPr>
            </w:pPr>
            <w:r w:rsidRPr="008E3C5C">
              <w:rPr>
                <w:rFonts w:ascii="Arial" w:hAnsi="Arial"/>
              </w:rPr>
              <w:t>Recreation-related services</w:t>
            </w:r>
          </w:p>
          <w:p w14:paraId="08DA83AC" w14:textId="77777777" w:rsidR="00F50B5A" w:rsidRPr="008E3C5C" w:rsidRDefault="00F50B5A" w:rsidP="003F5F59">
            <w:pPr>
              <w:pStyle w:val="TableTextBullet"/>
              <w:cnfStyle w:val="000000000000" w:firstRow="0" w:lastRow="0" w:firstColumn="0" w:lastColumn="0" w:oddVBand="0" w:evenVBand="0" w:oddHBand="0" w:evenHBand="0" w:firstRowFirstColumn="0" w:firstRowLastColumn="0" w:lastRowFirstColumn="0" w:lastRowLastColumn="0"/>
              <w:rPr>
                <w:rFonts w:ascii="Arial" w:hAnsi="Arial"/>
              </w:rPr>
            </w:pPr>
            <w:r w:rsidRPr="008E3C5C">
              <w:rPr>
                <w:rFonts w:ascii="Arial" w:hAnsi="Arial"/>
              </w:rPr>
              <w:t>Amenity services</w:t>
            </w:r>
          </w:p>
          <w:p w14:paraId="41FA2305" w14:textId="77777777" w:rsidR="00F50B5A" w:rsidRPr="008E3C5C" w:rsidRDefault="00F50B5A" w:rsidP="003F5F59">
            <w:pPr>
              <w:pStyle w:val="TableTextBullet"/>
              <w:cnfStyle w:val="000000000000" w:firstRow="0" w:lastRow="0" w:firstColumn="0" w:lastColumn="0" w:oddVBand="0" w:evenVBand="0" w:oddHBand="0" w:evenHBand="0" w:firstRowFirstColumn="0" w:firstRowLastColumn="0" w:lastRowFirstColumn="0" w:lastRowLastColumn="0"/>
              <w:rPr>
                <w:rFonts w:ascii="Arial" w:hAnsi="Arial"/>
              </w:rPr>
            </w:pPr>
            <w:r w:rsidRPr="008E3C5C">
              <w:rPr>
                <w:rFonts w:ascii="Arial" w:hAnsi="Arial"/>
              </w:rPr>
              <w:t>Education, scientific and research services</w:t>
            </w:r>
          </w:p>
          <w:p w14:paraId="341E3FDF" w14:textId="77777777" w:rsidR="00F50B5A" w:rsidRPr="008E3C5C" w:rsidRDefault="00F50B5A" w:rsidP="003F5F59">
            <w:pPr>
              <w:pStyle w:val="TableTextBullet"/>
              <w:cnfStyle w:val="000000000000" w:firstRow="0" w:lastRow="0" w:firstColumn="0" w:lastColumn="0" w:oddVBand="0" w:evenVBand="0" w:oddHBand="0" w:evenHBand="0" w:firstRowFirstColumn="0" w:firstRowLastColumn="0" w:lastRowFirstColumn="0" w:lastRowLastColumn="0"/>
              <w:rPr>
                <w:rFonts w:ascii="Arial" w:hAnsi="Arial"/>
              </w:rPr>
            </w:pPr>
            <w:r w:rsidRPr="008E3C5C">
              <w:rPr>
                <w:rFonts w:ascii="Arial" w:hAnsi="Arial"/>
              </w:rPr>
              <w:t>Spiritual, symbolic and artistic services</w:t>
            </w:r>
          </w:p>
          <w:p w14:paraId="07852BAD" w14:textId="77777777" w:rsidR="00F50B5A" w:rsidRPr="008E3C5C" w:rsidRDefault="00F50B5A" w:rsidP="003F5F59">
            <w:pPr>
              <w:pStyle w:val="TableTextBullet"/>
              <w:cnfStyle w:val="000000000000" w:firstRow="0" w:lastRow="0" w:firstColumn="0" w:lastColumn="0" w:oddVBand="0" w:evenVBand="0" w:oddHBand="0" w:evenHBand="0" w:firstRowFirstColumn="0" w:firstRowLastColumn="0" w:lastRowFirstColumn="0" w:lastRowLastColumn="0"/>
              <w:rPr>
                <w:rFonts w:ascii="Arial" w:hAnsi="Arial"/>
              </w:rPr>
            </w:pPr>
            <w:r w:rsidRPr="008E3C5C">
              <w:rPr>
                <w:rFonts w:ascii="Arial" w:hAnsi="Arial"/>
              </w:rPr>
              <w:t>Ecosystem and species appreciation services</w:t>
            </w:r>
          </w:p>
        </w:tc>
      </w:tr>
    </w:tbl>
    <w:p w14:paraId="3BCB4D33" w14:textId="77777777" w:rsidR="00F50B5A" w:rsidRPr="00701C6F" w:rsidRDefault="00F50B5A" w:rsidP="003F5F59">
      <w:pPr>
        <w:pStyle w:val="BodyText12ptBefore"/>
      </w:pPr>
      <w:r w:rsidRPr="00701C6F">
        <w:t xml:space="preserve">The majority of applications reviewed for the GORCAP EEA study refer to the use of the Common International Classification of Ecosystem Services (CICES; EEA, 2018) which is a systematic classification of ecosystem services that has been developed in conjunction with the United Nations Statistical Division to comply with SEEA principles and includes broad categories of provisioning, cultural and regulating services. While CICES includes both biotic services </w:t>
      </w:r>
      <w:r w:rsidRPr="00701C6F">
        <w:rPr>
          <w:lang w:eastAsia="en-US"/>
        </w:rPr>
        <w:t xml:space="preserve">(i.e. where there is a material ecosystem contribution) and abiotic services (i.e. where there is no distinct role of ecosystem structure and processes, SEEA-EEA, 2020b),  the assessments reviewed focus on biotic services only and do not include other flows from the environment (such as abiotic flows). </w:t>
      </w:r>
    </w:p>
    <w:p w14:paraId="79715184" w14:textId="77777777" w:rsidR="00F50B5A" w:rsidRPr="00701C6F" w:rsidRDefault="00F50B5A" w:rsidP="003F5F59">
      <w:pPr>
        <w:pStyle w:val="BodyText"/>
      </w:pPr>
      <w:r w:rsidRPr="00701C6F">
        <w:t xml:space="preserve">While the SEEA-EA guidance classifies ecosystem services according to provisioning, regulating and cultural services, other literature reviewed uses different classes. For example, the URS (2007) study into the value of Victoria’s coast categorises coastal ecosystem services into commercial, environmental and social services, adapted from the Millennium Ecosystem Assessment. Worley Parsons (2013) also adopt a </w:t>
      </w:r>
      <w:r w:rsidRPr="00701C6F">
        <w:lastRenderedPageBreak/>
        <w:t xml:space="preserve">commercial (market) and non-commercial (non-market) classification of values as well as the broad classes of ecosystem services. </w:t>
      </w:r>
    </w:p>
    <w:p w14:paraId="425D801A" w14:textId="77777777" w:rsidR="00F50B5A" w:rsidRPr="00701C6F" w:rsidRDefault="00F50B5A" w:rsidP="003F5F59">
      <w:pPr>
        <w:pStyle w:val="BodyText"/>
      </w:pPr>
      <w:r w:rsidRPr="00701C6F">
        <w:t>The list of ecosystem services identified</w:t>
      </w:r>
      <w:r w:rsidRPr="00701C6F">
        <w:rPr>
          <w:i/>
        </w:rPr>
        <w:t xml:space="preserve"> </w:t>
      </w:r>
      <w:r w:rsidRPr="00701C6F">
        <w:t xml:space="preserve">as being within scope across the global assessments (i.e. within marine, coastal and protected areas) was broadly consistent. The majority of studies reviewed utilised the Common International Classification of Ecosystem Services (CICES) to identify the services within scope, although the allocation of ecosystem services across the broad CICES classes of provisioning, regulating, cultural and supporting services varied across the studies reviewed. This variation is primarily related to the treatment of supporting services, which are not categorised as such within CICES (European Environment Agency, 2018) but are important to identify and treat differently to “final” ecosystem services in order to avoid double counting. The study team has outlined a classification of ecosystem services based on the reviewed literature and study team experience in developing environmental-economic accounts, as set out in Table A2.2. </w:t>
      </w:r>
    </w:p>
    <w:p w14:paraId="10A9F719" w14:textId="77777777" w:rsidR="00F50B5A" w:rsidRPr="00701C6F" w:rsidRDefault="00F50B5A" w:rsidP="003F5F59">
      <w:pPr>
        <w:pStyle w:val="BodyText"/>
        <w:rPr>
          <w:lang w:eastAsia="en-US"/>
        </w:rPr>
      </w:pPr>
      <w:r w:rsidRPr="00701C6F">
        <w:rPr>
          <w:lang w:eastAsia="en-US"/>
        </w:rPr>
        <w:t xml:space="preserve">Whilst the </w:t>
      </w:r>
      <w:r w:rsidRPr="00701C6F">
        <w:rPr>
          <w:i/>
          <w:lang w:eastAsia="en-US"/>
        </w:rPr>
        <w:t>scope</w:t>
      </w:r>
      <w:r w:rsidRPr="00701C6F">
        <w:rPr>
          <w:lang w:eastAsia="en-US"/>
        </w:rPr>
        <w:t xml:space="preserve"> of ecosystem services in the reviewed studies is reported as comprehensively as possible, only a subset of ecosystem services are quantified (and valued) in the reviewed literature (primarily due to data and evidence constraints). </w:t>
      </w:r>
      <w:r w:rsidRPr="00701C6F">
        <w:t xml:space="preserve">The majority of studies reviewed include quantification and valuation of recreation and tourism services, with cultural services being noted in the UKNEA (ONS, 2016) as the most important services being provided by coastal margins given the number and value of cultural interactions. The most common ecosystem services </w:t>
      </w:r>
      <w:r w:rsidRPr="00701C6F">
        <w:rPr>
          <w:i/>
        </w:rPr>
        <w:t>assessed</w:t>
      </w:r>
      <w:r w:rsidRPr="00701C6F">
        <w:t xml:space="preserve"> in both physical and monetary terms across all of the ecosystems in the reviewed literature are set out in Table A2.1. </w:t>
      </w:r>
    </w:p>
    <w:p w14:paraId="3C70A621" w14:textId="77777777" w:rsidR="00F50B5A" w:rsidRPr="00701C6F" w:rsidRDefault="00F50B5A" w:rsidP="003F5F59">
      <w:pPr>
        <w:pStyle w:val="BodyText"/>
      </w:pPr>
      <w:r w:rsidRPr="00701C6F">
        <w:t>The list of services in Table A2.1 was established as a sensible potential scope of marine and coastal ecosystem services for the initial GORCAP EEA assuming data and methods are available to quantify and value these. This set of priority ecosystem services aligns with:</w:t>
      </w:r>
    </w:p>
    <w:p w14:paraId="0BA0A464" w14:textId="77777777" w:rsidR="00F50B5A" w:rsidRPr="00701C6F" w:rsidRDefault="00F50B5A" w:rsidP="003F5F59">
      <w:pPr>
        <w:pStyle w:val="ListBullet"/>
      </w:pPr>
      <w:r w:rsidRPr="00701C6F">
        <w:t xml:space="preserve">A study into methods used to estimate ecosystem service supply (Martínez-Harms and Balvanera, 2012) which concluded that the most commonly </w:t>
      </w:r>
      <w:r w:rsidRPr="00701C6F">
        <w:rPr>
          <w:i/>
        </w:rPr>
        <w:t>mapped</w:t>
      </w:r>
      <w:r w:rsidRPr="00701C6F">
        <w:t xml:space="preserve"> ecosystem services (i.e. on a spatial basis) are carbon storage, carbon sequestration, food production and </w:t>
      </w:r>
      <w:proofErr w:type="gramStart"/>
      <w:r w:rsidRPr="00701C6F">
        <w:t>recreation;</w:t>
      </w:r>
      <w:proofErr w:type="gramEnd"/>
    </w:p>
    <w:p w14:paraId="2CCF5736" w14:textId="77777777" w:rsidR="00F50B5A" w:rsidRPr="00701C6F" w:rsidRDefault="00F50B5A" w:rsidP="003F5F59">
      <w:pPr>
        <w:pStyle w:val="ListBullet"/>
        <w:rPr>
          <w:lang w:eastAsia="en-US"/>
        </w:rPr>
      </w:pPr>
      <w:r w:rsidRPr="00701C6F">
        <w:rPr>
          <w:lang w:eastAsia="en-US"/>
        </w:rPr>
        <w:t>A WAVES (2016) policy briefing which recommends governments take a pragmatic approach to developing coastal and marine accounts by starting with a few ecosystem services “such as coastal protection, fish production and tourism” and gradually improve the methods (and presumably the coverage of ecosystem services assessed) each time accounts are constructed</w:t>
      </w:r>
    </w:p>
    <w:p w14:paraId="29518604" w14:textId="77777777" w:rsidR="00F50B5A" w:rsidRPr="0091021A" w:rsidRDefault="00F50B5A" w:rsidP="003F5F59">
      <w:pPr>
        <w:pStyle w:val="Caption"/>
      </w:pPr>
      <w:r w:rsidRPr="0091021A">
        <w:t>Table</w:t>
      </w:r>
      <w:r>
        <w:t xml:space="preserve"> A2.1.</w:t>
      </w:r>
      <w:r w:rsidRPr="0091021A">
        <w:t xml:space="preserve"> Most common ecosystem services assessed in the reviewed literature and typical methods used</w:t>
      </w:r>
    </w:p>
    <w:tbl>
      <w:tblPr>
        <w:tblStyle w:val="TableGrid"/>
        <w:tblW w:w="0" w:type="auto"/>
        <w:tblLook w:val="04A0" w:firstRow="1" w:lastRow="0" w:firstColumn="1" w:lastColumn="0" w:noHBand="0" w:noVBand="1"/>
      </w:tblPr>
      <w:tblGrid>
        <w:gridCol w:w="2587"/>
        <w:gridCol w:w="1465"/>
        <w:gridCol w:w="3229"/>
        <w:gridCol w:w="2357"/>
      </w:tblGrid>
      <w:tr w:rsidR="00F50B5A" w:rsidRPr="0091021A" w14:paraId="52BC2242" w14:textId="77777777" w:rsidTr="003F5F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49" w:type="dxa"/>
          </w:tcPr>
          <w:p w14:paraId="0431A325" w14:textId="77777777" w:rsidR="00F50B5A" w:rsidRPr="00701C6F" w:rsidRDefault="00F50B5A" w:rsidP="003F5F59">
            <w:pPr>
              <w:pStyle w:val="TableHeadingLeft"/>
            </w:pPr>
            <w:r w:rsidRPr="00701C6F">
              <w:t>Ecosystem service</w:t>
            </w:r>
          </w:p>
        </w:tc>
        <w:tc>
          <w:tcPr>
            <w:tcW w:w="1503" w:type="dxa"/>
          </w:tcPr>
          <w:p w14:paraId="7F4C7072" w14:textId="77777777" w:rsidR="00F50B5A" w:rsidRPr="00701C6F" w:rsidRDefault="00F50B5A" w:rsidP="003F5F59">
            <w:pPr>
              <w:pStyle w:val="TableHeadingLeft"/>
              <w:cnfStyle w:val="100000000000" w:firstRow="1" w:lastRow="0" w:firstColumn="0" w:lastColumn="0" w:oddVBand="0" w:evenVBand="0" w:oddHBand="0" w:evenHBand="0" w:firstRowFirstColumn="0" w:firstRowLastColumn="0" w:lastRowFirstColumn="0" w:lastRowLastColumn="0"/>
            </w:pPr>
            <w:r w:rsidRPr="00701C6F">
              <w:t>Benefit</w:t>
            </w:r>
          </w:p>
        </w:tc>
        <w:tc>
          <w:tcPr>
            <w:tcW w:w="3467" w:type="dxa"/>
          </w:tcPr>
          <w:p w14:paraId="3282B37C" w14:textId="77777777" w:rsidR="00F50B5A" w:rsidRPr="00701C6F" w:rsidRDefault="00F50B5A" w:rsidP="003F5F59">
            <w:pPr>
              <w:pStyle w:val="TableHeadingLeft"/>
              <w:cnfStyle w:val="100000000000" w:firstRow="1" w:lastRow="0" w:firstColumn="0" w:lastColumn="0" w:oddVBand="0" w:evenVBand="0" w:oddHBand="0" w:evenHBand="0" w:firstRowFirstColumn="0" w:firstRowLastColumn="0" w:lastRowFirstColumn="0" w:lastRowLastColumn="0"/>
            </w:pPr>
            <w:r w:rsidRPr="00701C6F">
              <w:t>Physical quantification</w:t>
            </w:r>
          </w:p>
        </w:tc>
        <w:tc>
          <w:tcPr>
            <w:tcW w:w="2485" w:type="dxa"/>
          </w:tcPr>
          <w:p w14:paraId="5B2C6F71" w14:textId="77777777" w:rsidR="00F50B5A" w:rsidRPr="00701C6F" w:rsidRDefault="00F50B5A" w:rsidP="003F5F59">
            <w:pPr>
              <w:pStyle w:val="TableHeadingLeft"/>
              <w:cnfStyle w:val="100000000000" w:firstRow="1" w:lastRow="0" w:firstColumn="0" w:lastColumn="0" w:oddVBand="0" w:evenVBand="0" w:oddHBand="0" w:evenHBand="0" w:firstRowFirstColumn="0" w:firstRowLastColumn="0" w:lastRowFirstColumn="0" w:lastRowLastColumn="0"/>
            </w:pPr>
            <w:r w:rsidRPr="00701C6F">
              <w:t>Monetary valuation</w:t>
            </w:r>
          </w:p>
        </w:tc>
      </w:tr>
      <w:tr w:rsidR="00F50B5A" w:rsidRPr="0091021A" w14:paraId="7CE96E20" w14:textId="77777777" w:rsidTr="003F5F59">
        <w:tc>
          <w:tcPr>
            <w:cnfStyle w:val="001000000000" w:firstRow="0" w:lastRow="0" w:firstColumn="1" w:lastColumn="0" w:oddVBand="0" w:evenVBand="0" w:oddHBand="0" w:evenHBand="0" w:firstRowFirstColumn="0" w:firstRowLastColumn="0" w:lastRowFirstColumn="0" w:lastRowLastColumn="0"/>
            <w:tcW w:w="2749" w:type="dxa"/>
            <w:vMerge w:val="restart"/>
          </w:tcPr>
          <w:p w14:paraId="167B2083" w14:textId="77777777" w:rsidR="00F50B5A" w:rsidRPr="005A407A" w:rsidRDefault="00F50B5A" w:rsidP="003F5F59">
            <w:pPr>
              <w:pStyle w:val="TableTextLeft"/>
            </w:pPr>
            <w:r w:rsidRPr="005A407A">
              <w:t xml:space="preserve">Environment provides recreational opportunities </w:t>
            </w:r>
          </w:p>
        </w:tc>
        <w:tc>
          <w:tcPr>
            <w:tcW w:w="1503" w:type="dxa"/>
          </w:tcPr>
          <w:p w14:paraId="0C9AEF99" w14:textId="77777777" w:rsidR="00F50B5A" w:rsidRPr="005A407A" w:rsidRDefault="00F50B5A" w:rsidP="003F5F59">
            <w:pPr>
              <w:pStyle w:val="TableTextLeft"/>
              <w:cnfStyle w:val="000000000000" w:firstRow="0" w:lastRow="0" w:firstColumn="0" w:lastColumn="0" w:oddVBand="0" w:evenVBand="0" w:oddHBand="0" w:evenHBand="0" w:firstRowFirstColumn="0" w:firstRowLastColumn="0" w:lastRowFirstColumn="0" w:lastRowLastColumn="0"/>
            </w:pPr>
            <w:r w:rsidRPr="005A407A">
              <w:t>Recreation</w:t>
            </w:r>
          </w:p>
        </w:tc>
        <w:tc>
          <w:tcPr>
            <w:tcW w:w="3467" w:type="dxa"/>
          </w:tcPr>
          <w:p w14:paraId="2EE6884A" w14:textId="77777777" w:rsidR="00F50B5A" w:rsidRPr="005A407A" w:rsidRDefault="00F50B5A" w:rsidP="003F5F59">
            <w:pPr>
              <w:pStyle w:val="TableTextLeft"/>
              <w:cnfStyle w:val="000000000000" w:firstRow="0" w:lastRow="0" w:firstColumn="0" w:lastColumn="0" w:oddVBand="0" w:evenVBand="0" w:oddHBand="0" w:evenHBand="0" w:firstRowFirstColumn="0" w:firstRowLastColumn="0" w:lastRowFirstColumn="0" w:lastRowLastColumn="0"/>
            </w:pPr>
            <w:r w:rsidRPr="005A407A">
              <w:t>Nature based visits</w:t>
            </w:r>
          </w:p>
        </w:tc>
        <w:tc>
          <w:tcPr>
            <w:tcW w:w="2485" w:type="dxa"/>
          </w:tcPr>
          <w:p w14:paraId="5D075234" w14:textId="77777777" w:rsidR="00F50B5A" w:rsidRPr="005A407A" w:rsidRDefault="00F50B5A" w:rsidP="003F5F59">
            <w:pPr>
              <w:pStyle w:val="TableTextLeft"/>
              <w:cnfStyle w:val="000000000000" w:firstRow="0" w:lastRow="0" w:firstColumn="0" w:lastColumn="0" w:oddVBand="0" w:evenVBand="0" w:oddHBand="0" w:evenHBand="0" w:firstRowFirstColumn="0" w:firstRowLastColumn="0" w:lastRowFirstColumn="0" w:lastRowLastColumn="0"/>
            </w:pPr>
            <w:r w:rsidRPr="005A407A">
              <w:t>Welfare values</w:t>
            </w:r>
          </w:p>
        </w:tc>
      </w:tr>
      <w:tr w:rsidR="00F50B5A" w:rsidRPr="0091021A" w14:paraId="69B0B4DF" w14:textId="77777777" w:rsidTr="003F5F59">
        <w:tc>
          <w:tcPr>
            <w:cnfStyle w:val="001000000000" w:firstRow="0" w:lastRow="0" w:firstColumn="1" w:lastColumn="0" w:oddVBand="0" w:evenVBand="0" w:oddHBand="0" w:evenHBand="0" w:firstRowFirstColumn="0" w:firstRowLastColumn="0" w:lastRowFirstColumn="0" w:lastRowLastColumn="0"/>
            <w:tcW w:w="2749" w:type="dxa"/>
            <w:vMerge/>
          </w:tcPr>
          <w:p w14:paraId="2232CEA4" w14:textId="77777777" w:rsidR="00F50B5A" w:rsidRPr="005A407A" w:rsidRDefault="00F50B5A" w:rsidP="003F5F59">
            <w:pPr>
              <w:pStyle w:val="TableTextLeft"/>
            </w:pPr>
          </w:p>
        </w:tc>
        <w:tc>
          <w:tcPr>
            <w:tcW w:w="1503" w:type="dxa"/>
          </w:tcPr>
          <w:p w14:paraId="122E3D93" w14:textId="77777777" w:rsidR="00F50B5A" w:rsidRPr="005A407A" w:rsidRDefault="00F50B5A" w:rsidP="003F5F59">
            <w:pPr>
              <w:pStyle w:val="TableTextLeft"/>
              <w:cnfStyle w:val="000000000000" w:firstRow="0" w:lastRow="0" w:firstColumn="0" w:lastColumn="0" w:oddVBand="0" w:evenVBand="0" w:oddHBand="0" w:evenHBand="0" w:firstRowFirstColumn="0" w:firstRowLastColumn="0" w:lastRowFirstColumn="0" w:lastRowLastColumn="0"/>
            </w:pPr>
            <w:r w:rsidRPr="005A407A">
              <w:t>Tourism</w:t>
            </w:r>
          </w:p>
        </w:tc>
        <w:tc>
          <w:tcPr>
            <w:tcW w:w="3467" w:type="dxa"/>
          </w:tcPr>
          <w:p w14:paraId="12FCFBA2" w14:textId="77777777" w:rsidR="00F50B5A" w:rsidRPr="005A407A" w:rsidRDefault="00F50B5A" w:rsidP="003F5F59">
            <w:pPr>
              <w:pStyle w:val="TableTextLeft"/>
              <w:cnfStyle w:val="000000000000" w:firstRow="0" w:lastRow="0" w:firstColumn="0" w:lastColumn="0" w:oddVBand="0" w:evenVBand="0" w:oddHBand="0" w:evenHBand="0" w:firstRowFirstColumn="0" w:firstRowLastColumn="0" w:lastRowFirstColumn="0" w:lastRowLastColumn="0"/>
            </w:pPr>
            <w:r w:rsidRPr="005A407A">
              <w:t xml:space="preserve">Nature based overnight stays </w:t>
            </w:r>
          </w:p>
        </w:tc>
        <w:tc>
          <w:tcPr>
            <w:tcW w:w="2485" w:type="dxa"/>
          </w:tcPr>
          <w:p w14:paraId="0E4E376B" w14:textId="77777777" w:rsidR="00F50B5A" w:rsidRPr="005A407A" w:rsidRDefault="00F50B5A" w:rsidP="003F5F59">
            <w:pPr>
              <w:pStyle w:val="TableTextLeft"/>
              <w:cnfStyle w:val="000000000000" w:firstRow="0" w:lastRow="0" w:firstColumn="0" w:lastColumn="0" w:oddVBand="0" w:evenVBand="0" w:oddHBand="0" w:evenHBand="0" w:firstRowFirstColumn="0" w:firstRowLastColumn="0" w:lastRowFirstColumn="0" w:lastRowLastColumn="0"/>
            </w:pPr>
            <w:r w:rsidRPr="005A407A">
              <w:t>Tourist expenditure</w:t>
            </w:r>
          </w:p>
        </w:tc>
      </w:tr>
      <w:tr w:rsidR="00F50B5A" w:rsidRPr="0091021A" w14:paraId="5EEA6E7C" w14:textId="77777777" w:rsidTr="003F5F59">
        <w:tc>
          <w:tcPr>
            <w:cnfStyle w:val="001000000000" w:firstRow="0" w:lastRow="0" w:firstColumn="1" w:lastColumn="0" w:oddVBand="0" w:evenVBand="0" w:oddHBand="0" w:evenHBand="0" w:firstRowFirstColumn="0" w:firstRowLastColumn="0" w:lastRowFirstColumn="0" w:lastRowLastColumn="0"/>
            <w:tcW w:w="2749" w:type="dxa"/>
          </w:tcPr>
          <w:p w14:paraId="3B17C746" w14:textId="77777777" w:rsidR="00F50B5A" w:rsidRPr="005A407A" w:rsidRDefault="00F50B5A" w:rsidP="003F5F59">
            <w:pPr>
              <w:pStyle w:val="TableTextLeft"/>
            </w:pPr>
            <w:r w:rsidRPr="005A407A">
              <w:t>Uncultivated animals</w:t>
            </w:r>
          </w:p>
        </w:tc>
        <w:tc>
          <w:tcPr>
            <w:tcW w:w="1503" w:type="dxa"/>
          </w:tcPr>
          <w:p w14:paraId="1A44905D" w14:textId="77777777" w:rsidR="00F50B5A" w:rsidRPr="005A407A" w:rsidRDefault="00F50B5A" w:rsidP="003F5F59">
            <w:pPr>
              <w:pStyle w:val="TableTextLeft"/>
              <w:cnfStyle w:val="000000000000" w:firstRow="0" w:lastRow="0" w:firstColumn="0" w:lastColumn="0" w:oddVBand="0" w:evenVBand="0" w:oddHBand="0" w:evenHBand="0" w:firstRowFirstColumn="0" w:firstRowLastColumn="0" w:lastRowFirstColumn="0" w:lastRowLastColumn="0"/>
            </w:pPr>
            <w:r w:rsidRPr="005A407A">
              <w:t>Food (fisheries)</w:t>
            </w:r>
          </w:p>
        </w:tc>
        <w:tc>
          <w:tcPr>
            <w:tcW w:w="3467" w:type="dxa"/>
          </w:tcPr>
          <w:p w14:paraId="536301A5" w14:textId="77777777" w:rsidR="00F50B5A" w:rsidRPr="005A407A" w:rsidRDefault="00F50B5A" w:rsidP="003F5F59">
            <w:pPr>
              <w:pStyle w:val="TableTextLeft"/>
              <w:cnfStyle w:val="000000000000" w:firstRow="0" w:lastRow="0" w:firstColumn="0" w:lastColumn="0" w:oddVBand="0" w:evenVBand="0" w:oddHBand="0" w:evenHBand="0" w:firstRowFirstColumn="0" w:firstRowLastColumn="0" w:lastRowFirstColumn="0" w:lastRowLastColumn="0"/>
            </w:pPr>
            <w:r w:rsidRPr="005A407A">
              <w:t xml:space="preserve">Recruitment enhancement </w:t>
            </w:r>
          </w:p>
        </w:tc>
        <w:tc>
          <w:tcPr>
            <w:tcW w:w="2485" w:type="dxa"/>
          </w:tcPr>
          <w:p w14:paraId="18430A2F" w14:textId="77777777" w:rsidR="00F50B5A" w:rsidRPr="005A407A" w:rsidRDefault="00F50B5A" w:rsidP="003F5F59">
            <w:pPr>
              <w:pStyle w:val="TableTextLeft"/>
              <w:cnfStyle w:val="000000000000" w:firstRow="0" w:lastRow="0" w:firstColumn="0" w:lastColumn="0" w:oddVBand="0" w:evenVBand="0" w:oddHBand="0" w:evenHBand="0" w:firstRowFirstColumn="0" w:firstRowLastColumn="0" w:lastRowFirstColumn="0" w:lastRowLastColumn="0"/>
            </w:pPr>
            <w:r w:rsidRPr="005A407A">
              <w:t xml:space="preserve">Resource rent </w:t>
            </w:r>
          </w:p>
        </w:tc>
      </w:tr>
      <w:tr w:rsidR="00F50B5A" w:rsidRPr="0091021A" w14:paraId="62618023" w14:textId="77777777" w:rsidTr="003F5F59">
        <w:tc>
          <w:tcPr>
            <w:cnfStyle w:val="001000000000" w:firstRow="0" w:lastRow="0" w:firstColumn="1" w:lastColumn="0" w:oddVBand="0" w:evenVBand="0" w:oddHBand="0" w:evenHBand="0" w:firstRowFirstColumn="0" w:firstRowLastColumn="0" w:lastRowFirstColumn="0" w:lastRowLastColumn="0"/>
            <w:tcW w:w="2749" w:type="dxa"/>
          </w:tcPr>
          <w:p w14:paraId="629D7AD7" w14:textId="77777777" w:rsidR="00F50B5A" w:rsidRPr="005A407A" w:rsidRDefault="00F50B5A" w:rsidP="003F5F59">
            <w:pPr>
              <w:pStyle w:val="TableTextLeft"/>
            </w:pPr>
            <w:r w:rsidRPr="005A407A">
              <w:t>Carbon storage and sequestration</w:t>
            </w:r>
          </w:p>
        </w:tc>
        <w:tc>
          <w:tcPr>
            <w:tcW w:w="1503" w:type="dxa"/>
          </w:tcPr>
          <w:p w14:paraId="4E7E643E" w14:textId="77777777" w:rsidR="00F50B5A" w:rsidRPr="005A407A" w:rsidRDefault="00F50B5A" w:rsidP="003F5F59">
            <w:pPr>
              <w:pStyle w:val="TableTextLeft"/>
              <w:cnfStyle w:val="000000000000" w:firstRow="0" w:lastRow="0" w:firstColumn="0" w:lastColumn="0" w:oddVBand="0" w:evenVBand="0" w:oddHBand="0" w:evenHBand="0" w:firstRowFirstColumn="0" w:firstRowLastColumn="0" w:lastRowFirstColumn="0" w:lastRowLastColumn="0"/>
            </w:pPr>
            <w:r w:rsidRPr="005A407A">
              <w:t>Global climate regulation</w:t>
            </w:r>
          </w:p>
        </w:tc>
        <w:tc>
          <w:tcPr>
            <w:tcW w:w="3467" w:type="dxa"/>
          </w:tcPr>
          <w:p w14:paraId="61D88C11" w14:textId="77777777" w:rsidR="00F50B5A" w:rsidRPr="005A407A" w:rsidRDefault="00F50B5A" w:rsidP="003F5F59">
            <w:pPr>
              <w:pStyle w:val="TableTextLeft"/>
              <w:cnfStyle w:val="000000000000" w:firstRow="0" w:lastRow="0" w:firstColumn="0" w:lastColumn="0" w:oddVBand="0" w:evenVBand="0" w:oddHBand="0" w:evenHBand="0" w:firstRowFirstColumn="0" w:firstRowLastColumn="0" w:lastRowFirstColumn="0" w:lastRowLastColumn="0"/>
            </w:pPr>
            <w:r w:rsidRPr="005A407A">
              <w:t>Tonnes of carbon stored / sequestered annually</w:t>
            </w:r>
          </w:p>
        </w:tc>
        <w:tc>
          <w:tcPr>
            <w:tcW w:w="2485" w:type="dxa"/>
          </w:tcPr>
          <w:p w14:paraId="4B825772" w14:textId="77777777" w:rsidR="00F50B5A" w:rsidRPr="005A407A" w:rsidRDefault="00F50B5A" w:rsidP="003F5F59">
            <w:pPr>
              <w:pStyle w:val="TableTextLeft"/>
              <w:cnfStyle w:val="000000000000" w:firstRow="0" w:lastRow="0" w:firstColumn="0" w:lastColumn="0" w:oddVBand="0" w:evenVBand="0" w:oddHBand="0" w:evenHBand="0" w:firstRowFirstColumn="0" w:firstRowLastColumn="0" w:lastRowFirstColumn="0" w:lastRowLastColumn="0"/>
            </w:pPr>
            <w:r w:rsidRPr="005A407A">
              <w:t xml:space="preserve">Market prices and social cost of carbon </w:t>
            </w:r>
          </w:p>
        </w:tc>
      </w:tr>
      <w:tr w:rsidR="00F50B5A" w:rsidRPr="0091021A" w14:paraId="5E7166CF" w14:textId="77777777" w:rsidTr="003F5F59">
        <w:tc>
          <w:tcPr>
            <w:cnfStyle w:val="001000000000" w:firstRow="0" w:lastRow="0" w:firstColumn="1" w:lastColumn="0" w:oddVBand="0" w:evenVBand="0" w:oddHBand="0" w:evenHBand="0" w:firstRowFirstColumn="0" w:firstRowLastColumn="0" w:lastRowFirstColumn="0" w:lastRowLastColumn="0"/>
            <w:tcW w:w="2749" w:type="dxa"/>
          </w:tcPr>
          <w:p w14:paraId="517DA2BE" w14:textId="77777777" w:rsidR="00F50B5A" w:rsidRPr="005A407A" w:rsidRDefault="00F50B5A" w:rsidP="003F5F59">
            <w:pPr>
              <w:pStyle w:val="TableTextLeft"/>
            </w:pPr>
            <w:r w:rsidRPr="005A407A">
              <w:t>Coastal protection</w:t>
            </w:r>
          </w:p>
        </w:tc>
        <w:tc>
          <w:tcPr>
            <w:tcW w:w="1503" w:type="dxa"/>
          </w:tcPr>
          <w:p w14:paraId="5BD93FAB" w14:textId="77777777" w:rsidR="00F50B5A" w:rsidRPr="005A407A" w:rsidRDefault="00F50B5A" w:rsidP="003F5F59">
            <w:pPr>
              <w:pStyle w:val="TableTextLeft"/>
              <w:cnfStyle w:val="000000000000" w:firstRow="0" w:lastRow="0" w:firstColumn="0" w:lastColumn="0" w:oddVBand="0" w:evenVBand="0" w:oddHBand="0" w:evenHBand="0" w:firstRowFirstColumn="0" w:firstRowLastColumn="0" w:lastRowFirstColumn="0" w:lastRowLastColumn="0"/>
            </w:pPr>
            <w:r w:rsidRPr="005A407A">
              <w:t>Hazard protection</w:t>
            </w:r>
          </w:p>
        </w:tc>
        <w:tc>
          <w:tcPr>
            <w:tcW w:w="3467" w:type="dxa"/>
          </w:tcPr>
          <w:p w14:paraId="386C6B7F" w14:textId="77777777" w:rsidR="00F50B5A" w:rsidRPr="005A407A" w:rsidRDefault="00F50B5A" w:rsidP="003F5F59">
            <w:pPr>
              <w:pStyle w:val="TableTextLeft"/>
              <w:cnfStyle w:val="000000000000" w:firstRow="0" w:lastRow="0" w:firstColumn="0" w:lastColumn="0" w:oddVBand="0" w:evenVBand="0" w:oddHBand="0" w:evenHBand="0" w:firstRowFirstColumn="0" w:firstRowLastColumn="0" w:lastRowFirstColumn="0" w:lastRowLastColumn="0"/>
            </w:pPr>
            <w:r w:rsidRPr="005A407A">
              <w:t>Length of coastline protected by ecosystem assets</w:t>
            </w:r>
          </w:p>
        </w:tc>
        <w:tc>
          <w:tcPr>
            <w:tcW w:w="2485" w:type="dxa"/>
          </w:tcPr>
          <w:p w14:paraId="3264C1F3" w14:textId="77777777" w:rsidR="00F50B5A" w:rsidRPr="005A407A" w:rsidRDefault="00F50B5A" w:rsidP="003F5F59">
            <w:pPr>
              <w:pStyle w:val="TableTextLeft"/>
              <w:cnfStyle w:val="000000000000" w:firstRow="0" w:lastRow="0" w:firstColumn="0" w:lastColumn="0" w:oddVBand="0" w:evenVBand="0" w:oddHBand="0" w:evenHBand="0" w:firstRowFirstColumn="0" w:firstRowLastColumn="0" w:lastRowFirstColumn="0" w:lastRowLastColumn="0"/>
            </w:pPr>
            <w:r w:rsidRPr="005A407A">
              <w:t>Avoided cost of damages / protective infrastructure;</w:t>
            </w:r>
          </w:p>
        </w:tc>
      </w:tr>
      <w:tr w:rsidR="00F50B5A" w:rsidRPr="0091021A" w14:paraId="2E64C2AB" w14:textId="77777777" w:rsidTr="003F5F59">
        <w:tc>
          <w:tcPr>
            <w:cnfStyle w:val="001000000000" w:firstRow="0" w:lastRow="0" w:firstColumn="1" w:lastColumn="0" w:oddVBand="0" w:evenVBand="0" w:oddHBand="0" w:evenHBand="0" w:firstRowFirstColumn="0" w:firstRowLastColumn="0" w:lastRowFirstColumn="0" w:lastRowLastColumn="0"/>
            <w:tcW w:w="2749" w:type="dxa"/>
          </w:tcPr>
          <w:p w14:paraId="3F8203BE" w14:textId="77777777" w:rsidR="00F50B5A" w:rsidRPr="005A407A" w:rsidRDefault="00F50B5A" w:rsidP="003F5F59">
            <w:pPr>
              <w:pStyle w:val="TableTextLeft"/>
            </w:pPr>
            <w:r w:rsidRPr="005A407A">
              <w:t>Water quality regulation</w:t>
            </w:r>
          </w:p>
        </w:tc>
        <w:tc>
          <w:tcPr>
            <w:tcW w:w="1503" w:type="dxa"/>
          </w:tcPr>
          <w:p w14:paraId="79D6631E" w14:textId="77777777" w:rsidR="00F50B5A" w:rsidRPr="005A407A" w:rsidRDefault="00F50B5A" w:rsidP="003F5F59">
            <w:pPr>
              <w:pStyle w:val="TableTextLeft"/>
              <w:cnfStyle w:val="000000000000" w:firstRow="0" w:lastRow="0" w:firstColumn="0" w:lastColumn="0" w:oddVBand="0" w:evenVBand="0" w:oddHBand="0" w:evenHBand="0" w:firstRowFirstColumn="0" w:firstRowLastColumn="0" w:lastRowFirstColumn="0" w:lastRowLastColumn="0"/>
            </w:pPr>
            <w:r w:rsidRPr="005A407A">
              <w:t>Clean water</w:t>
            </w:r>
          </w:p>
        </w:tc>
        <w:tc>
          <w:tcPr>
            <w:tcW w:w="3467" w:type="dxa"/>
          </w:tcPr>
          <w:p w14:paraId="30A56099" w14:textId="77777777" w:rsidR="00F50B5A" w:rsidRPr="005A407A" w:rsidRDefault="00F50B5A" w:rsidP="003F5F59">
            <w:pPr>
              <w:pStyle w:val="TableTextLeft"/>
              <w:cnfStyle w:val="000000000000" w:firstRow="0" w:lastRow="0" w:firstColumn="0" w:lastColumn="0" w:oddVBand="0" w:evenVBand="0" w:oddHBand="0" w:evenHBand="0" w:firstRowFirstColumn="0" w:firstRowLastColumn="0" w:lastRowFirstColumn="0" w:lastRowLastColumn="0"/>
            </w:pPr>
            <w:r w:rsidRPr="005A407A">
              <w:t>Volume of pollution and sediment entering waterbodies annually</w:t>
            </w:r>
          </w:p>
        </w:tc>
        <w:tc>
          <w:tcPr>
            <w:tcW w:w="2485" w:type="dxa"/>
          </w:tcPr>
          <w:p w14:paraId="53779A3C" w14:textId="77777777" w:rsidR="00F50B5A" w:rsidRPr="005A407A" w:rsidRDefault="00F50B5A" w:rsidP="003F5F59">
            <w:pPr>
              <w:pStyle w:val="TableTextLeft"/>
              <w:cnfStyle w:val="000000000000" w:firstRow="0" w:lastRow="0" w:firstColumn="0" w:lastColumn="0" w:oddVBand="0" w:evenVBand="0" w:oddHBand="0" w:evenHBand="0" w:firstRowFirstColumn="0" w:firstRowLastColumn="0" w:lastRowFirstColumn="0" w:lastRowLastColumn="0"/>
            </w:pPr>
            <w:r w:rsidRPr="005A407A">
              <w:t>Avoided cost of infrastructure</w:t>
            </w:r>
          </w:p>
        </w:tc>
      </w:tr>
    </w:tbl>
    <w:p w14:paraId="6A8CEFE9" w14:textId="77777777" w:rsidR="00F50B5A" w:rsidRPr="0091021A" w:rsidRDefault="00F50B5A" w:rsidP="003F5F59">
      <w:pPr>
        <w:pStyle w:val="BodyText"/>
      </w:pPr>
    </w:p>
    <w:p w14:paraId="3BDCBD06" w14:textId="77777777" w:rsidR="00F50B5A" w:rsidRPr="0091021A" w:rsidRDefault="00F50B5A" w:rsidP="00F50B5A">
      <w:pPr>
        <w:rPr>
          <w:rFonts w:ascii="Arial" w:hAnsi="Arial"/>
          <w:b/>
          <w:bCs/>
          <w:color w:val="363534"/>
          <w:lang w:eastAsia="en-US"/>
        </w:rPr>
        <w:sectPr w:rsidR="00F50B5A" w:rsidRPr="0091021A" w:rsidSect="00E52A9A">
          <w:footerReference w:type="even" r:id="rId340"/>
          <w:footerReference w:type="default" r:id="rId341"/>
          <w:pgSz w:w="11906" w:h="16838" w:code="9"/>
          <w:pgMar w:top="1134" w:right="1134" w:bottom="1134" w:left="1134" w:header="283" w:footer="283" w:gutter="0"/>
          <w:cols w:space="284"/>
          <w:docGrid w:linePitch="360"/>
        </w:sectPr>
      </w:pPr>
    </w:p>
    <w:p w14:paraId="1E4C60EE" w14:textId="77777777" w:rsidR="00F50B5A" w:rsidRPr="0091021A" w:rsidRDefault="00F50B5A" w:rsidP="003F5F59">
      <w:pPr>
        <w:pStyle w:val="Caption"/>
      </w:pPr>
      <w:r w:rsidRPr="0091021A">
        <w:lastRenderedPageBreak/>
        <w:t xml:space="preserve">Table </w:t>
      </w:r>
      <w:r>
        <w:t>A2.2</w:t>
      </w:r>
      <w:r w:rsidRPr="0091021A">
        <w:t>. Scope of marine and coastal benefits and ecosystem services from reviewed literature</w:t>
      </w:r>
    </w:p>
    <w:tbl>
      <w:tblPr>
        <w:tblStyle w:val="TableGrid"/>
        <w:tblW w:w="5000" w:type="pct"/>
        <w:tblLook w:val="04A0" w:firstRow="1" w:lastRow="0" w:firstColumn="1" w:lastColumn="0" w:noHBand="0" w:noVBand="1"/>
      </w:tblPr>
      <w:tblGrid>
        <w:gridCol w:w="1397"/>
        <w:gridCol w:w="2947"/>
        <w:gridCol w:w="2240"/>
        <w:gridCol w:w="14959"/>
      </w:tblGrid>
      <w:tr w:rsidR="00FA0AF1" w:rsidRPr="0091021A" w14:paraId="5540761C" w14:textId="77777777" w:rsidTr="00B954AC">
        <w:trPr>
          <w:cnfStyle w:val="100000000000" w:firstRow="1" w:lastRow="0" w:firstColumn="0" w:lastColumn="0" w:oddVBand="0" w:evenVBand="0" w:oddHBand="0" w:evenHBand="0" w:firstRowFirstColumn="0" w:firstRowLastColumn="0" w:lastRowFirstColumn="0" w:lastRowLastColumn="0"/>
          <w:trHeight w:val="120"/>
        </w:trPr>
        <w:tc>
          <w:tcPr>
            <w:cnfStyle w:val="001000000000" w:firstRow="0" w:lastRow="0" w:firstColumn="1" w:lastColumn="0" w:oddVBand="0" w:evenVBand="0" w:oddHBand="0" w:evenHBand="0" w:firstRowFirstColumn="0" w:firstRowLastColumn="0" w:lastRowFirstColumn="0" w:lastRowLastColumn="0"/>
            <w:tcW w:w="324" w:type="pct"/>
          </w:tcPr>
          <w:p w14:paraId="18579345" w14:textId="77777777" w:rsidR="00FA0AF1" w:rsidRPr="0091021A" w:rsidRDefault="00FA0AF1" w:rsidP="00B954AC">
            <w:pPr>
              <w:pStyle w:val="TableHeadingLeft"/>
            </w:pPr>
            <w:r w:rsidRPr="0091021A">
              <w:t>Category</w:t>
            </w:r>
            <w:r w:rsidRPr="0091021A">
              <w:rPr>
                <w:color w:val="393838"/>
                <w:lang w:val="en-US"/>
              </w:rPr>
              <w:t>​</w:t>
            </w:r>
          </w:p>
        </w:tc>
        <w:tc>
          <w:tcPr>
            <w:tcW w:w="684" w:type="pct"/>
            <w:hideMark/>
          </w:tcPr>
          <w:p w14:paraId="72B9809A" w14:textId="77777777" w:rsidR="00FA0AF1" w:rsidRPr="0091021A" w:rsidRDefault="00FA0AF1" w:rsidP="00B954AC">
            <w:pPr>
              <w:spacing w:after="100" w:afterAutospacing="1"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color w:val="393838"/>
                <w:lang w:val="en-US"/>
              </w:rPr>
            </w:pPr>
            <w:r w:rsidRPr="0091021A">
              <w:rPr>
                <w:rFonts w:ascii="Arial" w:hAnsi="Arial"/>
                <w:b/>
                <w:bCs/>
                <w:lang w:val="en-US"/>
              </w:rPr>
              <w:t>Benefit</w:t>
            </w:r>
            <w:r w:rsidRPr="0091021A">
              <w:rPr>
                <w:rFonts w:ascii="Arial" w:hAnsi="Arial"/>
                <w:color w:val="393838"/>
                <w:lang w:val="en-US"/>
              </w:rPr>
              <w:t>​</w:t>
            </w:r>
          </w:p>
        </w:tc>
        <w:tc>
          <w:tcPr>
            <w:tcW w:w="3992" w:type="pct"/>
            <w:gridSpan w:val="2"/>
            <w:hideMark/>
          </w:tcPr>
          <w:p w14:paraId="5187792C" w14:textId="77777777" w:rsidR="00FA0AF1" w:rsidRPr="0091021A" w:rsidRDefault="00FA0AF1" w:rsidP="00B954AC">
            <w:pPr>
              <w:spacing w:after="100" w:afterAutospacing="1"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color w:val="393838"/>
                <w:lang w:val="en-US"/>
              </w:rPr>
            </w:pPr>
            <w:r w:rsidRPr="0091021A">
              <w:rPr>
                <w:rFonts w:ascii="Arial" w:hAnsi="Arial"/>
                <w:b/>
                <w:bCs/>
              </w:rPr>
              <w:t>Ecosystem service</w:t>
            </w:r>
          </w:p>
        </w:tc>
      </w:tr>
      <w:tr w:rsidR="00FA0AF1" w:rsidRPr="0091021A" w14:paraId="7752C53B" w14:textId="77777777" w:rsidTr="00B954AC">
        <w:trPr>
          <w:trHeight w:val="163"/>
        </w:trPr>
        <w:tc>
          <w:tcPr>
            <w:cnfStyle w:val="001000000000" w:firstRow="0" w:lastRow="0" w:firstColumn="1" w:lastColumn="0" w:oddVBand="0" w:evenVBand="0" w:oddHBand="0" w:evenHBand="0" w:firstRowFirstColumn="0" w:firstRowLastColumn="0" w:lastRowFirstColumn="0" w:lastRowLastColumn="0"/>
            <w:tcW w:w="324" w:type="pct"/>
          </w:tcPr>
          <w:p w14:paraId="24FFE3F2" w14:textId="77777777" w:rsidR="00FA0AF1" w:rsidRPr="0091021A" w:rsidRDefault="00FA0AF1" w:rsidP="00B954AC">
            <w:pPr>
              <w:pStyle w:val="TableTextLeft"/>
              <w:rPr>
                <w:bCs/>
              </w:rPr>
            </w:pPr>
            <w:r w:rsidRPr="0091021A">
              <w:t>Provisioning</w:t>
            </w:r>
            <w:r w:rsidRPr="0091021A">
              <w:rPr>
                <w:lang w:val="en-US"/>
              </w:rPr>
              <w:t>​</w:t>
            </w:r>
          </w:p>
        </w:tc>
        <w:tc>
          <w:tcPr>
            <w:tcW w:w="684" w:type="pct"/>
            <w:hideMark/>
          </w:tcPr>
          <w:p w14:paraId="07D8713E"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rFonts w:ascii="Times New Roman" w:hAnsi="Times New Roman"/>
                <w:lang w:val="en-US"/>
              </w:rPr>
            </w:pPr>
            <w:r w:rsidRPr="0091021A">
              <w:rPr>
                <w:bCs/>
              </w:rPr>
              <w:t>Food</w:t>
            </w:r>
            <w:r w:rsidRPr="0091021A">
              <w:rPr>
                <w:lang w:val="en-US"/>
              </w:rPr>
              <w:t>​ (Nutrition)</w:t>
            </w:r>
          </w:p>
        </w:tc>
        <w:tc>
          <w:tcPr>
            <w:tcW w:w="3992" w:type="pct"/>
            <w:gridSpan w:val="2"/>
            <w:hideMark/>
          </w:tcPr>
          <w:p w14:paraId="157CFF17"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highlight w:val="yellow"/>
                <w:lang w:val="en-US"/>
              </w:rPr>
            </w:pPr>
            <w:r w:rsidRPr="0091021A">
              <w:rPr>
                <w:lang w:val="en-US"/>
              </w:rPr>
              <w:t>Uncultivated plants, algae and animals for food (i.e., foraging) and nutrients and natural feed for cultivated biological resources (e.g., aquaculture, apiary’s, commercial agriculture)</w:t>
            </w:r>
          </w:p>
        </w:tc>
      </w:tr>
      <w:tr w:rsidR="00FA0AF1" w:rsidRPr="0091021A" w14:paraId="18AF95E2" w14:textId="77777777" w:rsidTr="00B954AC">
        <w:trPr>
          <w:trHeight w:val="163"/>
        </w:trPr>
        <w:tc>
          <w:tcPr>
            <w:cnfStyle w:val="001000000000" w:firstRow="0" w:lastRow="0" w:firstColumn="1" w:lastColumn="0" w:oddVBand="0" w:evenVBand="0" w:oddHBand="0" w:evenHBand="0" w:firstRowFirstColumn="0" w:firstRowLastColumn="0" w:lastRowFirstColumn="0" w:lastRowLastColumn="0"/>
            <w:tcW w:w="324" w:type="pct"/>
          </w:tcPr>
          <w:p w14:paraId="3D656B42" w14:textId="77777777" w:rsidR="00FA0AF1" w:rsidRPr="0091021A" w:rsidRDefault="00FA0AF1" w:rsidP="00B954AC">
            <w:pPr>
              <w:pStyle w:val="TableTextLeft"/>
            </w:pPr>
            <w:r w:rsidRPr="0091021A">
              <w:t>Provisioning</w:t>
            </w:r>
          </w:p>
        </w:tc>
        <w:tc>
          <w:tcPr>
            <w:tcW w:w="684" w:type="pct"/>
          </w:tcPr>
          <w:p w14:paraId="76D0A25B"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bCs/>
              </w:rPr>
            </w:pPr>
            <w:r w:rsidRPr="0091021A">
              <w:rPr>
                <w:bCs/>
              </w:rPr>
              <w:t xml:space="preserve">Biotic raw materials  </w:t>
            </w:r>
          </w:p>
        </w:tc>
        <w:tc>
          <w:tcPr>
            <w:tcW w:w="3992" w:type="pct"/>
            <w:gridSpan w:val="2"/>
          </w:tcPr>
          <w:p w14:paraId="3CF18607"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lang w:val="en-US"/>
              </w:rPr>
            </w:pPr>
            <w:r w:rsidRPr="0091021A">
              <w:rPr>
                <w:lang w:val="en-US"/>
              </w:rPr>
              <w:t>Provision/extraction of material from flora and fauna (e.g.</w:t>
            </w:r>
            <w:r>
              <w:rPr>
                <w:lang w:val="en-US"/>
              </w:rPr>
              <w:t>,</w:t>
            </w:r>
            <w:r w:rsidRPr="0091021A">
              <w:rPr>
                <w:lang w:val="en-US"/>
              </w:rPr>
              <w:t xml:space="preserve"> timber, seaweed as fertilizer) ornamental resources and the non-medicinal and medicinal use of genetic material </w:t>
            </w:r>
          </w:p>
        </w:tc>
      </w:tr>
      <w:tr w:rsidR="00FA0AF1" w:rsidRPr="0091021A" w14:paraId="5E30B416" w14:textId="77777777" w:rsidTr="00B954AC">
        <w:trPr>
          <w:trHeight w:val="163"/>
        </w:trPr>
        <w:tc>
          <w:tcPr>
            <w:cnfStyle w:val="001000000000" w:firstRow="0" w:lastRow="0" w:firstColumn="1" w:lastColumn="0" w:oddVBand="0" w:evenVBand="0" w:oddHBand="0" w:evenHBand="0" w:firstRowFirstColumn="0" w:firstRowLastColumn="0" w:lastRowFirstColumn="0" w:lastRowLastColumn="0"/>
            <w:tcW w:w="324" w:type="pct"/>
          </w:tcPr>
          <w:p w14:paraId="2315C2B0" w14:textId="77777777" w:rsidR="00FA0AF1" w:rsidRPr="0091021A" w:rsidRDefault="00FA0AF1" w:rsidP="00B954AC">
            <w:pPr>
              <w:pStyle w:val="TableTextLeft"/>
            </w:pPr>
            <w:r w:rsidRPr="0091021A">
              <w:t>Provisioning</w:t>
            </w:r>
          </w:p>
        </w:tc>
        <w:tc>
          <w:tcPr>
            <w:tcW w:w="684" w:type="pct"/>
          </w:tcPr>
          <w:p w14:paraId="14DAADA3"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bCs/>
              </w:rPr>
            </w:pPr>
            <w:r w:rsidRPr="0091021A">
              <w:rPr>
                <w:bCs/>
              </w:rPr>
              <w:t>Energy</w:t>
            </w:r>
          </w:p>
        </w:tc>
        <w:tc>
          <w:tcPr>
            <w:tcW w:w="3992" w:type="pct"/>
            <w:gridSpan w:val="2"/>
          </w:tcPr>
          <w:p w14:paraId="2443F592"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lang w:val="en-US"/>
              </w:rPr>
            </w:pPr>
            <w:r w:rsidRPr="0091021A">
              <w:rPr>
                <w:lang w:val="en-US"/>
              </w:rPr>
              <w:t>Animal and plant-based resources (e.g., biofuels) and animal-based energy (e.g., mechanics driven by animals)</w:t>
            </w:r>
          </w:p>
        </w:tc>
      </w:tr>
      <w:tr w:rsidR="00FA0AF1" w:rsidRPr="0091021A" w14:paraId="74FDBA03" w14:textId="77777777" w:rsidTr="00B954AC">
        <w:trPr>
          <w:trHeight w:val="163"/>
        </w:trPr>
        <w:tc>
          <w:tcPr>
            <w:cnfStyle w:val="001000000000" w:firstRow="0" w:lastRow="0" w:firstColumn="1" w:lastColumn="0" w:oddVBand="0" w:evenVBand="0" w:oddHBand="0" w:evenHBand="0" w:firstRowFirstColumn="0" w:firstRowLastColumn="0" w:lastRowFirstColumn="0" w:lastRowLastColumn="0"/>
            <w:tcW w:w="324" w:type="pct"/>
          </w:tcPr>
          <w:p w14:paraId="0D7985DD" w14:textId="77777777" w:rsidR="00FA0AF1" w:rsidRPr="0091021A" w:rsidRDefault="00FA0AF1" w:rsidP="00B954AC">
            <w:pPr>
              <w:pStyle w:val="TableTextLeft"/>
            </w:pPr>
            <w:r w:rsidRPr="0091021A">
              <w:t>Regulating</w:t>
            </w:r>
          </w:p>
        </w:tc>
        <w:tc>
          <w:tcPr>
            <w:tcW w:w="684" w:type="pct"/>
          </w:tcPr>
          <w:p w14:paraId="0A1128E9"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lang w:val="en-US"/>
              </w:rPr>
            </w:pPr>
            <w:r w:rsidRPr="0091021A">
              <w:rPr>
                <w:lang w:val="en-US"/>
              </w:rPr>
              <w:t>Clean air</w:t>
            </w:r>
          </w:p>
        </w:tc>
        <w:tc>
          <w:tcPr>
            <w:tcW w:w="3992" w:type="pct"/>
            <w:gridSpan w:val="2"/>
          </w:tcPr>
          <w:p w14:paraId="4F5B19E8"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lang w:val="en-US"/>
              </w:rPr>
            </w:pPr>
            <w:r w:rsidRPr="0091021A">
              <w:rPr>
                <w:lang w:val="en-US"/>
              </w:rPr>
              <w:t xml:space="preserve">Air quality regulation: Breakdown, </w:t>
            </w:r>
            <w:r w:rsidRPr="0091021A">
              <w:rPr>
                <w:color w:val="363534"/>
              </w:rPr>
              <w:t>dilution, filtration and sequestration of pollutants in plants, water and organic sediments by biogeochemical processes</w:t>
            </w:r>
          </w:p>
        </w:tc>
      </w:tr>
      <w:tr w:rsidR="00FA0AF1" w:rsidRPr="0091021A" w14:paraId="73B269F4" w14:textId="77777777" w:rsidTr="00B954AC">
        <w:trPr>
          <w:trHeight w:val="163"/>
        </w:trPr>
        <w:tc>
          <w:tcPr>
            <w:cnfStyle w:val="001000000000" w:firstRow="0" w:lastRow="0" w:firstColumn="1" w:lastColumn="0" w:oddVBand="0" w:evenVBand="0" w:oddHBand="0" w:evenHBand="0" w:firstRowFirstColumn="0" w:firstRowLastColumn="0" w:lastRowFirstColumn="0" w:lastRowLastColumn="0"/>
            <w:tcW w:w="324" w:type="pct"/>
          </w:tcPr>
          <w:p w14:paraId="44D5F209" w14:textId="77777777" w:rsidR="00FA0AF1" w:rsidRPr="0091021A" w:rsidRDefault="00FA0AF1" w:rsidP="00B954AC">
            <w:pPr>
              <w:pStyle w:val="TableTextLeft"/>
            </w:pPr>
            <w:r w:rsidRPr="0091021A">
              <w:t>Regulating</w:t>
            </w:r>
          </w:p>
        </w:tc>
        <w:tc>
          <w:tcPr>
            <w:tcW w:w="684" w:type="pct"/>
          </w:tcPr>
          <w:p w14:paraId="5EB32127"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pPr>
            <w:r w:rsidRPr="0091021A">
              <w:t>Clean water</w:t>
            </w:r>
          </w:p>
        </w:tc>
        <w:tc>
          <w:tcPr>
            <w:tcW w:w="3992" w:type="pct"/>
            <w:gridSpan w:val="2"/>
          </w:tcPr>
          <w:p w14:paraId="190BC5DD"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color w:val="363534"/>
              </w:rPr>
            </w:pPr>
            <w:r w:rsidRPr="0091021A">
              <w:t xml:space="preserve">Water quality regulation: </w:t>
            </w:r>
            <w:r w:rsidRPr="0091021A">
              <w:rPr>
                <w:lang w:val="en-US"/>
              </w:rPr>
              <w:t xml:space="preserve">Sediment </w:t>
            </w:r>
            <w:proofErr w:type="spellStart"/>
            <w:r w:rsidRPr="0091021A">
              <w:rPr>
                <w:lang w:val="en-US"/>
              </w:rPr>
              <w:t>stabilisation</w:t>
            </w:r>
            <w:proofErr w:type="spellEnd"/>
            <w:r w:rsidRPr="0091021A">
              <w:rPr>
                <w:lang w:val="en-US"/>
              </w:rPr>
              <w:t xml:space="preserve"> and the breakdown, dilution</w:t>
            </w:r>
            <w:r w:rsidRPr="0091021A">
              <w:rPr>
                <w:color w:val="363534"/>
              </w:rPr>
              <w:t xml:space="preserve">, filtration and sequestration of pollutants by plants, water and organic sediments through biogeochemical processes </w:t>
            </w:r>
          </w:p>
        </w:tc>
      </w:tr>
      <w:tr w:rsidR="00FA0AF1" w:rsidRPr="0091021A" w14:paraId="58E42852" w14:textId="77777777" w:rsidTr="00B954AC">
        <w:trPr>
          <w:trHeight w:val="163"/>
        </w:trPr>
        <w:tc>
          <w:tcPr>
            <w:cnfStyle w:val="001000000000" w:firstRow="0" w:lastRow="0" w:firstColumn="1" w:lastColumn="0" w:oddVBand="0" w:evenVBand="0" w:oddHBand="0" w:evenHBand="0" w:firstRowFirstColumn="0" w:firstRowLastColumn="0" w:lastRowFirstColumn="0" w:lastRowLastColumn="0"/>
            <w:tcW w:w="324" w:type="pct"/>
          </w:tcPr>
          <w:p w14:paraId="1E979819" w14:textId="77777777" w:rsidR="00FA0AF1" w:rsidRPr="0091021A" w:rsidRDefault="00FA0AF1" w:rsidP="00B954AC">
            <w:pPr>
              <w:pStyle w:val="TableTextLeft"/>
            </w:pPr>
            <w:r w:rsidRPr="0091021A">
              <w:t>Regulating</w:t>
            </w:r>
          </w:p>
        </w:tc>
        <w:tc>
          <w:tcPr>
            <w:tcW w:w="684" w:type="pct"/>
          </w:tcPr>
          <w:p w14:paraId="38B2C47C"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pPr>
            <w:r w:rsidRPr="0091021A">
              <w:t>Hazard protection – flood</w:t>
            </w:r>
          </w:p>
        </w:tc>
        <w:tc>
          <w:tcPr>
            <w:tcW w:w="3992" w:type="pct"/>
            <w:gridSpan w:val="2"/>
          </w:tcPr>
          <w:p w14:paraId="3D2894E0"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color w:val="363534"/>
              </w:rPr>
            </w:pPr>
            <w:r w:rsidRPr="0091021A">
              <w:t>Flood risk regulation</w:t>
            </w:r>
            <w:r w:rsidRPr="0091021A">
              <w:rPr>
                <w:color w:val="363534"/>
              </w:rPr>
              <w:t>: regulation of timing and magnitude of water run-off, flooding</w:t>
            </w:r>
          </w:p>
        </w:tc>
      </w:tr>
      <w:tr w:rsidR="00FA0AF1" w:rsidRPr="0091021A" w14:paraId="4A3095A7" w14:textId="77777777" w:rsidTr="00B954AC">
        <w:trPr>
          <w:trHeight w:val="163"/>
        </w:trPr>
        <w:tc>
          <w:tcPr>
            <w:cnfStyle w:val="001000000000" w:firstRow="0" w:lastRow="0" w:firstColumn="1" w:lastColumn="0" w:oddVBand="0" w:evenVBand="0" w:oddHBand="0" w:evenHBand="0" w:firstRowFirstColumn="0" w:firstRowLastColumn="0" w:lastRowFirstColumn="0" w:lastRowLastColumn="0"/>
            <w:tcW w:w="324" w:type="pct"/>
          </w:tcPr>
          <w:p w14:paraId="43EBAE8D" w14:textId="77777777" w:rsidR="00FA0AF1" w:rsidRPr="0091021A" w:rsidRDefault="00FA0AF1" w:rsidP="00B954AC">
            <w:pPr>
              <w:pStyle w:val="TableTextLeft"/>
            </w:pPr>
            <w:r w:rsidRPr="0091021A">
              <w:t>Regulating</w:t>
            </w:r>
          </w:p>
        </w:tc>
        <w:tc>
          <w:tcPr>
            <w:tcW w:w="684" w:type="pct"/>
          </w:tcPr>
          <w:p w14:paraId="43942C1E"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pPr>
            <w:r w:rsidRPr="0091021A">
              <w:rPr>
                <w:lang w:val="en-US"/>
              </w:rPr>
              <w:t>Hazard protection – landslides</w:t>
            </w:r>
          </w:p>
        </w:tc>
        <w:tc>
          <w:tcPr>
            <w:tcW w:w="3992" w:type="pct"/>
            <w:gridSpan w:val="2"/>
          </w:tcPr>
          <w:p w14:paraId="266D4D06"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pPr>
            <w:r w:rsidRPr="0091021A">
              <w:rPr>
                <w:color w:val="363534"/>
              </w:rPr>
              <w:t>Mass flow regulation: sediment stabilisation – land and mudflow</w:t>
            </w:r>
          </w:p>
        </w:tc>
      </w:tr>
      <w:tr w:rsidR="00FA0AF1" w:rsidRPr="0091021A" w14:paraId="2F1F489E" w14:textId="77777777" w:rsidTr="00B954AC">
        <w:trPr>
          <w:trHeight w:val="163"/>
        </w:trPr>
        <w:tc>
          <w:tcPr>
            <w:cnfStyle w:val="001000000000" w:firstRow="0" w:lastRow="0" w:firstColumn="1" w:lastColumn="0" w:oddVBand="0" w:evenVBand="0" w:oddHBand="0" w:evenHBand="0" w:firstRowFirstColumn="0" w:firstRowLastColumn="0" w:lastRowFirstColumn="0" w:lastRowLastColumn="0"/>
            <w:tcW w:w="324" w:type="pct"/>
          </w:tcPr>
          <w:p w14:paraId="44EA0388" w14:textId="77777777" w:rsidR="00FA0AF1" w:rsidRPr="0091021A" w:rsidRDefault="00FA0AF1" w:rsidP="00B954AC">
            <w:pPr>
              <w:pStyle w:val="TableTextLeft"/>
            </w:pPr>
            <w:r w:rsidRPr="0091021A">
              <w:t>Regulating</w:t>
            </w:r>
          </w:p>
        </w:tc>
        <w:tc>
          <w:tcPr>
            <w:tcW w:w="684" w:type="pct"/>
          </w:tcPr>
          <w:p w14:paraId="60964668"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pPr>
            <w:r w:rsidRPr="0091021A">
              <w:rPr>
                <w:lang w:val="en-US"/>
              </w:rPr>
              <w:t xml:space="preserve">Hazard protection – coast erosion </w:t>
            </w:r>
          </w:p>
        </w:tc>
        <w:tc>
          <w:tcPr>
            <w:tcW w:w="3992" w:type="pct"/>
            <w:gridSpan w:val="2"/>
          </w:tcPr>
          <w:p w14:paraId="0017E0FF"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color w:val="363534"/>
              </w:rPr>
            </w:pPr>
            <w:r w:rsidRPr="0091021A">
              <w:rPr>
                <w:lang w:val="en-US"/>
              </w:rPr>
              <w:t>Coastal protection</w:t>
            </w:r>
            <w:r w:rsidRPr="0091021A">
              <w:rPr>
                <w:color w:val="363534"/>
              </w:rPr>
              <w:t>: prevention of coastal erosion / buffering coastlines against storms by stabilising shorelines, attenuating/dissipating waves and dampening environmental disturbance intensity</w:t>
            </w:r>
          </w:p>
        </w:tc>
      </w:tr>
      <w:tr w:rsidR="00FA0AF1" w:rsidRPr="0091021A" w14:paraId="1B4FF019" w14:textId="77777777" w:rsidTr="00B954AC">
        <w:trPr>
          <w:trHeight w:val="163"/>
        </w:trPr>
        <w:tc>
          <w:tcPr>
            <w:cnfStyle w:val="001000000000" w:firstRow="0" w:lastRow="0" w:firstColumn="1" w:lastColumn="0" w:oddVBand="0" w:evenVBand="0" w:oddHBand="0" w:evenHBand="0" w:firstRowFirstColumn="0" w:firstRowLastColumn="0" w:lastRowFirstColumn="0" w:lastRowLastColumn="0"/>
            <w:tcW w:w="324" w:type="pct"/>
          </w:tcPr>
          <w:p w14:paraId="5E318ECB" w14:textId="77777777" w:rsidR="00FA0AF1" w:rsidRPr="0091021A" w:rsidRDefault="00FA0AF1" w:rsidP="00B954AC">
            <w:pPr>
              <w:pStyle w:val="TableTextLeft"/>
            </w:pPr>
            <w:r w:rsidRPr="0091021A">
              <w:t>Regulating</w:t>
            </w:r>
          </w:p>
        </w:tc>
        <w:tc>
          <w:tcPr>
            <w:tcW w:w="684" w:type="pct"/>
          </w:tcPr>
          <w:p w14:paraId="2E3FEE78"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pPr>
            <w:r w:rsidRPr="0091021A">
              <w:t>Equable global climate</w:t>
            </w:r>
          </w:p>
        </w:tc>
        <w:tc>
          <w:tcPr>
            <w:tcW w:w="3992" w:type="pct"/>
            <w:gridSpan w:val="2"/>
          </w:tcPr>
          <w:p w14:paraId="65AC3A92"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color w:val="363534"/>
              </w:rPr>
            </w:pPr>
            <w:r w:rsidRPr="0091021A">
              <w:t>Global climate regulation</w:t>
            </w:r>
            <w:r w:rsidRPr="0091021A">
              <w:rPr>
                <w:color w:val="363534"/>
              </w:rPr>
              <w:t>: capture of carbon dioxide and climate regulation</w:t>
            </w:r>
          </w:p>
        </w:tc>
      </w:tr>
      <w:tr w:rsidR="00FA0AF1" w:rsidRPr="0091021A" w14:paraId="57D480D1" w14:textId="77777777" w:rsidTr="00B954AC">
        <w:trPr>
          <w:trHeight w:val="163"/>
        </w:trPr>
        <w:tc>
          <w:tcPr>
            <w:cnfStyle w:val="001000000000" w:firstRow="0" w:lastRow="0" w:firstColumn="1" w:lastColumn="0" w:oddVBand="0" w:evenVBand="0" w:oddHBand="0" w:evenHBand="0" w:firstRowFirstColumn="0" w:firstRowLastColumn="0" w:lastRowFirstColumn="0" w:lastRowLastColumn="0"/>
            <w:tcW w:w="324" w:type="pct"/>
          </w:tcPr>
          <w:p w14:paraId="64BAA8A0" w14:textId="77777777" w:rsidR="00FA0AF1" w:rsidRPr="0091021A" w:rsidRDefault="00FA0AF1" w:rsidP="00B954AC">
            <w:pPr>
              <w:pStyle w:val="TableTextLeft"/>
            </w:pPr>
            <w:r w:rsidRPr="0091021A">
              <w:t>Regulating</w:t>
            </w:r>
          </w:p>
        </w:tc>
        <w:tc>
          <w:tcPr>
            <w:tcW w:w="684" w:type="pct"/>
          </w:tcPr>
          <w:p w14:paraId="67E3EF25"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pPr>
            <w:r w:rsidRPr="0091021A">
              <w:t>Equable local climate</w:t>
            </w:r>
          </w:p>
        </w:tc>
        <w:tc>
          <w:tcPr>
            <w:tcW w:w="3992" w:type="pct"/>
            <w:gridSpan w:val="2"/>
          </w:tcPr>
          <w:p w14:paraId="2E5A434C"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color w:val="363534"/>
              </w:rPr>
            </w:pPr>
            <w:r w:rsidRPr="0091021A">
              <w:t>Local climate regulation</w:t>
            </w:r>
            <w:r w:rsidRPr="0091021A">
              <w:rPr>
                <w:color w:val="363534"/>
              </w:rPr>
              <w:t>: contribution of ecosystems to maintenance of a favourable climate through impacts on the temperature regulation (i.e. warming / cooling of land areas)</w:t>
            </w:r>
          </w:p>
        </w:tc>
      </w:tr>
      <w:tr w:rsidR="00FA0AF1" w:rsidRPr="0091021A" w14:paraId="23DF5AE9" w14:textId="77777777" w:rsidTr="00B954AC">
        <w:trPr>
          <w:trHeight w:val="163"/>
        </w:trPr>
        <w:tc>
          <w:tcPr>
            <w:cnfStyle w:val="001000000000" w:firstRow="0" w:lastRow="0" w:firstColumn="1" w:lastColumn="0" w:oddVBand="0" w:evenVBand="0" w:oddHBand="0" w:evenHBand="0" w:firstRowFirstColumn="0" w:firstRowLastColumn="0" w:lastRowFirstColumn="0" w:lastRowLastColumn="0"/>
            <w:tcW w:w="324" w:type="pct"/>
          </w:tcPr>
          <w:p w14:paraId="0E5EB356" w14:textId="77777777" w:rsidR="00FA0AF1" w:rsidRPr="0091021A" w:rsidRDefault="00FA0AF1" w:rsidP="00B954AC">
            <w:pPr>
              <w:pStyle w:val="TableTextLeft"/>
            </w:pPr>
            <w:r w:rsidRPr="0091021A">
              <w:t>Regulating</w:t>
            </w:r>
          </w:p>
        </w:tc>
        <w:tc>
          <w:tcPr>
            <w:tcW w:w="684" w:type="pct"/>
          </w:tcPr>
          <w:p w14:paraId="6212A2D0"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pPr>
            <w:r w:rsidRPr="0091021A">
              <w:t xml:space="preserve">Noise and smell </w:t>
            </w:r>
          </w:p>
        </w:tc>
        <w:tc>
          <w:tcPr>
            <w:tcW w:w="3992" w:type="pct"/>
            <w:gridSpan w:val="2"/>
          </w:tcPr>
          <w:p w14:paraId="7FFCE4B8"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pPr>
            <w:r w:rsidRPr="0091021A">
              <w:t>Mediation of noise and smell impacts</w:t>
            </w:r>
          </w:p>
        </w:tc>
      </w:tr>
      <w:tr w:rsidR="00FA0AF1" w:rsidRPr="0091021A" w14:paraId="253149EC" w14:textId="77777777" w:rsidTr="00B954AC">
        <w:trPr>
          <w:trHeight w:val="163"/>
        </w:trPr>
        <w:tc>
          <w:tcPr>
            <w:cnfStyle w:val="001000000000" w:firstRow="0" w:lastRow="0" w:firstColumn="1" w:lastColumn="0" w:oddVBand="0" w:evenVBand="0" w:oddHBand="0" w:evenHBand="0" w:firstRowFirstColumn="0" w:firstRowLastColumn="0" w:lastRowFirstColumn="0" w:lastRowLastColumn="0"/>
            <w:tcW w:w="324" w:type="pct"/>
          </w:tcPr>
          <w:p w14:paraId="4AAF5E0E" w14:textId="77777777" w:rsidR="00FA0AF1" w:rsidRPr="0091021A" w:rsidRDefault="00FA0AF1" w:rsidP="00B954AC">
            <w:pPr>
              <w:pStyle w:val="TableTextLeft"/>
            </w:pPr>
            <w:r w:rsidRPr="0091021A">
              <w:rPr>
                <w:bCs/>
              </w:rPr>
              <w:t>Cultural</w:t>
            </w:r>
          </w:p>
        </w:tc>
        <w:tc>
          <w:tcPr>
            <w:tcW w:w="684" w:type="pct"/>
          </w:tcPr>
          <w:p w14:paraId="44B82EE1"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lang w:val="en-US"/>
              </w:rPr>
            </w:pPr>
            <w:r w:rsidRPr="0091021A">
              <w:rPr>
                <w:lang w:val="en-US"/>
              </w:rPr>
              <w:t xml:space="preserve">Recreation </w:t>
            </w:r>
          </w:p>
        </w:tc>
        <w:tc>
          <w:tcPr>
            <w:tcW w:w="3992" w:type="pct"/>
            <w:gridSpan w:val="2"/>
          </w:tcPr>
          <w:p w14:paraId="68EB47E0"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lang w:val="en-US"/>
              </w:rPr>
            </w:pPr>
            <w:r w:rsidRPr="0091021A">
              <w:rPr>
                <w:lang w:val="en-US"/>
              </w:rPr>
              <w:t xml:space="preserve">Landscape, seascape and biodiversity species provide opportunities for recreation – sunbathing, </w:t>
            </w:r>
            <w:proofErr w:type="spellStart"/>
            <w:r w:rsidRPr="0091021A">
              <w:rPr>
                <w:lang w:val="en-US"/>
              </w:rPr>
              <w:t>snorkelling</w:t>
            </w:r>
            <w:proofErr w:type="spellEnd"/>
            <w:r w:rsidRPr="0091021A">
              <w:rPr>
                <w:lang w:val="en-US"/>
              </w:rPr>
              <w:t>, scuba diving, fishing, surfing, boating, walking, running, cycling, nature watching</w:t>
            </w:r>
          </w:p>
        </w:tc>
      </w:tr>
      <w:tr w:rsidR="00FA0AF1" w:rsidRPr="0091021A" w14:paraId="23EEF4A6" w14:textId="77777777" w:rsidTr="00B954AC">
        <w:trPr>
          <w:trHeight w:val="163"/>
        </w:trPr>
        <w:tc>
          <w:tcPr>
            <w:cnfStyle w:val="001000000000" w:firstRow="0" w:lastRow="0" w:firstColumn="1" w:lastColumn="0" w:oddVBand="0" w:evenVBand="0" w:oddHBand="0" w:evenHBand="0" w:firstRowFirstColumn="0" w:firstRowLastColumn="0" w:lastRowFirstColumn="0" w:lastRowLastColumn="0"/>
            <w:tcW w:w="324" w:type="pct"/>
          </w:tcPr>
          <w:p w14:paraId="6EEDABA3" w14:textId="77777777" w:rsidR="00FA0AF1" w:rsidRPr="0091021A" w:rsidRDefault="00FA0AF1" w:rsidP="00B954AC">
            <w:pPr>
              <w:pStyle w:val="TableTextLeft"/>
              <w:rPr>
                <w:bCs/>
              </w:rPr>
            </w:pPr>
            <w:r w:rsidRPr="0091021A">
              <w:rPr>
                <w:bCs/>
              </w:rPr>
              <w:t>Cultural</w:t>
            </w:r>
          </w:p>
        </w:tc>
        <w:tc>
          <w:tcPr>
            <w:tcW w:w="684" w:type="pct"/>
          </w:tcPr>
          <w:p w14:paraId="2EDE824E"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lang w:val="en-US"/>
              </w:rPr>
            </w:pPr>
            <w:r w:rsidRPr="0091021A">
              <w:rPr>
                <w:lang w:val="en-US"/>
              </w:rPr>
              <w:t xml:space="preserve">Tourism </w:t>
            </w:r>
          </w:p>
        </w:tc>
        <w:tc>
          <w:tcPr>
            <w:tcW w:w="3992" w:type="pct"/>
            <w:gridSpan w:val="2"/>
          </w:tcPr>
          <w:p w14:paraId="2939A801"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lang w:val="en-US"/>
              </w:rPr>
            </w:pPr>
            <w:r w:rsidRPr="0091021A">
              <w:rPr>
                <w:lang w:val="en-US"/>
              </w:rPr>
              <w:t xml:space="preserve">Landscape, seascape and biodiversity species provide opportunities for recreation – sunbathing, </w:t>
            </w:r>
            <w:r w:rsidRPr="0055442F">
              <w:t>snorkelling</w:t>
            </w:r>
            <w:r w:rsidRPr="0091021A">
              <w:rPr>
                <w:lang w:val="en-US"/>
              </w:rPr>
              <w:t>, scuba diving, fishing, surfing, boating, walking, running, cycling, nature watching</w:t>
            </w:r>
          </w:p>
        </w:tc>
      </w:tr>
      <w:tr w:rsidR="00FA0AF1" w:rsidRPr="0091021A" w14:paraId="614B59D7" w14:textId="77777777" w:rsidTr="00B954AC">
        <w:trPr>
          <w:trHeight w:val="163"/>
        </w:trPr>
        <w:tc>
          <w:tcPr>
            <w:cnfStyle w:val="001000000000" w:firstRow="0" w:lastRow="0" w:firstColumn="1" w:lastColumn="0" w:oddVBand="0" w:evenVBand="0" w:oddHBand="0" w:evenHBand="0" w:firstRowFirstColumn="0" w:firstRowLastColumn="0" w:lastRowFirstColumn="0" w:lastRowLastColumn="0"/>
            <w:tcW w:w="324" w:type="pct"/>
          </w:tcPr>
          <w:p w14:paraId="212C4652" w14:textId="77777777" w:rsidR="00FA0AF1" w:rsidRPr="0091021A" w:rsidRDefault="00FA0AF1" w:rsidP="00B954AC">
            <w:pPr>
              <w:pStyle w:val="TableTextLeft"/>
              <w:rPr>
                <w:bCs/>
              </w:rPr>
            </w:pPr>
            <w:r w:rsidRPr="0091021A">
              <w:rPr>
                <w:bCs/>
              </w:rPr>
              <w:t>Cultural</w:t>
            </w:r>
          </w:p>
        </w:tc>
        <w:tc>
          <w:tcPr>
            <w:tcW w:w="684" w:type="pct"/>
          </w:tcPr>
          <w:p w14:paraId="3A926C3D"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lang w:val="en-US"/>
              </w:rPr>
            </w:pPr>
            <w:r w:rsidRPr="0091021A">
              <w:rPr>
                <w:lang w:val="en-US"/>
              </w:rPr>
              <w:t xml:space="preserve">Aesthetic </w:t>
            </w:r>
          </w:p>
        </w:tc>
        <w:tc>
          <w:tcPr>
            <w:tcW w:w="3992" w:type="pct"/>
            <w:gridSpan w:val="2"/>
          </w:tcPr>
          <w:p w14:paraId="1E4F3FB2"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lang w:val="en-US"/>
              </w:rPr>
            </w:pPr>
            <w:r w:rsidRPr="0091021A">
              <w:rPr>
                <w:lang w:val="en-US"/>
              </w:rPr>
              <w:t>Landscape character and biodiversity provide opportunities for aesthetic enjoyment, mediation of visual impacts</w:t>
            </w:r>
          </w:p>
        </w:tc>
      </w:tr>
      <w:tr w:rsidR="00FA0AF1" w:rsidRPr="0091021A" w14:paraId="05A883E6" w14:textId="77777777" w:rsidTr="00B954AC">
        <w:trPr>
          <w:trHeight w:val="163"/>
        </w:trPr>
        <w:tc>
          <w:tcPr>
            <w:cnfStyle w:val="001000000000" w:firstRow="0" w:lastRow="0" w:firstColumn="1" w:lastColumn="0" w:oddVBand="0" w:evenVBand="0" w:oddHBand="0" w:evenHBand="0" w:firstRowFirstColumn="0" w:firstRowLastColumn="0" w:lastRowFirstColumn="0" w:lastRowLastColumn="0"/>
            <w:tcW w:w="324" w:type="pct"/>
          </w:tcPr>
          <w:p w14:paraId="22C28691" w14:textId="77777777" w:rsidR="00FA0AF1" w:rsidRPr="0091021A" w:rsidRDefault="00FA0AF1" w:rsidP="00B954AC">
            <w:pPr>
              <w:pStyle w:val="TableTextLeft"/>
            </w:pPr>
            <w:r w:rsidRPr="0091021A">
              <w:rPr>
                <w:bCs/>
              </w:rPr>
              <w:t>Cultural</w:t>
            </w:r>
          </w:p>
        </w:tc>
        <w:tc>
          <w:tcPr>
            <w:tcW w:w="684" w:type="pct"/>
          </w:tcPr>
          <w:p w14:paraId="1BB12D03"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pPr>
            <w:r w:rsidRPr="0091021A">
              <w:t>Education and research</w:t>
            </w:r>
          </w:p>
        </w:tc>
        <w:tc>
          <w:tcPr>
            <w:tcW w:w="3992" w:type="pct"/>
            <w:gridSpan w:val="2"/>
          </w:tcPr>
          <w:p w14:paraId="771898BD"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lang w:val="en-US"/>
              </w:rPr>
            </w:pPr>
            <w:r w:rsidRPr="0091021A">
              <w:rPr>
                <w:lang w:val="en-US"/>
              </w:rPr>
              <w:t>Information and knowledge – habitat and species provide opportunities for scientific research and education</w:t>
            </w:r>
          </w:p>
        </w:tc>
      </w:tr>
      <w:tr w:rsidR="00FA0AF1" w:rsidRPr="0091021A" w14:paraId="287E5ACF" w14:textId="77777777" w:rsidTr="00B954AC">
        <w:trPr>
          <w:trHeight w:val="163"/>
        </w:trPr>
        <w:tc>
          <w:tcPr>
            <w:cnfStyle w:val="001000000000" w:firstRow="0" w:lastRow="0" w:firstColumn="1" w:lastColumn="0" w:oddVBand="0" w:evenVBand="0" w:oddHBand="0" w:evenHBand="0" w:firstRowFirstColumn="0" w:firstRowLastColumn="0" w:lastRowFirstColumn="0" w:lastRowLastColumn="0"/>
            <w:tcW w:w="324" w:type="pct"/>
          </w:tcPr>
          <w:p w14:paraId="2CD8BDFC" w14:textId="77777777" w:rsidR="00FA0AF1" w:rsidRPr="0091021A" w:rsidRDefault="00FA0AF1" w:rsidP="00B954AC">
            <w:pPr>
              <w:pStyle w:val="TableTextLeft"/>
            </w:pPr>
            <w:r w:rsidRPr="0091021A">
              <w:rPr>
                <w:bCs/>
              </w:rPr>
              <w:t>Cultural</w:t>
            </w:r>
          </w:p>
        </w:tc>
        <w:tc>
          <w:tcPr>
            <w:tcW w:w="684" w:type="pct"/>
          </w:tcPr>
          <w:p w14:paraId="11FD4591"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lang w:val="en-US"/>
              </w:rPr>
            </w:pPr>
            <w:r w:rsidRPr="0091021A">
              <w:rPr>
                <w:lang w:val="en-US"/>
              </w:rPr>
              <w:t>Cultural heritage</w:t>
            </w:r>
          </w:p>
        </w:tc>
        <w:tc>
          <w:tcPr>
            <w:tcW w:w="3992" w:type="pct"/>
            <w:gridSpan w:val="2"/>
          </w:tcPr>
          <w:p w14:paraId="3C62770F"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lang w:val="en-US"/>
              </w:rPr>
            </w:pPr>
            <w:r w:rsidRPr="0091021A">
              <w:rPr>
                <w:lang w:val="en-US"/>
              </w:rPr>
              <w:t>Spiritual and symbolic: landscape character and biodiversity of species have cultural heritage values, sense of personal and group identity (sense of place), spiritual and religious function</w:t>
            </w:r>
          </w:p>
        </w:tc>
      </w:tr>
      <w:tr w:rsidR="00FA0AF1" w:rsidRPr="0091021A" w14:paraId="624A1636" w14:textId="77777777" w:rsidTr="00B954AC">
        <w:trPr>
          <w:trHeight w:val="163"/>
        </w:trPr>
        <w:tc>
          <w:tcPr>
            <w:cnfStyle w:val="001000000000" w:firstRow="0" w:lastRow="0" w:firstColumn="1" w:lastColumn="0" w:oddVBand="0" w:evenVBand="0" w:oddHBand="0" w:evenHBand="0" w:firstRowFirstColumn="0" w:firstRowLastColumn="0" w:lastRowFirstColumn="0" w:lastRowLastColumn="0"/>
            <w:tcW w:w="324" w:type="pct"/>
          </w:tcPr>
          <w:p w14:paraId="126E814E" w14:textId="77777777" w:rsidR="00FA0AF1" w:rsidRPr="0091021A" w:rsidRDefault="00FA0AF1" w:rsidP="00B954AC">
            <w:pPr>
              <w:pStyle w:val="TableTextLeft"/>
            </w:pPr>
            <w:r w:rsidRPr="0091021A">
              <w:rPr>
                <w:bCs/>
              </w:rPr>
              <w:t>Cultural</w:t>
            </w:r>
          </w:p>
        </w:tc>
        <w:tc>
          <w:tcPr>
            <w:tcW w:w="684" w:type="pct"/>
          </w:tcPr>
          <w:p w14:paraId="34635977"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lang w:val="en-US"/>
              </w:rPr>
            </w:pPr>
            <w:r w:rsidRPr="0091021A">
              <w:rPr>
                <w:lang w:val="en-US"/>
              </w:rPr>
              <w:t>Existence value</w:t>
            </w:r>
          </w:p>
        </w:tc>
        <w:tc>
          <w:tcPr>
            <w:tcW w:w="3992" w:type="pct"/>
            <w:gridSpan w:val="2"/>
          </w:tcPr>
          <w:p w14:paraId="626BF2AF"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lang w:val="en-US"/>
              </w:rPr>
            </w:pPr>
            <w:r w:rsidRPr="0091021A">
              <w:rPr>
                <w:lang w:val="en-US"/>
              </w:rPr>
              <w:t xml:space="preserve">The existence of ecosystems, biodiversity, habitats, genetic diversity and ecosystem services for current and future generations </w:t>
            </w:r>
          </w:p>
        </w:tc>
      </w:tr>
      <w:tr w:rsidR="00FA0AF1" w:rsidRPr="0091021A" w14:paraId="07E84F61" w14:textId="77777777" w:rsidTr="00B954AC">
        <w:trPr>
          <w:trHeight w:val="163"/>
        </w:trPr>
        <w:tc>
          <w:tcPr>
            <w:cnfStyle w:val="001000000000" w:firstRow="0" w:lastRow="0" w:firstColumn="1" w:lastColumn="0" w:oddVBand="0" w:evenVBand="0" w:oddHBand="0" w:evenHBand="0" w:firstRowFirstColumn="0" w:firstRowLastColumn="0" w:lastRowFirstColumn="0" w:lastRowLastColumn="0"/>
            <w:tcW w:w="324" w:type="pct"/>
          </w:tcPr>
          <w:p w14:paraId="4F43125F" w14:textId="77777777" w:rsidR="00FA0AF1" w:rsidRPr="0091021A" w:rsidRDefault="00FA0AF1" w:rsidP="00B954AC">
            <w:pPr>
              <w:pStyle w:val="TableTextLeft"/>
              <w:rPr>
                <w:bCs/>
              </w:rPr>
            </w:pPr>
            <w:r w:rsidRPr="0091021A">
              <w:rPr>
                <w:bCs/>
              </w:rPr>
              <w:t>Cultural</w:t>
            </w:r>
          </w:p>
        </w:tc>
        <w:tc>
          <w:tcPr>
            <w:tcW w:w="684" w:type="pct"/>
          </w:tcPr>
          <w:p w14:paraId="5B24B0E9"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lang w:val="en-US"/>
              </w:rPr>
            </w:pPr>
            <w:r w:rsidRPr="0091021A">
              <w:rPr>
                <w:lang w:val="en-US"/>
              </w:rPr>
              <w:t>Option value</w:t>
            </w:r>
          </w:p>
        </w:tc>
        <w:tc>
          <w:tcPr>
            <w:tcW w:w="3992" w:type="pct"/>
            <w:gridSpan w:val="2"/>
          </w:tcPr>
          <w:p w14:paraId="29A3B1CA"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lang w:val="en-US"/>
              </w:rPr>
            </w:pPr>
            <w:r w:rsidRPr="0091021A">
              <w:rPr>
                <w:lang w:val="en-US"/>
              </w:rPr>
              <w:t>The option of “using” ecosystems in the future through bioprospecting (e.g., medicinal products) and providing resilience to change (climate change, pests, diseases etc.)</w:t>
            </w:r>
          </w:p>
        </w:tc>
      </w:tr>
      <w:tr w:rsidR="00FA0AF1" w:rsidRPr="0091021A" w14:paraId="1C5BB32C" w14:textId="77777777" w:rsidTr="00B954AC">
        <w:trPr>
          <w:trHeight w:val="163"/>
        </w:trPr>
        <w:tc>
          <w:tcPr>
            <w:cnfStyle w:val="001000000000" w:firstRow="0" w:lastRow="0" w:firstColumn="1" w:lastColumn="0" w:oddVBand="0" w:evenVBand="0" w:oddHBand="0" w:evenHBand="0" w:firstRowFirstColumn="0" w:firstRowLastColumn="0" w:lastRowFirstColumn="0" w:lastRowLastColumn="0"/>
            <w:tcW w:w="324" w:type="pct"/>
          </w:tcPr>
          <w:p w14:paraId="7639EA2B" w14:textId="77777777" w:rsidR="00FA0AF1" w:rsidRPr="0091021A" w:rsidRDefault="00FA0AF1" w:rsidP="00B954AC">
            <w:pPr>
              <w:pStyle w:val="TableTextLeft"/>
              <w:rPr>
                <w:bCs/>
              </w:rPr>
            </w:pPr>
            <w:r w:rsidRPr="0091021A">
              <w:rPr>
                <w:bCs/>
              </w:rPr>
              <w:t>Cultural</w:t>
            </w:r>
          </w:p>
        </w:tc>
        <w:tc>
          <w:tcPr>
            <w:tcW w:w="684" w:type="pct"/>
          </w:tcPr>
          <w:p w14:paraId="26D95AB9"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lang w:val="en-US"/>
              </w:rPr>
            </w:pPr>
            <w:r w:rsidRPr="0091021A">
              <w:rPr>
                <w:lang w:val="en-US"/>
              </w:rPr>
              <w:t>Social / community cohesion</w:t>
            </w:r>
          </w:p>
        </w:tc>
        <w:tc>
          <w:tcPr>
            <w:tcW w:w="3992" w:type="pct"/>
            <w:gridSpan w:val="2"/>
          </w:tcPr>
          <w:p w14:paraId="7B7A42A5"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lang w:val="en-US"/>
              </w:rPr>
            </w:pPr>
            <w:r w:rsidRPr="0091021A">
              <w:rPr>
                <w:lang w:val="en-US"/>
              </w:rPr>
              <w:t>Natural environment provides opportunities to develop a sense of community and social connection associated with (for example) community volunteering (lifesaving clubs, beach patrol groups)</w:t>
            </w:r>
          </w:p>
        </w:tc>
      </w:tr>
      <w:tr w:rsidR="00FA0AF1" w:rsidRPr="0091021A" w14:paraId="65A2541B" w14:textId="77777777" w:rsidTr="00B954AC">
        <w:trPr>
          <w:trHeight w:val="163"/>
        </w:trPr>
        <w:tc>
          <w:tcPr>
            <w:cnfStyle w:val="001000000000" w:firstRow="0" w:lastRow="0" w:firstColumn="1" w:lastColumn="0" w:oddVBand="0" w:evenVBand="0" w:oddHBand="0" w:evenHBand="0" w:firstRowFirstColumn="0" w:firstRowLastColumn="0" w:lastRowFirstColumn="0" w:lastRowLastColumn="0"/>
            <w:tcW w:w="324" w:type="pct"/>
          </w:tcPr>
          <w:p w14:paraId="04F562CC" w14:textId="77777777" w:rsidR="00FA0AF1" w:rsidRPr="0091021A" w:rsidRDefault="00FA0AF1" w:rsidP="00B954AC">
            <w:pPr>
              <w:pStyle w:val="TableTextLeft"/>
              <w:rPr>
                <w:bCs/>
              </w:rPr>
            </w:pPr>
            <w:r w:rsidRPr="0091021A">
              <w:rPr>
                <w:bCs/>
              </w:rPr>
              <w:t>Bundle</w:t>
            </w:r>
          </w:p>
        </w:tc>
        <w:tc>
          <w:tcPr>
            <w:tcW w:w="684" w:type="pct"/>
          </w:tcPr>
          <w:p w14:paraId="54DBEE58"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lang w:val="en-US"/>
              </w:rPr>
            </w:pPr>
            <w:r w:rsidRPr="0091021A">
              <w:rPr>
                <w:lang w:val="en-US"/>
              </w:rPr>
              <w:t>Amenity</w:t>
            </w:r>
          </w:p>
        </w:tc>
        <w:tc>
          <w:tcPr>
            <w:tcW w:w="3992" w:type="pct"/>
            <w:gridSpan w:val="2"/>
          </w:tcPr>
          <w:p w14:paraId="145395B1"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lang w:val="en-US"/>
              </w:rPr>
            </w:pPr>
            <w:r w:rsidRPr="0091021A">
              <w:rPr>
                <w:lang w:val="en-US"/>
              </w:rPr>
              <w:t>Bundle of ecosystem services associated with living near the natural environment, supporting the “</w:t>
            </w:r>
            <w:proofErr w:type="spellStart"/>
            <w:r w:rsidRPr="0091021A">
              <w:rPr>
                <w:lang w:val="en-US"/>
              </w:rPr>
              <w:t>liveability</w:t>
            </w:r>
            <w:proofErr w:type="spellEnd"/>
            <w:r w:rsidRPr="0091021A">
              <w:rPr>
                <w:lang w:val="en-US"/>
              </w:rPr>
              <w:t>” of an area</w:t>
            </w:r>
          </w:p>
        </w:tc>
      </w:tr>
      <w:tr w:rsidR="00FA0AF1" w:rsidRPr="0091021A" w14:paraId="02DB9C53" w14:textId="77777777" w:rsidTr="00B954AC">
        <w:trPr>
          <w:trHeight w:val="163"/>
        </w:trPr>
        <w:tc>
          <w:tcPr>
            <w:cnfStyle w:val="001000000000" w:firstRow="0" w:lastRow="0" w:firstColumn="1" w:lastColumn="0" w:oddVBand="0" w:evenVBand="0" w:oddHBand="0" w:evenHBand="0" w:firstRowFirstColumn="0" w:firstRowLastColumn="0" w:lastRowFirstColumn="0" w:lastRowLastColumn="0"/>
            <w:tcW w:w="1008" w:type="pct"/>
            <w:gridSpan w:val="2"/>
          </w:tcPr>
          <w:p w14:paraId="1F81817A" w14:textId="77777777" w:rsidR="00FA0AF1" w:rsidRPr="0091021A" w:rsidRDefault="00FA0AF1" w:rsidP="00B954AC">
            <w:pPr>
              <w:pStyle w:val="TableTextLeft"/>
              <w:rPr>
                <w:lang w:val="en-US"/>
              </w:rPr>
            </w:pPr>
            <w:r w:rsidRPr="0091021A">
              <w:t>Supporting</w:t>
            </w:r>
          </w:p>
        </w:tc>
        <w:tc>
          <w:tcPr>
            <w:tcW w:w="520" w:type="pct"/>
          </w:tcPr>
          <w:p w14:paraId="4650EDDA"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lang w:val="en-US"/>
              </w:rPr>
            </w:pPr>
            <w:r w:rsidRPr="0091021A">
              <w:t>Genetic diversity</w:t>
            </w:r>
          </w:p>
        </w:tc>
        <w:tc>
          <w:tcPr>
            <w:tcW w:w="3472" w:type="pct"/>
          </w:tcPr>
          <w:p w14:paraId="29C19771"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lang w:val="en-US"/>
              </w:rPr>
            </w:pPr>
            <w:r w:rsidRPr="0091021A">
              <w:rPr>
                <w:color w:val="363534"/>
              </w:rPr>
              <w:t>Gene pool protection - captured in various ecosystem services including existence/option value, pest and disease control, education and research</w:t>
            </w:r>
          </w:p>
        </w:tc>
      </w:tr>
      <w:tr w:rsidR="00FA0AF1" w:rsidRPr="0091021A" w14:paraId="091357DF" w14:textId="77777777" w:rsidTr="00B954AC">
        <w:trPr>
          <w:trHeight w:val="163"/>
        </w:trPr>
        <w:tc>
          <w:tcPr>
            <w:cnfStyle w:val="001000000000" w:firstRow="0" w:lastRow="0" w:firstColumn="1" w:lastColumn="0" w:oddVBand="0" w:evenVBand="0" w:oddHBand="0" w:evenHBand="0" w:firstRowFirstColumn="0" w:firstRowLastColumn="0" w:lastRowFirstColumn="0" w:lastRowLastColumn="0"/>
            <w:tcW w:w="1008" w:type="pct"/>
            <w:gridSpan w:val="2"/>
          </w:tcPr>
          <w:p w14:paraId="3E08E090" w14:textId="77777777" w:rsidR="00FA0AF1" w:rsidRPr="0091021A" w:rsidRDefault="00FA0AF1" w:rsidP="00B954AC">
            <w:pPr>
              <w:pStyle w:val="TableTextLeft"/>
              <w:rPr>
                <w:lang w:val="en-US"/>
              </w:rPr>
            </w:pPr>
            <w:r w:rsidRPr="0091021A">
              <w:t>Supporting</w:t>
            </w:r>
          </w:p>
        </w:tc>
        <w:tc>
          <w:tcPr>
            <w:tcW w:w="520" w:type="pct"/>
          </w:tcPr>
          <w:p w14:paraId="759BC7EF"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color w:val="363534"/>
              </w:rPr>
            </w:pPr>
            <w:r w:rsidRPr="0091021A">
              <w:rPr>
                <w:lang w:val="en-US"/>
              </w:rPr>
              <w:t>Nursery populations</w:t>
            </w:r>
          </w:p>
        </w:tc>
        <w:tc>
          <w:tcPr>
            <w:tcW w:w="3472" w:type="pct"/>
          </w:tcPr>
          <w:p w14:paraId="74520193"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color w:val="363534"/>
              </w:rPr>
            </w:pPr>
            <w:r w:rsidRPr="0091021A">
              <w:rPr>
                <w:color w:val="363534"/>
              </w:rPr>
              <w:t>Life-cycle maintenance for various ecosystem services including food and recreation</w:t>
            </w:r>
          </w:p>
        </w:tc>
      </w:tr>
      <w:tr w:rsidR="00FA0AF1" w:rsidRPr="0091021A" w14:paraId="5C0119B7" w14:textId="77777777" w:rsidTr="00B954AC">
        <w:trPr>
          <w:trHeight w:val="163"/>
        </w:trPr>
        <w:tc>
          <w:tcPr>
            <w:cnfStyle w:val="001000000000" w:firstRow="0" w:lastRow="0" w:firstColumn="1" w:lastColumn="0" w:oddVBand="0" w:evenVBand="0" w:oddHBand="0" w:evenHBand="0" w:firstRowFirstColumn="0" w:firstRowLastColumn="0" w:lastRowFirstColumn="0" w:lastRowLastColumn="0"/>
            <w:tcW w:w="1008" w:type="pct"/>
            <w:gridSpan w:val="2"/>
          </w:tcPr>
          <w:p w14:paraId="461EB60A" w14:textId="77777777" w:rsidR="00FA0AF1" w:rsidRPr="0091021A" w:rsidRDefault="00FA0AF1" w:rsidP="00B954AC">
            <w:pPr>
              <w:pStyle w:val="TableTextLeft"/>
              <w:rPr>
                <w:lang w:val="en-US"/>
              </w:rPr>
            </w:pPr>
            <w:r w:rsidRPr="0091021A">
              <w:t>Supporting</w:t>
            </w:r>
          </w:p>
        </w:tc>
        <w:tc>
          <w:tcPr>
            <w:tcW w:w="520" w:type="pct"/>
          </w:tcPr>
          <w:p w14:paraId="233A8808"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lang w:val="en-US"/>
              </w:rPr>
            </w:pPr>
            <w:r w:rsidRPr="0091021A">
              <w:rPr>
                <w:lang w:val="en-US"/>
              </w:rPr>
              <w:t>Habitat provision</w:t>
            </w:r>
          </w:p>
        </w:tc>
        <w:tc>
          <w:tcPr>
            <w:tcW w:w="3472" w:type="pct"/>
          </w:tcPr>
          <w:p w14:paraId="1781720D"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lang w:val="en-US"/>
              </w:rPr>
            </w:pPr>
            <w:r w:rsidRPr="0091021A">
              <w:rPr>
                <w:color w:val="363534"/>
              </w:rPr>
              <w:t>Existence of habitats for species and provision of ecosystem services</w:t>
            </w:r>
          </w:p>
        </w:tc>
      </w:tr>
      <w:tr w:rsidR="00FA0AF1" w:rsidRPr="0091021A" w14:paraId="5C61E532" w14:textId="77777777" w:rsidTr="00B954AC">
        <w:trPr>
          <w:trHeight w:val="163"/>
        </w:trPr>
        <w:tc>
          <w:tcPr>
            <w:cnfStyle w:val="001000000000" w:firstRow="0" w:lastRow="0" w:firstColumn="1" w:lastColumn="0" w:oddVBand="0" w:evenVBand="0" w:oddHBand="0" w:evenHBand="0" w:firstRowFirstColumn="0" w:firstRowLastColumn="0" w:lastRowFirstColumn="0" w:lastRowLastColumn="0"/>
            <w:tcW w:w="1008" w:type="pct"/>
            <w:gridSpan w:val="2"/>
          </w:tcPr>
          <w:p w14:paraId="314455C7" w14:textId="77777777" w:rsidR="00FA0AF1" w:rsidRPr="0091021A" w:rsidRDefault="00FA0AF1" w:rsidP="00B954AC">
            <w:pPr>
              <w:pStyle w:val="TableTextLeft"/>
            </w:pPr>
            <w:r w:rsidRPr="0091021A">
              <w:t>Supporting</w:t>
            </w:r>
          </w:p>
        </w:tc>
        <w:tc>
          <w:tcPr>
            <w:tcW w:w="520" w:type="pct"/>
          </w:tcPr>
          <w:p w14:paraId="259B7408"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pPr>
            <w:r w:rsidRPr="0091021A">
              <w:rPr>
                <w:color w:val="363534"/>
              </w:rPr>
              <w:t>Pollination</w:t>
            </w:r>
          </w:p>
        </w:tc>
        <w:tc>
          <w:tcPr>
            <w:tcW w:w="3472" w:type="pct"/>
          </w:tcPr>
          <w:p w14:paraId="57BF2E59"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pPr>
            <w:r w:rsidRPr="0091021A">
              <w:rPr>
                <w:color w:val="363534"/>
              </w:rPr>
              <w:t>Seed dispersal contributes to ecosystem services including food production</w:t>
            </w:r>
          </w:p>
        </w:tc>
      </w:tr>
      <w:tr w:rsidR="00FA0AF1" w:rsidRPr="0091021A" w14:paraId="1531FCD3" w14:textId="77777777" w:rsidTr="00B954AC">
        <w:trPr>
          <w:trHeight w:val="163"/>
        </w:trPr>
        <w:tc>
          <w:tcPr>
            <w:cnfStyle w:val="001000000000" w:firstRow="0" w:lastRow="0" w:firstColumn="1" w:lastColumn="0" w:oddVBand="0" w:evenVBand="0" w:oddHBand="0" w:evenHBand="0" w:firstRowFirstColumn="0" w:firstRowLastColumn="0" w:lastRowFirstColumn="0" w:lastRowLastColumn="0"/>
            <w:tcW w:w="1008" w:type="pct"/>
            <w:gridSpan w:val="2"/>
          </w:tcPr>
          <w:p w14:paraId="32A29957" w14:textId="77777777" w:rsidR="00FA0AF1" w:rsidRPr="0091021A" w:rsidRDefault="00FA0AF1" w:rsidP="00B954AC">
            <w:pPr>
              <w:pStyle w:val="TableTextLeft"/>
            </w:pPr>
            <w:r w:rsidRPr="0091021A">
              <w:t>Supporting</w:t>
            </w:r>
          </w:p>
        </w:tc>
        <w:tc>
          <w:tcPr>
            <w:tcW w:w="520" w:type="pct"/>
          </w:tcPr>
          <w:p w14:paraId="22E160D8"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color w:val="363534"/>
              </w:rPr>
            </w:pPr>
            <w:r w:rsidRPr="0091021A">
              <w:rPr>
                <w:lang w:val="en-US"/>
              </w:rPr>
              <w:t>Soil cycle regulation</w:t>
            </w:r>
          </w:p>
        </w:tc>
        <w:tc>
          <w:tcPr>
            <w:tcW w:w="3472" w:type="pct"/>
          </w:tcPr>
          <w:p w14:paraId="3B4D07D3"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color w:val="363534"/>
              </w:rPr>
            </w:pPr>
            <w:r w:rsidRPr="0091021A">
              <w:rPr>
                <w:color w:val="363534"/>
              </w:rPr>
              <w:t>Maintenance of soil quality and fertility supports ecosystem services including food provision</w:t>
            </w:r>
          </w:p>
        </w:tc>
      </w:tr>
      <w:tr w:rsidR="00FA0AF1" w:rsidRPr="0091021A" w14:paraId="3E65FABA" w14:textId="77777777" w:rsidTr="00B954AC">
        <w:trPr>
          <w:trHeight w:val="163"/>
        </w:trPr>
        <w:tc>
          <w:tcPr>
            <w:cnfStyle w:val="001000000000" w:firstRow="0" w:lastRow="0" w:firstColumn="1" w:lastColumn="0" w:oddVBand="0" w:evenVBand="0" w:oddHBand="0" w:evenHBand="0" w:firstRowFirstColumn="0" w:firstRowLastColumn="0" w:lastRowFirstColumn="0" w:lastRowLastColumn="0"/>
            <w:tcW w:w="1008" w:type="pct"/>
            <w:gridSpan w:val="2"/>
          </w:tcPr>
          <w:p w14:paraId="39BCF5F5" w14:textId="77777777" w:rsidR="00FA0AF1" w:rsidRPr="0091021A" w:rsidRDefault="00FA0AF1" w:rsidP="00B954AC">
            <w:pPr>
              <w:pStyle w:val="TableTextLeft"/>
            </w:pPr>
            <w:r w:rsidRPr="0091021A">
              <w:t>Supporting</w:t>
            </w:r>
          </w:p>
        </w:tc>
        <w:tc>
          <w:tcPr>
            <w:tcW w:w="520" w:type="pct"/>
          </w:tcPr>
          <w:p w14:paraId="21348089"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pPr>
            <w:r w:rsidRPr="0091021A">
              <w:rPr>
                <w:color w:val="363534"/>
              </w:rPr>
              <w:t>Water cycle regulation</w:t>
            </w:r>
          </w:p>
        </w:tc>
        <w:tc>
          <w:tcPr>
            <w:tcW w:w="3472" w:type="pct"/>
          </w:tcPr>
          <w:p w14:paraId="7633DB03"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pPr>
            <w:r w:rsidRPr="0091021A">
              <w:rPr>
                <w:color w:val="363534"/>
              </w:rPr>
              <w:t xml:space="preserve">Oxygenation of water, retention and translocation of nutrients in water and maintenance of coastal structures (e.g. shoreline) important for water ecosystem services </w:t>
            </w:r>
          </w:p>
        </w:tc>
      </w:tr>
      <w:tr w:rsidR="00FA0AF1" w:rsidRPr="0091021A" w14:paraId="75F362A8" w14:textId="77777777" w:rsidTr="00B954AC">
        <w:trPr>
          <w:trHeight w:val="163"/>
        </w:trPr>
        <w:tc>
          <w:tcPr>
            <w:cnfStyle w:val="001000000000" w:firstRow="0" w:lastRow="0" w:firstColumn="1" w:lastColumn="0" w:oddVBand="0" w:evenVBand="0" w:oddHBand="0" w:evenHBand="0" w:firstRowFirstColumn="0" w:firstRowLastColumn="0" w:lastRowFirstColumn="0" w:lastRowLastColumn="0"/>
            <w:tcW w:w="1008" w:type="pct"/>
            <w:gridSpan w:val="2"/>
          </w:tcPr>
          <w:p w14:paraId="695075FA" w14:textId="77777777" w:rsidR="00FA0AF1" w:rsidRPr="0091021A" w:rsidRDefault="00FA0AF1" w:rsidP="00B954AC">
            <w:pPr>
              <w:pStyle w:val="TableTextLeft"/>
            </w:pPr>
            <w:r w:rsidRPr="0091021A">
              <w:t>Supporting</w:t>
            </w:r>
          </w:p>
        </w:tc>
        <w:tc>
          <w:tcPr>
            <w:tcW w:w="520" w:type="pct"/>
          </w:tcPr>
          <w:p w14:paraId="4ECAF1CE"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color w:val="363534"/>
              </w:rPr>
            </w:pPr>
            <w:r w:rsidRPr="0091021A">
              <w:t>Nitrogen cycling</w:t>
            </w:r>
          </w:p>
        </w:tc>
        <w:tc>
          <w:tcPr>
            <w:tcW w:w="3472" w:type="pct"/>
          </w:tcPr>
          <w:p w14:paraId="5AAB3A96"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color w:val="363534"/>
              </w:rPr>
            </w:pPr>
            <w:r w:rsidRPr="0091021A">
              <w:t>Denitrification is captured under the pollution / waste assimilation service that regulates water quality</w:t>
            </w:r>
          </w:p>
        </w:tc>
      </w:tr>
      <w:tr w:rsidR="00FA0AF1" w:rsidRPr="0091021A" w14:paraId="70D43DE6" w14:textId="77777777" w:rsidTr="00B954AC">
        <w:trPr>
          <w:trHeight w:val="163"/>
        </w:trPr>
        <w:tc>
          <w:tcPr>
            <w:cnfStyle w:val="001000000000" w:firstRow="0" w:lastRow="0" w:firstColumn="1" w:lastColumn="0" w:oddVBand="0" w:evenVBand="0" w:oddHBand="0" w:evenHBand="0" w:firstRowFirstColumn="0" w:firstRowLastColumn="0" w:lastRowFirstColumn="0" w:lastRowLastColumn="0"/>
            <w:tcW w:w="1008" w:type="pct"/>
            <w:gridSpan w:val="2"/>
          </w:tcPr>
          <w:p w14:paraId="151CC2E4" w14:textId="77777777" w:rsidR="00FA0AF1" w:rsidRPr="0091021A" w:rsidRDefault="00FA0AF1" w:rsidP="00B954AC">
            <w:pPr>
              <w:pStyle w:val="TableTextLeft"/>
            </w:pPr>
            <w:r w:rsidRPr="0091021A">
              <w:rPr>
                <w:lang w:val="en-US"/>
              </w:rPr>
              <w:t>Supporting</w:t>
            </w:r>
          </w:p>
        </w:tc>
        <w:tc>
          <w:tcPr>
            <w:tcW w:w="520" w:type="pct"/>
          </w:tcPr>
          <w:p w14:paraId="0B6D620C"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pPr>
            <w:r w:rsidRPr="0091021A">
              <w:rPr>
                <w:color w:val="363534"/>
              </w:rPr>
              <w:t>Pest and disease control</w:t>
            </w:r>
          </w:p>
        </w:tc>
        <w:tc>
          <w:tcPr>
            <w:tcW w:w="3472" w:type="pct"/>
          </w:tcPr>
          <w:p w14:paraId="7E572931"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pPr>
            <w:r w:rsidRPr="0091021A">
              <w:rPr>
                <w:color w:val="363534"/>
              </w:rPr>
              <w:t>Control of pathogens and invasive species supports ecosystem services including food provision</w:t>
            </w:r>
          </w:p>
        </w:tc>
      </w:tr>
      <w:tr w:rsidR="00FA0AF1" w:rsidRPr="0091021A" w14:paraId="43AB40D0" w14:textId="77777777" w:rsidTr="00B954AC">
        <w:trPr>
          <w:trHeight w:val="163"/>
        </w:trPr>
        <w:tc>
          <w:tcPr>
            <w:cnfStyle w:val="001000000000" w:firstRow="0" w:lastRow="0" w:firstColumn="1" w:lastColumn="0" w:oddVBand="0" w:evenVBand="0" w:oddHBand="0" w:evenHBand="0" w:firstRowFirstColumn="0" w:firstRowLastColumn="0" w:lastRowFirstColumn="0" w:lastRowLastColumn="0"/>
            <w:tcW w:w="1008" w:type="pct"/>
            <w:gridSpan w:val="2"/>
          </w:tcPr>
          <w:p w14:paraId="19579F90" w14:textId="77777777" w:rsidR="00FA0AF1" w:rsidRPr="0091021A" w:rsidRDefault="00FA0AF1" w:rsidP="00B954AC">
            <w:pPr>
              <w:pStyle w:val="TableTextLeft"/>
              <w:rPr>
                <w:lang w:val="en-US"/>
              </w:rPr>
            </w:pPr>
            <w:r w:rsidRPr="0091021A">
              <w:t>Benefit</w:t>
            </w:r>
          </w:p>
        </w:tc>
        <w:tc>
          <w:tcPr>
            <w:tcW w:w="3992" w:type="pct"/>
            <w:gridSpan w:val="2"/>
          </w:tcPr>
          <w:p w14:paraId="5191064B"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color w:val="363534"/>
              </w:rPr>
            </w:pPr>
            <w:r w:rsidRPr="0091021A">
              <w:rPr>
                <w:lang w:val="en-US"/>
              </w:rPr>
              <w:t>Health and wellbeing benefits are provided by a range of environmental goods and services</w:t>
            </w:r>
          </w:p>
        </w:tc>
      </w:tr>
      <w:tr w:rsidR="00FA0AF1" w:rsidRPr="0091021A" w14:paraId="0BE39BA1" w14:textId="77777777" w:rsidTr="00B954AC">
        <w:trPr>
          <w:trHeight w:val="163"/>
        </w:trPr>
        <w:tc>
          <w:tcPr>
            <w:cnfStyle w:val="001000000000" w:firstRow="0" w:lastRow="0" w:firstColumn="1" w:lastColumn="0" w:oddVBand="0" w:evenVBand="0" w:oddHBand="0" w:evenHBand="0" w:firstRowFirstColumn="0" w:firstRowLastColumn="0" w:lastRowFirstColumn="0" w:lastRowLastColumn="0"/>
            <w:tcW w:w="324" w:type="pct"/>
          </w:tcPr>
          <w:p w14:paraId="1BE2560A" w14:textId="77777777" w:rsidR="00FA0AF1" w:rsidRPr="0091021A" w:rsidRDefault="00FA0AF1" w:rsidP="00B954AC">
            <w:pPr>
              <w:pStyle w:val="TableTextLeft"/>
              <w:rPr>
                <w:highlight w:val="yellow"/>
              </w:rPr>
            </w:pPr>
            <w:r w:rsidRPr="0091021A">
              <w:t xml:space="preserve">Abiotic </w:t>
            </w:r>
          </w:p>
        </w:tc>
        <w:tc>
          <w:tcPr>
            <w:tcW w:w="684" w:type="pct"/>
          </w:tcPr>
          <w:p w14:paraId="550B7561"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lang w:val="en-US"/>
              </w:rPr>
            </w:pPr>
            <w:r w:rsidRPr="0091021A">
              <w:rPr>
                <w:lang w:val="en-US"/>
              </w:rPr>
              <w:t>Water based navigation</w:t>
            </w:r>
          </w:p>
        </w:tc>
        <w:tc>
          <w:tcPr>
            <w:tcW w:w="3992" w:type="pct"/>
            <w:gridSpan w:val="2"/>
          </w:tcPr>
          <w:p w14:paraId="33A2E979"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lang w:val="en-US"/>
              </w:rPr>
            </w:pPr>
            <w:r w:rsidRPr="0091021A">
              <w:rPr>
                <w:lang w:val="en-US"/>
              </w:rPr>
              <w:t xml:space="preserve">The use of water environment for transport – abiotic service as does not rely on ecological function, is outside of </w:t>
            </w:r>
            <w:r>
              <w:rPr>
                <w:lang w:val="en-US"/>
              </w:rPr>
              <w:t>environmental-economic account</w:t>
            </w:r>
            <w:r w:rsidRPr="0091021A">
              <w:rPr>
                <w:lang w:val="en-US"/>
              </w:rPr>
              <w:t>s</w:t>
            </w:r>
          </w:p>
        </w:tc>
      </w:tr>
      <w:tr w:rsidR="00FA0AF1" w:rsidRPr="0091021A" w14:paraId="41029CDC" w14:textId="77777777" w:rsidTr="00B954AC">
        <w:trPr>
          <w:trHeight w:val="163"/>
        </w:trPr>
        <w:tc>
          <w:tcPr>
            <w:cnfStyle w:val="001000000000" w:firstRow="0" w:lastRow="0" w:firstColumn="1" w:lastColumn="0" w:oddVBand="0" w:evenVBand="0" w:oddHBand="0" w:evenHBand="0" w:firstRowFirstColumn="0" w:firstRowLastColumn="0" w:lastRowFirstColumn="0" w:lastRowLastColumn="0"/>
            <w:tcW w:w="324" w:type="pct"/>
          </w:tcPr>
          <w:p w14:paraId="35D62CB5" w14:textId="77777777" w:rsidR="00FA0AF1" w:rsidRPr="0091021A" w:rsidRDefault="00FA0AF1" w:rsidP="00B954AC">
            <w:pPr>
              <w:pStyle w:val="TableTextLeft"/>
            </w:pPr>
            <w:r w:rsidRPr="0091021A">
              <w:t>Abiotic</w:t>
            </w:r>
          </w:p>
        </w:tc>
        <w:tc>
          <w:tcPr>
            <w:tcW w:w="684" w:type="pct"/>
          </w:tcPr>
          <w:p w14:paraId="747DDE96"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lang w:val="en-US"/>
              </w:rPr>
            </w:pPr>
            <w:r w:rsidRPr="0091021A">
              <w:rPr>
                <w:lang w:val="en-US"/>
              </w:rPr>
              <w:t>Land for infrastructure</w:t>
            </w:r>
          </w:p>
        </w:tc>
        <w:tc>
          <w:tcPr>
            <w:tcW w:w="3992" w:type="pct"/>
            <w:gridSpan w:val="2"/>
          </w:tcPr>
          <w:p w14:paraId="1BD12199"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lang w:val="en-US"/>
              </w:rPr>
            </w:pPr>
            <w:r w:rsidRPr="0091021A">
              <w:rPr>
                <w:lang w:val="en-US"/>
              </w:rPr>
              <w:t>The use of coastal land and seabed used for siting infrastructure (e.g., pipelines, shipping terminals to bring product on shore).</w:t>
            </w:r>
          </w:p>
        </w:tc>
      </w:tr>
      <w:tr w:rsidR="00FA0AF1" w:rsidRPr="0091021A" w14:paraId="0861EC0B" w14:textId="77777777" w:rsidTr="00B954AC">
        <w:trPr>
          <w:trHeight w:val="163"/>
        </w:trPr>
        <w:tc>
          <w:tcPr>
            <w:cnfStyle w:val="001000000000" w:firstRow="0" w:lastRow="0" w:firstColumn="1" w:lastColumn="0" w:oddVBand="0" w:evenVBand="0" w:oddHBand="0" w:evenHBand="0" w:firstRowFirstColumn="0" w:firstRowLastColumn="0" w:lastRowFirstColumn="0" w:lastRowLastColumn="0"/>
            <w:tcW w:w="324" w:type="pct"/>
          </w:tcPr>
          <w:p w14:paraId="1C487931" w14:textId="77777777" w:rsidR="00FA0AF1" w:rsidRPr="0091021A" w:rsidRDefault="00FA0AF1" w:rsidP="00B954AC">
            <w:pPr>
              <w:pStyle w:val="TableTextLeft"/>
            </w:pPr>
            <w:r w:rsidRPr="0091021A">
              <w:t>Abiotic</w:t>
            </w:r>
          </w:p>
        </w:tc>
        <w:tc>
          <w:tcPr>
            <w:tcW w:w="684" w:type="pct"/>
          </w:tcPr>
          <w:p w14:paraId="235E1B67"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lang w:val="en-US"/>
              </w:rPr>
            </w:pPr>
            <w:r w:rsidRPr="0091021A">
              <w:rPr>
                <w:lang w:val="en-US"/>
              </w:rPr>
              <w:t>Aggregates and minerals</w:t>
            </w:r>
          </w:p>
        </w:tc>
        <w:tc>
          <w:tcPr>
            <w:tcW w:w="3992" w:type="pct"/>
            <w:gridSpan w:val="2"/>
          </w:tcPr>
          <w:p w14:paraId="6C4E06A5"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lang w:val="en-US"/>
              </w:rPr>
            </w:pPr>
            <w:r w:rsidRPr="0091021A">
              <w:rPr>
                <w:lang w:val="en-US"/>
              </w:rPr>
              <w:t xml:space="preserve">Granular material including sand and gravels </w:t>
            </w:r>
          </w:p>
        </w:tc>
      </w:tr>
      <w:tr w:rsidR="00FA0AF1" w:rsidRPr="0091021A" w14:paraId="47C1C74C" w14:textId="77777777" w:rsidTr="00B954AC">
        <w:trPr>
          <w:trHeight w:val="163"/>
        </w:trPr>
        <w:tc>
          <w:tcPr>
            <w:cnfStyle w:val="001000000000" w:firstRow="0" w:lastRow="0" w:firstColumn="1" w:lastColumn="0" w:oddVBand="0" w:evenVBand="0" w:oddHBand="0" w:evenHBand="0" w:firstRowFirstColumn="0" w:firstRowLastColumn="0" w:lastRowFirstColumn="0" w:lastRowLastColumn="0"/>
            <w:tcW w:w="324" w:type="pct"/>
          </w:tcPr>
          <w:p w14:paraId="2FA91E77" w14:textId="77777777" w:rsidR="00FA0AF1" w:rsidRPr="0091021A" w:rsidRDefault="00FA0AF1" w:rsidP="00B954AC">
            <w:pPr>
              <w:pStyle w:val="TableTextLeft"/>
            </w:pPr>
            <w:r w:rsidRPr="0091021A">
              <w:t>Abiotic</w:t>
            </w:r>
          </w:p>
        </w:tc>
        <w:tc>
          <w:tcPr>
            <w:tcW w:w="684" w:type="pct"/>
          </w:tcPr>
          <w:p w14:paraId="0602851D"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lang w:val="en-US"/>
              </w:rPr>
            </w:pPr>
            <w:r w:rsidRPr="0091021A">
              <w:rPr>
                <w:lang w:val="en-US"/>
              </w:rPr>
              <w:t>Fossil fuels</w:t>
            </w:r>
          </w:p>
        </w:tc>
        <w:tc>
          <w:tcPr>
            <w:tcW w:w="3992" w:type="pct"/>
            <w:gridSpan w:val="2"/>
          </w:tcPr>
          <w:p w14:paraId="29B960C2"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color w:val="363534"/>
              </w:rPr>
            </w:pPr>
            <w:r w:rsidRPr="0091021A">
              <w:rPr>
                <w:color w:val="363534"/>
              </w:rPr>
              <w:t>Naturally occurring petroleum deposits – oil and gas</w:t>
            </w:r>
          </w:p>
        </w:tc>
      </w:tr>
      <w:tr w:rsidR="00FA0AF1" w:rsidRPr="0091021A" w14:paraId="3D48561B" w14:textId="77777777" w:rsidTr="00B954AC">
        <w:trPr>
          <w:trHeight w:val="163"/>
        </w:trPr>
        <w:tc>
          <w:tcPr>
            <w:cnfStyle w:val="001000000000" w:firstRow="0" w:lastRow="0" w:firstColumn="1" w:lastColumn="0" w:oddVBand="0" w:evenVBand="0" w:oddHBand="0" w:evenHBand="0" w:firstRowFirstColumn="0" w:firstRowLastColumn="0" w:lastRowFirstColumn="0" w:lastRowLastColumn="0"/>
            <w:tcW w:w="324" w:type="pct"/>
          </w:tcPr>
          <w:p w14:paraId="700779C3" w14:textId="77777777" w:rsidR="00FA0AF1" w:rsidRPr="0091021A" w:rsidRDefault="00FA0AF1" w:rsidP="00B954AC">
            <w:pPr>
              <w:pStyle w:val="TableTextLeft"/>
            </w:pPr>
            <w:r w:rsidRPr="0091021A">
              <w:lastRenderedPageBreak/>
              <w:t>Abiotic</w:t>
            </w:r>
          </w:p>
        </w:tc>
        <w:tc>
          <w:tcPr>
            <w:tcW w:w="684" w:type="pct"/>
          </w:tcPr>
          <w:p w14:paraId="69D70ECB"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vertAlign w:val="superscript"/>
                <w:lang w:val="en-US"/>
              </w:rPr>
            </w:pPr>
            <w:r w:rsidRPr="0091021A">
              <w:rPr>
                <w:lang w:val="en-US"/>
              </w:rPr>
              <w:t xml:space="preserve">Water supply </w:t>
            </w:r>
            <w:r w:rsidRPr="0091021A">
              <w:rPr>
                <w:vertAlign w:val="superscript"/>
                <w:lang w:val="en-US"/>
              </w:rPr>
              <w:t xml:space="preserve">a </w:t>
            </w:r>
          </w:p>
        </w:tc>
        <w:tc>
          <w:tcPr>
            <w:tcW w:w="3992" w:type="pct"/>
            <w:gridSpan w:val="2"/>
          </w:tcPr>
          <w:p w14:paraId="7A5F8398"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lang w:val="en-US"/>
              </w:rPr>
            </w:pPr>
            <w:r w:rsidRPr="0091021A">
              <w:rPr>
                <w:color w:val="363534"/>
              </w:rPr>
              <w:t xml:space="preserve">Seawater for drinking (desalination) or non-drinking (industrial cleaning and cooling) and </w:t>
            </w:r>
            <w:r w:rsidRPr="0091021A">
              <w:rPr>
                <w:lang w:val="en-US"/>
              </w:rPr>
              <w:t xml:space="preserve">freshwater supply / availability for industry, household or recreational use </w:t>
            </w:r>
          </w:p>
        </w:tc>
      </w:tr>
      <w:tr w:rsidR="00FA0AF1" w:rsidRPr="0091021A" w14:paraId="0A2976EA" w14:textId="77777777" w:rsidTr="00B954AC">
        <w:trPr>
          <w:trHeight w:val="163"/>
        </w:trPr>
        <w:tc>
          <w:tcPr>
            <w:cnfStyle w:val="001000000000" w:firstRow="0" w:lastRow="0" w:firstColumn="1" w:lastColumn="0" w:oddVBand="0" w:evenVBand="0" w:oddHBand="0" w:evenHBand="0" w:firstRowFirstColumn="0" w:firstRowLastColumn="0" w:lastRowFirstColumn="0" w:lastRowLastColumn="0"/>
            <w:tcW w:w="324" w:type="pct"/>
          </w:tcPr>
          <w:p w14:paraId="1B1C1544" w14:textId="77777777" w:rsidR="00FA0AF1" w:rsidRPr="0091021A" w:rsidRDefault="00FA0AF1" w:rsidP="00B954AC">
            <w:pPr>
              <w:pStyle w:val="TableTextLeft"/>
            </w:pPr>
            <w:r w:rsidRPr="0091021A">
              <w:t>Abiotic</w:t>
            </w:r>
          </w:p>
        </w:tc>
        <w:tc>
          <w:tcPr>
            <w:tcW w:w="684" w:type="pct"/>
          </w:tcPr>
          <w:p w14:paraId="1F6881CF"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lang w:val="en-US"/>
              </w:rPr>
            </w:pPr>
            <w:r w:rsidRPr="0091021A">
              <w:rPr>
                <w:lang w:val="en-US"/>
              </w:rPr>
              <w:t>Energy</w:t>
            </w:r>
          </w:p>
        </w:tc>
        <w:tc>
          <w:tcPr>
            <w:tcW w:w="3992" w:type="pct"/>
            <w:gridSpan w:val="2"/>
          </w:tcPr>
          <w:p w14:paraId="0748AD35" w14:textId="77777777" w:rsidR="00FA0AF1" w:rsidRPr="0091021A" w:rsidRDefault="00FA0AF1" w:rsidP="00B954AC">
            <w:pPr>
              <w:pStyle w:val="TableTextLeft"/>
              <w:cnfStyle w:val="000000000000" w:firstRow="0" w:lastRow="0" w:firstColumn="0" w:lastColumn="0" w:oddVBand="0" w:evenVBand="0" w:oddHBand="0" w:evenHBand="0" w:firstRowFirstColumn="0" w:firstRowLastColumn="0" w:lastRowFirstColumn="0" w:lastRowLastColumn="0"/>
              <w:rPr>
                <w:lang w:val="en-US"/>
              </w:rPr>
            </w:pPr>
            <w:r w:rsidRPr="0091021A">
              <w:rPr>
                <w:lang w:val="en-US"/>
              </w:rPr>
              <w:t>Renewable (wind, wave power) and non-renewable sub-soil assets (oil and gas)</w:t>
            </w:r>
          </w:p>
        </w:tc>
      </w:tr>
    </w:tbl>
    <w:p w14:paraId="17D24286" w14:textId="194C8F06" w:rsidR="00F50B5A" w:rsidRPr="0091021A" w:rsidRDefault="00F50B5A" w:rsidP="003F5F59">
      <w:pPr>
        <w:pStyle w:val="NoteHeading"/>
        <w:rPr>
          <w:rFonts w:cs="Times New Roman"/>
          <w:b/>
          <w:color w:val="363534"/>
        </w:rPr>
      </w:pPr>
      <w:r w:rsidRPr="0091021A">
        <w:rPr>
          <w:rFonts w:cs="Times New Roman"/>
          <w:b/>
          <w:color w:val="363534"/>
          <w:vertAlign w:val="superscript"/>
        </w:rPr>
        <w:t xml:space="preserve">a </w:t>
      </w:r>
      <w:r w:rsidRPr="0091021A">
        <w:rPr>
          <w:rFonts w:cs="Times New Roman"/>
          <w:color w:val="363534"/>
        </w:rPr>
        <w:t xml:space="preserve">Water provision has been estimated in some studies as a provisioning service on the basis that ecosystems retain water </w:t>
      </w:r>
      <w:r w:rsidRPr="0091021A">
        <w:rPr>
          <w:lang w:val="en-US" w:eastAsia="en-US"/>
        </w:rPr>
        <w:t>within a catchment (prior to flowing to sea). However, as noted by UN (2019) water is not the result of ecosystem processes and therefore water supply may be</w:t>
      </w:r>
      <w:r>
        <w:rPr>
          <w:lang w:val="en-US" w:eastAsia="en-US"/>
        </w:rPr>
        <w:t xml:space="preserve"> </w:t>
      </w:r>
      <w:r w:rsidRPr="0091021A">
        <w:rPr>
          <w:lang w:val="en-US" w:eastAsia="en-US"/>
        </w:rPr>
        <w:t xml:space="preserve">better </w:t>
      </w:r>
      <w:r w:rsidRPr="00214C97">
        <w:rPr>
          <w:lang w:eastAsia="en-US"/>
        </w:rPr>
        <w:t>categorised</w:t>
      </w:r>
      <w:r w:rsidRPr="0091021A">
        <w:rPr>
          <w:lang w:val="en-US" w:eastAsia="en-US"/>
        </w:rPr>
        <w:t xml:space="preserve"> as an abiotic service. Further work is needed to be done to understand the ecosystem service associated with water provision and therefore it has been excluded from consideration within this </w:t>
      </w:r>
      <w:r>
        <w:rPr>
          <w:lang w:val="en-US" w:eastAsia="en-US"/>
        </w:rPr>
        <w:t>GORCAP EEA</w:t>
      </w:r>
      <w:r w:rsidRPr="0091021A">
        <w:rPr>
          <w:lang w:val="en-US" w:eastAsia="en-US"/>
        </w:rPr>
        <w:t xml:space="preserve">. </w:t>
      </w:r>
    </w:p>
    <w:p w14:paraId="784EBF9B" w14:textId="77777777" w:rsidR="00F50B5A" w:rsidRPr="0091021A" w:rsidRDefault="00F50B5A" w:rsidP="00FA0AF1">
      <w:pPr>
        <w:pStyle w:val="BodyText"/>
      </w:pPr>
    </w:p>
    <w:p w14:paraId="00198E9B" w14:textId="77777777" w:rsidR="00F50B5A" w:rsidRPr="0091021A" w:rsidRDefault="00F50B5A" w:rsidP="00F50B5A">
      <w:pPr>
        <w:rPr>
          <w:rFonts w:ascii="Arial" w:hAnsi="Arial"/>
          <w:b/>
          <w:bCs/>
          <w:color w:val="363534"/>
          <w:lang w:eastAsia="en-US"/>
        </w:rPr>
        <w:sectPr w:rsidR="00F50B5A" w:rsidRPr="0091021A" w:rsidSect="00E52A9A">
          <w:headerReference w:type="even" r:id="rId342"/>
          <w:headerReference w:type="default" r:id="rId343"/>
          <w:footerReference w:type="even" r:id="rId344"/>
          <w:footerReference w:type="default" r:id="rId345"/>
          <w:pgSz w:w="23811" w:h="16838" w:orient="landscape" w:code="8"/>
          <w:pgMar w:top="1134" w:right="1134" w:bottom="1134" w:left="1134" w:header="283" w:footer="283" w:gutter="0"/>
          <w:cols w:space="284"/>
          <w:docGrid w:linePitch="360"/>
        </w:sectPr>
      </w:pPr>
    </w:p>
    <w:p w14:paraId="6F8075FF" w14:textId="77777777" w:rsidR="00F50B5A" w:rsidRPr="002F335D" w:rsidRDefault="00F50B5A" w:rsidP="00F50B5A">
      <w:pPr>
        <w:pStyle w:val="Heading1"/>
        <w:numPr>
          <w:ilvl w:val="0"/>
          <w:numId w:val="0"/>
        </w:numPr>
      </w:pPr>
      <w:bookmarkStart w:id="423" w:name="_Toc98854713"/>
      <w:bookmarkStart w:id="424" w:name="_Toc163547102"/>
      <w:r w:rsidRPr="002F335D">
        <w:lastRenderedPageBreak/>
        <w:t>Annex 3. Review of Victoria specific evidence on coastal and marine ecosystem services</w:t>
      </w:r>
      <w:bookmarkEnd w:id="423"/>
      <w:bookmarkEnd w:id="424"/>
      <w:r w:rsidRPr="002F335D">
        <w:t xml:space="preserve"> </w:t>
      </w:r>
    </w:p>
    <w:p w14:paraId="40625C72" w14:textId="77777777" w:rsidR="00F50B5A" w:rsidRPr="00FA0AF1" w:rsidRDefault="00F50B5A" w:rsidP="00FA0AF1">
      <w:pPr>
        <w:pStyle w:val="BodyText"/>
      </w:pPr>
      <w:r w:rsidRPr="00FA0AF1">
        <w:t xml:space="preserve">Table’s A3.1 and A3.2 summarise the availability of GOR / Victoria specific data and methods to quantify the physical provision and monetary value of ecosystem services from ecosystem assets within the GOR Coast and Parks area (see Table A2.2 for ecosystem services within scope). A literature review was undertaken of data, methods, reports and studies that are relevant to quantifying and valuing ecosystem services in Victoria. </w:t>
      </w:r>
    </w:p>
    <w:p w14:paraId="355A4100" w14:textId="77777777" w:rsidR="00F50B5A" w:rsidRPr="00FA0AF1" w:rsidRDefault="00F50B5A" w:rsidP="00FA0AF1">
      <w:pPr>
        <w:pStyle w:val="BodyText"/>
      </w:pPr>
      <w:r w:rsidRPr="00FA0AF1">
        <w:t>The focus of the literature reviewed was on studies with evidence that is expected to be of relevance to estimating and valuing ecosystem services in the Great Ocean Road area. In order to keep the review manageable and to identify key evidence gaps, the review used the following criteria to select information:</w:t>
      </w:r>
    </w:p>
    <w:p w14:paraId="5D4F379C" w14:textId="77777777" w:rsidR="00F50B5A" w:rsidRDefault="00F50B5A" w:rsidP="00FA0AF1">
      <w:pPr>
        <w:pStyle w:val="ListBullet"/>
        <w:rPr>
          <w:lang w:eastAsia="en-US"/>
        </w:rPr>
      </w:pPr>
      <w:r w:rsidRPr="002F335D">
        <w:rPr>
          <w:lang w:eastAsia="en-US"/>
        </w:rPr>
        <w:t>Include</w:t>
      </w:r>
      <w:r>
        <w:rPr>
          <w:lang w:eastAsia="en-US"/>
        </w:rPr>
        <w:t>d</w:t>
      </w:r>
      <w:r w:rsidRPr="002F335D">
        <w:rPr>
          <w:lang w:eastAsia="en-US"/>
        </w:rPr>
        <w:t xml:space="preserve"> information on the Great Ocean Road;</w:t>
      </w:r>
    </w:p>
    <w:p w14:paraId="22EBAF26" w14:textId="77777777" w:rsidR="00F50B5A" w:rsidRPr="002F335D" w:rsidRDefault="00F50B5A" w:rsidP="00FA0AF1">
      <w:pPr>
        <w:pStyle w:val="ListBullet"/>
        <w:rPr>
          <w:lang w:eastAsia="en-US"/>
        </w:rPr>
      </w:pPr>
      <w:r w:rsidRPr="002F335D">
        <w:rPr>
          <w:lang w:eastAsia="en-US"/>
        </w:rPr>
        <w:t>Include</w:t>
      </w:r>
      <w:r>
        <w:rPr>
          <w:lang w:eastAsia="en-US"/>
        </w:rPr>
        <w:t>d</w:t>
      </w:r>
      <w:r w:rsidRPr="002F335D">
        <w:rPr>
          <w:lang w:eastAsia="en-US"/>
        </w:rPr>
        <w:t xml:space="preserve"> information from studies that are within Victoria (i.e. beyond the Great Ocean Road) that are judged by the study team to be applicable for transfer to the Great Ocean Road context; </w:t>
      </w:r>
    </w:p>
    <w:p w14:paraId="28EC895B" w14:textId="77777777" w:rsidR="00F50B5A" w:rsidRPr="002F335D" w:rsidRDefault="00F50B5A" w:rsidP="00FA0AF1">
      <w:pPr>
        <w:pStyle w:val="ListBullet"/>
        <w:rPr>
          <w:lang w:eastAsia="en-US"/>
        </w:rPr>
      </w:pPr>
      <w:r w:rsidRPr="002F335D">
        <w:rPr>
          <w:lang w:eastAsia="en-US"/>
        </w:rPr>
        <w:t xml:space="preserve">Excludes evidence from within Victoria that is not transferable to the Great Ocean Road context (e.g. nitrogen loads into Port Phillip Bay are specific to that area and should not be transferred to the Great Ocean Road context to estimate the water quality regulating (pollution assimilating) service provided by water bodies);  </w:t>
      </w:r>
    </w:p>
    <w:p w14:paraId="57F9B56E" w14:textId="77777777" w:rsidR="00F50B5A" w:rsidRPr="002F335D" w:rsidRDefault="00F50B5A" w:rsidP="00FA0AF1">
      <w:pPr>
        <w:pStyle w:val="ListBullet"/>
        <w:rPr>
          <w:lang w:eastAsia="en-US"/>
        </w:rPr>
      </w:pPr>
      <w:r w:rsidRPr="002F335D">
        <w:rPr>
          <w:lang w:eastAsia="en-US"/>
        </w:rPr>
        <w:t xml:space="preserve">Excludes evidence from beyond Victoria, which could be of potential relevance to the Great Ocean Road through a process of value transfer. This includes evidence that has already been applied in Victoria specific studies in this way. Such information </w:t>
      </w:r>
      <w:r w:rsidRPr="002F335D">
        <w:rPr>
          <w:i/>
          <w:iCs/>
          <w:lang w:eastAsia="en-US"/>
        </w:rPr>
        <w:t xml:space="preserve">could </w:t>
      </w:r>
      <w:r w:rsidRPr="002F335D">
        <w:rPr>
          <w:lang w:eastAsia="en-US"/>
        </w:rPr>
        <w:t>be used to fill evidence gaps for the Great Ocean Road (as it has been in existing studies) but is a second best approach and so has been excluded from consideration in order to keep the review manageable and to identify key evidence gaps.</w:t>
      </w:r>
    </w:p>
    <w:p w14:paraId="4943DB15" w14:textId="77777777" w:rsidR="00F50B5A" w:rsidRPr="002F335D" w:rsidRDefault="00F50B5A" w:rsidP="00FA0AF1">
      <w:pPr>
        <w:pStyle w:val="BodyText12ptBefore"/>
        <w:rPr>
          <w:lang w:eastAsia="en-US"/>
        </w:rPr>
      </w:pPr>
      <w:r w:rsidRPr="002F335D">
        <w:rPr>
          <w:lang w:eastAsia="en-US"/>
        </w:rPr>
        <w:t xml:space="preserve">The evidence in Tables </w:t>
      </w:r>
      <w:r>
        <w:rPr>
          <w:lang w:eastAsia="en-US"/>
        </w:rPr>
        <w:t>A3.1</w:t>
      </w:r>
      <w:r w:rsidRPr="002F335D">
        <w:rPr>
          <w:lang w:eastAsia="en-US"/>
        </w:rPr>
        <w:t xml:space="preserve"> and </w:t>
      </w:r>
      <w:r>
        <w:rPr>
          <w:lang w:eastAsia="en-US"/>
        </w:rPr>
        <w:t>A3.2.</w:t>
      </w:r>
      <w:r w:rsidRPr="002F335D">
        <w:rPr>
          <w:lang w:eastAsia="en-US"/>
        </w:rPr>
        <w:t xml:space="preserve"> is structured by ecosystem service but could alternatively be structured according to ecosystem asset type. Figure’s </w:t>
      </w:r>
      <w:r>
        <w:rPr>
          <w:lang w:eastAsia="en-US"/>
        </w:rPr>
        <w:t>A3.1.</w:t>
      </w:r>
      <w:r w:rsidRPr="002F335D">
        <w:rPr>
          <w:lang w:eastAsia="en-US"/>
        </w:rPr>
        <w:t xml:space="preserve">and </w:t>
      </w:r>
      <w:r>
        <w:rPr>
          <w:lang w:eastAsia="en-US"/>
        </w:rPr>
        <w:t>A3.2.</w:t>
      </w:r>
      <w:r w:rsidRPr="002F335D">
        <w:rPr>
          <w:lang w:eastAsia="en-US"/>
        </w:rPr>
        <w:t xml:space="preserve"> are matrices which provide an indication of the depth of evidence on the physical provision (Figure </w:t>
      </w:r>
      <w:r>
        <w:rPr>
          <w:lang w:eastAsia="en-US"/>
        </w:rPr>
        <w:t>A3.1.</w:t>
      </w:r>
      <w:r w:rsidRPr="002F335D">
        <w:rPr>
          <w:lang w:eastAsia="en-US"/>
        </w:rPr>
        <w:t xml:space="preserve">) and monetary value (Figure </w:t>
      </w:r>
      <w:r>
        <w:rPr>
          <w:lang w:eastAsia="en-US"/>
        </w:rPr>
        <w:t>A3.2</w:t>
      </w:r>
      <w:r w:rsidRPr="002F335D">
        <w:rPr>
          <w:lang w:eastAsia="en-US"/>
        </w:rPr>
        <w:t xml:space="preserve">) of ecosystem services by asset types based on the number of studies identified as being </w:t>
      </w:r>
      <w:r w:rsidRPr="002F335D">
        <w:rPr>
          <w:i/>
          <w:lang w:eastAsia="en-US"/>
        </w:rPr>
        <w:t>potentially</w:t>
      </w:r>
      <w:r w:rsidRPr="002F335D">
        <w:rPr>
          <w:lang w:eastAsia="en-US"/>
        </w:rPr>
        <w:t xml:space="preserve"> relevant for informing the development of a </w:t>
      </w:r>
      <w:r>
        <w:rPr>
          <w:lang w:eastAsia="en-US"/>
        </w:rPr>
        <w:t>GORCAP EEA</w:t>
      </w:r>
      <w:r w:rsidRPr="002F335D">
        <w:rPr>
          <w:lang w:eastAsia="en-US"/>
        </w:rPr>
        <w:t xml:space="preserve">, as set out in Figure’s </w:t>
      </w:r>
      <w:r>
        <w:rPr>
          <w:lang w:eastAsia="en-US"/>
        </w:rPr>
        <w:t>A3.1.</w:t>
      </w:r>
      <w:r w:rsidRPr="002F335D">
        <w:rPr>
          <w:lang w:eastAsia="en-US"/>
        </w:rPr>
        <w:t xml:space="preserve"> and </w:t>
      </w:r>
      <w:r>
        <w:rPr>
          <w:lang w:eastAsia="en-US"/>
        </w:rPr>
        <w:t>A3.2</w:t>
      </w:r>
      <w:r w:rsidRPr="002F335D">
        <w:rPr>
          <w:lang w:eastAsia="en-US"/>
        </w:rPr>
        <w:t xml:space="preserve">. </w:t>
      </w:r>
    </w:p>
    <w:p w14:paraId="548A7A15" w14:textId="77777777" w:rsidR="00F50B5A" w:rsidRPr="002F335D" w:rsidRDefault="00F50B5A" w:rsidP="00FA0AF1">
      <w:pPr>
        <w:pStyle w:val="BodyText"/>
        <w:rPr>
          <w:lang w:eastAsia="en-US"/>
        </w:rPr>
      </w:pPr>
      <w:r w:rsidRPr="002F335D">
        <w:rPr>
          <w:lang w:eastAsia="en-US"/>
        </w:rPr>
        <w:t xml:space="preserve">These matrices </w:t>
      </w:r>
      <w:r>
        <w:rPr>
          <w:lang w:eastAsia="en-US"/>
        </w:rPr>
        <w:t>were</w:t>
      </w:r>
      <w:r w:rsidRPr="002F335D">
        <w:rPr>
          <w:lang w:eastAsia="en-US"/>
        </w:rPr>
        <w:t xml:space="preserve"> used to inform the scope of ecosystem services to assess in the initial </w:t>
      </w:r>
      <w:r>
        <w:rPr>
          <w:lang w:eastAsia="en-US"/>
        </w:rPr>
        <w:t>GORCAP EEA</w:t>
      </w:r>
      <w:r w:rsidRPr="002F335D">
        <w:rPr>
          <w:lang w:eastAsia="en-US"/>
        </w:rPr>
        <w:t xml:space="preserve"> as well as identify evidence gaps for future research and so </w:t>
      </w:r>
      <w:r w:rsidRPr="002F335D">
        <w:rPr>
          <w:b/>
          <w:lang w:eastAsia="en-US"/>
        </w:rPr>
        <w:t>all</w:t>
      </w:r>
      <w:r w:rsidRPr="002F335D">
        <w:rPr>
          <w:lang w:eastAsia="en-US"/>
        </w:rPr>
        <w:t xml:space="preserve"> ecosystem services are included in Tables </w:t>
      </w:r>
      <w:r>
        <w:rPr>
          <w:lang w:eastAsia="en-US"/>
        </w:rPr>
        <w:t>A3.1</w:t>
      </w:r>
      <w:r w:rsidRPr="002F335D">
        <w:rPr>
          <w:lang w:eastAsia="en-US"/>
        </w:rPr>
        <w:t xml:space="preserve"> and </w:t>
      </w:r>
      <w:r>
        <w:rPr>
          <w:lang w:eastAsia="en-US"/>
        </w:rPr>
        <w:t>A3.2</w:t>
      </w:r>
      <w:r w:rsidRPr="002F335D">
        <w:rPr>
          <w:lang w:eastAsia="en-US"/>
        </w:rPr>
        <w:t>.</w:t>
      </w:r>
      <w:r>
        <w:rPr>
          <w:lang w:eastAsia="en-US"/>
        </w:rPr>
        <w:t xml:space="preserve"> (not just those that have been identified as priority services based on the literature review, see Annex 2).</w:t>
      </w:r>
      <w:r w:rsidRPr="002F335D">
        <w:rPr>
          <w:lang w:eastAsia="en-US"/>
        </w:rPr>
        <w:t xml:space="preserve"> The following caveats should be noted when interpreting the numbers in Figure’s </w:t>
      </w:r>
      <w:r>
        <w:rPr>
          <w:lang w:eastAsia="en-US"/>
        </w:rPr>
        <w:t>A3.1</w:t>
      </w:r>
      <w:r w:rsidRPr="002F335D">
        <w:rPr>
          <w:lang w:eastAsia="en-US"/>
        </w:rPr>
        <w:t xml:space="preserve"> and </w:t>
      </w:r>
      <w:r>
        <w:rPr>
          <w:lang w:eastAsia="en-US"/>
        </w:rPr>
        <w:t xml:space="preserve">A3.2 </w:t>
      </w:r>
      <w:r w:rsidRPr="002F335D">
        <w:rPr>
          <w:lang w:eastAsia="en-US"/>
        </w:rPr>
        <w:t>for informing the scope of ecosystem services to include / areas for future research:</w:t>
      </w:r>
    </w:p>
    <w:p w14:paraId="74A80256" w14:textId="77777777" w:rsidR="00F50B5A" w:rsidRDefault="00F50B5A" w:rsidP="00FA0AF1">
      <w:pPr>
        <w:pStyle w:val="ListBullet"/>
        <w:rPr>
          <w:lang w:eastAsia="en-US"/>
        </w:rPr>
      </w:pPr>
      <w:r w:rsidRPr="002F335D">
        <w:rPr>
          <w:lang w:eastAsia="en-US"/>
        </w:rPr>
        <w:t xml:space="preserve">The </w:t>
      </w:r>
      <w:r w:rsidRPr="002F335D">
        <w:rPr>
          <w:i/>
          <w:iCs/>
          <w:lang w:eastAsia="en-US"/>
        </w:rPr>
        <w:t>number</w:t>
      </w:r>
      <w:r w:rsidRPr="002F335D">
        <w:rPr>
          <w:lang w:eastAsia="en-US"/>
        </w:rPr>
        <w:t xml:space="preserve"> of studies identified for each ecosystem service / asset is reported without consideration of the </w:t>
      </w:r>
      <w:r w:rsidRPr="002F335D">
        <w:rPr>
          <w:i/>
          <w:iCs/>
          <w:lang w:eastAsia="en-US"/>
        </w:rPr>
        <w:t>quality</w:t>
      </w:r>
      <w:r w:rsidRPr="002F335D">
        <w:rPr>
          <w:lang w:eastAsia="en-US"/>
        </w:rPr>
        <w:t xml:space="preserve"> of these studies for assessing ecosystem services. This means that:</w:t>
      </w:r>
    </w:p>
    <w:p w14:paraId="6B448874" w14:textId="77777777" w:rsidR="00F50B5A" w:rsidRDefault="00F50B5A" w:rsidP="00FA0AF1">
      <w:pPr>
        <w:pStyle w:val="ListBullet2"/>
        <w:rPr>
          <w:lang w:eastAsia="en-US"/>
        </w:rPr>
      </w:pPr>
      <w:r w:rsidRPr="002F335D">
        <w:rPr>
          <w:lang w:eastAsia="en-US"/>
        </w:rPr>
        <w:t>The extent to which the identified information will facilitate a full and accurate quantification or valuation of ecosystem service is unclear, it might only be part of the range of evidence that is needed;</w:t>
      </w:r>
    </w:p>
    <w:p w14:paraId="3EE6BABC" w14:textId="77777777" w:rsidR="00F50B5A" w:rsidRPr="002F335D" w:rsidRDefault="00F50B5A" w:rsidP="00FA0AF1">
      <w:pPr>
        <w:pStyle w:val="ListBullet2"/>
        <w:rPr>
          <w:lang w:eastAsia="en-US"/>
        </w:rPr>
      </w:pPr>
      <w:r w:rsidRPr="002F335D">
        <w:rPr>
          <w:lang w:eastAsia="en-US"/>
        </w:rPr>
        <w:t xml:space="preserve">An assessment of ecosystem services / assets is not necessarily straightforward / possible where the number of studies of </w:t>
      </w:r>
      <w:r w:rsidRPr="002F335D">
        <w:rPr>
          <w:i/>
          <w:iCs/>
          <w:lang w:eastAsia="en-US"/>
        </w:rPr>
        <w:t xml:space="preserve">potential </w:t>
      </w:r>
      <w:r w:rsidRPr="002F335D">
        <w:rPr>
          <w:lang w:eastAsia="en-US"/>
        </w:rPr>
        <w:t>relevance is high, but it provides an indication that there is at least some information to work from;</w:t>
      </w:r>
    </w:p>
    <w:p w14:paraId="1203951F" w14:textId="77777777" w:rsidR="00F50B5A" w:rsidRPr="002F335D" w:rsidRDefault="00F50B5A" w:rsidP="00FA0AF1">
      <w:pPr>
        <w:pStyle w:val="ListBullet2"/>
        <w:rPr>
          <w:lang w:eastAsia="en-US"/>
        </w:rPr>
      </w:pPr>
      <w:r w:rsidRPr="002F335D">
        <w:rPr>
          <w:lang w:eastAsia="en-US"/>
        </w:rPr>
        <w:t xml:space="preserve">There may still be a significant need for additional research for that ecosystem service / asset to fill key evidence gaps even when the number of studies identified is high;  </w:t>
      </w:r>
    </w:p>
    <w:p w14:paraId="2E7C7911" w14:textId="77777777" w:rsidR="00F50B5A" w:rsidRDefault="00F50B5A" w:rsidP="00FA0AF1">
      <w:pPr>
        <w:pStyle w:val="ListBullet"/>
        <w:rPr>
          <w:lang w:eastAsia="en-US"/>
        </w:rPr>
      </w:pPr>
      <w:r w:rsidRPr="002F335D">
        <w:rPr>
          <w:lang w:eastAsia="en-US"/>
        </w:rPr>
        <w:t xml:space="preserve">The studies identified are from the reviewed literature and there may be updated versions of these, especially where data is collected on a periodic basis; </w:t>
      </w:r>
    </w:p>
    <w:p w14:paraId="5FF9F240" w14:textId="77777777" w:rsidR="00F50B5A" w:rsidRPr="002F335D" w:rsidRDefault="00F50B5A" w:rsidP="00FA0AF1">
      <w:pPr>
        <w:pStyle w:val="ListBullet"/>
        <w:rPr>
          <w:lang w:eastAsia="en-US"/>
        </w:rPr>
      </w:pPr>
      <w:r w:rsidRPr="002F335D">
        <w:rPr>
          <w:lang w:eastAsia="en-US"/>
        </w:rPr>
        <w:t xml:space="preserve">Many Victorian specific economic valuation studies of the natural environment estimate values for marginal changes in the extent / condition of broad ecosystems / habitats for a bundle of ecosystem services (see Worley Parsons, 2013). Such studies have not been included because it is unclear precisely what ecosystem service values are being captured; </w:t>
      </w:r>
    </w:p>
    <w:p w14:paraId="3B672AAE" w14:textId="77777777" w:rsidR="00F50B5A" w:rsidRPr="002F335D" w:rsidRDefault="00F50B5A" w:rsidP="00FA0AF1">
      <w:pPr>
        <w:pStyle w:val="ListBullet"/>
        <w:rPr>
          <w:color w:val="1A1A1A"/>
          <w:lang w:eastAsia="en-US"/>
        </w:rPr>
      </w:pPr>
      <w:r w:rsidRPr="002F335D">
        <w:rPr>
          <w:color w:val="1A1A1A"/>
          <w:lang w:eastAsia="en-US"/>
        </w:rPr>
        <w:t>Some studies have information that is relevant for assessing ecosystem services in the GOR not tied to a specific asset type (e.g. recreation data might be for the region as a whole</w:t>
      </w:r>
      <w:proofErr w:type="gramStart"/>
      <w:r w:rsidRPr="002F335D">
        <w:rPr>
          <w:color w:val="1A1A1A"/>
          <w:lang w:eastAsia="en-US"/>
        </w:rPr>
        <w:t>)</w:t>
      </w:r>
      <w:proofErr w:type="gramEnd"/>
      <w:r w:rsidRPr="002F335D">
        <w:rPr>
          <w:color w:val="1A1A1A"/>
          <w:lang w:eastAsia="en-US"/>
        </w:rPr>
        <w:t xml:space="preserve"> and these studies are included in the column “Non-asset specific info.”; </w:t>
      </w:r>
    </w:p>
    <w:p w14:paraId="605ABA50" w14:textId="77777777" w:rsidR="00F50B5A" w:rsidRPr="002F335D" w:rsidRDefault="00F50B5A" w:rsidP="00FA0AF1">
      <w:pPr>
        <w:pStyle w:val="ListBullet"/>
        <w:rPr>
          <w:color w:val="1A1A1A"/>
          <w:lang w:eastAsia="en-US"/>
        </w:rPr>
      </w:pPr>
      <w:r w:rsidRPr="002F335D">
        <w:rPr>
          <w:color w:val="1A1A1A"/>
          <w:lang w:eastAsia="en-US"/>
        </w:rPr>
        <w:lastRenderedPageBreak/>
        <w:t xml:space="preserve">The numbers are not based on a comprehensive review of evidence but serve as an indication of the depth of relevant information for developing an </w:t>
      </w:r>
      <w:r>
        <w:rPr>
          <w:color w:val="1A1A1A"/>
          <w:lang w:eastAsia="en-US"/>
        </w:rPr>
        <w:t>environmental-economic account</w:t>
      </w:r>
      <w:r w:rsidRPr="002F335D">
        <w:rPr>
          <w:color w:val="1A1A1A"/>
          <w:lang w:eastAsia="en-US"/>
        </w:rPr>
        <w:t xml:space="preserve"> for the GOR Coast and Parks area and can help inform evidence gaps for future research;</w:t>
      </w:r>
    </w:p>
    <w:p w14:paraId="0B7BB81C" w14:textId="77777777" w:rsidR="00F50B5A" w:rsidRPr="002F335D" w:rsidRDefault="00F50B5A" w:rsidP="00FA0AF1">
      <w:pPr>
        <w:pStyle w:val="ListBullet"/>
        <w:rPr>
          <w:color w:val="1A1A1A"/>
          <w:lang w:eastAsia="en-US"/>
        </w:rPr>
      </w:pPr>
      <w:r w:rsidRPr="002F335D">
        <w:rPr>
          <w:color w:val="1A1A1A"/>
          <w:lang w:eastAsia="en-US"/>
        </w:rPr>
        <w:t>Bio-physical and socio-economic models that have been built with Victorian specific information are included as relevant evidence, including DELWP’s Environmental Systems Modelling Platform (</w:t>
      </w:r>
      <w:proofErr w:type="spellStart"/>
      <w:r w:rsidRPr="002F335D">
        <w:rPr>
          <w:color w:val="1A1A1A"/>
          <w:lang w:eastAsia="en-US"/>
        </w:rPr>
        <w:t>EnSYM</w:t>
      </w:r>
      <w:proofErr w:type="spellEnd"/>
      <w:r w:rsidRPr="002F335D">
        <w:rPr>
          <w:color w:val="1A1A1A"/>
          <w:lang w:eastAsia="en-US"/>
        </w:rPr>
        <w:t xml:space="preserve">) </w:t>
      </w:r>
      <w:r w:rsidRPr="002F335D">
        <w:rPr>
          <w:color w:val="1A1A1A"/>
          <w:vertAlign w:val="superscript"/>
          <w:lang w:eastAsia="en-US"/>
        </w:rPr>
        <w:footnoteReference w:id="87"/>
      </w:r>
      <w:r w:rsidRPr="002F335D">
        <w:rPr>
          <w:color w:val="1A1A1A"/>
          <w:lang w:eastAsia="en-US"/>
        </w:rPr>
        <w:t xml:space="preserve"> and IV and Aither’s hedonic valuation model.</w:t>
      </w:r>
    </w:p>
    <w:p w14:paraId="17A97F4E" w14:textId="77777777" w:rsidR="00F50B5A" w:rsidRPr="002F335D" w:rsidRDefault="00F50B5A" w:rsidP="00FA0AF1">
      <w:pPr>
        <w:pStyle w:val="BodyText12ptBefore"/>
        <w:rPr>
          <w:lang w:eastAsia="en-US"/>
        </w:rPr>
      </w:pPr>
      <w:r w:rsidRPr="002F335D">
        <w:rPr>
          <w:lang w:eastAsia="en-US"/>
        </w:rPr>
        <w:t xml:space="preserve">Figures </w:t>
      </w:r>
      <w:r>
        <w:rPr>
          <w:lang w:eastAsia="en-US"/>
        </w:rPr>
        <w:t>A3.1</w:t>
      </w:r>
      <w:r w:rsidRPr="002F335D">
        <w:rPr>
          <w:lang w:eastAsia="en-US"/>
        </w:rPr>
        <w:t xml:space="preserve"> </w:t>
      </w:r>
      <w:r w:rsidRPr="00FA0AF1">
        <w:t>and</w:t>
      </w:r>
      <w:r w:rsidRPr="002F335D">
        <w:rPr>
          <w:lang w:eastAsia="en-US"/>
        </w:rPr>
        <w:t xml:space="preserve"> </w:t>
      </w:r>
      <w:r>
        <w:rPr>
          <w:lang w:eastAsia="en-US"/>
        </w:rPr>
        <w:t>A3.2.</w:t>
      </w:r>
      <w:r w:rsidRPr="002F335D">
        <w:rPr>
          <w:lang w:eastAsia="en-US"/>
        </w:rPr>
        <w:t xml:space="preserve"> show:</w:t>
      </w:r>
    </w:p>
    <w:p w14:paraId="0991AB3D" w14:textId="77777777" w:rsidR="00F50B5A" w:rsidRPr="002F335D" w:rsidRDefault="00F50B5A" w:rsidP="00FA0AF1">
      <w:pPr>
        <w:pStyle w:val="ListBullet"/>
        <w:rPr>
          <w:lang w:eastAsia="en-US"/>
        </w:rPr>
      </w:pPr>
      <w:r w:rsidRPr="002F335D">
        <w:rPr>
          <w:lang w:eastAsia="en-US"/>
        </w:rPr>
        <w:t xml:space="preserve">Evidence on physical provision of ecosystem services within Victoria / </w:t>
      </w:r>
      <w:r>
        <w:rPr>
          <w:lang w:eastAsia="en-US"/>
        </w:rPr>
        <w:t>GORCAP region</w:t>
      </w:r>
      <w:r w:rsidRPr="002F335D">
        <w:rPr>
          <w:lang w:eastAsia="en-US"/>
        </w:rPr>
        <w:t xml:space="preserve"> from the reviewed literature:</w:t>
      </w:r>
    </w:p>
    <w:p w14:paraId="538B5DA9" w14:textId="77777777" w:rsidR="00F50B5A" w:rsidRDefault="00F50B5A" w:rsidP="00FA0AF1">
      <w:pPr>
        <w:pStyle w:val="ListBullet2"/>
        <w:rPr>
          <w:lang w:eastAsia="en-US"/>
        </w:rPr>
      </w:pPr>
      <w:r w:rsidRPr="002F335D">
        <w:rPr>
          <w:lang w:eastAsia="en-US"/>
        </w:rPr>
        <w:t>Is highest for food (nutrition), global climate regulation (carbon sequestration/storage), recreation and tourism;</w:t>
      </w:r>
    </w:p>
    <w:p w14:paraId="055A8392" w14:textId="77777777" w:rsidR="00F50B5A" w:rsidRPr="002F335D" w:rsidRDefault="00F50B5A" w:rsidP="00FA0AF1">
      <w:pPr>
        <w:pStyle w:val="ListBullet2"/>
        <w:rPr>
          <w:lang w:eastAsia="en-US"/>
        </w:rPr>
      </w:pPr>
      <w:r w:rsidRPr="002F335D">
        <w:rPr>
          <w:lang w:eastAsia="en-US"/>
        </w:rPr>
        <w:t>Is mostly information that is non-asset specific / attributable to cross cutting assets (e.g. parks or for Victoria / coastal region as a whole), with the exception of coastal margins (seagrass, mangroves, saltmarsh), forests, freshwater/wetlands and marine ecosystems.</w:t>
      </w:r>
    </w:p>
    <w:p w14:paraId="5D7E6C78" w14:textId="77777777" w:rsidR="00F50B5A" w:rsidRPr="002F335D" w:rsidRDefault="00F50B5A" w:rsidP="00FA0AF1">
      <w:pPr>
        <w:pStyle w:val="ListBullet2"/>
        <w:rPr>
          <w:lang w:eastAsia="en-US"/>
        </w:rPr>
      </w:pPr>
      <w:r w:rsidRPr="002F335D">
        <w:rPr>
          <w:lang w:eastAsia="en-US"/>
        </w:rPr>
        <w:t>Was not found for amenity</w:t>
      </w:r>
      <w:r w:rsidRPr="002F335D">
        <w:rPr>
          <w:vertAlign w:val="superscript"/>
          <w:lang w:eastAsia="en-US"/>
        </w:rPr>
        <w:footnoteReference w:id="88"/>
      </w:r>
      <w:r w:rsidRPr="002F335D">
        <w:rPr>
          <w:lang w:eastAsia="en-US"/>
        </w:rPr>
        <w:t>, landslide regulation or noise and smell from ecosystem assets and is very sparse for aesthetics, air quality regulation, energy (biofuels), local climate regulation;</w:t>
      </w:r>
    </w:p>
    <w:p w14:paraId="5A4CA83D" w14:textId="77777777" w:rsidR="00F50B5A" w:rsidRPr="002F335D" w:rsidRDefault="00F50B5A" w:rsidP="00FA0AF1">
      <w:pPr>
        <w:pStyle w:val="ListBullet2"/>
        <w:rPr>
          <w:lang w:eastAsia="en-US"/>
        </w:rPr>
      </w:pPr>
      <w:r w:rsidRPr="002F335D">
        <w:rPr>
          <w:lang w:eastAsia="en-US"/>
        </w:rPr>
        <w:t>There is limited information on biotic raw materials, coastal protection, cultural heritage, education and research, flood risk regulation, existence/option value, social / community cohesion, water provision and water quality regulation;</w:t>
      </w:r>
    </w:p>
    <w:p w14:paraId="0BFBBF6B" w14:textId="77777777" w:rsidR="00F50B5A" w:rsidRPr="002F335D" w:rsidRDefault="00F50B5A" w:rsidP="00FA0AF1">
      <w:pPr>
        <w:pStyle w:val="ListBullet"/>
        <w:rPr>
          <w:lang w:eastAsia="en-US"/>
        </w:rPr>
      </w:pPr>
      <w:r w:rsidRPr="002F335D">
        <w:rPr>
          <w:lang w:eastAsia="en-US"/>
        </w:rPr>
        <w:t xml:space="preserve">Evidence on monetary value of ecosystem services within Victoria / </w:t>
      </w:r>
      <w:r>
        <w:rPr>
          <w:lang w:eastAsia="en-US"/>
        </w:rPr>
        <w:t>GORCAP region</w:t>
      </w:r>
      <w:r w:rsidRPr="002F335D">
        <w:rPr>
          <w:lang w:eastAsia="en-US"/>
        </w:rPr>
        <w:t xml:space="preserve"> from the reviewed literature:</w:t>
      </w:r>
    </w:p>
    <w:p w14:paraId="7CD0FA01" w14:textId="77777777" w:rsidR="00F50B5A" w:rsidRDefault="00F50B5A" w:rsidP="00FA0AF1">
      <w:pPr>
        <w:pStyle w:val="ListBullet2"/>
        <w:rPr>
          <w:lang w:eastAsia="en-US"/>
        </w:rPr>
      </w:pPr>
      <w:r w:rsidRPr="002F335D">
        <w:rPr>
          <w:lang w:eastAsia="en-US"/>
        </w:rPr>
        <w:t>Is highest for food (nutrition), global climate regulation, local climate regulation, recreation and tourism;</w:t>
      </w:r>
    </w:p>
    <w:p w14:paraId="7813E36F" w14:textId="77777777" w:rsidR="00F50B5A" w:rsidRDefault="00F50B5A" w:rsidP="00FA0AF1">
      <w:pPr>
        <w:pStyle w:val="ListBullet2"/>
        <w:rPr>
          <w:lang w:eastAsia="en-US"/>
        </w:rPr>
      </w:pPr>
      <w:r w:rsidRPr="002F335D">
        <w:rPr>
          <w:lang w:eastAsia="en-US"/>
        </w:rPr>
        <w:t>Is highest for coastal margins and non-asset specific / attributable to cross cutting assets (e.g. parks or for Victoria / coastal region as a whole)</w:t>
      </w:r>
      <w:r>
        <w:rPr>
          <w:lang w:eastAsia="en-US"/>
        </w:rPr>
        <w:t>;</w:t>
      </w:r>
    </w:p>
    <w:p w14:paraId="2BA6FE80" w14:textId="77777777" w:rsidR="00F50B5A" w:rsidRDefault="00F50B5A" w:rsidP="00FA0AF1">
      <w:pPr>
        <w:pStyle w:val="ListBullet2"/>
        <w:rPr>
          <w:color w:val="363534"/>
          <w:lang w:eastAsia="en-US"/>
        </w:rPr>
      </w:pPr>
      <w:r w:rsidRPr="002F335D">
        <w:rPr>
          <w:color w:val="363534"/>
          <w:lang w:eastAsia="en-US"/>
        </w:rPr>
        <w:t>Was not found for aesthetics, existence/option value (within Victoria) and landslide regulation and is very sparse for cultural heritage, education and research, energy (biofuels), flood risk regulation and noise/smell regulation;</w:t>
      </w:r>
    </w:p>
    <w:p w14:paraId="48AA101D" w14:textId="77777777" w:rsidR="00F50B5A" w:rsidRPr="002F335D" w:rsidRDefault="00F50B5A" w:rsidP="00FA0AF1">
      <w:pPr>
        <w:pStyle w:val="ListBullet2"/>
        <w:rPr>
          <w:color w:val="363534"/>
          <w:lang w:eastAsia="en-US"/>
        </w:rPr>
      </w:pPr>
      <w:r w:rsidRPr="002F335D">
        <w:rPr>
          <w:color w:val="363534"/>
          <w:lang w:eastAsia="en-US"/>
        </w:rPr>
        <w:t xml:space="preserve">Is limited for farmland, forests, freshwater/wetland and marine ecosystems and was not identified at all for grassland, shrubland and urban (whilst there is evidence on the value of urban ecosystem services within Victoria, this is mostly focused on Melbourne and is not deemed to be transferable to urban areas within the </w:t>
      </w:r>
      <w:r>
        <w:rPr>
          <w:color w:val="363534"/>
          <w:lang w:eastAsia="en-US"/>
        </w:rPr>
        <w:t>GORCAP region</w:t>
      </w:r>
      <w:r w:rsidRPr="002F335D">
        <w:rPr>
          <w:color w:val="363534"/>
          <w:lang w:eastAsia="en-US"/>
        </w:rPr>
        <w:t>). Information on Alpine ecosystems were also not identified as expected (because these ecosystems do not exist within the coastal/marine areas in the reviewed literature)</w:t>
      </w:r>
      <w:r>
        <w:rPr>
          <w:color w:val="363534"/>
          <w:lang w:eastAsia="en-US"/>
        </w:rPr>
        <w:t>;</w:t>
      </w:r>
      <w:r w:rsidRPr="002F335D">
        <w:rPr>
          <w:color w:val="363534"/>
          <w:lang w:eastAsia="en-US"/>
        </w:rPr>
        <w:t xml:space="preserve">  </w:t>
      </w:r>
    </w:p>
    <w:p w14:paraId="093C8D21" w14:textId="77777777" w:rsidR="00F50B5A" w:rsidRPr="002F335D" w:rsidRDefault="00F50B5A" w:rsidP="00FA0AF1">
      <w:pPr>
        <w:pStyle w:val="ListBullet2"/>
        <w:rPr>
          <w:color w:val="363534"/>
          <w:lang w:eastAsia="en-US"/>
        </w:rPr>
      </w:pPr>
      <w:r w:rsidRPr="002F335D">
        <w:rPr>
          <w:color w:val="363534"/>
          <w:lang w:eastAsia="en-US"/>
        </w:rPr>
        <w:t xml:space="preserve">The study team found that there is a lack of peer reviewed estimates of the economic value of coastal ecosystem services in Victoria (a conclusion also drawn by Worley Parsons, 2013). This conclusion has led to existing assessments of the value of coastal environment in Victoria (Worley Parsons, 2013 ; URS, 2007) to apply “value transfer” from previous studies outside of the State of Victoria. This approach is not </w:t>
      </w:r>
      <w:r>
        <w:rPr>
          <w:color w:val="363534"/>
          <w:lang w:eastAsia="en-US"/>
        </w:rPr>
        <w:t xml:space="preserve">adopted </w:t>
      </w:r>
      <w:r w:rsidRPr="002F335D">
        <w:rPr>
          <w:color w:val="363534"/>
          <w:lang w:eastAsia="en-US"/>
        </w:rPr>
        <w:t xml:space="preserve">for the </w:t>
      </w:r>
      <w:r>
        <w:rPr>
          <w:color w:val="363534"/>
          <w:lang w:eastAsia="en-US"/>
        </w:rPr>
        <w:t>GORCAP EEA</w:t>
      </w:r>
      <w:r w:rsidRPr="002F335D">
        <w:rPr>
          <w:color w:val="363534"/>
          <w:lang w:eastAsia="en-US"/>
        </w:rPr>
        <w:t xml:space="preserve">, in order to facilitate evidence gaps being identified and addressed through primary research. </w:t>
      </w:r>
    </w:p>
    <w:p w14:paraId="72FED70B" w14:textId="77777777" w:rsidR="00F50B5A" w:rsidRPr="002F335D" w:rsidRDefault="00F50B5A" w:rsidP="00F50B5A">
      <w:pPr>
        <w:shd w:val="clear" w:color="auto" w:fill="FFC000"/>
        <w:rPr>
          <w:rFonts w:ascii="Arial" w:hAnsi="Arial"/>
          <w:color w:val="FFFFFF"/>
        </w:rPr>
        <w:sectPr w:rsidR="00F50B5A" w:rsidRPr="002F335D" w:rsidSect="00E52A9A">
          <w:headerReference w:type="even" r:id="rId346"/>
          <w:headerReference w:type="default" r:id="rId347"/>
          <w:footerReference w:type="even" r:id="rId348"/>
          <w:footerReference w:type="default" r:id="rId349"/>
          <w:pgSz w:w="11907" w:h="16840" w:code="9"/>
          <w:pgMar w:top="1134" w:right="1134" w:bottom="1134" w:left="1134" w:header="283" w:footer="283" w:gutter="0"/>
          <w:cols w:space="284"/>
          <w:docGrid w:linePitch="360"/>
        </w:sectPr>
      </w:pPr>
    </w:p>
    <w:p w14:paraId="358CB9B5" w14:textId="77777777" w:rsidR="00F50B5A" w:rsidRPr="002F335D" w:rsidRDefault="00F50B5A" w:rsidP="00FA0AF1">
      <w:pPr>
        <w:pStyle w:val="Caption"/>
        <w:rPr>
          <w:rFonts w:eastAsia="Arial"/>
          <w:lang w:eastAsia="en-US"/>
        </w:rPr>
      </w:pPr>
      <w:r w:rsidRPr="002F335D">
        <w:rPr>
          <w:rFonts w:eastAsia="Arial"/>
          <w:lang w:eastAsia="en-US"/>
        </w:rPr>
        <w:lastRenderedPageBreak/>
        <w:t xml:space="preserve">Table </w:t>
      </w:r>
      <w:r>
        <w:rPr>
          <w:rFonts w:eastAsia="Arial"/>
          <w:lang w:eastAsia="en-US"/>
        </w:rPr>
        <w:t>A3.1</w:t>
      </w:r>
      <w:r w:rsidRPr="002F335D">
        <w:rPr>
          <w:rFonts w:eastAsia="Arial"/>
          <w:lang w:eastAsia="en-US"/>
        </w:rPr>
        <w:t>.  Potential sources of information for estimating physical provision of ecosystem services from the Great Ocean Road Coast and Parks area</w:t>
      </w:r>
    </w:p>
    <w:tbl>
      <w:tblPr>
        <w:tblStyle w:val="TableGrid"/>
        <w:tblW w:w="5000" w:type="pct"/>
        <w:tblLook w:val="04A0" w:firstRow="1" w:lastRow="0" w:firstColumn="1" w:lastColumn="0" w:noHBand="0" w:noVBand="1"/>
      </w:tblPr>
      <w:tblGrid>
        <w:gridCol w:w="1354"/>
        <w:gridCol w:w="2723"/>
        <w:gridCol w:w="939"/>
        <w:gridCol w:w="1396"/>
        <w:gridCol w:w="1624"/>
        <w:gridCol w:w="2447"/>
        <w:gridCol w:w="9798"/>
        <w:gridCol w:w="1262"/>
      </w:tblGrid>
      <w:tr w:rsidR="00FA0AF1" w:rsidRPr="002F335D" w14:paraId="7477D0FB" w14:textId="77777777" w:rsidTr="00FA0AF1">
        <w:trPr>
          <w:cnfStyle w:val="100000000000" w:firstRow="1" w:lastRow="0" w:firstColumn="0" w:lastColumn="0" w:oddVBand="0" w:evenVBand="0" w:oddHBand="0" w:evenHBand="0" w:firstRowFirstColumn="0" w:firstRowLastColumn="0" w:lastRowFirstColumn="0" w:lastRowLastColumn="0"/>
          <w:trHeight w:val="164"/>
          <w:tblHeader/>
        </w:trPr>
        <w:tc>
          <w:tcPr>
            <w:cnfStyle w:val="001000000000" w:firstRow="0" w:lastRow="0" w:firstColumn="1" w:lastColumn="0" w:oddVBand="0" w:evenVBand="0" w:oddHBand="0" w:evenHBand="0" w:firstRowFirstColumn="0" w:firstRowLastColumn="0" w:lastRowFirstColumn="0" w:lastRowLastColumn="0"/>
            <w:tcW w:w="314" w:type="pct"/>
          </w:tcPr>
          <w:p w14:paraId="5C8967B8" w14:textId="77777777" w:rsidR="00F50B5A" w:rsidRPr="00370449" w:rsidRDefault="00F50B5A" w:rsidP="00FA0AF1">
            <w:pPr>
              <w:pStyle w:val="TableHeadingLeft"/>
            </w:pPr>
            <w:r w:rsidRPr="00370449">
              <w:t>Ecosystem service</w:t>
            </w:r>
          </w:p>
        </w:tc>
        <w:tc>
          <w:tcPr>
            <w:tcW w:w="632" w:type="pct"/>
          </w:tcPr>
          <w:p w14:paraId="1E5CEF36" w14:textId="77777777" w:rsidR="00F50B5A" w:rsidRPr="00370449" w:rsidRDefault="00F50B5A" w:rsidP="00FA0AF1">
            <w:pPr>
              <w:pStyle w:val="TableHeadingLeft"/>
              <w:cnfStyle w:val="100000000000" w:firstRow="1" w:lastRow="0" w:firstColumn="0" w:lastColumn="0" w:oddVBand="0" w:evenVBand="0" w:oddHBand="0" w:evenHBand="0" w:firstRowFirstColumn="0" w:firstRowLastColumn="0" w:lastRowFirstColumn="0" w:lastRowLastColumn="0"/>
            </w:pPr>
            <w:r w:rsidRPr="00370449">
              <w:t>Description</w:t>
            </w:r>
          </w:p>
        </w:tc>
        <w:tc>
          <w:tcPr>
            <w:tcW w:w="218" w:type="pct"/>
          </w:tcPr>
          <w:p w14:paraId="6E51BDA3" w14:textId="77777777" w:rsidR="00F50B5A" w:rsidRPr="00370449" w:rsidRDefault="00F50B5A" w:rsidP="00FA0AF1">
            <w:pPr>
              <w:pStyle w:val="TableHeadingLeft"/>
              <w:cnfStyle w:val="100000000000" w:firstRow="1" w:lastRow="0" w:firstColumn="0" w:lastColumn="0" w:oddVBand="0" w:evenVBand="0" w:oddHBand="0" w:evenHBand="0" w:firstRowFirstColumn="0" w:firstRowLastColumn="0" w:lastRowFirstColumn="0" w:lastRowLastColumn="0"/>
            </w:pPr>
            <w:r w:rsidRPr="00370449">
              <w:t>Value</w:t>
            </w:r>
          </w:p>
        </w:tc>
        <w:tc>
          <w:tcPr>
            <w:tcW w:w="324" w:type="pct"/>
          </w:tcPr>
          <w:p w14:paraId="50E4F9F2" w14:textId="77777777" w:rsidR="00F50B5A" w:rsidRPr="00370449" w:rsidRDefault="00F50B5A" w:rsidP="00FA0AF1">
            <w:pPr>
              <w:pStyle w:val="TableHeadingLeft"/>
              <w:cnfStyle w:val="100000000000" w:firstRow="1" w:lastRow="0" w:firstColumn="0" w:lastColumn="0" w:oddVBand="0" w:evenVBand="0" w:oddHBand="0" w:evenHBand="0" w:firstRowFirstColumn="0" w:firstRowLastColumn="0" w:lastRowFirstColumn="0" w:lastRowLastColumn="0"/>
            </w:pPr>
            <w:r w:rsidRPr="00370449">
              <w:t>Metric</w:t>
            </w:r>
          </w:p>
        </w:tc>
        <w:tc>
          <w:tcPr>
            <w:tcW w:w="377" w:type="pct"/>
          </w:tcPr>
          <w:p w14:paraId="7B5589C2" w14:textId="77777777" w:rsidR="00F50B5A" w:rsidRPr="00370449" w:rsidRDefault="00F50B5A" w:rsidP="00FA0AF1">
            <w:pPr>
              <w:pStyle w:val="TableHeadingLeft"/>
              <w:cnfStyle w:val="100000000000" w:firstRow="1" w:lastRow="0" w:firstColumn="0" w:lastColumn="0" w:oddVBand="0" w:evenVBand="0" w:oddHBand="0" w:evenHBand="0" w:firstRowFirstColumn="0" w:firstRowLastColumn="0" w:lastRowFirstColumn="0" w:lastRowLastColumn="0"/>
            </w:pPr>
            <w:r w:rsidRPr="00370449">
              <w:t>Geographic Scope</w:t>
            </w:r>
          </w:p>
        </w:tc>
        <w:tc>
          <w:tcPr>
            <w:tcW w:w="568" w:type="pct"/>
          </w:tcPr>
          <w:p w14:paraId="1B92D74F" w14:textId="77777777" w:rsidR="00F50B5A" w:rsidRPr="00370449" w:rsidRDefault="00F50B5A" w:rsidP="00FA0AF1">
            <w:pPr>
              <w:pStyle w:val="TableHeadingLeft"/>
              <w:cnfStyle w:val="100000000000" w:firstRow="1" w:lastRow="0" w:firstColumn="0" w:lastColumn="0" w:oddVBand="0" w:evenVBand="0" w:oddHBand="0" w:evenHBand="0" w:firstRowFirstColumn="0" w:firstRowLastColumn="0" w:lastRowFirstColumn="0" w:lastRowLastColumn="0"/>
            </w:pPr>
            <w:r w:rsidRPr="00370449">
              <w:t xml:space="preserve">Asset </w:t>
            </w:r>
          </w:p>
        </w:tc>
        <w:tc>
          <w:tcPr>
            <w:tcW w:w="2274" w:type="pct"/>
          </w:tcPr>
          <w:p w14:paraId="6B5AA087" w14:textId="77777777" w:rsidR="00F50B5A" w:rsidRPr="00370449" w:rsidRDefault="00F50B5A" w:rsidP="00FA0AF1">
            <w:pPr>
              <w:pStyle w:val="TableHeadingLeft"/>
              <w:cnfStyle w:val="100000000000" w:firstRow="1" w:lastRow="0" w:firstColumn="0" w:lastColumn="0" w:oddVBand="0" w:evenVBand="0" w:oddHBand="0" w:evenHBand="0" w:firstRowFirstColumn="0" w:firstRowLastColumn="0" w:lastRowFirstColumn="0" w:lastRowLastColumn="0"/>
            </w:pPr>
            <w:r w:rsidRPr="00370449">
              <w:t>Source</w:t>
            </w:r>
          </w:p>
        </w:tc>
        <w:tc>
          <w:tcPr>
            <w:tcW w:w="295" w:type="pct"/>
          </w:tcPr>
          <w:p w14:paraId="0ECD490B" w14:textId="77777777" w:rsidR="00F50B5A" w:rsidRPr="00370449" w:rsidRDefault="00F50B5A" w:rsidP="00FA0AF1">
            <w:pPr>
              <w:pStyle w:val="TableHeadingLeft"/>
              <w:cnfStyle w:val="100000000000" w:firstRow="1" w:lastRow="0" w:firstColumn="0" w:lastColumn="0" w:oddVBand="0" w:evenVBand="0" w:oddHBand="0" w:evenHBand="0" w:firstRowFirstColumn="0" w:firstRowLastColumn="0" w:lastRowFirstColumn="0" w:lastRowLastColumn="0"/>
            </w:pPr>
            <w:r w:rsidRPr="00370449">
              <w:t>Year</w:t>
            </w:r>
          </w:p>
        </w:tc>
      </w:tr>
      <w:tr w:rsidR="00FA0AF1" w:rsidRPr="002F335D" w14:paraId="63C5DF8D" w14:textId="77777777" w:rsidTr="00FA0AF1">
        <w:trPr>
          <w:trHeight w:val="164"/>
        </w:trPr>
        <w:tc>
          <w:tcPr>
            <w:cnfStyle w:val="001000000000" w:firstRow="0" w:lastRow="0" w:firstColumn="1" w:lastColumn="0" w:oddVBand="0" w:evenVBand="0" w:oddHBand="0" w:evenHBand="0" w:firstRowFirstColumn="0" w:firstRowLastColumn="0" w:lastRowFirstColumn="0" w:lastRowLastColumn="0"/>
            <w:tcW w:w="314" w:type="pct"/>
            <w:vMerge w:val="restart"/>
          </w:tcPr>
          <w:p w14:paraId="339930E9" w14:textId="77777777" w:rsidR="00F50B5A" w:rsidRPr="00370449" w:rsidRDefault="00F50B5A" w:rsidP="00FA0AF1">
            <w:pPr>
              <w:pStyle w:val="TableTextLeft"/>
            </w:pPr>
            <w:r w:rsidRPr="00370449">
              <w:t xml:space="preserve">Aesthetic </w:t>
            </w:r>
          </w:p>
        </w:tc>
        <w:tc>
          <w:tcPr>
            <w:tcW w:w="632" w:type="pct"/>
          </w:tcPr>
          <w:p w14:paraId="16F61A9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proofErr w:type="spellStart"/>
            <w:r w:rsidRPr="00370449">
              <w:t>Viewscape</w:t>
            </w:r>
            <w:proofErr w:type="spellEnd"/>
            <w:r w:rsidRPr="00370449">
              <w:t xml:space="preserve"> analysis</w:t>
            </w:r>
          </w:p>
        </w:tc>
        <w:tc>
          <w:tcPr>
            <w:tcW w:w="218" w:type="pct"/>
          </w:tcPr>
          <w:p w14:paraId="7A65B776"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c>
          <w:tcPr>
            <w:tcW w:w="324" w:type="pct"/>
          </w:tcPr>
          <w:p w14:paraId="2B3C301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proofErr w:type="spellStart"/>
            <w:r w:rsidRPr="00370449">
              <w:t>Viewscape</w:t>
            </w:r>
            <w:proofErr w:type="spellEnd"/>
          </w:p>
        </w:tc>
        <w:tc>
          <w:tcPr>
            <w:tcW w:w="377" w:type="pct"/>
          </w:tcPr>
          <w:p w14:paraId="3F0CBBF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GOR</w:t>
            </w:r>
          </w:p>
        </w:tc>
        <w:tc>
          <w:tcPr>
            <w:tcW w:w="568" w:type="pct"/>
          </w:tcPr>
          <w:p w14:paraId="6692D62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n/a</w:t>
            </w:r>
          </w:p>
        </w:tc>
        <w:tc>
          <w:tcPr>
            <w:tcW w:w="2274" w:type="pct"/>
          </w:tcPr>
          <w:p w14:paraId="2A2D981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rPr>
                <w:lang w:val="en"/>
              </w:rPr>
              <w:t>Clare Scott Planning (2019)</w:t>
            </w:r>
            <w:r w:rsidRPr="00370449">
              <w:t xml:space="preserve"> </w:t>
            </w:r>
            <w:r w:rsidRPr="00370449">
              <w:rPr>
                <w:lang w:val="en"/>
              </w:rPr>
              <w:t>Great Ocean Road Region Landscape Assessment Review Stage 1: Scoping</w:t>
            </w:r>
          </w:p>
        </w:tc>
        <w:tc>
          <w:tcPr>
            <w:tcW w:w="295" w:type="pct"/>
          </w:tcPr>
          <w:p w14:paraId="322F831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2019</w:t>
            </w:r>
          </w:p>
        </w:tc>
      </w:tr>
      <w:tr w:rsidR="00FA0AF1" w:rsidRPr="002F335D" w14:paraId="48CD7F2A" w14:textId="77777777" w:rsidTr="00FA0AF1">
        <w:trPr>
          <w:trHeight w:val="40"/>
        </w:trPr>
        <w:tc>
          <w:tcPr>
            <w:cnfStyle w:val="001000000000" w:firstRow="0" w:lastRow="0" w:firstColumn="1" w:lastColumn="0" w:oddVBand="0" w:evenVBand="0" w:oddHBand="0" w:evenHBand="0" w:firstRowFirstColumn="0" w:firstRowLastColumn="0" w:lastRowFirstColumn="0" w:lastRowLastColumn="0"/>
            <w:tcW w:w="314" w:type="pct"/>
            <w:vMerge/>
          </w:tcPr>
          <w:p w14:paraId="391E1344" w14:textId="77777777" w:rsidR="00F50B5A" w:rsidRPr="00370449" w:rsidRDefault="00F50B5A" w:rsidP="00FA0AF1">
            <w:pPr>
              <w:pStyle w:val="TableTextLeft"/>
            </w:pPr>
          </w:p>
        </w:tc>
        <w:tc>
          <w:tcPr>
            <w:tcW w:w="632" w:type="pct"/>
          </w:tcPr>
          <w:p w14:paraId="51D5F8E2"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Visual landscape significance</w:t>
            </w:r>
          </w:p>
        </w:tc>
        <w:tc>
          <w:tcPr>
            <w:tcW w:w="218" w:type="pct"/>
          </w:tcPr>
          <w:p w14:paraId="18B9E67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c>
          <w:tcPr>
            <w:tcW w:w="324" w:type="pct"/>
          </w:tcPr>
          <w:p w14:paraId="2ECC5B4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Score</w:t>
            </w:r>
          </w:p>
        </w:tc>
        <w:tc>
          <w:tcPr>
            <w:tcW w:w="377" w:type="pct"/>
          </w:tcPr>
          <w:p w14:paraId="70D73F2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GOR</w:t>
            </w:r>
          </w:p>
        </w:tc>
        <w:tc>
          <w:tcPr>
            <w:tcW w:w="568" w:type="pct"/>
          </w:tcPr>
          <w:p w14:paraId="0C9FE058"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n/a</w:t>
            </w:r>
          </w:p>
        </w:tc>
        <w:tc>
          <w:tcPr>
            <w:tcW w:w="2274" w:type="pct"/>
          </w:tcPr>
          <w:p w14:paraId="6C6E4398"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lang w:val="en"/>
              </w:rPr>
            </w:pPr>
            <w:r w:rsidRPr="00370449">
              <w:rPr>
                <w:lang w:val="en"/>
              </w:rPr>
              <w:t xml:space="preserve">Clare Scott Planning (forthcoming) Great Ocean Road Region Landscape Assessment Review </w:t>
            </w:r>
          </w:p>
        </w:tc>
        <w:tc>
          <w:tcPr>
            <w:tcW w:w="295" w:type="pct"/>
          </w:tcPr>
          <w:p w14:paraId="5D23FDD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n.d.</w:t>
            </w:r>
          </w:p>
        </w:tc>
      </w:tr>
      <w:tr w:rsidR="00FA0AF1" w:rsidRPr="002F335D" w14:paraId="01340B77" w14:textId="77777777" w:rsidTr="00FA0AF1">
        <w:trPr>
          <w:trHeight w:val="164"/>
        </w:trPr>
        <w:tc>
          <w:tcPr>
            <w:cnfStyle w:val="001000000000" w:firstRow="0" w:lastRow="0" w:firstColumn="1" w:lastColumn="0" w:oddVBand="0" w:evenVBand="0" w:oddHBand="0" w:evenHBand="0" w:firstRowFirstColumn="0" w:firstRowLastColumn="0" w:lastRowFirstColumn="0" w:lastRowLastColumn="0"/>
            <w:tcW w:w="314" w:type="pct"/>
          </w:tcPr>
          <w:p w14:paraId="0E943D3C" w14:textId="77777777" w:rsidR="00F50B5A" w:rsidRPr="00370449" w:rsidRDefault="00F50B5A" w:rsidP="00FA0AF1">
            <w:pPr>
              <w:pStyle w:val="TableTextLeft"/>
              <w:rPr>
                <w:b/>
              </w:rPr>
            </w:pPr>
            <w:r w:rsidRPr="00370449">
              <w:t>Air quality regulation</w:t>
            </w:r>
          </w:p>
        </w:tc>
        <w:tc>
          <w:tcPr>
            <w:tcW w:w="632" w:type="pct"/>
          </w:tcPr>
          <w:p w14:paraId="67FDEB8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b/>
              </w:rPr>
            </w:pPr>
            <w:r w:rsidRPr="00370449">
              <w:t>Link air pollution to health outcome</w:t>
            </w:r>
          </w:p>
        </w:tc>
        <w:tc>
          <w:tcPr>
            <w:tcW w:w="218" w:type="pct"/>
          </w:tcPr>
          <w:p w14:paraId="1340A35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b/>
              </w:rPr>
            </w:pPr>
            <w:r w:rsidRPr="00370449">
              <w:t>-</w:t>
            </w:r>
          </w:p>
        </w:tc>
        <w:tc>
          <w:tcPr>
            <w:tcW w:w="324" w:type="pct"/>
          </w:tcPr>
          <w:p w14:paraId="31C7BEB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b/>
              </w:rPr>
            </w:pPr>
            <w:r w:rsidRPr="00370449">
              <w:t>Dose-response</w:t>
            </w:r>
          </w:p>
        </w:tc>
        <w:tc>
          <w:tcPr>
            <w:tcW w:w="377" w:type="pct"/>
          </w:tcPr>
          <w:p w14:paraId="56EB3D9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b/>
              </w:rPr>
            </w:pPr>
            <w:r w:rsidRPr="00370449">
              <w:t>Victoria</w:t>
            </w:r>
          </w:p>
        </w:tc>
        <w:tc>
          <w:tcPr>
            <w:tcW w:w="568" w:type="pct"/>
          </w:tcPr>
          <w:p w14:paraId="19A72AB8"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b/>
              </w:rPr>
            </w:pPr>
            <w:r w:rsidRPr="00370449">
              <w:t>n/a</w:t>
            </w:r>
          </w:p>
        </w:tc>
        <w:tc>
          <w:tcPr>
            <w:tcW w:w="2274" w:type="pct"/>
          </w:tcPr>
          <w:p w14:paraId="3D1E8C4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b/>
              </w:rPr>
            </w:pPr>
            <w:r w:rsidRPr="00370449">
              <w:t>Aurecon (2018) AV / ZEV Environmental &amp; Health Impact Assessment</w:t>
            </w:r>
          </w:p>
        </w:tc>
        <w:tc>
          <w:tcPr>
            <w:tcW w:w="295" w:type="pct"/>
          </w:tcPr>
          <w:p w14:paraId="57F8DC9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b/>
              </w:rPr>
            </w:pPr>
            <w:r w:rsidRPr="00370449">
              <w:t>2018</w:t>
            </w:r>
          </w:p>
        </w:tc>
      </w:tr>
      <w:tr w:rsidR="00FA0AF1" w:rsidRPr="002F335D" w14:paraId="6EC76AA6" w14:textId="77777777" w:rsidTr="00FA0AF1">
        <w:trPr>
          <w:trHeight w:val="164"/>
        </w:trPr>
        <w:tc>
          <w:tcPr>
            <w:cnfStyle w:val="001000000000" w:firstRow="0" w:lastRow="0" w:firstColumn="1" w:lastColumn="0" w:oddVBand="0" w:evenVBand="0" w:oddHBand="0" w:evenHBand="0" w:firstRowFirstColumn="0" w:firstRowLastColumn="0" w:lastRowFirstColumn="0" w:lastRowLastColumn="0"/>
            <w:tcW w:w="314" w:type="pct"/>
            <w:vMerge w:val="restart"/>
          </w:tcPr>
          <w:p w14:paraId="44A88FF3" w14:textId="77777777" w:rsidR="00F50B5A" w:rsidRPr="00370449" w:rsidRDefault="00F50B5A" w:rsidP="00FA0AF1">
            <w:pPr>
              <w:pStyle w:val="TableTextLeft"/>
            </w:pPr>
            <w:r w:rsidRPr="00370449">
              <w:t>Biotic raw materials</w:t>
            </w:r>
          </w:p>
        </w:tc>
        <w:tc>
          <w:tcPr>
            <w:tcW w:w="632" w:type="pct"/>
          </w:tcPr>
          <w:p w14:paraId="11A72E3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Biomass for timber from native forests in RFA regions</w:t>
            </w:r>
          </w:p>
        </w:tc>
        <w:tc>
          <w:tcPr>
            <w:tcW w:w="218" w:type="pct"/>
          </w:tcPr>
          <w:p w14:paraId="55A4466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c>
          <w:tcPr>
            <w:tcW w:w="324" w:type="pct"/>
          </w:tcPr>
          <w:p w14:paraId="1A2E8CA8"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vertAlign w:val="superscript"/>
              </w:rPr>
            </w:pPr>
            <w:r w:rsidRPr="00370449">
              <w:t>m</w:t>
            </w:r>
            <w:r w:rsidRPr="00370449">
              <w:rPr>
                <w:vertAlign w:val="superscript"/>
              </w:rPr>
              <w:t>3</w:t>
            </w:r>
          </w:p>
        </w:tc>
        <w:tc>
          <w:tcPr>
            <w:tcW w:w="377" w:type="pct"/>
          </w:tcPr>
          <w:p w14:paraId="06D6C055"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Victoria</w:t>
            </w:r>
          </w:p>
        </w:tc>
        <w:tc>
          <w:tcPr>
            <w:tcW w:w="568" w:type="pct"/>
          </w:tcPr>
          <w:p w14:paraId="779D324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Forests</w:t>
            </w:r>
          </w:p>
        </w:tc>
        <w:tc>
          <w:tcPr>
            <w:tcW w:w="2274" w:type="pct"/>
          </w:tcPr>
          <w:p w14:paraId="649FA15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VicForests in DELWP (2019) Ecosystem services from forests in Victoria</w:t>
            </w:r>
          </w:p>
        </w:tc>
        <w:tc>
          <w:tcPr>
            <w:tcW w:w="295" w:type="pct"/>
          </w:tcPr>
          <w:p w14:paraId="5AFE747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2018</w:t>
            </w:r>
          </w:p>
        </w:tc>
      </w:tr>
      <w:tr w:rsidR="00FA0AF1" w:rsidRPr="002F335D" w14:paraId="5B29A780" w14:textId="77777777" w:rsidTr="00FA0AF1">
        <w:trPr>
          <w:trHeight w:val="164"/>
        </w:trPr>
        <w:tc>
          <w:tcPr>
            <w:cnfStyle w:val="001000000000" w:firstRow="0" w:lastRow="0" w:firstColumn="1" w:lastColumn="0" w:oddVBand="0" w:evenVBand="0" w:oddHBand="0" w:evenHBand="0" w:firstRowFirstColumn="0" w:firstRowLastColumn="0" w:lastRowFirstColumn="0" w:lastRowLastColumn="0"/>
            <w:tcW w:w="314" w:type="pct"/>
            <w:vMerge/>
          </w:tcPr>
          <w:p w14:paraId="73534595" w14:textId="77777777" w:rsidR="00F50B5A" w:rsidRPr="00370449" w:rsidRDefault="00F50B5A" w:rsidP="00FA0AF1">
            <w:pPr>
              <w:pStyle w:val="TableTextLeft"/>
            </w:pPr>
          </w:p>
        </w:tc>
        <w:tc>
          <w:tcPr>
            <w:tcW w:w="632" w:type="pct"/>
          </w:tcPr>
          <w:p w14:paraId="5CA158E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Biomass for timber from plantation forests in Victoria</w:t>
            </w:r>
          </w:p>
        </w:tc>
        <w:tc>
          <w:tcPr>
            <w:tcW w:w="218" w:type="pct"/>
          </w:tcPr>
          <w:p w14:paraId="34DC1518"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c>
          <w:tcPr>
            <w:tcW w:w="324" w:type="pct"/>
          </w:tcPr>
          <w:p w14:paraId="7A2213A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m</w:t>
            </w:r>
            <w:r w:rsidRPr="00370449">
              <w:rPr>
                <w:vertAlign w:val="superscript"/>
              </w:rPr>
              <w:t>3</w:t>
            </w:r>
          </w:p>
        </w:tc>
        <w:tc>
          <w:tcPr>
            <w:tcW w:w="377" w:type="pct"/>
          </w:tcPr>
          <w:p w14:paraId="0858067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Victoria</w:t>
            </w:r>
          </w:p>
        </w:tc>
        <w:tc>
          <w:tcPr>
            <w:tcW w:w="568" w:type="pct"/>
          </w:tcPr>
          <w:p w14:paraId="33FDE51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Forests</w:t>
            </w:r>
          </w:p>
        </w:tc>
        <w:tc>
          <w:tcPr>
            <w:tcW w:w="2274" w:type="pct"/>
          </w:tcPr>
          <w:p w14:paraId="2E4B8578"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ABARES (2019) Australian forest and wood product statistics in DELWP (2019) Ecosystem services from forests in Victoria</w:t>
            </w:r>
          </w:p>
        </w:tc>
        <w:tc>
          <w:tcPr>
            <w:tcW w:w="295" w:type="pct"/>
          </w:tcPr>
          <w:p w14:paraId="224C10B5"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2017-18</w:t>
            </w:r>
          </w:p>
        </w:tc>
      </w:tr>
      <w:tr w:rsidR="00FA0AF1" w:rsidRPr="002F335D" w14:paraId="79179794" w14:textId="77777777" w:rsidTr="00FA0AF1">
        <w:trPr>
          <w:trHeight w:val="164"/>
        </w:trPr>
        <w:tc>
          <w:tcPr>
            <w:cnfStyle w:val="001000000000" w:firstRow="0" w:lastRow="0" w:firstColumn="1" w:lastColumn="0" w:oddVBand="0" w:evenVBand="0" w:oddHBand="0" w:evenHBand="0" w:firstRowFirstColumn="0" w:firstRowLastColumn="0" w:lastRowFirstColumn="0" w:lastRowLastColumn="0"/>
            <w:tcW w:w="314" w:type="pct"/>
            <w:vMerge w:val="restart"/>
          </w:tcPr>
          <w:p w14:paraId="680BB8BB" w14:textId="77777777" w:rsidR="00F50B5A" w:rsidRPr="00370449" w:rsidRDefault="00F50B5A" w:rsidP="00FA0AF1">
            <w:pPr>
              <w:pStyle w:val="TableTextLeft"/>
            </w:pPr>
            <w:r w:rsidRPr="00370449">
              <w:t>Coastal protection</w:t>
            </w:r>
          </w:p>
        </w:tc>
        <w:tc>
          <w:tcPr>
            <w:tcW w:w="632" w:type="pct"/>
          </w:tcPr>
          <w:p w14:paraId="24BAD8F8"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Reduced wave energy</w:t>
            </w:r>
          </w:p>
        </w:tc>
        <w:tc>
          <w:tcPr>
            <w:tcW w:w="218" w:type="pct"/>
          </w:tcPr>
          <w:p w14:paraId="2F225F5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37 to 71</w:t>
            </w:r>
          </w:p>
        </w:tc>
        <w:tc>
          <w:tcPr>
            <w:tcW w:w="324" w:type="pct"/>
          </w:tcPr>
          <w:p w14:paraId="54AF42E6"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c>
          <w:tcPr>
            <w:tcW w:w="377" w:type="pct"/>
          </w:tcPr>
          <w:p w14:paraId="62A64C4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Victoria</w:t>
            </w:r>
          </w:p>
        </w:tc>
        <w:tc>
          <w:tcPr>
            <w:tcW w:w="568" w:type="pct"/>
          </w:tcPr>
          <w:p w14:paraId="20C9B1D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Seagrass / Saltmarsh / Mangrove</w:t>
            </w:r>
          </w:p>
        </w:tc>
        <w:tc>
          <w:tcPr>
            <w:tcW w:w="2274" w:type="pct"/>
          </w:tcPr>
          <w:p w14:paraId="74B746D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Carnell et al (2019) Mapping Ocean Wealth Australia</w:t>
            </w:r>
          </w:p>
        </w:tc>
        <w:tc>
          <w:tcPr>
            <w:tcW w:w="295" w:type="pct"/>
          </w:tcPr>
          <w:p w14:paraId="36265F02"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2019</w:t>
            </w:r>
          </w:p>
        </w:tc>
      </w:tr>
      <w:tr w:rsidR="00FA0AF1" w:rsidRPr="002F335D" w14:paraId="7C458660" w14:textId="77777777" w:rsidTr="00FA0AF1">
        <w:trPr>
          <w:trHeight w:val="164"/>
        </w:trPr>
        <w:tc>
          <w:tcPr>
            <w:cnfStyle w:val="001000000000" w:firstRow="0" w:lastRow="0" w:firstColumn="1" w:lastColumn="0" w:oddVBand="0" w:evenVBand="0" w:oddHBand="0" w:evenHBand="0" w:firstRowFirstColumn="0" w:firstRowLastColumn="0" w:lastRowFirstColumn="0" w:lastRowLastColumn="0"/>
            <w:tcW w:w="314" w:type="pct"/>
            <w:vMerge/>
          </w:tcPr>
          <w:p w14:paraId="191F1063" w14:textId="77777777" w:rsidR="00F50B5A" w:rsidRPr="00370449" w:rsidRDefault="00F50B5A" w:rsidP="00FA0AF1">
            <w:pPr>
              <w:pStyle w:val="TableTextLeft"/>
            </w:pPr>
          </w:p>
        </w:tc>
        <w:tc>
          <w:tcPr>
            <w:tcW w:w="632" w:type="pct"/>
          </w:tcPr>
          <w:p w14:paraId="57C476F6"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Reduced storm surge impacts</w:t>
            </w:r>
          </w:p>
        </w:tc>
        <w:tc>
          <w:tcPr>
            <w:tcW w:w="218" w:type="pct"/>
          </w:tcPr>
          <w:p w14:paraId="2714A2C5"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c>
          <w:tcPr>
            <w:tcW w:w="324" w:type="pct"/>
          </w:tcPr>
          <w:p w14:paraId="5DB52C8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Low to high</w:t>
            </w:r>
          </w:p>
        </w:tc>
        <w:tc>
          <w:tcPr>
            <w:tcW w:w="377" w:type="pct"/>
          </w:tcPr>
          <w:p w14:paraId="0A79B2B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Victoria</w:t>
            </w:r>
          </w:p>
        </w:tc>
        <w:tc>
          <w:tcPr>
            <w:tcW w:w="568" w:type="pct"/>
          </w:tcPr>
          <w:p w14:paraId="79C94255"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Seagrass / Saltmarsh / Mangrove</w:t>
            </w:r>
          </w:p>
        </w:tc>
        <w:tc>
          <w:tcPr>
            <w:tcW w:w="2274" w:type="pct"/>
          </w:tcPr>
          <w:p w14:paraId="3902B7C2"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 xml:space="preserve">Carnell et al (2019) Mapping Ocean Wealth Australia </w:t>
            </w:r>
          </w:p>
        </w:tc>
        <w:tc>
          <w:tcPr>
            <w:tcW w:w="295" w:type="pct"/>
          </w:tcPr>
          <w:p w14:paraId="3850512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2019</w:t>
            </w:r>
          </w:p>
        </w:tc>
      </w:tr>
      <w:tr w:rsidR="00FA0AF1" w:rsidRPr="002F335D" w14:paraId="0519288A" w14:textId="77777777" w:rsidTr="00FA0AF1">
        <w:trPr>
          <w:trHeight w:val="164"/>
        </w:trPr>
        <w:tc>
          <w:tcPr>
            <w:cnfStyle w:val="001000000000" w:firstRow="0" w:lastRow="0" w:firstColumn="1" w:lastColumn="0" w:oddVBand="0" w:evenVBand="0" w:oddHBand="0" w:evenHBand="0" w:firstRowFirstColumn="0" w:firstRowLastColumn="0" w:lastRowFirstColumn="0" w:lastRowLastColumn="0"/>
            <w:tcW w:w="314" w:type="pct"/>
            <w:vMerge/>
          </w:tcPr>
          <w:p w14:paraId="124108D7" w14:textId="77777777" w:rsidR="00F50B5A" w:rsidRPr="00370449" w:rsidRDefault="00F50B5A" w:rsidP="00FA0AF1">
            <w:pPr>
              <w:pStyle w:val="TableTextLeft"/>
            </w:pPr>
          </w:p>
        </w:tc>
        <w:tc>
          <w:tcPr>
            <w:tcW w:w="632" w:type="pct"/>
          </w:tcPr>
          <w:p w14:paraId="63FCCC3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Length of coastal wetlands located around coastal towns / communities</w:t>
            </w:r>
          </w:p>
        </w:tc>
        <w:tc>
          <w:tcPr>
            <w:tcW w:w="218" w:type="pct"/>
          </w:tcPr>
          <w:p w14:paraId="7434197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c>
          <w:tcPr>
            <w:tcW w:w="324" w:type="pct"/>
          </w:tcPr>
          <w:p w14:paraId="0DC22495"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Km</w:t>
            </w:r>
          </w:p>
        </w:tc>
        <w:tc>
          <w:tcPr>
            <w:tcW w:w="377" w:type="pct"/>
          </w:tcPr>
          <w:p w14:paraId="6C0211B6"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Victoria</w:t>
            </w:r>
          </w:p>
        </w:tc>
        <w:tc>
          <w:tcPr>
            <w:tcW w:w="568" w:type="pct"/>
          </w:tcPr>
          <w:p w14:paraId="266E6C0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Coastal wetlands</w:t>
            </w:r>
          </w:p>
        </w:tc>
        <w:tc>
          <w:tcPr>
            <w:tcW w:w="2274" w:type="pct"/>
          </w:tcPr>
          <w:p w14:paraId="75340F0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DELWP and Parks Victoria (2015), Valuing Victoria’s Parks: Accounting for ecosystems and valuing their benefits</w:t>
            </w:r>
          </w:p>
        </w:tc>
        <w:tc>
          <w:tcPr>
            <w:tcW w:w="295" w:type="pct"/>
          </w:tcPr>
          <w:p w14:paraId="693082D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2015</w:t>
            </w:r>
          </w:p>
        </w:tc>
      </w:tr>
      <w:tr w:rsidR="00FA0AF1" w:rsidRPr="002F335D" w14:paraId="12A89174" w14:textId="77777777" w:rsidTr="00FA0AF1">
        <w:trPr>
          <w:trHeight w:val="164"/>
        </w:trPr>
        <w:tc>
          <w:tcPr>
            <w:cnfStyle w:val="001000000000" w:firstRow="0" w:lastRow="0" w:firstColumn="1" w:lastColumn="0" w:oddVBand="0" w:evenVBand="0" w:oddHBand="0" w:evenHBand="0" w:firstRowFirstColumn="0" w:firstRowLastColumn="0" w:lastRowFirstColumn="0" w:lastRowLastColumn="0"/>
            <w:tcW w:w="314" w:type="pct"/>
            <w:vMerge w:val="restart"/>
          </w:tcPr>
          <w:p w14:paraId="3134D7DA" w14:textId="77777777" w:rsidR="00F50B5A" w:rsidRPr="00370449" w:rsidRDefault="00F50B5A" w:rsidP="00FA0AF1">
            <w:pPr>
              <w:pStyle w:val="TableTextLeft"/>
            </w:pPr>
            <w:r w:rsidRPr="00370449">
              <w:t>Cultural heritage</w:t>
            </w:r>
          </w:p>
        </w:tc>
        <w:tc>
          <w:tcPr>
            <w:tcW w:w="632" w:type="pct"/>
          </w:tcPr>
          <w:p w14:paraId="534995F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Assets of cultural heritage</w:t>
            </w:r>
          </w:p>
        </w:tc>
        <w:tc>
          <w:tcPr>
            <w:tcW w:w="218" w:type="pct"/>
          </w:tcPr>
          <w:p w14:paraId="490C1C45"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p>
        </w:tc>
        <w:tc>
          <w:tcPr>
            <w:tcW w:w="324" w:type="pct"/>
          </w:tcPr>
          <w:p w14:paraId="70A56B9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Number</w:t>
            </w:r>
          </w:p>
        </w:tc>
        <w:tc>
          <w:tcPr>
            <w:tcW w:w="377" w:type="pct"/>
          </w:tcPr>
          <w:p w14:paraId="151D689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Victoria</w:t>
            </w:r>
          </w:p>
        </w:tc>
        <w:tc>
          <w:tcPr>
            <w:tcW w:w="568" w:type="pct"/>
          </w:tcPr>
          <w:p w14:paraId="2442D99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All</w:t>
            </w:r>
          </w:p>
        </w:tc>
        <w:tc>
          <w:tcPr>
            <w:tcW w:w="2274" w:type="pct"/>
          </w:tcPr>
          <w:p w14:paraId="33A2B3E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Various including Parks Victoria, Victorian Heritage Register, Aboriginal Victoria and OCES (2018)</w:t>
            </w:r>
          </w:p>
        </w:tc>
        <w:tc>
          <w:tcPr>
            <w:tcW w:w="295" w:type="pct"/>
          </w:tcPr>
          <w:p w14:paraId="03DB646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n.d.</w:t>
            </w:r>
          </w:p>
        </w:tc>
      </w:tr>
      <w:tr w:rsidR="00FA0AF1" w:rsidRPr="002F335D" w14:paraId="33CF5F44" w14:textId="77777777" w:rsidTr="00FA0AF1">
        <w:trPr>
          <w:trHeight w:val="164"/>
        </w:trPr>
        <w:tc>
          <w:tcPr>
            <w:cnfStyle w:val="001000000000" w:firstRow="0" w:lastRow="0" w:firstColumn="1" w:lastColumn="0" w:oddVBand="0" w:evenVBand="0" w:oddHBand="0" w:evenHBand="0" w:firstRowFirstColumn="0" w:firstRowLastColumn="0" w:lastRowFirstColumn="0" w:lastRowLastColumn="0"/>
            <w:tcW w:w="314" w:type="pct"/>
            <w:vMerge/>
          </w:tcPr>
          <w:p w14:paraId="67E0B92C" w14:textId="77777777" w:rsidR="00F50B5A" w:rsidRPr="00370449" w:rsidRDefault="00F50B5A" w:rsidP="00FA0AF1">
            <w:pPr>
              <w:pStyle w:val="TableTextLeft"/>
            </w:pPr>
          </w:p>
        </w:tc>
        <w:tc>
          <w:tcPr>
            <w:tcW w:w="632" w:type="pct"/>
          </w:tcPr>
          <w:p w14:paraId="332CC95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Recreational visits for heritage activity</w:t>
            </w:r>
          </w:p>
        </w:tc>
        <w:tc>
          <w:tcPr>
            <w:tcW w:w="218" w:type="pct"/>
          </w:tcPr>
          <w:p w14:paraId="5835E2B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c>
          <w:tcPr>
            <w:tcW w:w="324" w:type="pct"/>
          </w:tcPr>
          <w:p w14:paraId="2646FF2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Visits</w:t>
            </w:r>
          </w:p>
        </w:tc>
        <w:tc>
          <w:tcPr>
            <w:tcW w:w="377" w:type="pct"/>
          </w:tcPr>
          <w:p w14:paraId="0CB6C33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Victoria</w:t>
            </w:r>
          </w:p>
        </w:tc>
        <w:tc>
          <w:tcPr>
            <w:tcW w:w="568" w:type="pct"/>
          </w:tcPr>
          <w:p w14:paraId="5A6B3B1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All</w:t>
            </w:r>
          </w:p>
        </w:tc>
        <w:tc>
          <w:tcPr>
            <w:tcW w:w="2274" w:type="pct"/>
          </w:tcPr>
          <w:p w14:paraId="5EC5D636"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 xml:space="preserve">Various including Surf Coast Shire (2019), Parks Visitation Monitor Quarter 1-4 (2013) and ABS (2012) </w:t>
            </w:r>
          </w:p>
        </w:tc>
        <w:tc>
          <w:tcPr>
            <w:tcW w:w="295" w:type="pct"/>
          </w:tcPr>
          <w:p w14:paraId="66B7CA0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n.d.</w:t>
            </w:r>
          </w:p>
        </w:tc>
      </w:tr>
      <w:tr w:rsidR="00FA0AF1" w:rsidRPr="002F335D" w14:paraId="0632BE15" w14:textId="77777777" w:rsidTr="00FA0AF1">
        <w:trPr>
          <w:trHeight w:val="164"/>
        </w:trPr>
        <w:tc>
          <w:tcPr>
            <w:cnfStyle w:val="001000000000" w:firstRow="0" w:lastRow="0" w:firstColumn="1" w:lastColumn="0" w:oddVBand="0" w:evenVBand="0" w:oddHBand="0" w:evenHBand="0" w:firstRowFirstColumn="0" w:firstRowLastColumn="0" w:lastRowFirstColumn="0" w:lastRowLastColumn="0"/>
            <w:tcW w:w="314" w:type="pct"/>
            <w:vMerge w:val="restart"/>
          </w:tcPr>
          <w:p w14:paraId="358687EC" w14:textId="77777777" w:rsidR="00F50B5A" w:rsidRPr="00370449" w:rsidRDefault="00F50B5A" w:rsidP="00FA0AF1">
            <w:pPr>
              <w:pStyle w:val="TableTextLeft"/>
            </w:pPr>
            <w:r w:rsidRPr="00370449">
              <w:t>Education</w:t>
            </w:r>
          </w:p>
        </w:tc>
        <w:tc>
          <w:tcPr>
            <w:tcW w:w="632" w:type="pct"/>
          </w:tcPr>
          <w:p w14:paraId="051948D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Number of educational visits</w:t>
            </w:r>
          </w:p>
        </w:tc>
        <w:tc>
          <w:tcPr>
            <w:tcW w:w="218" w:type="pct"/>
          </w:tcPr>
          <w:p w14:paraId="360D4836"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c>
          <w:tcPr>
            <w:tcW w:w="324" w:type="pct"/>
          </w:tcPr>
          <w:p w14:paraId="3698181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Number</w:t>
            </w:r>
          </w:p>
        </w:tc>
        <w:tc>
          <w:tcPr>
            <w:tcW w:w="377" w:type="pct"/>
          </w:tcPr>
          <w:p w14:paraId="03E1B182"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Victoria</w:t>
            </w:r>
          </w:p>
        </w:tc>
        <w:tc>
          <w:tcPr>
            <w:tcW w:w="568" w:type="pct"/>
          </w:tcPr>
          <w:p w14:paraId="046378B6"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Outdoors</w:t>
            </w:r>
          </w:p>
        </w:tc>
        <w:tc>
          <w:tcPr>
            <w:tcW w:w="2274" w:type="pct"/>
          </w:tcPr>
          <w:p w14:paraId="771A7F3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Victorian Department for Education and Training (DET) Student Activity Locator database</w:t>
            </w:r>
          </w:p>
        </w:tc>
        <w:tc>
          <w:tcPr>
            <w:tcW w:w="295" w:type="pct"/>
          </w:tcPr>
          <w:p w14:paraId="4E90059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n.d.</w:t>
            </w:r>
          </w:p>
        </w:tc>
      </w:tr>
      <w:tr w:rsidR="00FA0AF1" w:rsidRPr="002F335D" w14:paraId="15866011" w14:textId="77777777" w:rsidTr="00FA0AF1">
        <w:trPr>
          <w:trHeight w:val="164"/>
        </w:trPr>
        <w:tc>
          <w:tcPr>
            <w:cnfStyle w:val="001000000000" w:firstRow="0" w:lastRow="0" w:firstColumn="1" w:lastColumn="0" w:oddVBand="0" w:evenVBand="0" w:oddHBand="0" w:evenHBand="0" w:firstRowFirstColumn="0" w:firstRowLastColumn="0" w:lastRowFirstColumn="0" w:lastRowLastColumn="0"/>
            <w:tcW w:w="314" w:type="pct"/>
            <w:vMerge/>
          </w:tcPr>
          <w:p w14:paraId="63B2F1C3" w14:textId="77777777" w:rsidR="00F50B5A" w:rsidRPr="00370449" w:rsidRDefault="00F50B5A" w:rsidP="00FA0AF1">
            <w:pPr>
              <w:pStyle w:val="TableTextLeft"/>
            </w:pPr>
          </w:p>
        </w:tc>
        <w:tc>
          <w:tcPr>
            <w:tcW w:w="632" w:type="pct"/>
          </w:tcPr>
          <w:p w14:paraId="62F1A04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Number of educational visits / permits</w:t>
            </w:r>
          </w:p>
        </w:tc>
        <w:tc>
          <w:tcPr>
            <w:tcW w:w="218" w:type="pct"/>
          </w:tcPr>
          <w:p w14:paraId="6A9EA6D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c>
          <w:tcPr>
            <w:tcW w:w="324" w:type="pct"/>
          </w:tcPr>
          <w:p w14:paraId="6373B19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Number</w:t>
            </w:r>
          </w:p>
        </w:tc>
        <w:tc>
          <w:tcPr>
            <w:tcW w:w="377" w:type="pct"/>
          </w:tcPr>
          <w:p w14:paraId="6871CB9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Victoria</w:t>
            </w:r>
          </w:p>
        </w:tc>
        <w:tc>
          <w:tcPr>
            <w:tcW w:w="568" w:type="pct"/>
          </w:tcPr>
          <w:p w14:paraId="709D68B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Parks</w:t>
            </w:r>
          </w:p>
        </w:tc>
        <w:tc>
          <w:tcPr>
            <w:tcW w:w="2274" w:type="pct"/>
          </w:tcPr>
          <w:p w14:paraId="61C6A85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 xml:space="preserve">Parks Victoria in DELWP and PV (2015) </w:t>
            </w:r>
          </w:p>
        </w:tc>
        <w:tc>
          <w:tcPr>
            <w:tcW w:w="295" w:type="pct"/>
          </w:tcPr>
          <w:p w14:paraId="1D35017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n.d.</w:t>
            </w:r>
          </w:p>
        </w:tc>
      </w:tr>
      <w:tr w:rsidR="00FA0AF1" w:rsidRPr="002F335D" w14:paraId="29E38D4F" w14:textId="77777777" w:rsidTr="00FA0AF1">
        <w:trPr>
          <w:trHeight w:val="164"/>
        </w:trPr>
        <w:tc>
          <w:tcPr>
            <w:cnfStyle w:val="001000000000" w:firstRow="0" w:lastRow="0" w:firstColumn="1" w:lastColumn="0" w:oddVBand="0" w:evenVBand="0" w:oddHBand="0" w:evenHBand="0" w:firstRowFirstColumn="0" w:firstRowLastColumn="0" w:lastRowFirstColumn="0" w:lastRowLastColumn="0"/>
            <w:tcW w:w="314" w:type="pct"/>
          </w:tcPr>
          <w:p w14:paraId="5F202F3C" w14:textId="77777777" w:rsidR="00F50B5A" w:rsidRPr="00370449" w:rsidRDefault="00F50B5A" w:rsidP="00FA0AF1">
            <w:pPr>
              <w:pStyle w:val="TableTextLeft"/>
            </w:pPr>
            <w:r w:rsidRPr="00370449">
              <w:t>Energy</w:t>
            </w:r>
          </w:p>
        </w:tc>
        <w:tc>
          <w:tcPr>
            <w:tcW w:w="632" w:type="pct"/>
          </w:tcPr>
          <w:p w14:paraId="70C1007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Firewood collection – domestic and commercial</w:t>
            </w:r>
          </w:p>
        </w:tc>
        <w:tc>
          <w:tcPr>
            <w:tcW w:w="218" w:type="pct"/>
          </w:tcPr>
          <w:p w14:paraId="373ABB4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c>
          <w:tcPr>
            <w:tcW w:w="324" w:type="pct"/>
          </w:tcPr>
          <w:p w14:paraId="632E7C1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m</w:t>
            </w:r>
            <w:r w:rsidRPr="00370449">
              <w:rPr>
                <w:vertAlign w:val="superscript"/>
              </w:rPr>
              <w:t>3</w:t>
            </w:r>
          </w:p>
        </w:tc>
        <w:tc>
          <w:tcPr>
            <w:tcW w:w="377" w:type="pct"/>
          </w:tcPr>
          <w:p w14:paraId="095C33A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Victoria</w:t>
            </w:r>
          </w:p>
        </w:tc>
        <w:tc>
          <w:tcPr>
            <w:tcW w:w="568" w:type="pct"/>
          </w:tcPr>
          <w:p w14:paraId="3136AD0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Forests</w:t>
            </w:r>
          </w:p>
        </w:tc>
        <w:tc>
          <w:tcPr>
            <w:tcW w:w="2274" w:type="pct"/>
          </w:tcPr>
          <w:p w14:paraId="19993FE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VicForests 2018, VicForests annual report 2017-18 and DELWP (2019) Ecosystem services from forests in Victoria</w:t>
            </w:r>
          </w:p>
        </w:tc>
        <w:tc>
          <w:tcPr>
            <w:tcW w:w="295" w:type="pct"/>
          </w:tcPr>
          <w:p w14:paraId="2734A67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2017-18</w:t>
            </w:r>
          </w:p>
        </w:tc>
      </w:tr>
      <w:tr w:rsidR="00FA0AF1" w:rsidRPr="002F335D" w14:paraId="3B4525A1"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val="restart"/>
          </w:tcPr>
          <w:p w14:paraId="19B0D443" w14:textId="77777777" w:rsidR="00F50B5A" w:rsidRPr="00370449" w:rsidRDefault="00F50B5A" w:rsidP="00FA0AF1">
            <w:pPr>
              <w:pStyle w:val="TableTextLeft"/>
            </w:pPr>
            <w:r w:rsidRPr="00370449">
              <w:t>Existence / Option</w:t>
            </w:r>
          </w:p>
        </w:tc>
        <w:tc>
          <w:tcPr>
            <w:tcW w:w="632" w:type="pct"/>
          </w:tcPr>
          <w:p w14:paraId="2FCBC98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Rare and threatened species</w:t>
            </w:r>
          </w:p>
        </w:tc>
        <w:tc>
          <w:tcPr>
            <w:tcW w:w="218" w:type="pct"/>
          </w:tcPr>
          <w:p w14:paraId="37FF534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c>
          <w:tcPr>
            <w:tcW w:w="324" w:type="pct"/>
          </w:tcPr>
          <w:p w14:paraId="592AA1B5"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Number</w:t>
            </w:r>
          </w:p>
        </w:tc>
        <w:tc>
          <w:tcPr>
            <w:tcW w:w="377" w:type="pct"/>
          </w:tcPr>
          <w:p w14:paraId="538A919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Great Ocean Road</w:t>
            </w:r>
          </w:p>
        </w:tc>
        <w:tc>
          <w:tcPr>
            <w:tcW w:w="568" w:type="pct"/>
          </w:tcPr>
          <w:p w14:paraId="05FF4856"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All</w:t>
            </w:r>
          </w:p>
        </w:tc>
        <w:tc>
          <w:tcPr>
            <w:tcW w:w="2274" w:type="pct"/>
          </w:tcPr>
          <w:p w14:paraId="2D86CAD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DELWP (2019) NVR2017_Location and DELWP (2020) Victorian Biodiversity Atlas</w:t>
            </w:r>
          </w:p>
        </w:tc>
        <w:tc>
          <w:tcPr>
            <w:tcW w:w="295" w:type="pct"/>
          </w:tcPr>
          <w:p w14:paraId="2721159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2019</w:t>
            </w:r>
          </w:p>
        </w:tc>
      </w:tr>
      <w:tr w:rsidR="00FA0AF1" w:rsidRPr="002F335D" w14:paraId="469CEB3C" w14:textId="77777777" w:rsidTr="00FA0AF1">
        <w:trPr>
          <w:trHeight w:val="260"/>
        </w:trPr>
        <w:tc>
          <w:tcPr>
            <w:cnfStyle w:val="001000000000" w:firstRow="0" w:lastRow="0" w:firstColumn="1" w:lastColumn="0" w:oddVBand="0" w:evenVBand="0" w:oddHBand="0" w:evenHBand="0" w:firstRowFirstColumn="0" w:firstRowLastColumn="0" w:lastRowFirstColumn="0" w:lastRowLastColumn="0"/>
            <w:tcW w:w="314" w:type="pct"/>
            <w:vMerge/>
          </w:tcPr>
          <w:p w14:paraId="66C1760A" w14:textId="77777777" w:rsidR="00F50B5A" w:rsidRPr="00370449" w:rsidRDefault="00F50B5A" w:rsidP="00FA0AF1">
            <w:pPr>
              <w:pStyle w:val="TableTextLeft"/>
            </w:pPr>
          </w:p>
        </w:tc>
        <w:tc>
          <w:tcPr>
            <w:tcW w:w="632" w:type="pct"/>
          </w:tcPr>
          <w:p w14:paraId="26DA54B2"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Habitat extent/quality for threatened species</w:t>
            </w:r>
          </w:p>
        </w:tc>
        <w:tc>
          <w:tcPr>
            <w:tcW w:w="218" w:type="pct"/>
          </w:tcPr>
          <w:p w14:paraId="20EFFC32"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All</w:t>
            </w:r>
          </w:p>
        </w:tc>
        <w:tc>
          <w:tcPr>
            <w:tcW w:w="324" w:type="pct"/>
          </w:tcPr>
          <w:p w14:paraId="31AAC13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Score</w:t>
            </w:r>
          </w:p>
        </w:tc>
        <w:tc>
          <w:tcPr>
            <w:tcW w:w="377" w:type="pct"/>
          </w:tcPr>
          <w:p w14:paraId="7EC4080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Victoria</w:t>
            </w:r>
          </w:p>
        </w:tc>
        <w:tc>
          <w:tcPr>
            <w:tcW w:w="568" w:type="pct"/>
          </w:tcPr>
          <w:p w14:paraId="4175616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All</w:t>
            </w:r>
          </w:p>
        </w:tc>
        <w:tc>
          <w:tcPr>
            <w:tcW w:w="2274" w:type="pct"/>
          </w:tcPr>
          <w:p w14:paraId="4F26199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ARI Integrated Biodiversity Values Model (IBVM)</w:t>
            </w:r>
          </w:p>
        </w:tc>
        <w:tc>
          <w:tcPr>
            <w:tcW w:w="295" w:type="pct"/>
          </w:tcPr>
          <w:p w14:paraId="03B15F2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n.d.</w:t>
            </w:r>
          </w:p>
        </w:tc>
      </w:tr>
      <w:tr w:rsidR="00FA0AF1" w:rsidRPr="002F335D" w14:paraId="0A89EADB"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val="restart"/>
          </w:tcPr>
          <w:p w14:paraId="0CF924E2" w14:textId="77777777" w:rsidR="00F50B5A" w:rsidRPr="00370449" w:rsidRDefault="00F50B5A" w:rsidP="00FA0AF1">
            <w:pPr>
              <w:pStyle w:val="TableTextLeft"/>
            </w:pPr>
            <w:r w:rsidRPr="00370449">
              <w:t>Food</w:t>
            </w:r>
          </w:p>
        </w:tc>
        <w:tc>
          <w:tcPr>
            <w:tcW w:w="632" w:type="pct"/>
          </w:tcPr>
          <w:p w14:paraId="4D089B8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Reduced fish catch due to habitat loss</w:t>
            </w:r>
          </w:p>
        </w:tc>
        <w:tc>
          <w:tcPr>
            <w:tcW w:w="218" w:type="pct"/>
          </w:tcPr>
          <w:p w14:paraId="5E43C1C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40</w:t>
            </w:r>
          </w:p>
        </w:tc>
        <w:tc>
          <w:tcPr>
            <w:tcW w:w="324" w:type="pct"/>
          </w:tcPr>
          <w:p w14:paraId="686D64B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vertAlign w:val="superscript"/>
              </w:rPr>
            </w:pPr>
            <w:r w:rsidRPr="00370449">
              <w:t>% / year</w:t>
            </w:r>
          </w:p>
        </w:tc>
        <w:tc>
          <w:tcPr>
            <w:tcW w:w="377" w:type="pct"/>
          </w:tcPr>
          <w:p w14:paraId="47BE1C52"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Port Phillip Bay</w:t>
            </w:r>
          </w:p>
        </w:tc>
        <w:tc>
          <w:tcPr>
            <w:tcW w:w="568" w:type="pct"/>
          </w:tcPr>
          <w:p w14:paraId="63514D1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Seagrass</w:t>
            </w:r>
          </w:p>
        </w:tc>
        <w:tc>
          <w:tcPr>
            <w:tcW w:w="2274" w:type="pct"/>
          </w:tcPr>
          <w:p w14:paraId="4106E98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KPMG (1997) The Bays Asset Management Study. Department of State Development in URS (2007)</w:t>
            </w:r>
          </w:p>
        </w:tc>
        <w:tc>
          <w:tcPr>
            <w:tcW w:w="295" w:type="pct"/>
          </w:tcPr>
          <w:p w14:paraId="413ADF0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1974-96</w:t>
            </w:r>
          </w:p>
        </w:tc>
      </w:tr>
      <w:tr w:rsidR="00FA0AF1" w:rsidRPr="002F335D" w14:paraId="5D9A2E8E"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tcPr>
          <w:p w14:paraId="68037D97" w14:textId="77777777" w:rsidR="00F50B5A" w:rsidRPr="00370449" w:rsidRDefault="00F50B5A" w:rsidP="00FA0AF1">
            <w:pPr>
              <w:pStyle w:val="TableTextLeft"/>
            </w:pPr>
          </w:p>
        </w:tc>
        <w:tc>
          <w:tcPr>
            <w:tcW w:w="632" w:type="pct"/>
          </w:tcPr>
          <w:p w14:paraId="68F6063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Total annual enhancement of species</w:t>
            </w:r>
          </w:p>
        </w:tc>
        <w:tc>
          <w:tcPr>
            <w:tcW w:w="218" w:type="pct"/>
          </w:tcPr>
          <w:p w14:paraId="415A19B8"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p>
        </w:tc>
        <w:tc>
          <w:tcPr>
            <w:tcW w:w="324" w:type="pct"/>
          </w:tcPr>
          <w:p w14:paraId="38996D3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grams / m</w:t>
            </w:r>
            <w:r w:rsidRPr="00370449">
              <w:rPr>
                <w:vertAlign w:val="superscript"/>
              </w:rPr>
              <w:t>2</w:t>
            </w:r>
          </w:p>
        </w:tc>
        <w:tc>
          <w:tcPr>
            <w:tcW w:w="377" w:type="pct"/>
          </w:tcPr>
          <w:p w14:paraId="71002B8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Southern Australia</w:t>
            </w:r>
          </w:p>
        </w:tc>
        <w:tc>
          <w:tcPr>
            <w:tcW w:w="568" w:type="pct"/>
          </w:tcPr>
          <w:p w14:paraId="2E93A62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Seagrass</w:t>
            </w:r>
          </w:p>
        </w:tc>
        <w:tc>
          <w:tcPr>
            <w:tcW w:w="2274" w:type="pct"/>
          </w:tcPr>
          <w:p w14:paraId="7158F4A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 xml:space="preserve">Blandon and </w:t>
            </w:r>
            <w:proofErr w:type="spellStart"/>
            <w:r w:rsidRPr="00370449">
              <w:t>zu</w:t>
            </w:r>
            <w:proofErr w:type="spellEnd"/>
            <w:r w:rsidRPr="00370449">
              <w:t xml:space="preserve"> </w:t>
            </w:r>
            <w:proofErr w:type="spellStart"/>
            <w:r w:rsidRPr="00370449">
              <w:t>Ermgassen</w:t>
            </w:r>
            <w:proofErr w:type="spellEnd"/>
            <w:r w:rsidRPr="00370449">
              <w:t xml:space="preserve"> (2014) Quantitative estimate of commercial fish enhancement by seagrass habitat in Southern Australia in DELWP (2016)</w:t>
            </w:r>
          </w:p>
        </w:tc>
        <w:tc>
          <w:tcPr>
            <w:tcW w:w="295" w:type="pct"/>
          </w:tcPr>
          <w:p w14:paraId="7CAEEBD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2014</w:t>
            </w:r>
          </w:p>
        </w:tc>
      </w:tr>
      <w:tr w:rsidR="00FA0AF1" w:rsidRPr="002F335D" w14:paraId="0524636E"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tcPr>
          <w:p w14:paraId="7EF8F83D" w14:textId="77777777" w:rsidR="00F50B5A" w:rsidRPr="00370449" w:rsidRDefault="00F50B5A" w:rsidP="00FA0AF1">
            <w:pPr>
              <w:pStyle w:val="TableTextLeft"/>
            </w:pPr>
          </w:p>
        </w:tc>
        <w:tc>
          <w:tcPr>
            <w:tcW w:w="632" w:type="pct"/>
          </w:tcPr>
          <w:p w14:paraId="305849A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Total annual production values attributable to ecosystems</w:t>
            </w:r>
          </w:p>
        </w:tc>
        <w:tc>
          <w:tcPr>
            <w:tcW w:w="218" w:type="pct"/>
          </w:tcPr>
          <w:p w14:paraId="460D569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c>
          <w:tcPr>
            <w:tcW w:w="324" w:type="pct"/>
          </w:tcPr>
          <w:p w14:paraId="08BED18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Tonnes / ha</w:t>
            </w:r>
          </w:p>
        </w:tc>
        <w:tc>
          <w:tcPr>
            <w:tcW w:w="377" w:type="pct"/>
          </w:tcPr>
          <w:p w14:paraId="1B79854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South</w:t>
            </w:r>
            <w:r>
              <w:t>-</w:t>
            </w:r>
            <w:r w:rsidRPr="00370449">
              <w:t>East Australia</w:t>
            </w:r>
          </w:p>
        </w:tc>
        <w:tc>
          <w:tcPr>
            <w:tcW w:w="568" w:type="pct"/>
          </w:tcPr>
          <w:p w14:paraId="1FFBE9F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Seagrass / Saltmarsh /Mangrove</w:t>
            </w:r>
          </w:p>
        </w:tc>
        <w:tc>
          <w:tcPr>
            <w:tcW w:w="2274" w:type="pct"/>
          </w:tcPr>
          <w:p w14:paraId="1E4A658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Carnell et al (2019) Mapping Ocean Wealth Australia</w:t>
            </w:r>
          </w:p>
        </w:tc>
        <w:tc>
          <w:tcPr>
            <w:tcW w:w="295" w:type="pct"/>
          </w:tcPr>
          <w:p w14:paraId="272658A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2019</w:t>
            </w:r>
          </w:p>
        </w:tc>
      </w:tr>
      <w:tr w:rsidR="00FA0AF1" w:rsidRPr="002F335D" w14:paraId="3A5B7F74"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tcPr>
          <w:p w14:paraId="60071520" w14:textId="77777777" w:rsidR="00F50B5A" w:rsidRPr="00370449" w:rsidRDefault="00F50B5A" w:rsidP="00FA0AF1">
            <w:pPr>
              <w:pStyle w:val="TableTextLeft"/>
            </w:pPr>
          </w:p>
        </w:tc>
        <w:tc>
          <w:tcPr>
            <w:tcW w:w="632" w:type="pct"/>
          </w:tcPr>
          <w:p w14:paraId="0AC2663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Total volume of production</w:t>
            </w:r>
          </w:p>
        </w:tc>
        <w:tc>
          <w:tcPr>
            <w:tcW w:w="218" w:type="pct"/>
          </w:tcPr>
          <w:p w14:paraId="5ED8DE1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c>
          <w:tcPr>
            <w:tcW w:w="324" w:type="pct"/>
          </w:tcPr>
          <w:p w14:paraId="40CC1CF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Tonnes</w:t>
            </w:r>
          </w:p>
        </w:tc>
        <w:tc>
          <w:tcPr>
            <w:tcW w:w="377" w:type="pct"/>
          </w:tcPr>
          <w:p w14:paraId="717F69E5"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Victoria</w:t>
            </w:r>
          </w:p>
        </w:tc>
        <w:tc>
          <w:tcPr>
            <w:tcW w:w="568" w:type="pct"/>
          </w:tcPr>
          <w:p w14:paraId="400E6B4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Marine / Coastal Margin</w:t>
            </w:r>
          </w:p>
        </w:tc>
        <w:tc>
          <w:tcPr>
            <w:tcW w:w="2274" w:type="pct"/>
          </w:tcPr>
          <w:p w14:paraId="04376595"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proofErr w:type="spellStart"/>
            <w:r w:rsidRPr="00370449">
              <w:t>Skirtun</w:t>
            </w:r>
            <w:proofErr w:type="spellEnd"/>
            <w:r w:rsidRPr="00370449">
              <w:t xml:space="preserve"> et al (2012) Australian fisheries statistics 2011, ABARES in Worley Parsons (2013)</w:t>
            </w:r>
          </w:p>
        </w:tc>
        <w:tc>
          <w:tcPr>
            <w:tcW w:w="295" w:type="pct"/>
          </w:tcPr>
          <w:p w14:paraId="5C40BB3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2010-11</w:t>
            </w:r>
          </w:p>
        </w:tc>
      </w:tr>
      <w:tr w:rsidR="00FA0AF1" w:rsidRPr="002F335D" w14:paraId="67774EA0"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tcPr>
          <w:p w14:paraId="633567BF" w14:textId="77777777" w:rsidR="00F50B5A" w:rsidRPr="00370449" w:rsidRDefault="00F50B5A" w:rsidP="00FA0AF1">
            <w:pPr>
              <w:pStyle w:val="TableTextLeft"/>
            </w:pPr>
          </w:p>
        </w:tc>
        <w:tc>
          <w:tcPr>
            <w:tcW w:w="632" w:type="pct"/>
          </w:tcPr>
          <w:p w14:paraId="12D9E5B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Total volume of production</w:t>
            </w:r>
          </w:p>
        </w:tc>
        <w:tc>
          <w:tcPr>
            <w:tcW w:w="218" w:type="pct"/>
          </w:tcPr>
          <w:p w14:paraId="4C4ED428"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c>
          <w:tcPr>
            <w:tcW w:w="324" w:type="pct"/>
          </w:tcPr>
          <w:p w14:paraId="072DD63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Tonnes</w:t>
            </w:r>
          </w:p>
        </w:tc>
        <w:tc>
          <w:tcPr>
            <w:tcW w:w="377" w:type="pct"/>
          </w:tcPr>
          <w:p w14:paraId="048044C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Victoria (SA4 level)</w:t>
            </w:r>
          </w:p>
        </w:tc>
        <w:tc>
          <w:tcPr>
            <w:tcW w:w="568" w:type="pct"/>
          </w:tcPr>
          <w:p w14:paraId="47DBCB6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Farmland</w:t>
            </w:r>
          </w:p>
        </w:tc>
        <w:tc>
          <w:tcPr>
            <w:tcW w:w="2274" w:type="pct"/>
          </w:tcPr>
          <w:p w14:paraId="561810D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ABS Agricultural Commodities, Australia, 2017-18</w:t>
            </w:r>
          </w:p>
        </w:tc>
        <w:tc>
          <w:tcPr>
            <w:tcW w:w="295" w:type="pct"/>
          </w:tcPr>
          <w:p w14:paraId="744A74F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2017-18</w:t>
            </w:r>
          </w:p>
        </w:tc>
      </w:tr>
      <w:tr w:rsidR="00FA0AF1" w:rsidRPr="002F335D" w14:paraId="72E64070"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tcPr>
          <w:p w14:paraId="671030DB" w14:textId="77777777" w:rsidR="00F50B5A" w:rsidRPr="00370449" w:rsidRDefault="00F50B5A" w:rsidP="00FA0AF1">
            <w:pPr>
              <w:pStyle w:val="TableTextLeft"/>
            </w:pPr>
          </w:p>
        </w:tc>
        <w:tc>
          <w:tcPr>
            <w:tcW w:w="632" w:type="pct"/>
          </w:tcPr>
          <w:p w14:paraId="732F2E8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 xml:space="preserve">Honey production </w:t>
            </w:r>
          </w:p>
        </w:tc>
        <w:tc>
          <w:tcPr>
            <w:tcW w:w="218" w:type="pct"/>
          </w:tcPr>
          <w:p w14:paraId="7417E8B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c>
          <w:tcPr>
            <w:tcW w:w="324" w:type="pct"/>
          </w:tcPr>
          <w:p w14:paraId="5448D82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Various</w:t>
            </w:r>
          </w:p>
        </w:tc>
        <w:tc>
          <w:tcPr>
            <w:tcW w:w="377" w:type="pct"/>
          </w:tcPr>
          <w:p w14:paraId="0999383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Victoria</w:t>
            </w:r>
          </w:p>
        </w:tc>
        <w:tc>
          <w:tcPr>
            <w:tcW w:w="568" w:type="pct"/>
          </w:tcPr>
          <w:p w14:paraId="560F87D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Apiary</w:t>
            </w:r>
          </w:p>
        </w:tc>
        <w:tc>
          <w:tcPr>
            <w:tcW w:w="2274" w:type="pct"/>
          </w:tcPr>
          <w:p w14:paraId="2CDA99A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DSE (2012) Putting the buzz back in agriculture, Background – Issues paper in DELWP and PV (2015)</w:t>
            </w:r>
          </w:p>
        </w:tc>
        <w:tc>
          <w:tcPr>
            <w:tcW w:w="295" w:type="pct"/>
          </w:tcPr>
          <w:p w14:paraId="5946242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2012</w:t>
            </w:r>
          </w:p>
        </w:tc>
      </w:tr>
      <w:tr w:rsidR="00FA0AF1" w:rsidRPr="002F335D" w14:paraId="13072BD8"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tcPr>
          <w:p w14:paraId="0642F915" w14:textId="77777777" w:rsidR="00F50B5A" w:rsidRPr="00370449" w:rsidRDefault="00F50B5A" w:rsidP="00FA0AF1">
            <w:pPr>
              <w:pStyle w:val="TableTextLeft"/>
            </w:pPr>
          </w:p>
        </w:tc>
        <w:tc>
          <w:tcPr>
            <w:tcW w:w="632" w:type="pct"/>
          </w:tcPr>
          <w:p w14:paraId="525A5FC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 xml:space="preserve">Honey production </w:t>
            </w:r>
          </w:p>
        </w:tc>
        <w:tc>
          <w:tcPr>
            <w:tcW w:w="218" w:type="pct"/>
          </w:tcPr>
          <w:p w14:paraId="701994F5"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c>
          <w:tcPr>
            <w:tcW w:w="324" w:type="pct"/>
          </w:tcPr>
          <w:p w14:paraId="20746D46"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Various</w:t>
            </w:r>
          </w:p>
        </w:tc>
        <w:tc>
          <w:tcPr>
            <w:tcW w:w="377" w:type="pct"/>
          </w:tcPr>
          <w:p w14:paraId="2D90CA0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Victoria</w:t>
            </w:r>
          </w:p>
        </w:tc>
        <w:tc>
          <w:tcPr>
            <w:tcW w:w="568" w:type="pct"/>
          </w:tcPr>
          <w:p w14:paraId="26A45AB2"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Apiary</w:t>
            </w:r>
          </w:p>
        </w:tc>
        <w:tc>
          <w:tcPr>
            <w:tcW w:w="2274" w:type="pct"/>
          </w:tcPr>
          <w:p w14:paraId="0A382FD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ABARES (2016) Australian honeybee industry: 2014-15 survey results in DELWP (2019)</w:t>
            </w:r>
          </w:p>
        </w:tc>
        <w:tc>
          <w:tcPr>
            <w:tcW w:w="295" w:type="pct"/>
          </w:tcPr>
          <w:p w14:paraId="288F0D8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2014-15</w:t>
            </w:r>
          </w:p>
        </w:tc>
      </w:tr>
      <w:tr w:rsidR="00FA0AF1" w:rsidRPr="002F335D" w14:paraId="44317F90"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val="restart"/>
          </w:tcPr>
          <w:p w14:paraId="1529C69A" w14:textId="77777777" w:rsidR="00F50B5A" w:rsidRPr="00370449" w:rsidRDefault="00F50B5A" w:rsidP="00FA0AF1">
            <w:pPr>
              <w:pStyle w:val="TableTextLeft"/>
            </w:pPr>
            <w:r w:rsidRPr="00370449">
              <w:lastRenderedPageBreak/>
              <w:t>Flood risk regulation</w:t>
            </w:r>
          </w:p>
        </w:tc>
        <w:tc>
          <w:tcPr>
            <w:tcW w:w="632" w:type="pct"/>
          </w:tcPr>
          <w:p w14:paraId="7EB4C035"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Reduced peak flows</w:t>
            </w:r>
          </w:p>
        </w:tc>
        <w:tc>
          <w:tcPr>
            <w:tcW w:w="218" w:type="pct"/>
          </w:tcPr>
          <w:p w14:paraId="773EAF48"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61</w:t>
            </w:r>
          </w:p>
        </w:tc>
        <w:tc>
          <w:tcPr>
            <w:tcW w:w="324" w:type="pct"/>
          </w:tcPr>
          <w:p w14:paraId="3AD74AE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 Average Recurrence Interval 1:100</w:t>
            </w:r>
          </w:p>
        </w:tc>
        <w:tc>
          <w:tcPr>
            <w:tcW w:w="377" w:type="pct"/>
          </w:tcPr>
          <w:p w14:paraId="706243F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Great Otway N.P</w:t>
            </w:r>
          </w:p>
        </w:tc>
        <w:tc>
          <w:tcPr>
            <w:tcW w:w="568" w:type="pct"/>
          </w:tcPr>
          <w:p w14:paraId="04D6E4E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Park</w:t>
            </w:r>
          </w:p>
        </w:tc>
        <w:tc>
          <w:tcPr>
            <w:tcW w:w="2274" w:type="pct"/>
          </w:tcPr>
          <w:p w14:paraId="43174668"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MJA (2014) Valuing the Water Services provided by Victoria’s Parks in DELWP and PV (2015)</w:t>
            </w:r>
          </w:p>
        </w:tc>
        <w:tc>
          <w:tcPr>
            <w:tcW w:w="295" w:type="pct"/>
          </w:tcPr>
          <w:p w14:paraId="6EF4E63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2014</w:t>
            </w:r>
          </w:p>
        </w:tc>
      </w:tr>
      <w:tr w:rsidR="00FA0AF1" w:rsidRPr="002F335D" w14:paraId="44924FC2"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tcPr>
          <w:p w14:paraId="39F78337" w14:textId="77777777" w:rsidR="00F50B5A" w:rsidRPr="00370449" w:rsidRDefault="00F50B5A" w:rsidP="00FA0AF1">
            <w:pPr>
              <w:pStyle w:val="TableTextLeft"/>
            </w:pPr>
          </w:p>
        </w:tc>
        <w:tc>
          <w:tcPr>
            <w:tcW w:w="632" w:type="pct"/>
          </w:tcPr>
          <w:p w14:paraId="6771AEE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Reduced peak flows</w:t>
            </w:r>
          </w:p>
        </w:tc>
        <w:tc>
          <w:tcPr>
            <w:tcW w:w="218" w:type="pct"/>
          </w:tcPr>
          <w:p w14:paraId="0F4F5FD6"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c>
          <w:tcPr>
            <w:tcW w:w="324" w:type="pct"/>
          </w:tcPr>
          <w:p w14:paraId="731C43A5"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Days at Average Recurrence Intervals</w:t>
            </w:r>
          </w:p>
        </w:tc>
        <w:tc>
          <w:tcPr>
            <w:tcW w:w="377" w:type="pct"/>
          </w:tcPr>
          <w:p w14:paraId="1E5C05E8"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 xml:space="preserve">Victoria </w:t>
            </w:r>
          </w:p>
        </w:tc>
        <w:tc>
          <w:tcPr>
            <w:tcW w:w="568" w:type="pct"/>
          </w:tcPr>
          <w:p w14:paraId="4B5B5D96"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All</w:t>
            </w:r>
          </w:p>
        </w:tc>
        <w:tc>
          <w:tcPr>
            <w:tcW w:w="2274" w:type="pct"/>
          </w:tcPr>
          <w:p w14:paraId="0B22283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 xml:space="preserve">DELWP </w:t>
            </w:r>
            <w:proofErr w:type="spellStart"/>
            <w:r w:rsidRPr="00370449">
              <w:t>EnSym</w:t>
            </w:r>
            <w:proofErr w:type="spellEnd"/>
            <w:r w:rsidRPr="00370449">
              <w:t xml:space="preserve"> modelling as per DELWP (2019) Ecosystem services from forests in Victoria</w:t>
            </w:r>
          </w:p>
        </w:tc>
        <w:tc>
          <w:tcPr>
            <w:tcW w:w="295" w:type="pct"/>
          </w:tcPr>
          <w:p w14:paraId="386CE4C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r>
      <w:tr w:rsidR="00FA0AF1" w:rsidRPr="002F335D" w14:paraId="26C0A18C"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val="restart"/>
          </w:tcPr>
          <w:p w14:paraId="3C0AA3A9" w14:textId="77777777" w:rsidR="00F50B5A" w:rsidRPr="00370449" w:rsidRDefault="00F50B5A" w:rsidP="00FA0AF1">
            <w:pPr>
              <w:pStyle w:val="TableTextLeft"/>
            </w:pPr>
            <w:r w:rsidRPr="00370449">
              <w:t>Global climate regulation</w:t>
            </w:r>
          </w:p>
        </w:tc>
        <w:tc>
          <w:tcPr>
            <w:tcW w:w="632" w:type="pct"/>
          </w:tcPr>
          <w:p w14:paraId="7F357098"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Carbon stocks</w:t>
            </w:r>
          </w:p>
        </w:tc>
        <w:tc>
          <w:tcPr>
            <w:tcW w:w="218" w:type="pct"/>
          </w:tcPr>
          <w:p w14:paraId="402D6E2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c>
          <w:tcPr>
            <w:tcW w:w="324" w:type="pct"/>
          </w:tcPr>
          <w:p w14:paraId="29E6CC05"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Tonnes/ 100m</w:t>
            </w:r>
            <w:r w:rsidRPr="00370449">
              <w:rPr>
                <w:vertAlign w:val="superscript"/>
              </w:rPr>
              <w:t>2</w:t>
            </w:r>
          </w:p>
        </w:tc>
        <w:tc>
          <w:tcPr>
            <w:tcW w:w="377" w:type="pct"/>
          </w:tcPr>
          <w:p w14:paraId="162DA21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Victoria</w:t>
            </w:r>
          </w:p>
        </w:tc>
        <w:tc>
          <w:tcPr>
            <w:tcW w:w="568" w:type="pct"/>
          </w:tcPr>
          <w:p w14:paraId="6FB0817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Marine / Coastal Margin</w:t>
            </w:r>
          </w:p>
        </w:tc>
        <w:tc>
          <w:tcPr>
            <w:tcW w:w="2274" w:type="pct"/>
          </w:tcPr>
          <w:p w14:paraId="6163405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DELWP (2019) Victorian Carbon Map - Blue Carbon (provided to the study team by Lawrance Ferns from Carnell et al, 2019)</w:t>
            </w:r>
          </w:p>
        </w:tc>
        <w:tc>
          <w:tcPr>
            <w:tcW w:w="295" w:type="pct"/>
          </w:tcPr>
          <w:p w14:paraId="37A742F6"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2019</w:t>
            </w:r>
          </w:p>
        </w:tc>
      </w:tr>
      <w:tr w:rsidR="00FA0AF1" w:rsidRPr="002F335D" w14:paraId="0F016432"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tcPr>
          <w:p w14:paraId="47024AF4" w14:textId="77777777" w:rsidR="00F50B5A" w:rsidRPr="00370449" w:rsidRDefault="00F50B5A" w:rsidP="00FA0AF1">
            <w:pPr>
              <w:pStyle w:val="TableTextLeft"/>
            </w:pPr>
          </w:p>
        </w:tc>
        <w:tc>
          <w:tcPr>
            <w:tcW w:w="632" w:type="pct"/>
          </w:tcPr>
          <w:p w14:paraId="3E025D5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Carbon stocks</w:t>
            </w:r>
          </w:p>
        </w:tc>
        <w:tc>
          <w:tcPr>
            <w:tcW w:w="218" w:type="pct"/>
          </w:tcPr>
          <w:p w14:paraId="7BC39F4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c>
          <w:tcPr>
            <w:tcW w:w="324" w:type="pct"/>
          </w:tcPr>
          <w:p w14:paraId="1AC179D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Tonnes/ha</w:t>
            </w:r>
          </w:p>
        </w:tc>
        <w:tc>
          <w:tcPr>
            <w:tcW w:w="377" w:type="pct"/>
          </w:tcPr>
          <w:p w14:paraId="0B6C4FA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Victoria</w:t>
            </w:r>
          </w:p>
        </w:tc>
        <w:tc>
          <w:tcPr>
            <w:tcW w:w="568" w:type="pct"/>
          </w:tcPr>
          <w:p w14:paraId="5537862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Marine / Coastal Margin</w:t>
            </w:r>
          </w:p>
        </w:tc>
        <w:tc>
          <w:tcPr>
            <w:tcW w:w="2274" w:type="pct"/>
          </w:tcPr>
          <w:p w14:paraId="4E21E4D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 xml:space="preserve">Carnell et al (2019) Mapping Ocean Wealth Australia - portal </w:t>
            </w:r>
          </w:p>
        </w:tc>
        <w:tc>
          <w:tcPr>
            <w:tcW w:w="295" w:type="pct"/>
          </w:tcPr>
          <w:p w14:paraId="0554530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2019</w:t>
            </w:r>
          </w:p>
        </w:tc>
      </w:tr>
      <w:tr w:rsidR="00FA0AF1" w:rsidRPr="002F335D" w14:paraId="6015840D"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tcPr>
          <w:p w14:paraId="436D9E4B" w14:textId="77777777" w:rsidR="00F50B5A" w:rsidRPr="00370449" w:rsidRDefault="00F50B5A" w:rsidP="00FA0AF1">
            <w:pPr>
              <w:pStyle w:val="TableTextLeft"/>
            </w:pPr>
          </w:p>
        </w:tc>
        <w:tc>
          <w:tcPr>
            <w:tcW w:w="632" w:type="pct"/>
          </w:tcPr>
          <w:p w14:paraId="5F5E6BB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Carbon stocks</w:t>
            </w:r>
          </w:p>
        </w:tc>
        <w:tc>
          <w:tcPr>
            <w:tcW w:w="218" w:type="pct"/>
          </w:tcPr>
          <w:p w14:paraId="4456A4A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c>
          <w:tcPr>
            <w:tcW w:w="324" w:type="pct"/>
          </w:tcPr>
          <w:p w14:paraId="4AF80A8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Tonnes/ha</w:t>
            </w:r>
          </w:p>
        </w:tc>
        <w:tc>
          <w:tcPr>
            <w:tcW w:w="377" w:type="pct"/>
          </w:tcPr>
          <w:p w14:paraId="28B82DF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Victoria</w:t>
            </w:r>
          </w:p>
        </w:tc>
        <w:tc>
          <w:tcPr>
            <w:tcW w:w="568" w:type="pct"/>
          </w:tcPr>
          <w:p w14:paraId="3CC91A0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Forests</w:t>
            </w:r>
          </w:p>
        </w:tc>
        <w:tc>
          <w:tcPr>
            <w:tcW w:w="2274" w:type="pct"/>
          </w:tcPr>
          <w:p w14:paraId="09F94815"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DELWP (2019) Above Ground Biomass, Victorian Forest Monitoring Program</w:t>
            </w:r>
          </w:p>
        </w:tc>
        <w:tc>
          <w:tcPr>
            <w:tcW w:w="295" w:type="pct"/>
          </w:tcPr>
          <w:p w14:paraId="3B4EFB9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2019</w:t>
            </w:r>
          </w:p>
        </w:tc>
      </w:tr>
      <w:tr w:rsidR="00FA0AF1" w:rsidRPr="002F335D" w14:paraId="28B80BEE"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tcPr>
          <w:p w14:paraId="3477BE2A" w14:textId="77777777" w:rsidR="00F50B5A" w:rsidRPr="00370449" w:rsidRDefault="00F50B5A" w:rsidP="00FA0AF1">
            <w:pPr>
              <w:pStyle w:val="TableTextLeft"/>
            </w:pPr>
          </w:p>
        </w:tc>
        <w:tc>
          <w:tcPr>
            <w:tcW w:w="632" w:type="pct"/>
          </w:tcPr>
          <w:p w14:paraId="70C72A1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Carbon stocks</w:t>
            </w:r>
          </w:p>
        </w:tc>
        <w:tc>
          <w:tcPr>
            <w:tcW w:w="218" w:type="pct"/>
          </w:tcPr>
          <w:p w14:paraId="23A7D17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c>
          <w:tcPr>
            <w:tcW w:w="324" w:type="pct"/>
          </w:tcPr>
          <w:p w14:paraId="781A77F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Tonnes/ha</w:t>
            </w:r>
          </w:p>
        </w:tc>
        <w:tc>
          <w:tcPr>
            <w:tcW w:w="377" w:type="pct"/>
          </w:tcPr>
          <w:p w14:paraId="2A7A685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Australia</w:t>
            </w:r>
          </w:p>
        </w:tc>
        <w:tc>
          <w:tcPr>
            <w:tcW w:w="568" w:type="pct"/>
          </w:tcPr>
          <w:p w14:paraId="3501073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All</w:t>
            </w:r>
          </w:p>
          <w:p w14:paraId="037E2192"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p>
        </w:tc>
        <w:tc>
          <w:tcPr>
            <w:tcW w:w="2274" w:type="pct"/>
          </w:tcPr>
          <w:p w14:paraId="18DAA30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 xml:space="preserve">DISER </w:t>
            </w:r>
            <w:proofErr w:type="spellStart"/>
            <w:r w:rsidRPr="00370449">
              <w:t>Full</w:t>
            </w:r>
            <w:r>
              <w:t>CAM</w:t>
            </w:r>
            <w:proofErr w:type="spellEnd"/>
            <w:r w:rsidRPr="00370449">
              <w:t xml:space="preserve"> modelling data</w:t>
            </w:r>
          </w:p>
        </w:tc>
        <w:tc>
          <w:tcPr>
            <w:tcW w:w="295" w:type="pct"/>
          </w:tcPr>
          <w:p w14:paraId="16ADE85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2019</w:t>
            </w:r>
          </w:p>
        </w:tc>
      </w:tr>
      <w:tr w:rsidR="00FA0AF1" w:rsidRPr="002F335D" w14:paraId="5902633D"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tcPr>
          <w:p w14:paraId="37AE82A0" w14:textId="77777777" w:rsidR="00F50B5A" w:rsidRPr="00370449" w:rsidRDefault="00F50B5A" w:rsidP="00FA0AF1">
            <w:pPr>
              <w:pStyle w:val="TableTextLeft"/>
            </w:pPr>
          </w:p>
        </w:tc>
        <w:tc>
          <w:tcPr>
            <w:tcW w:w="632" w:type="pct"/>
          </w:tcPr>
          <w:p w14:paraId="3CD613C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Carbon stocks</w:t>
            </w:r>
          </w:p>
        </w:tc>
        <w:tc>
          <w:tcPr>
            <w:tcW w:w="218" w:type="pct"/>
          </w:tcPr>
          <w:p w14:paraId="7BC2C45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135 (14m)</w:t>
            </w:r>
          </w:p>
        </w:tc>
        <w:tc>
          <w:tcPr>
            <w:tcW w:w="324" w:type="pct"/>
          </w:tcPr>
          <w:p w14:paraId="79F2224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Tonnes/ha (Total tonnes)</w:t>
            </w:r>
          </w:p>
        </w:tc>
        <w:tc>
          <w:tcPr>
            <w:tcW w:w="377" w:type="pct"/>
          </w:tcPr>
          <w:p w14:paraId="5919E95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Great Otway N.P</w:t>
            </w:r>
          </w:p>
        </w:tc>
        <w:tc>
          <w:tcPr>
            <w:tcW w:w="568" w:type="pct"/>
          </w:tcPr>
          <w:p w14:paraId="5218951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Park</w:t>
            </w:r>
          </w:p>
        </w:tc>
        <w:tc>
          <w:tcPr>
            <w:tcW w:w="2274" w:type="pct"/>
          </w:tcPr>
          <w:p w14:paraId="141BF32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DELWP and Parks Victoria (2015), Valuing Victoria’s Parks: Accounting for ecosystems and valuing their benefits</w:t>
            </w:r>
          </w:p>
        </w:tc>
        <w:tc>
          <w:tcPr>
            <w:tcW w:w="295" w:type="pct"/>
          </w:tcPr>
          <w:p w14:paraId="0F4B5B8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2015</w:t>
            </w:r>
          </w:p>
        </w:tc>
      </w:tr>
      <w:tr w:rsidR="00FA0AF1" w:rsidRPr="002F335D" w14:paraId="27BC7FC0"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tcPr>
          <w:p w14:paraId="4BA61345" w14:textId="77777777" w:rsidR="00F50B5A" w:rsidRPr="00370449" w:rsidRDefault="00F50B5A" w:rsidP="00FA0AF1">
            <w:pPr>
              <w:pStyle w:val="TableTextLeft"/>
            </w:pPr>
          </w:p>
        </w:tc>
        <w:tc>
          <w:tcPr>
            <w:tcW w:w="632" w:type="pct"/>
          </w:tcPr>
          <w:p w14:paraId="3D3E1E6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Carbon stocks</w:t>
            </w:r>
          </w:p>
        </w:tc>
        <w:tc>
          <w:tcPr>
            <w:tcW w:w="218" w:type="pct"/>
          </w:tcPr>
          <w:p w14:paraId="132205B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c>
          <w:tcPr>
            <w:tcW w:w="324" w:type="pct"/>
          </w:tcPr>
          <w:p w14:paraId="1B419685"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Tonne/ha</w:t>
            </w:r>
          </w:p>
        </w:tc>
        <w:tc>
          <w:tcPr>
            <w:tcW w:w="377" w:type="pct"/>
          </w:tcPr>
          <w:p w14:paraId="3E3834C6"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Victoria MPA’s</w:t>
            </w:r>
          </w:p>
        </w:tc>
        <w:tc>
          <w:tcPr>
            <w:tcW w:w="568" w:type="pct"/>
          </w:tcPr>
          <w:p w14:paraId="0D4D5C36"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Seagrass / Saltmarsh / Mangrove in MPA’s</w:t>
            </w:r>
          </w:p>
        </w:tc>
        <w:tc>
          <w:tcPr>
            <w:tcW w:w="2274" w:type="pct"/>
          </w:tcPr>
          <w:p w14:paraId="6BD733A5"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 xml:space="preserve">Deakin Uni (2014) The Distribution and Abundance of ‘Blue Carbon’ within East Gippsland A report for the East Gippsland CMA  </w:t>
            </w:r>
          </w:p>
        </w:tc>
        <w:tc>
          <w:tcPr>
            <w:tcW w:w="295" w:type="pct"/>
          </w:tcPr>
          <w:p w14:paraId="39E52B5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2014</w:t>
            </w:r>
          </w:p>
        </w:tc>
      </w:tr>
      <w:tr w:rsidR="00FA0AF1" w:rsidRPr="002F335D" w14:paraId="4A1AF53A"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tcPr>
          <w:p w14:paraId="057DA5BF" w14:textId="77777777" w:rsidR="00F50B5A" w:rsidRPr="00370449" w:rsidRDefault="00F50B5A" w:rsidP="00FA0AF1">
            <w:pPr>
              <w:pStyle w:val="TableTextLeft"/>
            </w:pPr>
          </w:p>
        </w:tc>
        <w:tc>
          <w:tcPr>
            <w:tcW w:w="632" w:type="pct"/>
          </w:tcPr>
          <w:p w14:paraId="404C3E5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Carbon stock</w:t>
            </w:r>
          </w:p>
        </w:tc>
        <w:tc>
          <w:tcPr>
            <w:tcW w:w="218" w:type="pct"/>
          </w:tcPr>
          <w:p w14:paraId="47FF908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38 to 104</w:t>
            </w:r>
          </w:p>
        </w:tc>
        <w:tc>
          <w:tcPr>
            <w:tcW w:w="324" w:type="pct"/>
          </w:tcPr>
          <w:p w14:paraId="3258627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Tonne/ha</w:t>
            </w:r>
          </w:p>
        </w:tc>
        <w:tc>
          <w:tcPr>
            <w:tcW w:w="377" w:type="pct"/>
          </w:tcPr>
          <w:p w14:paraId="03C707E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Port Phillip / Westernport</w:t>
            </w:r>
          </w:p>
        </w:tc>
        <w:tc>
          <w:tcPr>
            <w:tcW w:w="568" w:type="pct"/>
          </w:tcPr>
          <w:p w14:paraId="05875FD2"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Seagrass / Saltmarsh / Mangrove</w:t>
            </w:r>
          </w:p>
        </w:tc>
        <w:tc>
          <w:tcPr>
            <w:tcW w:w="2274" w:type="pct"/>
          </w:tcPr>
          <w:p w14:paraId="3573BD8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 xml:space="preserve">Port Phillip and Westernport CMA (2015) </w:t>
            </w:r>
            <w:r w:rsidRPr="00370449">
              <w:rPr>
                <w:i/>
              </w:rPr>
              <w:t>The distribution and abundance of ‘blue carbon’ within Port Phillip and Westernport</w:t>
            </w:r>
          </w:p>
        </w:tc>
        <w:tc>
          <w:tcPr>
            <w:tcW w:w="295" w:type="pct"/>
          </w:tcPr>
          <w:p w14:paraId="343AAD66"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2015</w:t>
            </w:r>
          </w:p>
        </w:tc>
      </w:tr>
      <w:tr w:rsidR="00FA0AF1" w:rsidRPr="002F335D" w14:paraId="2708352F"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tcPr>
          <w:p w14:paraId="073E7D61" w14:textId="77777777" w:rsidR="00F50B5A" w:rsidRPr="00370449" w:rsidRDefault="00F50B5A" w:rsidP="00FA0AF1">
            <w:pPr>
              <w:pStyle w:val="TableTextLeft"/>
            </w:pPr>
          </w:p>
        </w:tc>
        <w:tc>
          <w:tcPr>
            <w:tcW w:w="632" w:type="pct"/>
          </w:tcPr>
          <w:p w14:paraId="035C946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Carbon stock</w:t>
            </w:r>
          </w:p>
        </w:tc>
        <w:tc>
          <w:tcPr>
            <w:tcW w:w="218" w:type="pct"/>
          </w:tcPr>
          <w:p w14:paraId="11B62D08"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30 to 89</w:t>
            </w:r>
          </w:p>
        </w:tc>
        <w:tc>
          <w:tcPr>
            <w:tcW w:w="324" w:type="pct"/>
          </w:tcPr>
          <w:p w14:paraId="14EA37D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Tonne/ha</w:t>
            </w:r>
          </w:p>
        </w:tc>
        <w:tc>
          <w:tcPr>
            <w:tcW w:w="377" w:type="pct"/>
          </w:tcPr>
          <w:p w14:paraId="786C1155"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 xml:space="preserve">Corangamite </w:t>
            </w:r>
          </w:p>
        </w:tc>
        <w:tc>
          <w:tcPr>
            <w:tcW w:w="568" w:type="pct"/>
          </w:tcPr>
          <w:p w14:paraId="64E1E3D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Seagrass / Saltmarsh / Mangrove</w:t>
            </w:r>
          </w:p>
        </w:tc>
        <w:tc>
          <w:tcPr>
            <w:tcW w:w="2274" w:type="pct"/>
          </w:tcPr>
          <w:p w14:paraId="48EF640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Carnell et al (2015) The Distribution and Abundance of ‘Blue Carbon’ within Corangamite</w:t>
            </w:r>
          </w:p>
        </w:tc>
        <w:tc>
          <w:tcPr>
            <w:tcW w:w="295" w:type="pct"/>
          </w:tcPr>
          <w:p w14:paraId="22DD837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2015</w:t>
            </w:r>
          </w:p>
        </w:tc>
      </w:tr>
      <w:tr w:rsidR="00FA0AF1" w:rsidRPr="002F335D" w14:paraId="57828642"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tcPr>
          <w:p w14:paraId="00ED0938" w14:textId="77777777" w:rsidR="00F50B5A" w:rsidRPr="00370449" w:rsidRDefault="00F50B5A" w:rsidP="00FA0AF1">
            <w:pPr>
              <w:pStyle w:val="TableTextLeft"/>
            </w:pPr>
          </w:p>
        </w:tc>
        <w:tc>
          <w:tcPr>
            <w:tcW w:w="632" w:type="pct"/>
          </w:tcPr>
          <w:p w14:paraId="2087653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Carbon stock</w:t>
            </w:r>
          </w:p>
        </w:tc>
        <w:tc>
          <w:tcPr>
            <w:tcW w:w="218" w:type="pct"/>
          </w:tcPr>
          <w:p w14:paraId="0542A77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 xml:space="preserve">24 to 87 </w:t>
            </w:r>
          </w:p>
        </w:tc>
        <w:tc>
          <w:tcPr>
            <w:tcW w:w="324" w:type="pct"/>
          </w:tcPr>
          <w:p w14:paraId="691FD70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Tonne/ha</w:t>
            </w:r>
          </w:p>
        </w:tc>
        <w:tc>
          <w:tcPr>
            <w:tcW w:w="377" w:type="pct"/>
          </w:tcPr>
          <w:p w14:paraId="05886E9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SE Australia</w:t>
            </w:r>
          </w:p>
        </w:tc>
        <w:tc>
          <w:tcPr>
            <w:tcW w:w="568" w:type="pct"/>
          </w:tcPr>
          <w:p w14:paraId="5E064BB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Seagrass / Saltmarsh / Mangrove</w:t>
            </w:r>
          </w:p>
        </w:tc>
        <w:tc>
          <w:tcPr>
            <w:tcW w:w="2274" w:type="pct"/>
          </w:tcPr>
          <w:p w14:paraId="3293E80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Ewers et al (2018) Variability and vulnerability of coastal ‘blue carbon’ stocks: A case study from southeast Australia</w:t>
            </w:r>
          </w:p>
        </w:tc>
        <w:tc>
          <w:tcPr>
            <w:tcW w:w="295" w:type="pct"/>
          </w:tcPr>
          <w:p w14:paraId="6F38222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2018</w:t>
            </w:r>
          </w:p>
        </w:tc>
      </w:tr>
      <w:tr w:rsidR="00FA0AF1" w:rsidRPr="002F335D" w14:paraId="283DA50C"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tcPr>
          <w:p w14:paraId="4565813F" w14:textId="77777777" w:rsidR="00F50B5A" w:rsidRPr="00370449" w:rsidRDefault="00F50B5A" w:rsidP="00FA0AF1">
            <w:pPr>
              <w:pStyle w:val="TableTextLeft"/>
            </w:pPr>
          </w:p>
        </w:tc>
        <w:tc>
          <w:tcPr>
            <w:tcW w:w="632" w:type="pct"/>
          </w:tcPr>
          <w:p w14:paraId="621C1D9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Carbon sequestration</w:t>
            </w:r>
          </w:p>
        </w:tc>
        <w:tc>
          <w:tcPr>
            <w:tcW w:w="218" w:type="pct"/>
          </w:tcPr>
          <w:p w14:paraId="6BA8CDB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1,700 to 4,800</w:t>
            </w:r>
          </w:p>
        </w:tc>
        <w:tc>
          <w:tcPr>
            <w:tcW w:w="324" w:type="pct"/>
          </w:tcPr>
          <w:p w14:paraId="45E838A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Kg / Ha</w:t>
            </w:r>
          </w:p>
        </w:tc>
        <w:tc>
          <w:tcPr>
            <w:tcW w:w="377" w:type="pct"/>
          </w:tcPr>
          <w:p w14:paraId="78D306D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Victoria</w:t>
            </w:r>
          </w:p>
        </w:tc>
        <w:tc>
          <w:tcPr>
            <w:tcW w:w="568" w:type="pct"/>
          </w:tcPr>
          <w:p w14:paraId="52BB00B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Seagrass / Saltmarsh / Mangrove</w:t>
            </w:r>
          </w:p>
        </w:tc>
        <w:tc>
          <w:tcPr>
            <w:tcW w:w="2274" w:type="pct"/>
          </w:tcPr>
          <w:p w14:paraId="6B180BD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Carnell et al (2019) Mapping Ocean Wealth Australia</w:t>
            </w:r>
          </w:p>
        </w:tc>
        <w:tc>
          <w:tcPr>
            <w:tcW w:w="295" w:type="pct"/>
          </w:tcPr>
          <w:p w14:paraId="148AB49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2019</w:t>
            </w:r>
          </w:p>
        </w:tc>
      </w:tr>
      <w:tr w:rsidR="00FA0AF1" w:rsidRPr="002F335D" w14:paraId="0D95BBD2"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tcPr>
          <w:p w14:paraId="5FF181B1" w14:textId="77777777" w:rsidR="00F50B5A" w:rsidRPr="00370449" w:rsidRDefault="00F50B5A" w:rsidP="00FA0AF1">
            <w:pPr>
              <w:pStyle w:val="TableTextLeft"/>
            </w:pPr>
          </w:p>
        </w:tc>
        <w:tc>
          <w:tcPr>
            <w:tcW w:w="632" w:type="pct"/>
          </w:tcPr>
          <w:p w14:paraId="4F09565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Carbon sequestration (CO</w:t>
            </w:r>
            <w:r w:rsidRPr="00370449">
              <w:rPr>
                <w:vertAlign w:val="subscript"/>
              </w:rPr>
              <w:t>2</w:t>
            </w:r>
            <w:r w:rsidRPr="00370449">
              <w:t>e)</w:t>
            </w:r>
          </w:p>
        </w:tc>
        <w:tc>
          <w:tcPr>
            <w:tcW w:w="218" w:type="pct"/>
          </w:tcPr>
          <w:p w14:paraId="3441344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 to 5</w:t>
            </w:r>
          </w:p>
        </w:tc>
        <w:tc>
          <w:tcPr>
            <w:tcW w:w="324" w:type="pct"/>
          </w:tcPr>
          <w:p w14:paraId="44801D6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Tonnes/ha/yr</w:t>
            </w:r>
          </w:p>
        </w:tc>
        <w:tc>
          <w:tcPr>
            <w:tcW w:w="377" w:type="pct"/>
          </w:tcPr>
          <w:p w14:paraId="01F4D17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Victoria</w:t>
            </w:r>
          </w:p>
        </w:tc>
        <w:tc>
          <w:tcPr>
            <w:tcW w:w="568" w:type="pct"/>
          </w:tcPr>
          <w:p w14:paraId="2813611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Parks and Forests</w:t>
            </w:r>
          </w:p>
        </w:tc>
        <w:tc>
          <w:tcPr>
            <w:tcW w:w="2274" w:type="pct"/>
          </w:tcPr>
          <w:p w14:paraId="0A7FCFE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DELWP and Parks Victoria (2015), Valuing Victoria’s Parks: Accounting for ecosystems and valuing their benefits</w:t>
            </w:r>
          </w:p>
        </w:tc>
        <w:tc>
          <w:tcPr>
            <w:tcW w:w="295" w:type="pct"/>
          </w:tcPr>
          <w:p w14:paraId="64578BA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2015</w:t>
            </w:r>
          </w:p>
        </w:tc>
      </w:tr>
      <w:tr w:rsidR="00FA0AF1" w:rsidRPr="002F335D" w14:paraId="4742083A"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tcPr>
          <w:p w14:paraId="44533092" w14:textId="77777777" w:rsidR="00F50B5A" w:rsidRPr="00370449" w:rsidRDefault="00F50B5A" w:rsidP="00FA0AF1">
            <w:pPr>
              <w:pStyle w:val="TableTextLeft"/>
            </w:pPr>
          </w:p>
        </w:tc>
        <w:tc>
          <w:tcPr>
            <w:tcW w:w="632" w:type="pct"/>
          </w:tcPr>
          <w:p w14:paraId="467B1D3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Carbon sequestration</w:t>
            </w:r>
          </w:p>
        </w:tc>
        <w:tc>
          <w:tcPr>
            <w:tcW w:w="218" w:type="pct"/>
          </w:tcPr>
          <w:p w14:paraId="7C1DA2F2"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2.52</w:t>
            </w:r>
          </w:p>
        </w:tc>
        <w:tc>
          <w:tcPr>
            <w:tcW w:w="324" w:type="pct"/>
          </w:tcPr>
          <w:p w14:paraId="18010C7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Tonnes/ha/yr</w:t>
            </w:r>
          </w:p>
        </w:tc>
        <w:tc>
          <w:tcPr>
            <w:tcW w:w="377" w:type="pct"/>
          </w:tcPr>
          <w:p w14:paraId="7B46D52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Victoria</w:t>
            </w:r>
          </w:p>
        </w:tc>
        <w:tc>
          <w:tcPr>
            <w:tcW w:w="568" w:type="pct"/>
          </w:tcPr>
          <w:p w14:paraId="676C9A1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Forests</w:t>
            </w:r>
          </w:p>
        </w:tc>
        <w:tc>
          <w:tcPr>
            <w:tcW w:w="2274" w:type="pct"/>
          </w:tcPr>
          <w:p w14:paraId="4C60BC3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England et al. (2006). Rates of carbon sequestration in environmental plantings in north-central Victoria</w:t>
            </w:r>
          </w:p>
        </w:tc>
        <w:tc>
          <w:tcPr>
            <w:tcW w:w="295" w:type="pct"/>
          </w:tcPr>
          <w:p w14:paraId="3621BC5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2006</w:t>
            </w:r>
          </w:p>
        </w:tc>
      </w:tr>
      <w:tr w:rsidR="00FA0AF1" w:rsidRPr="002F335D" w14:paraId="7CA72E38"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tcPr>
          <w:p w14:paraId="4B4277A1" w14:textId="77777777" w:rsidR="00F50B5A" w:rsidRPr="00370449" w:rsidRDefault="00F50B5A" w:rsidP="00FA0AF1">
            <w:pPr>
              <w:pStyle w:val="TableTextLeft"/>
            </w:pPr>
          </w:p>
        </w:tc>
        <w:tc>
          <w:tcPr>
            <w:tcW w:w="632" w:type="pct"/>
          </w:tcPr>
          <w:p w14:paraId="4FF43E2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Carbon sequestration</w:t>
            </w:r>
          </w:p>
        </w:tc>
        <w:tc>
          <w:tcPr>
            <w:tcW w:w="218" w:type="pct"/>
          </w:tcPr>
          <w:p w14:paraId="6801D9E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c>
          <w:tcPr>
            <w:tcW w:w="324" w:type="pct"/>
          </w:tcPr>
          <w:p w14:paraId="2A123EE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Tonnes/ha/yr</w:t>
            </w:r>
          </w:p>
        </w:tc>
        <w:tc>
          <w:tcPr>
            <w:tcW w:w="377" w:type="pct"/>
          </w:tcPr>
          <w:p w14:paraId="1904DE2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Victoria</w:t>
            </w:r>
          </w:p>
        </w:tc>
        <w:tc>
          <w:tcPr>
            <w:tcW w:w="568" w:type="pct"/>
          </w:tcPr>
          <w:p w14:paraId="6ACBE9D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Inland wetlands</w:t>
            </w:r>
          </w:p>
        </w:tc>
        <w:tc>
          <w:tcPr>
            <w:tcW w:w="2274" w:type="pct"/>
          </w:tcPr>
          <w:p w14:paraId="2BD5DAB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Carnell et al (2016) Carbon sequestration by Victorian inland wetlands. Blue Carbon Lab, Deakin University, Victoria, Australia.</w:t>
            </w:r>
          </w:p>
        </w:tc>
        <w:tc>
          <w:tcPr>
            <w:tcW w:w="295" w:type="pct"/>
          </w:tcPr>
          <w:p w14:paraId="46350FA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2016</w:t>
            </w:r>
          </w:p>
        </w:tc>
      </w:tr>
      <w:tr w:rsidR="00FA0AF1" w:rsidRPr="002F335D" w14:paraId="214877CD"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tcPr>
          <w:p w14:paraId="34A51A66" w14:textId="77777777" w:rsidR="00F50B5A" w:rsidRPr="00370449" w:rsidRDefault="00F50B5A" w:rsidP="00FA0AF1">
            <w:pPr>
              <w:pStyle w:val="TableTextLeft"/>
            </w:pPr>
          </w:p>
        </w:tc>
        <w:tc>
          <w:tcPr>
            <w:tcW w:w="632" w:type="pct"/>
          </w:tcPr>
          <w:p w14:paraId="3CF27ED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Carbon sequestration</w:t>
            </w:r>
          </w:p>
        </w:tc>
        <w:tc>
          <w:tcPr>
            <w:tcW w:w="218" w:type="pct"/>
          </w:tcPr>
          <w:p w14:paraId="3DF9CCE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0.83 to 1.51</w:t>
            </w:r>
          </w:p>
        </w:tc>
        <w:tc>
          <w:tcPr>
            <w:tcW w:w="324" w:type="pct"/>
          </w:tcPr>
          <w:p w14:paraId="3335E9D2"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Tonnes/ha/yr</w:t>
            </w:r>
          </w:p>
        </w:tc>
        <w:tc>
          <w:tcPr>
            <w:tcW w:w="377" w:type="pct"/>
          </w:tcPr>
          <w:p w14:paraId="3657F076"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Global</w:t>
            </w:r>
          </w:p>
        </w:tc>
        <w:tc>
          <w:tcPr>
            <w:tcW w:w="568" w:type="pct"/>
          </w:tcPr>
          <w:p w14:paraId="66B0AA2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Seagrass / Saltmarsh / Mangrove</w:t>
            </w:r>
          </w:p>
        </w:tc>
        <w:tc>
          <w:tcPr>
            <w:tcW w:w="2274" w:type="pct"/>
          </w:tcPr>
          <w:p w14:paraId="227D228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Carnell et al (2015) The Distribution and Abundance of ‘Blue Carbon’ within Corangamite also noted in Port Phillip and Westernport CMA (2015) and DELWP (2016), Marine and Coastal Environmental-economic accounting: Port Phillip Bay</w:t>
            </w:r>
          </w:p>
        </w:tc>
        <w:tc>
          <w:tcPr>
            <w:tcW w:w="295" w:type="pct"/>
          </w:tcPr>
          <w:p w14:paraId="35A1F53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2015</w:t>
            </w:r>
          </w:p>
        </w:tc>
      </w:tr>
      <w:tr w:rsidR="00FA0AF1" w:rsidRPr="002F335D" w14:paraId="41F6A98F"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tcPr>
          <w:p w14:paraId="7428B7E1" w14:textId="77777777" w:rsidR="00F50B5A" w:rsidRPr="00370449" w:rsidRDefault="00F50B5A" w:rsidP="00FA0AF1">
            <w:pPr>
              <w:pStyle w:val="TableTextLeft"/>
            </w:pPr>
          </w:p>
        </w:tc>
        <w:tc>
          <w:tcPr>
            <w:tcW w:w="632" w:type="pct"/>
          </w:tcPr>
          <w:p w14:paraId="59232CB8"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Carbon sequestration</w:t>
            </w:r>
          </w:p>
        </w:tc>
        <w:tc>
          <w:tcPr>
            <w:tcW w:w="218" w:type="pct"/>
          </w:tcPr>
          <w:p w14:paraId="357783F5"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1.49 to 4.93</w:t>
            </w:r>
          </w:p>
        </w:tc>
        <w:tc>
          <w:tcPr>
            <w:tcW w:w="324" w:type="pct"/>
          </w:tcPr>
          <w:p w14:paraId="450E242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Tonnes/ha/yr</w:t>
            </w:r>
          </w:p>
        </w:tc>
        <w:tc>
          <w:tcPr>
            <w:tcW w:w="377" w:type="pct"/>
          </w:tcPr>
          <w:p w14:paraId="4A8E817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Victoria and NSW</w:t>
            </w:r>
          </w:p>
        </w:tc>
        <w:tc>
          <w:tcPr>
            <w:tcW w:w="568" w:type="pct"/>
          </w:tcPr>
          <w:p w14:paraId="580A08D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Seagrass / Saltmarsh / Mangrove</w:t>
            </w:r>
          </w:p>
        </w:tc>
        <w:tc>
          <w:tcPr>
            <w:tcW w:w="2274" w:type="pct"/>
          </w:tcPr>
          <w:p w14:paraId="140168E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Young et al (forthcoming) Estimating future carbon sequestration and economic value in restored or eroded blue carbon ecosystems</w:t>
            </w:r>
          </w:p>
        </w:tc>
        <w:tc>
          <w:tcPr>
            <w:tcW w:w="295" w:type="pct"/>
          </w:tcPr>
          <w:p w14:paraId="152184F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n.d.</w:t>
            </w:r>
          </w:p>
        </w:tc>
      </w:tr>
      <w:tr w:rsidR="00FA0AF1" w:rsidRPr="002F335D" w14:paraId="545AD318"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tcPr>
          <w:p w14:paraId="2ED3A4C6" w14:textId="77777777" w:rsidR="00F50B5A" w:rsidRPr="00370449" w:rsidRDefault="00F50B5A" w:rsidP="00FA0AF1">
            <w:pPr>
              <w:pStyle w:val="TableTextLeft"/>
            </w:pPr>
            <w:r w:rsidRPr="00370449">
              <w:t>Local climate regulation</w:t>
            </w:r>
          </w:p>
        </w:tc>
        <w:tc>
          <w:tcPr>
            <w:tcW w:w="632" w:type="pct"/>
          </w:tcPr>
          <w:p w14:paraId="086500E5"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Links temperature to socio-economic outcomes</w:t>
            </w:r>
          </w:p>
        </w:tc>
        <w:tc>
          <w:tcPr>
            <w:tcW w:w="218" w:type="pct"/>
          </w:tcPr>
          <w:p w14:paraId="25E0172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c>
          <w:tcPr>
            <w:tcW w:w="324" w:type="pct"/>
          </w:tcPr>
          <w:p w14:paraId="20E5E5D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 xml:space="preserve">Dose-response </w:t>
            </w:r>
          </w:p>
        </w:tc>
        <w:tc>
          <w:tcPr>
            <w:tcW w:w="377" w:type="pct"/>
          </w:tcPr>
          <w:p w14:paraId="2EAFA12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Victoria</w:t>
            </w:r>
          </w:p>
        </w:tc>
        <w:tc>
          <w:tcPr>
            <w:tcW w:w="568" w:type="pct"/>
          </w:tcPr>
          <w:p w14:paraId="22C54D0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n/a</w:t>
            </w:r>
          </w:p>
        </w:tc>
        <w:tc>
          <w:tcPr>
            <w:tcW w:w="2274" w:type="pct"/>
          </w:tcPr>
          <w:p w14:paraId="0628B77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Dept. Human Services (2009) January 2009 Heatwave in Victoria: An Assessment of Health Impacts</w:t>
            </w:r>
          </w:p>
        </w:tc>
        <w:tc>
          <w:tcPr>
            <w:tcW w:w="295" w:type="pct"/>
          </w:tcPr>
          <w:p w14:paraId="6312693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2009</w:t>
            </w:r>
          </w:p>
        </w:tc>
      </w:tr>
      <w:tr w:rsidR="00FA0AF1" w:rsidRPr="002F335D" w14:paraId="62D5B469"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val="restart"/>
          </w:tcPr>
          <w:p w14:paraId="3B612C71" w14:textId="77777777" w:rsidR="00F50B5A" w:rsidRPr="00370449" w:rsidRDefault="00F50B5A" w:rsidP="00FA0AF1">
            <w:pPr>
              <w:pStyle w:val="TableTextLeft"/>
            </w:pPr>
            <w:r w:rsidRPr="00370449">
              <w:t>Recreation</w:t>
            </w:r>
          </w:p>
        </w:tc>
        <w:tc>
          <w:tcPr>
            <w:tcW w:w="632" w:type="pct"/>
          </w:tcPr>
          <w:p w14:paraId="19F2B40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International swim event (Pier to Pub)</w:t>
            </w:r>
          </w:p>
        </w:tc>
        <w:tc>
          <w:tcPr>
            <w:tcW w:w="218" w:type="pct"/>
          </w:tcPr>
          <w:p w14:paraId="0EF16D9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p>
        </w:tc>
        <w:tc>
          <w:tcPr>
            <w:tcW w:w="324" w:type="pct"/>
          </w:tcPr>
          <w:p w14:paraId="5F06667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Visitors</w:t>
            </w:r>
          </w:p>
        </w:tc>
        <w:tc>
          <w:tcPr>
            <w:tcW w:w="377" w:type="pct"/>
          </w:tcPr>
          <w:p w14:paraId="1396B66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Lorne</w:t>
            </w:r>
          </w:p>
        </w:tc>
        <w:tc>
          <w:tcPr>
            <w:tcW w:w="568" w:type="pct"/>
          </w:tcPr>
          <w:p w14:paraId="17E17ED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Coastal Margin / Marine</w:t>
            </w:r>
          </w:p>
        </w:tc>
        <w:tc>
          <w:tcPr>
            <w:tcW w:w="2274" w:type="pct"/>
          </w:tcPr>
          <w:p w14:paraId="40CADE22"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VEAC (2020) Assessment of Victoria’s Coastal Reserves</w:t>
            </w:r>
          </w:p>
        </w:tc>
        <w:tc>
          <w:tcPr>
            <w:tcW w:w="295" w:type="pct"/>
          </w:tcPr>
          <w:p w14:paraId="41B89FC2"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2017</w:t>
            </w:r>
          </w:p>
        </w:tc>
      </w:tr>
      <w:tr w:rsidR="00FA0AF1" w:rsidRPr="002F335D" w14:paraId="652A57A1"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tcPr>
          <w:p w14:paraId="3B76FF4E" w14:textId="77777777" w:rsidR="00F50B5A" w:rsidRPr="00370449" w:rsidRDefault="00F50B5A" w:rsidP="00FA0AF1">
            <w:pPr>
              <w:pStyle w:val="TableTextLeft"/>
            </w:pPr>
          </w:p>
        </w:tc>
        <w:tc>
          <w:tcPr>
            <w:tcW w:w="632" w:type="pct"/>
          </w:tcPr>
          <w:p w14:paraId="5F2D210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International surf event (Rip Curl Pro)</w:t>
            </w:r>
          </w:p>
        </w:tc>
        <w:tc>
          <w:tcPr>
            <w:tcW w:w="218" w:type="pct"/>
          </w:tcPr>
          <w:p w14:paraId="61593DF8"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c>
          <w:tcPr>
            <w:tcW w:w="324" w:type="pct"/>
          </w:tcPr>
          <w:p w14:paraId="37AB3BE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Visitors</w:t>
            </w:r>
          </w:p>
        </w:tc>
        <w:tc>
          <w:tcPr>
            <w:tcW w:w="377" w:type="pct"/>
          </w:tcPr>
          <w:p w14:paraId="3F2684A2"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Bells Beach</w:t>
            </w:r>
          </w:p>
        </w:tc>
        <w:tc>
          <w:tcPr>
            <w:tcW w:w="568" w:type="pct"/>
          </w:tcPr>
          <w:p w14:paraId="43BB01A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Coastal Margin / Marine</w:t>
            </w:r>
          </w:p>
        </w:tc>
        <w:tc>
          <w:tcPr>
            <w:tcW w:w="2274" w:type="pct"/>
          </w:tcPr>
          <w:p w14:paraId="783B7CD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VEAC (2020) Assessment of Victoria’s Coastal Reserves</w:t>
            </w:r>
          </w:p>
        </w:tc>
        <w:tc>
          <w:tcPr>
            <w:tcW w:w="295" w:type="pct"/>
          </w:tcPr>
          <w:p w14:paraId="1D30689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2017</w:t>
            </w:r>
          </w:p>
        </w:tc>
      </w:tr>
      <w:tr w:rsidR="00FA0AF1" w:rsidRPr="002F335D" w14:paraId="53FC8A13"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tcPr>
          <w:p w14:paraId="24709A59" w14:textId="77777777" w:rsidR="00F50B5A" w:rsidRPr="00370449" w:rsidRDefault="00F50B5A" w:rsidP="00FA0AF1">
            <w:pPr>
              <w:pStyle w:val="TableTextLeft"/>
            </w:pPr>
          </w:p>
        </w:tc>
        <w:tc>
          <w:tcPr>
            <w:tcW w:w="632" w:type="pct"/>
          </w:tcPr>
          <w:p w14:paraId="0EDE208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Recreational visit</w:t>
            </w:r>
          </w:p>
        </w:tc>
        <w:tc>
          <w:tcPr>
            <w:tcW w:w="218" w:type="pct"/>
          </w:tcPr>
          <w:p w14:paraId="7A92868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c>
          <w:tcPr>
            <w:tcW w:w="324" w:type="pct"/>
          </w:tcPr>
          <w:p w14:paraId="623EC3D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Various</w:t>
            </w:r>
          </w:p>
        </w:tc>
        <w:tc>
          <w:tcPr>
            <w:tcW w:w="377" w:type="pct"/>
          </w:tcPr>
          <w:p w14:paraId="1CEB621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Victoria</w:t>
            </w:r>
          </w:p>
        </w:tc>
        <w:tc>
          <w:tcPr>
            <w:tcW w:w="568" w:type="pct"/>
          </w:tcPr>
          <w:p w14:paraId="0D1E466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Coastal Margin / Marine</w:t>
            </w:r>
          </w:p>
        </w:tc>
        <w:tc>
          <w:tcPr>
            <w:tcW w:w="2274" w:type="pct"/>
          </w:tcPr>
          <w:p w14:paraId="5D7E91B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DELWP (2019) Marine and Coastal Community Attitudes and Behaviour Report. Wave 5</w:t>
            </w:r>
          </w:p>
        </w:tc>
        <w:tc>
          <w:tcPr>
            <w:tcW w:w="295" w:type="pct"/>
          </w:tcPr>
          <w:p w14:paraId="5BA7EB5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2019</w:t>
            </w:r>
          </w:p>
        </w:tc>
      </w:tr>
      <w:tr w:rsidR="00FA0AF1" w:rsidRPr="002F335D" w14:paraId="7994E433"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tcPr>
          <w:p w14:paraId="1A49E574" w14:textId="77777777" w:rsidR="00F50B5A" w:rsidRPr="00370449" w:rsidRDefault="00F50B5A" w:rsidP="00FA0AF1">
            <w:pPr>
              <w:pStyle w:val="TableTextLeft"/>
            </w:pPr>
          </w:p>
        </w:tc>
        <w:tc>
          <w:tcPr>
            <w:tcW w:w="632" w:type="pct"/>
          </w:tcPr>
          <w:p w14:paraId="1FF451D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 xml:space="preserve">Recreational fishing </w:t>
            </w:r>
          </w:p>
        </w:tc>
        <w:tc>
          <w:tcPr>
            <w:tcW w:w="218" w:type="pct"/>
          </w:tcPr>
          <w:p w14:paraId="7AF519A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c>
          <w:tcPr>
            <w:tcW w:w="324" w:type="pct"/>
          </w:tcPr>
          <w:p w14:paraId="27E6B088"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Various</w:t>
            </w:r>
          </w:p>
        </w:tc>
        <w:tc>
          <w:tcPr>
            <w:tcW w:w="377" w:type="pct"/>
          </w:tcPr>
          <w:p w14:paraId="580F0B2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Victoria (Barwon)</w:t>
            </w:r>
          </w:p>
        </w:tc>
        <w:tc>
          <w:tcPr>
            <w:tcW w:w="568" w:type="pct"/>
          </w:tcPr>
          <w:p w14:paraId="542C98E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Coastal Margin / Marine</w:t>
            </w:r>
          </w:p>
        </w:tc>
        <w:tc>
          <w:tcPr>
            <w:tcW w:w="2274" w:type="pct"/>
          </w:tcPr>
          <w:p w14:paraId="4DF2FB22"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Henry and Lyle (2003) The National Recreational and Indigenous Fishing Survey in URS (2007)</w:t>
            </w:r>
          </w:p>
        </w:tc>
        <w:tc>
          <w:tcPr>
            <w:tcW w:w="295" w:type="pct"/>
          </w:tcPr>
          <w:p w14:paraId="7D99350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2001</w:t>
            </w:r>
          </w:p>
        </w:tc>
      </w:tr>
      <w:tr w:rsidR="00FA0AF1" w:rsidRPr="002F335D" w14:paraId="6E9F2048"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tcPr>
          <w:p w14:paraId="60036672" w14:textId="77777777" w:rsidR="00F50B5A" w:rsidRPr="00370449" w:rsidRDefault="00F50B5A" w:rsidP="00FA0AF1">
            <w:pPr>
              <w:pStyle w:val="TableTextLeft"/>
            </w:pPr>
          </w:p>
        </w:tc>
        <w:tc>
          <w:tcPr>
            <w:tcW w:w="632" w:type="pct"/>
          </w:tcPr>
          <w:p w14:paraId="7D7E0F3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 xml:space="preserve">Recreational fishing </w:t>
            </w:r>
          </w:p>
        </w:tc>
        <w:tc>
          <w:tcPr>
            <w:tcW w:w="218" w:type="pct"/>
          </w:tcPr>
          <w:p w14:paraId="681B593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c>
          <w:tcPr>
            <w:tcW w:w="324" w:type="pct"/>
          </w:tcPr>
          <w:p w14:paraId="7C3BA7A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Number</w:t>
            </w:r>
          </w:p>
        </w:tc>
        <w:tc>
          <w:tcPr>
            <w:tcW w:w="377" w:type="pct"/>
          </w:tcPr>
          <w:p w14:paraId="179C268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Victoria</w:t>
            </w:r>
          </w:p>
        </w:tc>
        <w:tc>
          <w:tcPr>
            <w:tcW w:w="568" w:type="pct"/>
          </w:tcPr>
          <w:p w14:paraId="5C7F2052"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Freshwater / Coastal / Marine</w:t>
            </w:r>
          </w:p>
        </w:tc>
        <w:tc>
          <w:tcPr>
            <w:tcW w:w="2274" w:type="pct"/>
          </w:tcPr>
          <w:p w14:paraId="1407DFB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 xml:space="preserve">EY (2015) Economic study of recreational fishing in Victoria in DELWP (2016b) </w:t>
            </w:r>
          </w:p>
        </w:tc>
        <w:tc>
          <w:tcPr>
            <w:tcW w:w="295" w:type="pct"/>
          </w:tcPr>
          <w:p w14:paraId="0D1EB8A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n.d.</w:t>
            </w:r>
          </w:p>
        </w:tc>
      </w:tr>
      <w:tr w:rsidR="00FA0AF1" w:rsidRPr="002F335D" w14:paraId="6FFAB5C4"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tcPr>
          <w:p w14:paraId="69A651C8" w14:textId="77777777" w:rsidR="00F50B5A" w:rsidRPr="00370449" w:rsidRDefault="00F50B5A" w:rsidP="00FA0AF1">
            <w:pPr>
              <w:pStyle w:val="TableTextLeft"/>
            </w:pPr>
          </w:p>
        </w:tc>
        <w:tc>
          <w:tcPr>
            <w:tcW w:w="632" w:type="pct"/>
          </w:tcPr>
          <w:p w14:paraId="2C9C479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 xml:space="preserve">Natural env. reason for domestic day visit </w:t>
            </w:r>
          </w:p>
        </w:tc>
        <w:tc>
          <w:tcPr>
            <w:tcW w:w="218" w:type="pct"/>
          </w:tcPr>
          <w:p w14:paraId="02732ED8"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74</w:t>
            </w:r>
          </w:p>
        </w:tc>
        <w:tc>
          <w:tcPr>
            <w:tcW w:w="324" w:type="pct"/>
          </w:tcPr>
          <w:p w14:paraId="17D8D6C8"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 visits</w:t>
            </w:r>
          </w:p>
        </w:tc>
        <w:tc>
          <w:tcPr>
            <w:tcW w:w="377" w:type="pct"/>
          </w:tcPr>
          <w:p w14:paraId="74B486F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Surf Coast</w:t>
            </w:r>
          </w:p>
        </w:tc>
        <w:tc>
          <w:tcPr>
            <w:tcW w:w="568" w:type="pct"/>
          </w:tcPr>
          <w:p w14:paraId="4CAB313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All</w:t>
            </w:r>
          </w:p>
        </w:tc>
        <w:tc>
          <w:tcPr>
            <w:tcW w:w="2274" w:type="pct"/>
          </w:tcPr>
          <w:p w14:paraId="5E8CB3C5"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Surf Coast Shire (2019) Visitor Insights 2019</w:t>
            </w:r>
          </w:p>
        </w:tc>
        <w:tc>
          <w:tcPr>
            <w:tcW w:w="295" w:type="pct"/>
          </w:tcPr>
          <w:p w14:paraId="56D978C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2018</w:t>
            </w:r>
          </w:p>
        </w:tc>
      </w:tr>
      <w:tr w:rsidR="00FA0AF1" w:rsidRPr="002F335D" w14:paraId="4E99601C"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tcPr>
          <w:p w14:paraId="001C13BF" w14:textId="77777777" w:rsidR="00F50B5A" w:rsidRPr="00370449" w:rsidRDefault="00F50B5A" w:rsidP="00FA0AF1">
            <w:pPr>
              <w:pStyle w:val="TableTextLeft"/>
            </w:pPr>
          </w:p>
        </w:tc>
        <w:tc>
          <w:tcPr>
            <w:tcW w:w="632" w:type="pct"/>
          </w:tcPr>
          <w:p w14:paraId="502E3D4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Active outdoor/sports reason for visit</w:t>
            </w:r>
          </w:p>
        </w:tc>
        <w:tc>
          <w:tcPr>
            <w:tcW w:w="218" w:type="pct"/>
          </w:tcPr>
          <w:p w14:paraId="18F2DF0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20.6</w:t>
            </w:r>
          </w:p>
        </w:tc>
        <w:tc>
          <w:tcPr>
            <w:tcW w:w="324" w:type="pct"/>
          </w:tcPr>
          <w:p w14:paraId="386239C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 visits</w:t>
            </w:r>
          </w:p>
        </w:tc>
        <w:tc>
          <w:tcPr>
            <w:tcW w:w="377" w:type="pct"/>
          </w:tcPr>
          <w:p w14:paraId="2B4E556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Surf Coast</w:t>
            </w:r>
          </w:p>
        </w:tc>
        <w:tc>
          <w:tcPr>
            <w:tcW w:w="568" w:type="pct"/>
          </w:tcPr>
          <w:p w14:paraId="772F951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All</w:t>
            </w:r>
          </w:p>
        </w:tc>
        <w:tc>
          <w:tcPr>
            <w:tcW w:w="2274" w:type="pct"/>
          </w:tcPr>
          <w:p w14:paraId="7777FF3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Surf Coast Shire (2019) Visitor Insights 2019</w:t>
            </w:r>
          </w:p>
        </w:tc>
        <w:tc>
          <w:tcPr>
            <w:tcW w:w="295" w:type="pct"/>
          </w:tcPr>
          <w:p w14:paraId="51874CC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2018</w:t>
            </w:r>
          </w:p>
        </w:tc>
      </w:tr>
      <w:tr w:rsidR="00FA0AF1" w:rsidRPr="002F335D" w14:paraId="24951591"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tcPr>
          <w:p w14:paraId="6D08E8A3" w14:textId="77777777" w:rsidR="00F50B5A" w:rsidRPr="00370449" w:rsidRDefault="00F50B5A" w:rsidP="00FA0AF1">
            <w:pPr>
              <w:pStyle w:val="TableTextLeft"/>
            </w:pPr>
          </w:p>
        </w:tc>
        <w:tc>
          <w:tcPr>
            <w:tcW w:w="632" w:type="pct"/>
          </w:tcPr>
          <w:p w14:paraId="09D1A696"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Recreational visit (incl. % by activity)</w:t>
            </w:r>
          </w:p>
        </w:tc>
        <w:tc>
          <w:tcPr>
            <w:tcW w:w="218" w:type="pct"/>
          </w:tcPr>
          <w:p w14:paraId="4AF0753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c>
          <w:tcPr>
            <w:tcW w:w="324" w:type="pct"/>
          </w:tcPr>
          <w:p w14:paraId="05CDF66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Number</w:t>
            </w:r>
          </w:p>
        </w:tc>
        <w:tc>
          <w:tcPr>
            <w:tcW w:w="377" w:type="pct"/>
          </w:tcPr>
          <w:p w14:paraId="4972C06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Victoria</w:t>
            </w:r>
          </w:p>
        </w:tc>
        <w:tc>
          <w:tcPr>
            <w:tcW w:w="568" w:type="pct"/>
          </w:tcPr>
          <w:p w14:paraId="524D3532"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 xml:space="preserve">Parks </w:t>
            </w:r>
          </w:p>
        </w:tc>
        <w:tc>
          <w:tcPr>
            <w:tcW w:w="2274" w:type="pct"/>
          </w:tcPr>
          <w:p w14:paraId="76FE94F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Parks Visitation Monitor Quarter 1-4 (2013) in DELWP and PV (2015)</w:t>
            </w:r>
          </w:p>
        </w:tc>
        <w:tc>
          <w:tcPr>
            <w:tcW w:w="295" w:type="pct"/>
          </w:tcPr>
          <w:p w14:paraId="1FA55405"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2014</w:t>
            </w:r>
          </w:p>
        </w:tc>
      </w:tr>
      <w:tr w:rsidR="00FA0AF1" w:rsidRPr="002F335D" w14:paraId="6D66EC3B"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tcPr>
          <w:p w14:paraId="066915AD" w14:textId="77777777" w:rsidR="00F50B5A" w:rsidRPr="00370449" w:rsidRDefault="00F50B5A" w:rsidP="00FA0AF1">
            <w:pPr>
              <w:pStyle w:val="TableTextLeft"/>
            </w:pPr>
          </w:p>
        </w:tc>
        <w:tc>
          <w:tcPr>
            <w:tcW w:w="632" w:type="pct"/>
          </w:tcPr>
          <w:p w14:paraId="08713198"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Recreation duration</w:t>
            </w:r>
          </w:p>
        </w:tc>
        <w:tc>
          <w:tcPr>
            <w:tcW w:w="218" w:type="pct"/>
          </w:tcPr>
          <w:p w14:paraId="798839F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c>
          <w:tcPr>
            <w:tcW w:w="324" w:type="pct"/>
          </w:tcPr>
          <w:p w14:paraId="7A25410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Hours</w:t>
            </w:r>
          </w:p>
        </w:tc>
        <w:tc>
          <w:tcPr>
            <w:tcW w:w="377" w:type="pct"/>
          </w:tcPr>
          <w:p w14:paraId="023B8FB8"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Great Ocean Road</w:t>
            </w:r>
          </w:p>
        </w:tc>
        <w:tc>
          <w:tcPr>
            <w:tcW w:w="568" w:type="pct"/>
          </w:tcPr>
          <w:p w14:paraId="42053CE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All</w:t>
            </w:r>
          </w:p>
        </w:tc>
        <w:tc>
          <w:tcPr>
            <w:tcW w:w="2274" w:type="pct"/>
          </w:tcPr>
          <w:p w14:paraId="5DFECA4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MJA (2016) Victoria’s nature-based outdoor economy</w:t>
            </w:r>
          </w:p>
        </w:tc>
        <w:tc>
          <w:tcPr>
            <w:tcW w:w="295" w:type="pct"/>
          </w:tcPr>
          <w:p w14:paraId="12A20A0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2011-12</w:t>
            </w:r>
          </w:p>
        </w:tc>
      </w:tr>
      <w:tr w:rsidR="00FA0AF1" w:rsidRPr="002F335D" w14:paraId="15969BE5"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tcPr>
          <w:p w14:paraId="208176CA" w14:textId="77777777" w:rsidR="00F50B5A" w:rsidRPr="00370449" w:rsidRDefault="00F50B5A" w:rsidP="00FA0AF1">
            <w:pPr>
              <w:pStyle w:val="TableTextLeft"/>
            </w:pPr>
          </w:p>
        </w:tc>
        <w:tc>
          <w:tcPr>
            <w:tcW w:w="632" w:type="pct"/>
          </w:tcPr>
          <w:p w14:paraId="21B6F7A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Recreational visit</w:t>
            </w:r>
          </w:p>
        </w:tc>
        <w:tc>
          <w:tcPr>
            <w:tcW w:w="218" w:type="pct"/>
          </w:tcPr>
          <w:p w14:paraId="03488EF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c>
          <w:tcPr>
            <w:tcW w:w="324" w:type="pct"/>
          </w:tcPr>
          <w:p w14:paraId="11A0D7B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Number</w:t>
            </w:r>
          </w:p>
        </w:tc>
        <w:tc>
          <w:tcPr>
            <w:tcW w:w="377" w:type="pct"/>
          </w:tcPr>
          <w:p w14:paraId="628086B6"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Victoria</w:t>
            </w:r>
          </w:p>
        </w:tc>
        <w:tc>
          <w:tcPr>
            <w:tcW w:w="568" w:type="pct"/>
          </w:tcPr>
          <w:p w14:paraId="77BCCEE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Forests (State only)</w:t>
            </w:r>
          </w:p>
        </w:tc>
        <w:tc>
          <w:tcPr>
            <w:tcW w:w="2274" w:type="pct"/>
          </w:tcPr>
          <w:p w14:paraId="215B5FF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Quantum Market Research (2019) Understanding state forest visitation and tourism for DELWP in DELWP (2019)</w:t>
            </w:r>
          </w:p>
        </w:tc>
        <w:tc>
          <w:tcPr>
            <w:tcW w:w="295" w:type="pct"/>
          </w:tcPr>
          <w:p w14:paraId="497E83E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2019</w:t>
            </w:r>
          </w:p>
        </w:tc>
      </w:tr>
      <w:tr w:rsidR="00FA0AF1" w:rsidRPr="002F335D" w14:paraId="1442449A"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val="restart"/>
          </w:tcPr>
          <w:p w14:paraId="4DE76068" w14:textId="77777777" w:rsidR="00F50B5A" w:rsidRPr="00370449" w:rsidRDefault="00F50B5A" w:rsidP="00FA0AF1">
            <w:pPr>
              <w:pStyle w:val="TableTextLeft"/>
            </w:pPr>
            <w:r w:rsidRPr="00370449">
              <w:t>Social cohesion</w:t>
            </w:r>
          </w:p>
        </w:tc>
        <w:tc>
          <w:tcPr>
            <w:tcW w:w="632" w:type="pct"/>
          </w:tcPr>
          <w:p w14:paraId="406A42C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Lifesaving clubs</w:t>
            </w:r>
          </w:p>
        </w:tc>
        <w:tc>
          <w:tcPr>
            <w:tcW w:w="218" w:type="pct"/>
          </w:tcPr>
          <w:p w14:paraId="4791CE8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c>
          <w:tcPr>
            <w:tcW w:w="324" w:type="pct"/>
          </w:tcPr>
          <w:p w14:paraId="3FADB86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Number</w:t>
            </w:r>
          </w:p>
        </w:tc>
        <w:tc>
          <w:tcPr>
            <w:tcW w:w="377" w:type="pct"/>
          </w:tcPr>
          <w:p w14:paraId="06886F0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Great Ocean Road</w:t>
            </w:r>
          </w:p>
        </w:tc>
        <w:tc>
          <w:tcPr>
            <w:tcW w:w="568" w:type="pct"/>
          </w:tcPr>
          <w:p w14:paraId="3B186C6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Coastal margin / Marine</w:t>
            </w:r>
          </w:p>
        </w:tc>
        <w:tc>
          <w:tcPr>
            <w:tcW w:w="2274" w:type="pct"/>
          </w:tcPr>
          <w:p w14:paraId="3303BE3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Life Saving Victoria (2014), Annual Report 2013-14</w:t>
            </w:r>
          </w:p>
        </w:tc>
        <w:tc>
          <w:tcPr>
            <w:tcW w:w="295" w:type="pct"/>
          </w:tcPr>
          <w:p w14:paraId="31A4A45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2013-14</w:t>
            </w:r>
          </w:p>
        </w:tc>
      </w:tr>
      <w:tr w:rsidR="00FA0AF1" w:rsidRPr="002F335D" w14:paraId="15D91C63"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tcPr>
          <w:p w14:paraId="4D4E7FFE" w14:textId="77777777" w:rsidR="00F50B5A" w:rsidRPr="00370449" w:rsidRDefault="00F50B5A" w:rsidP="00FA0AF1">
            <w:pPr>
              <w:pStyle w:val="TableTextLeft"/>
            </w:pPr>
          </w:p>
        </w:tc>
        <w:tc>
          <w:tcPr>
            <w:tcW w:w="632" w:type="pct"/>
          </w:tcPr>
          <w:p w14:paraId="5791080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Volunteering in nature</w:t>
            </w:r>
          </w:p>
        </w:tc>
        <w:tc>
          <w:tcPr>
            <w:tcW w:w="218" w:type="pct"/>
          </w:tcPr>
          <w:p w14:paraId="71ED6C0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c>
          <w:tcPr>
            <w:tcW w:w="324" w:type="pct"/>
          </w:tcPr>
          <w:p w14:paraId="3C55211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Number</w:t>
            </w:r>
          </w:p>
        </w:tc>
        <w:tc>
          <w:tcPr>
            <w:tcW w:w="377" w:type="pct"/>
          </w:tcPr>
          <w:p w14:paraId="28E2D775"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Victoria</w:t>
            </w:r>
          </w:p>
        </w:tc>
        <w:tc>
          <w:tcPr>
            <w:tcW w:w="568" w:type="pct"/>
          </w:tcPr>
          <w:p w14:paraId="21705928"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All</w:t>
            </w:r>
          </w:p>
        </w:tc>
        <w:tc>
          <w:tcPr>
            <w:tcW w:w="2274" w:type="pct"/>
          </w:tcPr>
          <w:p w14:paraId="6E19091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DELWP (2018) Victorians volunteering for nature: Environmental volunteering plan in DELWP (2019)</w:t>
            </w:r>
          </w:p>
        </w:tc>
        <w:tc>
          <w:tcPr>
            <w:tcW w:w="295" w:type="pct"/>
          </w:tcPr>
          <w:p w14:paraId="517F25C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2018</w:t>
            </w:r>
          </w:p>
        </w:tc>
      </w:tr>
      <w:tr w:rsidR="00FA0AF1" w:rsidRPr="002F335D" w14:paraId="07CDC187"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val="restart"/>
          </w:tcPr>
          <w:p w14:paraId="4522B451" w14:textId="77777777" w:rsidR="00F50B5A" w:rsidRPr="00370449" w:rsidRDefault="00F50B5A" w:rsidP="00FA0AF1">
            <w:pPr>
              <w:pStyle w:val="TableTextLeft"/>
            </w:pPr>
            <w:r w:rsidRPr="00370449">
              <w:t>Tourism</w:t>
            </w:r>
          </w:p>
        </w:tc>
        <w:tc>
          <w:tcPr>
            <w:tcW w:w="632" w:type="pct"/>
          </w:tcPr>
          <w:p w14:paraId="5F6C63A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Recreational visitors / visits</w:t>
            </w:r>
          </w:p>
        </w:tc>
        <w:tc>
          <w:tcPr>
            <w:tcW w:w="218" w:type="pct"/>
          </w:tcPr>
          <w:p w14:paraId="5C383B3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p>
        </w:tc>
        <w:tc>
          <w:tcPr>
            <w:tcW w:w="324" w:type="pct"/>
          </w:tcPr>
          <w:p w14:paraId="74455BC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 xml:space="preserve">Number </w:t>
            </w:r>
          </w:p>
        </w:tc>
        <w:tc>
          <w:tcPr>
            <w:tcW w:w="377" w:type="pct"/>
          </w:tcPr>
          <w:p w14:paraId="23DE486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Victoria</w:t>
            </w:r>
          </w:p>
        </w:tc>
        <w:tc>
          <w:tcPr>
            <w:tcW w:w="568" w:type="pct"/>
          </w:tcPr>
          <w:p w14:paraId="218CFF06"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All</w:t>
            </w:r>
          </w:p>
        </w:tc>
        <w:tc>
          <w:tcPr>
            <w:tcW w:w="2274" w:type="pct"/>
          </w:tcPr>
          <w:p w14:paraId="39204DF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Tourism Victoria (2012) Victoria market profile year ending June 2012 in Worley Parsons (2013)</w:t>
            </w:r>
          </w:p>
        </w:tc>
        <w:tc>
          <w:tcPr>
            <w:tcW w:w="295" w:type="pct"/>
          </w:tcPr>
          <w:p w14:paraId="275BCCD5"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2012</w:t>
            </w:r>
          </w:p>
        </w:tc>
      </w:tr>
      <w:tr w:rsidR="00FA0AF1" w:rsidRPr="002F335D" w14:paraId="0A9A8FCC"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tcPr>
          <w:p w14:paraId="7B8609B8" w14:textId="77777777" w:rsidR="00F50B5A" w:rsidRPr="00370449" w:rsidRDefault="00F50B5A" w:rsidP="00FA0AF1">
            <w:pPr>
              <w:pStyle w:val="TableTextLeft"/>
            </w:pPr>
          </w:p>
        </w:tc>
        <w:tc>
          <w:tcPr>
            <w:tcW w:w="632" w:type="pct"/>
          </w:tcPr>
          <w:p w14:paraId="602FC21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Various</w:t>
            </w:r>
          </w:p>
        </w:tc>
        <w:tc>
          <w:tcPr>
            <w:tcW w:w="218" w:type="pct"/>
          </w:tcPr>
          <w:p w14:paraId="2335DBE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c>
          <w:tcPr>
            <w:tcW w:w="324" w:type="pct"/>
          </w:tcPr>
          <w:p w14:paraId="6442D85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Various</w:t>
            </w:r>
          </w:p>
        </w:tc>
        <w:tc>
          <w:tcPr>
            <w:tcW w:w="377" w:type="pct"/>
          </w:tcPr>
          <w:p w14:paraId="7372086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Great Ocean Road</w:t>
            </w:r>
          </w:p>
        </w:tc>
        <w:tc>
          <w:tcPr>
            <w:tcW w:w="568" w:type="pct"/>
          </w:tcPr>
          <w:p w14:paraId="78BA056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All</w:t>
            </w:r>
          </w:p>
        </w:tc>
        <w:tc>
          <w:tcPr>
            <w:tcW w:w="2274" w:type="pct"/>
          </w:tcPr>
          <w:p w14:paraId="136D3488"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Tourism Research Australia (2013) Great Ocean Road Visitor Profile and Satisfaction Report</w:t>
            </w:r>
          </w:p>
        </w:tc>
        <w:tc>
          <w:tcPr>
            <w:tcW w:w="295" w:type="pct"/>
          </w:tcPr>
          <w:p w14:paraId="5F84F43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2013</w:t>
            </w:r>
          </w:p>
        </w:tc>
      </w:tr>
      <w:tr w:rsidR="00FA0AF1" w:rsidRPr="002F335D" w14:paraId="1B78A75B"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tcPr>
          <w:p w14:paraId="668B2B19" w14:textId="77777777" w:rsidR="00F50B5A" w:rsidRPr="00370449" w:rsidRDefault="00F50B5A" w:rsidP="00FA0AF1">
            <w:pPr>
              <w:pStyle w:val="TableTextLeft"/>
            </w:pPr>
          </w:p>
        </w:tc>
        <w:tc>
          <w:tcPr>
            <w:tcW w:w="632" w:type="pct"/>
          </w:tcPr>
          <w:p w14:paraId="04013B72"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Day, Overnight &amp; International Overnight</w:t>
            </w:r>
          </w:p>
        </w:tc>
        <w:tc>
          <w:tcPr>
            <w:tcW w:w="218" w:type="pct"/>
          </w:tcPr>
          <w:p w14:paraId="3E52445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c>
          <w:tcPr>
            <w:tcW w:w="324" w:type="pct"/>
          </w:tcPr>
          <w:p w14:paraId="7514220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Visits</w:t>
            </w:r>
          </w:p>
        </w:tc>
        <w:tc>
          <w:tcPr>
            <w:tcW w:w="377" w:type="pct"/>
          </w:tcPr>
          <w:p w14:paraId="206A6CB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Great Ocean Road</w:t>
            </w:r>
          </w:p>
        </w:tc>
        <w:tc>
          <w:tcPr>
            <w:tcW w:w="568" w:type="pct"/>
          </w:tcPr>
          <w:p w14:paraId="2DDA74C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All</w:t>
            </w:r>
          </w:p>
        </w:tc>
        <w:tc>
          <w:tcPr>
            <w:tcW w:w="2274" w:type="pct"/>
          </w:tcPr>
          <w:p w14:paraId="30BF32F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 xml:space="preserve">DELWP (2020) Coastal demographics in Victoria </w:t>
            </w:r>
          </w:p>
        </w:tc>
        <w:tc>
          <w:tcPr>
            <w:tcW w:w="295" w:type="pct"/>
          </w:tcPr>
          <w:p w14:paraId="3212EF72"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2018</w:t>
            </w:r>
          </w:p>
        </w:tc>
      </w:tr>
      <w:tr w:rsidR="00FA0AF1" w:rsidRPr="002F335D" w14:paraId="04BB07BF"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tcPr>
          <w:p w14:paraId="7EB917B6" w14:textId="77777777" w:rsidR="00F50B5A" w:rsidRPr="00370449" w:rsidRDefault="00F50B5A" w:rsidP="00FA0AF1">
            <w:pPr>
              <w:pStyle w:val="TableTextLeft"/>
            </w:pPr>
          </w:p>
        </w:tc>
        <w:tc>
          <w:tcPr>
            <w:tcW w:w="632" w:type="pct"/>
          </w:tcPr>
          <w:p w14:paraId="1DCF902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Day, Overnight &amp; International Overnight</w:t>
            </w:r>
          </w:p>
        </w:tc>
        <w:tc>
          <w:tcPr>
            <w:tcW w:w="218" w:type="pct"/>
          </w:tcPr>
          <w:p w14:paraId="3EDA561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c>
          <w:tcPr>
            <w:tcW w:w="324" w:type="pct"/>
          </w:tcPr>
          <w:p w14:paraId="5925074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Visits</w:t>
            </w:r>
          </w:p>
        </w:tc>
        <w:tc>
          <w:tcPr>
            <w:tcW w:w="377" w:type="pct"/>
          </w:tcPr>
          <w:p w14:paraId="7C95B3C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Great Ocean Road</w:t>
            </w:r>
          </w:p>
        </w:tc>
        <w:tc>
          <w:tcPr>
            <w:tcW w:w="568" w:type="pct"/>
          </w:tcPr>
          <w:p w14:paraId="161E5925"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All</w:t>
            </w:r>
          </w:p>
        </w:tc>
        <w:tc>
          <w:tcPr>
            <w:tcW w:w="2274" w:type="pct"/>
          </w:tcPr>
          <w:p w14:paraId="254EAC5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Surf Coast Shire (2019) Visitor Insights 2019</w:t>
            </w:r>
          </w:p>
        </w:tc>
        <w:tc>
          <w:tcPr>
            <w:tcW w:w="295" w:type="pct"/>
          </w:tcPr>
          <w:p w14:paraId="563685E2"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2018</w:t>
            </w:r>
          </w:p>
        </w:tc>
      </w:tr>
      <w:tr w:rsidR="00FA0AF1" w:rsidRPr="002F335D" w14:paraId="04C13822"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tcPr>
          <w:p w14:paraId="1624D94B" w14:textId="77777777" w:rsidR="00F50B5A" w:rsidRPr="00370449" w:rsidRDefault="00F50B5A" w:rsidP="00FA0AF1">
            <w:pPr>
              <w:pStyle w:val="TableTextLeft"/>
            </w:pPr>
          </w:p>
        </w:tc>
        <w:tc>
          <w:tcPr>
            <w:tcW w:w="632" w:type="pct"/>
          </w:tcPr>
          <w:p w14:paraId="1EB0E0D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Day, Overnight &amp; International Overnight</w:t>
            </w:r>
          </w:p>
        </w:tc>
        <w:tc>
          <w:tcPr>
            <w:tcW w:w="218" w:type="pct"/>
          </w:tcPr>
          <w:p w14:paraId="02AEAD1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c>
          <w:tcPr>
            <w:tcW w:w="324" w:type="pct"/>
          </w:tcPr>
          <w:p w14:paraId="02321C8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Number</w:t>
            </w:r>
          </w:p>
        </w:tc>
        <w:tc>
          <w:tcPr>
            <w:tcW w:w="377" w:type="pct"/>
          </w:tcPr>
          <w:p w14:paraId="577E099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Great Ocean Road</w:t>
            </w:r>
          </w:p>
        </w:tc>
        <w:tc>
          <w:tcPr>
            <w:tcW w:w="568" w:type="pct"/>
          </w:tcPr>
          <w:p w14:paraId="1943CC4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All</w:t>
            </w:r>
          </w:p>
        </w:tc>
        <w:tc>
          <w:tcPr>
            <w:tcW w:w="2274" w:type="pct"/>
          </w:tcPr>
          <w:p w14:paraId="5901C3B2"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Deloitte Access Economics (2014) Report on Valuing the Tourism Services provided by Victorian Parks in DELWP and PV (2015)</w:t>
            </w:r>
          </w:p>
        </w:tc>
        <w:tc>
          <w:tcPr>
            <w:tcW w:w="295" w:type="pct"/>
          </w:tcPr>
          <w:p w14:paraId="33BD6B1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2010-11</w:t>
            </w:r>
          </w:p>
        </w:tc>
      </w:tr>
      <w:tr w:rsidR="00FA0AF1" w:rsidRPr="002F335D" w14:paraId="363C6FC0"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tcPr>
          <w:p w14:paraId="0393125F" w14:textId="77777777" w:rsidR="00F50B5A" w:rsidRPr="00370449" w:rsidRDefault="00F50B5A" w:rsidP="00FA0AF1">
            <w:pPr>
              <w:pStyle w:val="TableTextLeft"/>
            </w:pPr>
          </w:p>
        </w:tc>
        <w:tc>
          <w:tcPr>
            <w:tcW w:w="632" w:type="pct"/>
          </w:tcPr>
          <w:p w14:paraId="3C348BD2"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Regional Tourism Summary</w:t>
            </w:r>
          </w:p>
        </w:tc>
        <w:tc>
          <w:tcPr>
            <w:tcW w:w="218" w:type="pct"/>
          </w:tcPr>
          <w:p w14:paraId="46E4D1C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c>
          <w:tcPr>
            <w:tcW w:w="324" w:type="pct"/>
          </w:tcPr>
          <w:p w14:paraId="53518F7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Various</w:t>
            </w:r>
          </w:p>
        </w:tc>
        <w:tc>
          <w:tcPr>
            <w:tcW w:w="377" w:type="pct"/>
          </w:tcPr>
          <w:p w14:paraId="7AFAD5C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Great Ocean Road</w:t>
            </w:r>
          </w:p>
        </w:tc>
        <w:tc>
          <w:tcPr>
            <w:tcW w:w="568" w:type="pct"/>
          </w:tcPr>
          <w:p w14:paraId="03E8EB1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All</w:t>
            </w:r>
          </w:p>
        </w:tc>
        <w:tc>
          <w:tcPr>
            <w:tcW w:w="2274" w:type="pct"/>
          </w:tcPr>
          <w:p w14:paraId="198EE40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DJPR (2020) Great Ocean Road. Regional Tourism Summary</w:t>
            </w:r>
          </w:p>
        </w:tc>
        <w:tc>
          <w:tcPr>
            <w:tcW w:w="295" w:type="pct"/>
          </w:tcPr>
          <w:p w14:paraId="19CF0696"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2015-20</w:t>
            </w:r>
          </w:p>
        </w:tc>
      </w:tr>
      <w:tr w:rsidR="00FA0AF1" w:rsidRPr="002F335D" w14:paraId="20855A48" w14:textId="77777777" w:rsidTr="00FA0AF1">
        <w:trPr>
          <w:trHeight w:val="324"/>
        </w:trPr>
        <w:tc>
          <w:tcPr>
            <w:cnfStyle w:val="001000000000" w:firstRow="0" w:lastRow="0" w:firstColumn="1" w:lastColumn="0" w:oddVBand="0" w:evenVBand="0" w:oddHBand="0" w:evenHBand="0" w:firstRowFirstColumn="0" w:firstRowLastColumn="0" w:lastRowFirstColumn="0" w:lastRowLastColumn="0"/>
            <w:tcW w:w="314" w:type="pct"/>
            <w:vMerge/>
          </w:tcPr>
          <w:p w14:paraId="4797E8A0" w14:textId="77777777" w:rsidR="00F50B5A" w:rsidRPr="00370449" w:rsidRDefault="00F50B5A" w:rsidP="00FA0AF1">
            <w:pPr>
              <w:pStyle w:val="TableTextLeft"/>
            </w:pPr>
          </w:p>
        </w:tc>
        <w:tc>
          <w:tcPr>
            <w:tcW w:w="632" w:type="pct"/>
          </w:tcPr>
          <w:p w14:paraId="29C40DB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Economic contribution of tourism to regions</w:t>
            </w:r>
          </w:p>
        </w:tc>
        <w:tc>
          <w:tcPr>
            <w:tcW w:w="218" w:type="pct"/>
          </w:tcPr>
          <w:p w14:paraId="614F7CF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c>
          <w:tcPr>
            <w:tcW w:w="324" w:type="pct"/>
          </w:tcPr>
          <w:p w14:paraId="417A4595"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Various</w:t>
            </w:r>
          </w:p>
        </w:tc>
        <w:tc>
          <w:tcPr>
            <w:tcW w:w="377" w:type="pct"/>
          </w:tcPr>
          <w:p w14:paraId="0ACC38E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Great Ocean Road</w:t>
            </w:r>
          </w:p>
        </w:tc>
        <w:tc>
          <w:tcPr>
            <w:tcW w:w="568" w:type="pct"/>
          </w:tcPr>
          <w:p w14:paraId="57AFAC3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All</w:t>
            </w:r>
          </w:p>
        </w:tc>
        <w:tc>
          <w:tcPr>
            <w:tcW w:w="2274" w:type="pct"/>
          </w:tcPr>
          <w:p w14:paraId="096F947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DJPR (2020) The economic contribution of tourism to Victoria’s regions 2018-19</w:t>
            </w:r>
          </w:p>
        </w:tc>
        <w:tc>
          <w:tcPr>
            <w:tcW w:w="295" w:type="pct"/>
          </w:tcPr>
          <w:p w14:paraId="189ED606"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2018-19</w:t>
            </w:r>
          </w:p>
        </w:tc>
      </w:tr>
      <w:tr w:rsidR="00FA0AF1" w:rsidRPr="002F335D" w14:paraId="0C8DB638"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tcPr>
          <w:p w14:paraId="36E5352D" w14:textId="77777777" w:rsidR="00F50B5A" w:rsidRPr="00370449" w:rsidRDefault="00F50B5A" w:rsidP="00FA0AF1">
            <w:pPr>
              <w:pStyle w:val="TableTextLeft"/>
            </w:pPr>
          </w:p>
        </w:tc>
        <w:tc>
          <w:tcPr>
            <w:tcW w:w="632" w:type="pct"/>
          </w:tcPr>
          <w:p w14:paraId="1235E1F5"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Annual park visitation (by type)</w:t>
            </w:r>
          </w:p>
        </w:tc>
        <w:tc>
          <w:tcPr>
            <w:tcW w:w="218" w:type="pct"/>
          </w:tcPr>
          <w:p w14:paraId="382A28F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7.3m</w:t>
            </w:r>
          </w:p>
        </w:tc>
        <w:tc>
          <w:tcPr>
            <w:tcW w:w="324" w:type="pct"/>
          </w:tcPr>
          <w:p w14:paraId="4472E8C5"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Number</w:t>
            </w:r>
          </w:p>
        </w:tc>
        <w:tc>
          <w:tcPr>
            <w:tcW w:w="377" w:type="pct"/>
          </w:tcPr>
          <w:p w14:paraId="0758A14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Great Ocean Road</w:t>
            </w:r>
          </w:p>
        </w:tc>
        <w:tc>
          <w:tcPr>
            <w:tcW w:w="568" w:type="pct"/>
          </w:tcPr>
          <w:p w14:paraId="6E2F5D0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Park</w:t>
            </w:r>
          </w:p>
        </w:tc>
        <w:tc>
          <w:tcPr>
            <w:tcW w:w="2274" w:type="pct"/>
          </w:tcPr>
          <w:p w14:paraId="2A11DA7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Deloitte Access Economics (2014) Report on Valuing the Tourism Services provided by Victorian Parks in DELWP and PV (2015)</w:t>
            </w:r>
          </w:p>
        </w:tc>
        <w:tc>
          <w:tcPr>
            <w:tcW w:w="295" w:type="pct"/>
          </w:tcPr>
          <w:p w14:paraId="09F81015"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2010-11</w:t>
            </w:r>
          </w:p>
        </w:tc>
      </w:tr>
      <w:tr w:rsidR="00FA0AF1" w:rsidRPr="002F335D" w14:paraId="0A5BC186"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val="restart"/>
          </w:tcPr>
          <w:p w14:paraId="33944BD9" w14:textId="77777777" w:rsidR="00F50B5A" w:rsidRPr="00370449" w:rsidRDefault="00F50B5A" w:rsidP="00FA0AF1">
            <w:pPr>
              <w:pStyle w:val="TableTextLeft"/>
            </w:pPr>
            <w:r w:rsidRPr="00370449">
              <w:t>Water provision</w:t>
            </w:r>
          </w:p>
        </w:tc>
        <w:tc>
          <w:tcPr>
            <w:tcW w:w="632" w:type="pct"/>
          </w:tcPr>
          <w:p w14:paraId="5B2EA4F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Increased water runoff</w:t>
            </w:r>
          </w:p>
        </w:tc>
        <w:tc>
          <w:tcPr>
            <w:tcW w:w="218" w:type="pct"/>
          </w:tcPr>
          <w:p w14:paraId="277A749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c>
          <w:tcPr>
            <w:tcW w:w="324" w:type="pct"/>
          </w:tcPr>
          <w:p w14:paraId="1FD8745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ML/year</w:t>
            </w:r>
          </w:p>
        </w:tc>
        <w:tc>
          <w:tcPr>
            <w:tcW w:w="377" w:type="pct"/>
          </w:tcPr>
          <w:p w14:paraId="4DF313A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Great Otway N.P</w:t>
            </w:r>
          </w:p>
        </w:tc>
        <w:tc>
          <w:tcPr>
            <w:tcW w:w="568" w:type="pct"/>
          </w:tcPr>
          <w:p w14:paraId="0144D6E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Park</w:t>
            </w:r>
          </w:p>
        </w:tc>
        <w:tc>
          <w:tcPr>
            <w:tcW w:w="2274" w:type="pct"/>
          </w:tcPr>
          <w:p w14:paraId="48F5972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MJA (2014) Valuing the Water Services provided by Victoria’s Parks in DELWP and PV (2015)</w:t>
            </w:r>
          </w:p>
        </w:tc>
        <w:tc>
          <w:tcPr>
            <w:tcW w:w="295" w:type="pct"/>
          </w:tcPr>
          <w:p w14:paraId="10B4FD0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2014</w:t>
            </w:r>
          </w:p>
        </w:tc>
      </w:tr>
      <w:tr w:rsidR="00FA0AF1" w:rsidRPr="002F335D" w14:paraId="1AF40394"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tcPr>
          <w:p w14:paraId="7D1BEC32" w14:textId="77777777" w:rsidR="00F50B5A" w:rsidRPr="00370449" w:rsidRDefault="00F50B5A" w:rsidP="00FA0AF1">
            <w:pPr>
              <w:pStyle w:val="TableTextLeft"/>
            </w:pPr>
          </w:p>
        </w:tc>
        <w:tc>
          <w:tcPr>
            <w:tcW w:w="632" w:type="pct"/>
          </w:tcPr>
          <w:p w14:paraId="3341350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Water yield</w:t>
            </w:r>
          </w:p>
        </w:tc>
        <w:tc>
          <w:tcPr>
            <w:tcW w:w="218" w:type="pct"/>
          </w:tcPr>
          <w:p w14:paraId="679CE30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c>
          <w:tcPr>
            <w:tcW w:w="324" w:type="pct"/>
          </w:tcPr>
          <w:p w14:paraId="08BD6872"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ML/Ha/Year</w:t>
            </w:r>
          </w:p>
        </w:tc>
        <w:tc>
          <w:tcPr>
            <w:tcW w:w="377" w:type="pct"/>
          </w:tcPr>
          <w:p w14:paraId="655C910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Victoria</w:t>
            </w:r>
          </w:p>
        </w:tc>
        <w:tc>
          <w:tcPr>
            <w:tcW w:w="568" w:type="pct"/>
          </w:tcPr>
          <w:p w14:paraId="2B350C3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All vegetation types</w:t>
            </w:r>
          </w:p>
        </w:tc>
        <w:tc>
          <w:tcPr>
            <w:tcW w:w="2274" w:type="pct"/>
          </w:tcPr>
          <w:p w14:paraId="2D2377A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 xml:space="preserve">DELWP </w:t>
            </w:r>
            <w:proofErr w:type="spellStart"/>
            <w:r w:rsidRPr="00370449">
              <w:t>EnSym</w:t>
            </w:r>
            <w:proofErr w:type="spellEnd"/>
            <w:r w:rsidRPr="00370449">
              <w:t xml:space="preserve"> modelling as per DELWP (2019) Ecosystem services from forests in Victoria</w:t>
            </w:r>
          </w:p>
        </w:tc>
        <w:tc>
          <w:tcPr>
            <w:tcW w:w="295" w:type="pct"/>
          </w:tcPr>
          <w:p w14:paraId="44B2D075"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r>
      <w:tr w:rsidR="00FA0AF1" w:rsidRPr="002F335D" w14:paraId="2A619EFE"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tcPr>
          <w:p w14:paraId="1E3A0DE6" w14:textId="77777777" w:rsidR="00F50B5A" w:rsidRPr="00370449" w:rsidRDefault="00F50B5A" w:rsidP="00FA0AF1">
            <w:pPr>
              <w:pStyle w:val="TableTextLeft"/>
            </w:pPr>
          </w:p>
        </w:tc>
        <w:tc>
          <w:tcPr>
            <w:tcW w:w="632" w:type="pct"/>
          </w:tcPr>
          <w:p w14:paraId="3433EED2"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Water provision / filtration / storage</w:t>
            </w:r>
          </w:p>
        </w:tc>
        <w:tc>
          <w:tcPr>
            <w:tcW w:w="218" w:type="pct"/>
          </w:tcPr>
          <w:p w14:paraId="475DC5F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c>
          <w:tcPr>
            <w:tcW w:w="324" w:type="pct"/>
          </w:tcPr>
          <w:p w14:paraId="73800F68"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 xml:space="preserve">ML </w:t>
            </w:r>
          </w:p>
        </w:tc>
        <w:tc>
          <w:tcPr>
            <w:tcW w:w="377" w:type="pct"/>
          </w:tcPr>
          <w:p w14:paraId="12DC0CF5"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Central Highlands</w:t>
            </w:r>
          </w:p>
        </w:tc>
        <w:tc>
          <w:tcPr>
            <w:tcW w:w="568" w:type="pct"/>
          </w:tcPr>
          <w:p w14:paraId="1EE9D65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Various</w:t>
            </w:r>
          </w:p>
        </w:tc>
        <w:tc>
          <w:tcPr>
            <w:tcW w:w="2274" w:type="pct"/>
          </w:tcPr>
          <w:p w14:paraId="0BD192F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Vardon et al. (2019) Accounting and valuing the ecosystem services related to water supply in the Central Highlands of Victoria, Australia</w:t>
            </w:r>
          </w:p>
        </w:tc>
        <w:tc>
          <w:tcPr>
            <w:tcW w:w="295" w:type="pct"/>
          </w:tcPr>
          <w:p w14:paraId="01FEE346"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2015</w:t>
            </w:r>
          </w:p>
        </w:tc>
      </w:tr>
      <w:tr w:rsidR="00FA0AF1" w:rsidRPr="002F335D" w14:paraId="7C2C3AEC"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val="restart"/>
          </w:tcPr>
          <w:p w14:paraId="7E1D3057" w14:textId="77777777" w:rsidR="00F50B5A" w:rsidRPr="00370449" w:rsidRDefault="00F50B5A" w:rsidP="00FA0AF1">
            <w:pPr>
              <w:pStyle w:val="TableTextLeft"/>
            </w:pPr>
            <w:r w:rsidRPr="00370449">
              <w:t>Water quality</w:t>
            </w:r>
          </w:p>
        </w:tc>
        <w:tc>
          <w:tcPr>
            <w:tcW w:w="632" w:type="pct"/>
          </w:tcPr>
          <w:p w14:paraId="40D4880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Increased sediment load</w:t>
            </w:r>
          </w:p>
        </w:tc>
        <w:tc>
          <w:tcPr>
            <w:tcW w:w="218" w:type="pct"/>
          </w:tcPr>
          <w:p w14:paraId="3473F36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w:t>
            </w:r>
          </w:p>
        </w:tc>
        <w:tc>
          <w:tcPr>
            <w:tcW w:w="324" w:type="pct"/>
          </w:tcPr>
          <w:p w14:paraId="5F4C7A7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Tonnes/year</w:t>
            </w:r>
          </w:p>
        </w:tc>
        <w:tc>
          <w:tcPr>
            <w:tcW w:w="377" w:type="pct"/>
          </w:tcPr>
          <w:p w14:paraId="1404451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Great Otway N.P</w:t>
            </w:r>
          </w:p>
        </w:tc>
        <w:tc>
          <w:tcPr>
            <w:tcW w:w="568" w:type="pct"/>
          </w:tcPr>
          <w:p w14:paraId="02DA320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Park</w:t>
            </w:r>
          </w:p>
        </w:tc>
        <w:tc>
          <w:tcPr>
            <w:tcW w:w="2274" w:type="pct"/>
          </w:tcPr>
          <w:p w14:paraId="07BD3D3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MJA (2014) Valuing the Water Services provided by Victoria’s Parks in DELWP and PV (2015)</w:t>
            </w:r>
          </w:p>
        </w:tc>
        <w:tc>
          <w:tcPr>
            <w:tcW w:w="295" w:type="pct"/>
          </w:tcPr>
          <w:p w14:paraId="01E2FDB8"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2014</w:t>
            </w:r>
          </w:p>
        </w:tc>
      </w:tr>
      <w:tr w:rsidR="00FA0AF1" w:rsidRPr="002F335D" w14:paraId="47881BEE" w14:textId="77777777" w:rsidTr="00FA0AF1">
        <w:trPr>
          <w:trHeight w:val="122"/>
        </w:trPr>
        <w:tc>
          <w:tcPr>
            <w:cnfStyle w:val="001000000000" w:firstRow="0" w:lastRow="0" w:firstColumn="1" w:lastColumn="0" w:oddVBand="0" w:evenVBand="0" w:oddHBand="0" w:evenHBand="0" w:firstRowFirstColumn="0" w:firstRowLastColumn="0" w:lastRowFirstColumn="0" w:lastRowLastColumn="0"/>
            <w:tcW w:w="314" w:type="pct"/>
            <w:vMerge/>
          </w:tcPr>
          <w:p w14:paraId="47DD5E6F" w14:textId="77777777" w:rsidR="00F50B5A" w:rsidRPr="00370449" w:rsidRDefault="00F50B5A" w:rsidP="00FA0AF1">
            <w:pPr>
              <w:pStyle w:val="TableTextLeft"/>
            </w:pPr>
          </w:p>
        </w:tc>
        <w:tc>
          <w:tcPr>
            <w:tcW w:w="632" w:type="pct"/>
          </w:tcPr>
          <w:p w14:paraId="127CA50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Increased sediment load</w:t>
            </w:r>
          </w:p>
        </w:tc>
        <w:tc>
          <w:tcPr>
            <w:tcW w:w="218" w:type="pct"/>
          </w:tcPr>
          <w:p w14:paraId="52D3320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c>
          <w:tcPr>
            <w:tcW w:w="324" w:type="pct"/>
          </w:tcPr>
          <w:p w14:paraId="0B3299B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Tonnes/year</w:t>
            </w:r>
          </w:p>
        </w:tc>
        <w:tc>
          <w:tcPr>
            <w:tcW w:w="377" w:type="pct"/>
          </w:tcPr>
          <w:p w14:paraId="2F3F1E2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 xml:space="preserve">Victoria </w:t>
            </w:r>
          </w:p>
        </w:tc>
        <w:tc>
          <w:tcPr>
            <w:tcW w:w="568" w:type="pct"/>
          </w:tcPr>
          <w:p w14:paraId="2373910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All</w:t>
            </w:r>
          </w:p>
        </w:tc>
        <w:tc>
          <w:tcPr>
            <w:tcW w:w="2274" w:type="pct"/>
          </w:tcPr>
          <w:p w14:paraId="238EDC56"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 xml:space="preserve">DELWP </w:t>
            </w:r>
            <w:proofErr w:type="spellStart"/>
            <w:r w:rsidRPr="00370449">
              <w:t>EnSym</w:t>
            </w:r>
            <w:proofErr w:type="spellEnd"/>
            <w:r w:rsidRPr="00370449">
              <w:t xml:space="preserve"> modelling as per DELWP (2019) Ecosystem services from forests in Victoria</w:t>
            </w:r>
          </w:p>
        </w:tc>
        <w:tc>
          <w:tcPr>
            <w:tcW w:w="295" w:type="pct"/>
          </w:tcPr>
          <w:p w14:paraId="3AA78438"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pPr>
            <w:r w:rsidRPr="00370449">
              <w:t>-</w:t>
            </w:r>
          </w:p>
        </w:tc>
      </w:tr>
    </w:tbl>
    <w:p w14:paraId="4BA44D28" w14:textId="77777777" w:rsidR="00F50B5A" w:rsidRPr="002F335D" w:rsidRDefault="00F50B5A" w:rsidP="00F50B5A">
      <w:pPr>
        <w:tabs>
          <w:tab w:val="left" w:pos="15790"/>
        </w:tabs>
        <w:rPr>
          <w:rFonts w:ascii="Arial" w:eastAsia="Arial" w:hAnsi="Arial"/>
          <w:b/>
          <w:highlight w:val="yellow"/>
        </w:rPr>
        <w:sectPr w:rsidR="00F50B5A" w:rsidRPr="002F335D" w:rsidSect="00E52A9A">
          <w:headerReference w:type="even" r:id="rId350"/>
          <w:headerReference w:type="default" r:id="rId351"/>
          <w:footerReference w:type="even" r:id="rId352"/>
          <w:footerReference w:type="default" r:id="rId353"/>
          <w:pgSz w:w="23811" w:h="16838" w:orient="landscape" w:code="8"/>
          <w:pgMar w:top="1134" w:right="1134" w:bottom="1134" w:left="1134" w:header="283" w:footer="283" w:gutter="0"/>
          <w:cols w:space="284"/>
          <w:docGrid w:linePitch="360"/>
        </w:sectPr>
      </w:pPr>
    </w:p>
    <w:p w14:paraId="7930CD3F" w14:textId="77777777" w:rsidR="00F50B5A" w:rsidRPr="002F335D" w:rsidRDefault="00F50B5A" w:rsidP="00FA0AF1">
      <w:pPr>
        <w:pStyle w:val="Caption"/>
        <w:rPr>
          <w:rFonts w:eastAsia="Arial"/>
          <w:lang w:eastAsia="en-US"/>
        </w:rPr>
      </w:pPr>
      <w:r w:rsidRPr="002F335D">
        <w:rPr>
          <w:rFonts w:eastAsia="Arial"/>
          <w:lang w:eastAsia="en-US"/>
        </w:rPr>
        <w:lastRenderedPageBreak/>
        <w:t xml:space="preserve">Table </w:t>
      </w:r>
      <w:r>
        <w:rPr>
          <w:rFonts w:eastAsia="Arial"/>
          <w:lang w:eastAsia="en-US"/>
        </w:rPr>
        <w:t>A3.2.</w:t>
      </w:r>
      <w:r w:rsidRPr="002F335D">
        <w:rPr>
          <w:rFonts w:eastAsia="Arial"/>
          <w:lang w:eastAsia="en-US"/>
        </w:rPr>
        <w:t xml:space="preserve"> Potential sources of information for estimating monetary value of ecosystem services from the Great Ocean Road Coast and Parks area</w:t>
      </w:r>
    </w:p>
    <w:tbl>
      <w:tblPr>
        <w:tblStyle w:val="TableGrid"/>
        <w:tblW w:w="5000" w:type="pct"/>
        <w:tblLook w:val="04A0" w:firstRow="1" w:lastRow="0" w:firstColumn="1" w:lastColumn="0" w:noHBand="0" w:noVBand="1"/>
      </w:tblPr>
      <w:tblGrid>
        <w:gridCol w:w="1283"/>
        <w:gridCol w:w="1405"/>
        <w:gridCol w:w="1539"/>
        <w:gridCol w:w="1310"/>
        <w:gridCol w:w="2206"/>
        <w:gridCol w:w="2448"/>
        <w:gridCol w:w="1879"/>
        <w:gridCol w:w="8399"/>
        <w:gridCol w:w="1074"/>
      </w:tblGrid>
      <w:tr w:rsidR="00FA0AF1" w:rsidRPr="002F335D" w14:paraId="4E231E43" w14:textId="77777777" w:rsidTr="009722D9">
        <w:trPr>
          <w:cnfStyle w:val="100000000000" w:firstRow="1" w:lastRow="0" w:firstColumn="0" w:lastColumn="0" w:oddVBand="0" w:evenVBand="0" w:oddHBand="0" w:evenHBand="0" w:firstRowFirstColumn="0" w:firstRowLastColumn="0" w:lastRowFirstColumn="0" w:lastRowLastColumn="0"/>
          <w:trHeight w:val="161"/>
          <w:tblHeader/>
        </w:trPr>
        <w:tc>
          <w:tcPr>
            <w:cnfStyle w:val="001000000000" w:firstRow="0" w:lastRow="0" w:firstColumn="1" w:lastColumn="0" w:oddVBand="0" w:evenVBand="0" w:oddHBand="0" w:evenHBand="0" w:firstRowFirstColumn="0" w:firstRowLastColumn="0" w:lastRowFirstColumn="0" w:lastRowLastColumn="0"/>
            <w:tcW w:w="290" w:type="pct"/>
          </w:tcPr>
          <w:p w14:paraId="677C538D" w14:textId="77777777" w:rsidR="00F50B5A" w:rsidRPr="00370449" w:rsidRDefault="00F50B5A" w:rsidP="00FA0AF1">
            <w:pPr>
              <w:pStyle w:val="TableHeadingLeft"/>
            </w:pPr>
            <w:r w:rsidRPr="00370449">
              <w:t>Ecosystem Service</w:t>
            </w:r>
          </w:p>
        </w:tc>
        <w:tc>
          <w:tcPr>
            <w:tcW w:w="680" w:type="pct"/>
            <w:gridSpan w:val="2"/>
          </w:tcPr>
          <w:p w14:paraId="279E2F2D" w14:textId="77777777" w:rsidR="00F50B5A" w:rsidRPr="00370449" w:rsidRDefault="00F50B5A" w:rsidP="00FA0AF1">
            <w:pPr>
              <w:pStyle w:val="TableHeadingLeft"/>
              <w:cnfStyle w:val="100000000000" w:firstRow="1" w:lastRow="0" w:firstColumn="0" w:lastColumn="0" w:oddVBand="0" w:evenVBand="0" w:oddHBand="0" w:evenHBand="0" w:firstRowFirstColumn="0" w:firstRowLastColumn="0" w:lastRowFirstColumn="0" w:lastRowLastColumn="0"/>
            </w:pPr>
            <w:r w:rsidRPr="00370449">
              <w:t>Description</w:t>
            </w:r>
          </w:p>
        </w:tc>
        <w:tc>
          <w:tcPr>
            <w:tcW w:w="309" w:type="pct"/>
          </w:tcPr>
          <w:p w14:paraId="7A849AD9" w14:textId="77777777" w:rsidR="00F50B5A" w:rsidRPr="00370449" w:rsidRDefault="00F50B5A" w:rsidP="00FA0AF1">
            <w:pPr>
              <w:pStyle w:val="TableHeadingLeft"/>
              <w:cnfStyle w:val="100000000000" w:firstRow="1" w:lastRow="0" w:firstColumn="0" w:lastColumn="0" w:oddVBand="0" w:evenVBand="0" w:oddHBand="0" w:evenHBand="0" w:firstRowFirstColumn="0" w:firstRowLastColumn="0" w:lastRowFirstColumn="0" w:lastRowLastColumn="0"/>
            </w:pPr>
            <w:r w:rsidRPr="00370449">
              <w:t>Unit Value</w:t>
            </w:r>
          </w:p>
        </w:tc>
        <w:tc>
          <w:tcPr>
            <w:tcW w:w="499" w:type="pct"/>
          </w:tcPr>
          <w:p w14:paraId="4C357E4D" w14:textId="77777777" w:rsidR="00F50B5A" w:rsidRPr="00370449" w:rsidRDefault="00F50B5A" w:rsidP="00FA0AF1">
            <w:pPr>
              <w:pStyle w:val="TableHeadingLeft"/>
              <w:cnfStyle w:val="100000000000" w:firstRow="1" w:lastRow="0" w:firstColumn="0" w:lastColumn="0" w:oddVBand="0" w:evenVBand="0" w:oddHBand="0" w:evenHBand="0" w:firstRowFirstColumn="0" w:firstRowLastColumn="0" w:lastRowFirstColumn="0" w:lastRowLastColumn="0"/>
            </w:pPr>
            <w:r w:rsidRPr="00370449">
              <w:t>Metric</w:t>
            </w:r>
          </w:p>
        </w:tc>
        <w:tc>
          <w:tcPr>
            <w:tcW w:w="573" w:type="pct"/>
          </w:tcPr>
          <w:p w14:paraId="3B3B3966" w14:textId="77777777" w:rsidR="00F50B5A" w:rsidRPr="00370449" w:rsidRDefault="00F50B5A" w:rsidP="00FA0AF1">
            <w:pPr>
              <w:pStyle w:val="TableHeadingLeft"/>
              <w:cnfStyle w:val="100000000000" w:firstRow="1" w:lastRow="0" w:firstColumn="0" w:lastColumn="0" w:oddVBand="0" w:evenVBand="0" w:oddHBand="0" w:evenHBand="0" w:firstRowFirstColumn="0" w:firstRowLastColumn="0" w:lastRowFirstColumn="0" w:lastRowLastColumn="0"/>
            </w:pPr>
            <w:r w:rsidRPr="00370449">
              <w:t>Geographic Scope</w:t>
            </w:r>
          </w:p>
        </w:tc>
        <w:tc>
          <w:tcPr>
            <w:tcW w:w="441" w:type="pct"/>
          </w:tcPr>
          <w:p w14:paraId="6A15C755" w14:textId="77777777" w:rsidR="00F50B5A" w:rsidRPr="00370449" w:rsidRDefault="00F50B5A" w:rsidP="00FA0AF1">
            <w:pPr>
              <w:pStyle w:val="TableHeadingLeft"/>
              <w:cnfStyle w:val="100000000000" w:firstRow="1" w:lastRow="0" w:firstColumn="0" w:lastColumn="0" w:oddVBand="0" w:evenVBand="0" w:oddHBand="0" w:evenHBand="0" w:firstRowFirstColumn="0" w:firstRowLastColumn="0" w:lastRowFirstColumn="0" w:lastRowLastColumn="0"/>
            </w:pPr>
            <w:r w:rsidRPr="00370449">
              <w:t xml:space="preserve">Asset </w:t>
            </w:r>
          </w:p>
        </w:tc>
        <w:tc>
          <w:tcPr>
            <w:tcW w:w="1954" w:type="pct"/>
          </w:tcPr>
          <w:p w14:paraId="608CFA71" w14:textId="77777777" w:rsidR="00F50B5A" w:rsidRPr="00370449" w:rsidRDefault="00F50B5A" w:rsidP="00FA0AF1">
            <w:pPr>
              <w:pStyle w:val="TableHeadingLeft"/>
              <w:cnfStyle w:val="100000000000" w:firstRow="1" w:lastRow="0" w:firstColumn="0" w:lastColumn="0" w:oddVBand="0" w:evenVBand="0" w:oddHBand="0" w:evenHBand="0" w:firstRowFirstColumn="0" w:firstRowLastColumn="0" w:lastRowFirstColumn="0" w:lastRowLastColumn="0"/>
            </w:pPr>
            <w:r w:rsidRPr="00370449">
              <w:t>Source</w:t>
            </w:r>
          </w:p>
        </w:tc>
        <w:tc>
          <w:tcPr>
            <w:tcW w:w="256" w:type="pct"/>
          </w:tcPr>
          <w:p w14:paraId="1B70B6D7" w14:textId="77777777" w:rsidR="00F50B5A" w:rsidRPr="00370449" w:rsidRDefault="00F50B5A" w:rsidP="00FA0AF1">
            <w:pPr>
              <w:pStyle w:val="TableHeadingLeft"/>
              <w:cnfStyle w:val="100000000000" w:firstRow="1" w:lastRow="0" w:firstColumn="0" w:lastColumn="0" w:oddVBand="0" w:evenVBand="0" w:oddHBand="0" w:evenHBand="0" w:firstRowFirstColumn="0" w:firstRowLastColumn="0" w:lastRowFirstColumn="0" w:lastRowLastColumn="0"/>
            </w:pPr>
            <w:r w:rsidRPr="00370449">
              <w:t>Year</w:t>
            </w:r>
          </w:p>
        </w:tc>
      </w:tr>
      <w:tr w:rsidR="00FA0AF1" w:rsidRPr="002F335D" w14:paraId="429E45BB" w14:textId="77777777" w:rsidTr="009722D9">
        <w:trPr>
          <w:trHeight w:val="161"/>
        </w:trPr>
        <w:tc>
          <w:tcPr>
            <w:cnfStyle w:val="001000000000" w:firstRow="0" w:lastRow="0" w:firstColumn="1" w:lastColumn="0" w:oddVBand="0" w:evenVBand="0" w:oddHBand="0" w:evenHBand="0" w:firstRowFirstColumn="0" w:firstRowLastColumn="0" w:lastRowFirstColumn="0" w:lastRowLastColumn="0"/>
            <w:tcW w:w="290" w:type="pct"/>
            <w:vMerge w:val="restart"/>
          </w:tcPr>
          <w:p w14:paraId="344CC71C" w14:textId="77777777" w:rsidR="00F50B5A" w:rsidRPr="00370449" w:rsidRDefault="00F50B5A" w:rsidP="00FA0AF1">
            <w:pPr>
              <w:pStyle w:val="TableTextLeft"/>
              <w:rPr>
                <w:rFonts w:ascii="Arial" w:hAnsi="Arial"/>
              </w:rPr>
            </w:pPr>
            <w:r w:rsidRPr="00370449">
              <w:rPr>
                <w:rFonts w:ascii="Arial" w:hAnsi="Arial"/>
              </w:rPr>
              <w:t>Air quality regulation</w:t>
            </w:r>
          </w:p>
        </w:tc>
        <w:tc>
          <w:tcPr>
            <w:tcW w:w="680" w:type="pct"/>
            <w:gridSpan w:val="2"/>
          </w:tcPr>
          <w:p w14:paraId="007F3DB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Damage costs - health</w:t>
            </w:r>
          </w:p>
        </w:tc>
        <w:tc>
          <w:tcPr>
            <w:tcW w:w="309" w:type="pct"/>
          </w:tcPr>
          <w:p w14:paraId="2C6E4B7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t>
            </w:r>
          </w:p>
        </w:tc>
        <w:tc>
          <w:tcPr>
            <w:tcW w:w="499" w:type="pct"/>
          </w:tcPr>
          <w:p w14:paraId="1E52463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$/tonne</w:t>
            </w:r>
          </w:p>
        </w:tc>
        <w:tc>
          <w:tcPr>
            <w:tcW w:w="573" w:type="pct"/>
          </w:tcPr>
          <w:p w14:paraId="555B6DA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Melbourne</w:t>
            </w:r>
          </w:p>
        </w:tc>
        <w:tc>
          <w:tcPr>
            <w:tcW w:w="441" w:type="pct"/>
          </w:tcPr>
          <w:p w14:paraId="2F896E9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n/a</w:t>
            </w:r>
          </w:p>
        </w:tc>
        <w:tc>
          <w:tcPr>
            <w:tcW w:w="1954" w:type="pct"/>
          </w:tcPr>
          <w:p w14:paraId="4663DEA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PAE Holmes (2013) Methodology for valuing the health impacts of changes in particle emissions</w:t>
            </w:r>
          </w:p>
        </w:tc>
        <w:tc>
          <w:tcPr>
            <w:tcW w:w="256" w:type="pct"/>
          </w:tcPr>
          <w:p w14:paraId="0061CA65"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2013</w:t>
            </w:r>
          </w:p>
        </w:tc>
      </w:tr>
      <w:tr w:rsidR="00FA0AF1" w:rsidRPr="002F335D" w14:paraId="69FB8CF4" w14:textId="77777777" w:rsidTr="009722D9">
        <w:trPr>
          <w:trHeight w:val="161"/>
        </w:trPr>
        <w:tc>
          <w:tcPr>
            <w:cnfStyle w:val="001000000000" w:firstRow="0" w:lastRow="0" w:firstColumn="1" w:lastColumn="0" w:oddVBand="0" w:evenVBand="0" w:oddHBand="0" w:evenHBand="0" w:firstRowFirstColumn="0" w:firstRowLastColumn="0" w:lastRowFirstColumn="0" w:lastRowLastColumn="0"/>
            <w:tcW w:w="290" w:type="pct"/>
            <w:vMerge/>
          </w:tcPr>
          <w:p w14:paraId="4CE5E3E3" w14:textId="77777777" w:rsidR="00F50B5A" w:rsidRPr="00370449" w:rsidRDefault="00F50B5A" w:rsidP="00FA0AF1">
            <w:pPr>
              <w:pStyle w:val="TableTextLeft"/>
              <w:rPr>
                <w:rFonts w:ascii="Arial" w:hAnsi="Arial"/>
              </w:rPr>
            </w:pPr>
          </w:p>
        </w:tc>
        <w:tc>
          <w:tcPr>
            <w:tcW w:w="680" w:type="pct"/>
            <w:gridSpan w:val="2"/>
          </w:tcPr>
          <w:p w14:paraId="2A64523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Damage costs - health</w:t>
            </w:r>
          </w:p>
        </w:tc>
        <w:tc>
          <w:tcPr>
            <w:tcW w:w="309" w:type="pct"/>
          </w:tcPr>
          <w:p w14:paraId="65B3884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t>
            </w:r>
          </w:p>
        </w:tc>
        <w:tc>
          <w:tcPr>
            <w:tcW w:w="499" w:type="pct"/>
          </w:tcPr>
          <w:p w14:paraId="3381279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$/tonne</w:t>
            </w:r>
          </w:p>
        </w:tc>
        <w:tc>
          <w:tcPr>
            <w:tcW w:w="573" w:type="pct"/>
          </w:tcPr>
          <w:p w14:paraId="7CD8FDC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Australia</w:t>
            </w:r>
          </w:p>
        </w:tc>
        <w:tc>
          <w:tcPr>
            <w:tcW w:w="441" w:type="pct"/>
          </w:tcPr>
          <w:p w14:paraId="2B8DD74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n/a</w:t>
            </w:r>
          </w:p>
        </w:tc>
        <w:tc>
          <w:tcPr>
            <w:tcW w:w="1954" w:type="pct"/>
          </w:tcPr>
          <w:p w14:paraId="7B877F0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Parry et al. (2014) Getting energy prices right: From principle to practice</w:t>
            </w:r>
          </w:p>
        </w:tc>
        <w:tc>
          <w:tcPr>
            <w:tcW w:w="256" w:type="pct"/>
          </w:tcPr>
          <w:p w14:paraId="1821F688"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2014</w:t>
            </w:r>
          </w:p>
        </w:tc>
      </w:tr>
      <w:tr w:rsidR="00FA0AF1" w:rsidRPr="002F335D" w14:paraId="5F33327E" w14:textId="77777777" w:rsidTr="009722D9">
        <w:trPr>
          <w:trHeight w:val="161"/>
        </w:trPr>
        <w:tc>
          <w:tcPr>
            <w:cnfStyle w:val="001000000000" w:firstRow="0" w:lastRow="0" w:firstColumn="1" w:lastColumn="0" w:oddVBand="0" w:evenVBand="0" w:oddHBand="0" w:evenHBand="0" w:firstRowFirstColumn="0" w:firstRowLastColumn="0" w:lastRowFirstColumn="0" w:lastRowLastColumn="0"/>
            <w:tcW w:w="290" w:type="pct"/>
            <w:vMerge w:val="restart"/>
          </w:tcPr>
          <w:p w14:paraId="725B6CC4" w14:textId="77777777" w:rsidR="00F50B5A" w:rsidRPr="00370449" w:rsidRDefault="00F50B5A" w:rsidP="00FA0AF1">
            <w:pPr>
              <w:pStyle w:val="TableTextLeft"/>
              <w:rPr>
                <w:rFonts w:ascii="Arial" w:hAnsi="Arial"/>
              </w:rPr>
            </w:pPr>
            <w:r w:rsidRPr="00370449">
              <w:rPr>
                <w:rFonts w:ascii="Arial" w:hAnsi="Arial"/>
              </w:rPr>
              <w:t>Amenity</w:t>
            </w:r>
          </w:p>
        </w:tc>
        <w:tc>
          <w:tcPr>
            <w:tcW w:w="680" w:type="pct"/>
            <w:gridSpan w:val="2"/>
          </w:tcPr>
          <w:p w14:paraId="38688C45"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Residential price premium</w:t>
            </w:r>
          </w:p>
        </w:tc>
        <w:tc>
          <w:tcPr>
            <w:tcW w:w="309" w:type="pct"/>
          </w:tcPr>
          <w:p w14:paraId="1DDA10A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Calibri" w:hAnsi="Calibri" w:cs="Calibri"/>
              </w:rPr>
              <w:t>-</w:t>
            </w:r>
          </w:p>
        </w:tc>
        <w:tc>
          <w:tcPr>
            <w:tcW w:w="499" w:type="pct"/>
          </w:tcPr>
          <w:p w14:paraId="51BDAB7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t>
            </w:r>
          </w:p>
        </w:tc>
        <w:tc>
          <w:tcPr>
            <w:tcW w:w="573" w:type="pct"/>
          </w:tcPr>
          <w:p w14:paraId="7468A58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Port Phillip Bay</w:t>
            </w:r>
          </w:p>
        </w:tc>
        <w:tc>
          <w:tcPr>
            <w:tcW w:w="441" w:type="pct"/>
          </w:tcPr>
          <w:p w14:paraId="6DA4664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Coastal margin</w:t>
            </w:r>
          </w:p>
        </w:tc>
        <w:tc>
          <w:tcPr>
            <w:tcW w:w="1954" w:type="pct"/>
          </w:tcPr>
          <w:p w14:paraId="56F4408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Maher (1997) as reported in KPMG (1997) The Bays Asset Management Study in DELWP (2016b)</w:t>
            </w:r>
          </w:p>
        </w:tc>
        <w:tc>
          <w:tcPr>
            <w:tcW w:w="256" w:type="pct"/>
          </w:tcPr>
          <w:p w14:paraId="735D592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1997</w:t>
            </w:r>
          </w:p>
        </w:tc>
      </w:tr>
      <w:tr w:rsidR="00FA0AF1" w:rsidRPr="002F335D" w14:paraId="3D1278DE" w14:textId="77777777" w:rsidTr="009722D9">
        <w:trPr>
          <w:trHeight w:val="161"/>
        </w:trPr>
        <w:tc>
          <w:tcPr>
            <w:cnfStyle w:val="001000000000" w:firstRow="0" w:lastRow="0" w:firstColumn="1" w:lastColumn="0" w:oddVBand="0" w:evenVBand="0" w:oddHBand="0" w:evenHBand="0" w:firstRowFirstColumn="0" w:firstRowLastColumn="0" w:lastRowFirstColumn="0" w:lastRowLastColumn="0"/>
            <w:tcW w:w="290" w:type="pct"/>
            <w:vMerge/>
          </w:tcPr>
          <w:p w14:paraId="4A25047C" w14:textId="77777777" w:rsidR="00F50B5A" w:rsidRPr="00370449" w:rsidRDefault="00F50B5A" w:rsidP="00FA0AF1">
            <w:pPr>
              <w:pStyle w:val="TableTextLeft"/>
              <w:rPr>
                <w:rFonts w:ascii="Arial" w:hAnsi="Arial"/>
              </w:rPr>
            </w:pPr>
          </w:p>
        </w:tc>
        <w:tc>
          <w:tcPr>
            <w:tcW w:w="680" w:type="pct"/>
            <w:gridSpan w:val="2"/>
          </w:tcPr>
          <w:p w14:paraId="0929D46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Residential price premium</w:t>
            </w:r>
          </w:p>
        </w:tc>
        <w:tc>
          <w:tcPr>
            <w:tcW w:w="309" w:type="pct"/>
          </w:tcPr>
          <w:p w14:paraId="24C7291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t>
            </w:r>
          </w:p>
        </w:tc>
        <w:tc>
          <w:tcPr>
            <w:tcW w:w="499" w:type="pct"/>
          </w:tcPr>
          <w:p w14:paraId="07807336"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t>
            </w:r>
          </w:p>
        </w:tc>
        <w:tc>
          <w:tcPr>
            <w:tcW w:w="573" w:type="pct"/>
          </w:tcPr>
          <w:p w14:paraId="65D08AE6"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Victoria</w:t>
            </w:r>
          </w:p>
        </w:tc>
        <w:tc>
          <w:tcPr>
            <w:tcW w:w="441" w:type="pct"/>
          </w:tcPr>
          <w:p w14:paraId="0C6D80C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Parks</w:t>
            </w:r>
          </w:p>
        </w:tc>
        <w:tc>
          <w:tcPr>
            <w:tcW w:w="1954" w:type="pct"/>
          </w:tcPr>
          <w:p w14:paraId="5FF34436"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IV and Aither (2018) What makes a locality attractive? Estimates of the amenity value of parks for Victoria</w:t>
            </w:r>
          </w:p>
        </w:tc>
        <w:tc>
          <w:tcPr>
            <w:tcW w:w="256" w:type="pct"/>
          </w:tcPr>
          <w:p w14:paraId="128CC29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2018</w:t>
            </w:r>
          </w:p>
        </w:tc>
      </w:tr>
      <w:tr w:rsidR="00FA0AF1" w:rsidRPr="002F335D" w14:paraId="52F4BF7C" w14:textId="77777777" w:rsidTr="009722D9">
        <w:trPr>
          <w:trHeight w:val="161"/>
        </w:trPr>
        <w:tc>
          <w:tcPr>
            <w:cnfStyle w:val="001000000000" w:firstRow="0" w:lastRow="0" w:firstColumn="1" w:lastColumn="0" w:oddVBand="0" w:evenVBand="0" w:oddHBand="0" w:evenHBand="0" w:firstRowFirstColumn="0" w:firstRowLastColumn="0" w:lastRowFirstColumn="0" w:lastRowLastColumn="0"/>
            <w:tcW w:w="290" w:type="pct"/>
            <w:vMerge/>
          </w:tcPr>
          <w:p w14:paraId="08B3BE35" w14:textId="77777777" w:rsidR="00F50B5A" w:rsidRPr="00370449" w:rsidRDefault="00F50B5A" w:rsidP="00FA0AF1">
            <w:pPr>
              <w:pStyle w:val="TableTextLeft"/>
              <w:rPr>
                <w:rFonts w:ascii="Arial" w:hAnsi="Arial"/>
              </w:rPr>
            </w:pPr>
          </w:p>
        </w:tc>
        <w:tc>
          <w:tcPr>
            <w:tcW w:w="680" w:type="pct"/>
            <w:gridSpan w:val="2"/>
          </w:tcPr>
          <w:p w14:paraId="7294BDC2"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Residential price premium</w:t>
            </w:r>
          </w:p>
        </w:tc>
        <w:tc>
          <w:tcPr>
            <w:tcW w:w="309" w:type="pct"/>
          </w:tcPr>
          <w:p w14:paraId="4F40B8C2"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$14,500</w:t>
            </w:r>
          </w:p>
        </w:tc>
        <w:tc>
          <w:tcPr>
            <w:tcW w:w="499" w:type="pct"/>
          </w:tcPr>
          <w:p w14:paraId="00FCB8E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 / house</w:t>
            </w:r>
          </w:p>
        </w:tc>
        <w:tc>
          <w:tcPr>
            <w:tcW w:w="573" w:type="pct"/>
          </w:tcPr>
          <w:p w14:paraId="7A4F3CC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Victoria</w:t>
            </w:r>
          </w:p>
        </w:tc>
        <w:tc>
          <w:tcPr>
            <w:tcW w:w="441" w:type="pct"/>
          </w:tcPr>
          <w:p w14:paraId="4CDA9E1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Coastal margin</w:t>
            </w:r>
          </w:p>
        </w:tc>
        <w:tc>
          <w:tcPr>
            <w:tcW w:w="1954" w:type="pct"/>
          </w:tcPr>
          <w:p w14:paraId="79EFC5D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Spillar Gibbins Swan (2000) The Economic Value of Victoria’s Coast in Kirkpatrick (2012)</w:t>
            </w:r>
          </w:p>
        </w:tc>
        <w:tc>
          <w:tcPr>
            <w:tcW w:w="256" w:type="pct"/>
          </w:tcPr>
          <w:p w14:paraId="7E8517F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p>
        </w:tc>
      </w:tr>
      <w:tr w:rsidR="00FA0AF1" w:rsidRPr="002F335D" w14:paraId="2C802369" w14:textId="77777777" w:rsidTr="009722D9">
        <w:trPr>
          <w:trHeight w:val="161"/>
        </w:trPr>
        <w:tc>
          <w:tcPr>
            <w:cnfStyle w:val="001000000000" w:firstRow="0" w:lastRow="0" w:firstColumn="1" w:lastColumn="0" w:oddVBand="0" w:evenVBand="0" w:oddHBand="0" w:evenHBand="0" w:firstRowFirstColumn="0" w:firstRowLastColumn="0" w:lastRowFirstColumn="0" w:lastRowLastColumn="0"/>
            <w:tcW w:w="290" w:type="pct"/>
            <w:vMerge w:val="restart"/>
          </w:tcPr>
          <w:p w14:paraId="1262DBC8" w14:textId="77777777" w:rsidR="00F50B5A" w:rsidRPr="00370449" w:rsidRDefault="00F50B5A" w:rsidP="00FA0AF1">
            <w:pPr>
              <w:pStyle w:val="TableTextLeft"/>
              <w:rPr>
                <w:rFonts w:ascii="Arial" w:hAnsi="Arial"/>
              </w:rPr>
            </w:pPr>
            <w:r w:rsidRPr="00370449">
              <w:rPr>
                <w:rFonts w:ascii="Arial" w:hAnsi="Arial"/>
              </w:rPr>
              <w:t>Biotic raw materials</w:t>
            </w:r>
          </w:p>
        </w:tc>
        <w:tc>
          <w:tcPr>
            <w:tcW w:w="680" w:type="pct"/>
            <w:gridSpan w:val="2"/>
          </w:tcPr>
          <w:p w14:paraId="7596321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Stumpage revenue native timber</w:t>
            </w:r>
          </w:p>
        </w:tc>
        <w:tc>
          <w:tcPr>
            <w:tcW w:w="309" w:type="pct"/>
          </w:tcPr>
          <w:p w14:paraId="1E0B88A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$24</w:t>
            </w:r>
          </w:p>
        </w:tc>
        <w:tc>
          <w:tcPr>
            <w:tcW w:w="499" w:type="pct"/>
          </w:tcPr>
          <w:p w14:paraId="3B8707E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vertAlign w:val="superscript"/>
              </w:rPr>
            </w:pPr>
            <w:r w:rsidRPr="00370449">
              <w:rPr>
                <w:rFonts w:ascii="Arial" w:hAnsi="Arial"/>
              </w:rPr>
              <w:t>$ / m</w:t>
            </w:r>
            <w:r w:rsidRPr="00370449">
              <w:rPr>
                <w:rFonts w:ascii="Arial" w:hAnsi="Arial"/>
                <w:vertAlign w:val="superscript"/>
              </w:rPr>
              <w:t>3</w:t>
            </w:r>
          </w:p>
        </w:tc>
        <w:tc>
          <w:tcPr>
            <w:tcW w:w="573" w:type="pct"/>
          </w:tcPr>
          <w:p w14:paraId="4645EA9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Victoria</w:t>
            </w:r>
          </w:p>
        </w:tc>
        <w:tc>
          <w:tcPr>
            <w:tcW w:w="441" w:type="pct"/>
          </w:tcPr>
          <w:p w14:paraId="0345E1B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Forests</w:t>
            </w:r>
          </w:p>
        </w:tc>
        <w:tc>
          <w:tcPr>
            <w:tcW w:w="1954" w:type="pct"/>
          </w:tcPr>
          <w:p w14:paraId="2AF05C02"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DELWP (2019) Ecosystem services from forests in Victoria</w:t>
            </w:r>
          </w:p>
        </w:tc>
        <w:tc>
          <w:tcPr>
            <w:tcW w:w="256" w:type="pct"/>
          </w:tcPr>
          <w:p w14:paraId="6206733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2018</w:t>
            </w:r>
          </w:p>
        </w:tc>
      </w:tr>
      <w:tr w:rsidR="00FA0AF1" w:rsidRPr="002F335D" w14:paraId="7A4BECB1" w14:textId="77777777" w:rsidTr="009722D9">
        <w:trPr>
          <w:trHeight w:val="161"/>
        </w:trPr>
        <w:tc>
          <w:tcPr>
            <w:cnfStyle w:val="001000000000" w:firstRow="0" w:lastRow="0" w:firstColumn="1" w:lastColumn="0" w:oddVBand="0" w:evenVBand="0" w:oddHBand="0" w:evenHBand="0" w:firstRowFirstColumn="0" w:firstRowLastColumn="0" w:lastRowFirstColumn="0" w:lastRowLastColumn="0"/>
            <w:tcW w:w="290" w:type="pct"/>
            <w:vMerge/>
          </w:tcPr>
          <w:p w14:paraId="4ADB3FB9" w14:textId="77777777" w:rsidR="00F50B5A" w:rsidRPr="00370449" w:rsidRDefault="00F50B5A" w:rsidP="00FA0AF1">
            <w:pPr>
              <w:pStyle w:val="TableTextLeft"/>
              <w:rPr>
                <w:rFonts w:ascii="Arial" w:hAnsi="Arial"/>
              </w:rPr>
            </w:pPr>
          </w:p>
        </w:tc>
        <w:tc>
          <w:tcPr>
            <w:tcW w:w="680" w:type="pct"/>
            <w:gridSpan w:val="2"/>
          </w:tcPr>
          <w:p w14:paraId="5828681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Resource rent (gross output minus net expenditure)</w:t>
            </w:r>
          </w:p>
        </w:tc>
        <w:tc>
          <w:tcPr>
            <w:tcW w:w="309" w:type="pct"/>
          </w:tcPr>
          <w:p w14:paraId="212ED41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$7</w:t>
            </w:r>
          </w:p>
        </w:tc>
        <w:tc>
          <w:tcPr>
            <w:tcW w:w="499" w:type="pct"/>
          </w:tcPr>
          <w:p w14:paraId="1C8B28A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 / m</w:t>
            </w:r>
            <w:r w:rsidRPr="00370449">
              <w:rPr>
                <w:rFonts w:ascii="Arial" w:hAnsi="Arial"/>
                <w:vertAlign w:val="superscript"/>
              </w:rPr>
              <w:t>3</w:t>
            </w:r>
          </w:p>
        </w:tc>
        <w:tc>
          <w:tcPr>
            <w:tcW w:w="573" w:type="pct"/>
          </w:tcPr>
          <w:p w14:paraId="21A2A41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Victoria</w:t>
            </w:r>
          </w:p>
        </w:tc>
        <w:tc>
          <w:tcPr>
            <w:tcW w:w="441" w:type="pct"/>
          </w:tcPr>
          <w:p w14:paraId="777F07D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Forests</w:t>
            </w:r>
          </w:p>
        </w:tc>
        <w:tc>
          <w:tcPr>
            <w:tcW w:w="1954" w:type="pct"/>
          </w:tcPr>
          <w:p w14:paraId="5F5D718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DELWP (2019) Ecosystem services from forests in Victoria</w:t>
            </w:r>
          </w:p>
        </w:tc>
        <w:tc>
          <w:tcPr>
            <w:tcW w:w="256" w:type="pct"/>
          </w:tcPr>
          <w:p w14:paraId="1ED8B2B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2017-18</w:t>
            </w:r>
          </w:p>
        </w:tc>
      </w:tr>
      <w:tr w:rsidR="00FA0AF1" w:rsidRPr="002F335D" w14:paraId="58736E57" w14:textId="77777777" w:rsidTr="009722D9">
        <w:trPr>
          <w:trHeight w:val="161"/>
        </w:trPr>
        <w:tc>
          <w:tcPr>
            <w:cnfStyle w:val="001000000000" w:firstRow="0" w:lastRow="0" w:firstColumn="1" w:lastColumn="0" w:oddVBand="0" w:evenVBand="0" w:oddHBand="0" w:evenHBand="0" w:firstRowFirstColumn="0" w:firstRowLastColumn="0" w:lastRowFirstColumn="0" w:lastRowLastColumn="0"/>
            <w:tcW w:w="290" w:type="pct"/>
          </w:tcPr>
          <w:p w14:paraId="4DC42B93" w14:textId="77777777" w:rsidR="00F50B5A" w:rsidRPr="00370449" w:rsidRDefault="00F50B5A" w:rsidP="00FA0AF1">
            <w:pPr>
              <w:pStyle w:val="TableTextLeft"/>
              <w:rPr>
                <w:rFonts w:ascii="Arial" w:hAnsi="Arial"/>
              </w:rPr>
            </w:pPr>
            <w:r w:rsidRPr="00370449">
              <w:rPr>
                <w:rFonts w:ascii="Arial" w:hAnsi="Arial"/>
              </w:rPr>
              <w:t>Cultural heritage</w:t>
            </w:r>
          </w:p>
        </w:tc>
        <w:tc>
          <w:tcPr>
            <w:tcW w:w="680" w:type="pct"/>
            <w:gridSpan w:val="2"/>
          </w:tcPr>
          <w:p w14:paraId="79C8882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Willingness to pay to maintain heritage places in parks</w:t>
            </w:r>
          </w:p>
        </w:tc>
        <w:tc>
          <w:tcPr>
            <w:tcW w:w="309" w:type="pct"/>
          </w:tcPr>
          <w:p w14:paraId="1D1D4E7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t>
            </w:r>
          </w:p>
        </w:tc>
        <w:tc>
          <w:tcPr>
            <w:tcW w:w="499" w:type="pct"/>
          </w:tcPr>
          <w:p w14:paraId="0858DBF8"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t>
            </w:r>
          </w:p>
        </w:tc>
        <w:tc>
          <w:tcPr>
            <w:tcW w:w="573" w:type="pct"/>
          </w:tcPr>
          <w:p w14:paraId="53FB624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 xml:space="preserve">Victoria </w:t>
            </w:r>
          </w:p>
        </w:tc>
        <w:tc>
          <w:tcPr>
            <w:tcW w:w="441" w:type="pct"/>
          </w:tcPr>
          <w:p w14:paraId="6DF7206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 xml:space="preserve">Parks </w:t>
            </w:r>
          </w:p>
        </w:tc>
        <w:tc>
          <w:tcPr>
            <w:tcW w:w="1954" w:type="pct"/>
          </w:tcPr>
          <w:p w14:paraId="3CA3EA7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Market Solutions (2009) Community perception of heritage management in parks in DELWP (2019)</w:t>
            </w:r>
          </w:p>
        </w:tc>
        <w:tc>
          <w:tcPr>
            <w:tcW w:w="256" w:type="pct"/>
          </w:tcPr>
          <w:p w14:paraId="77677EA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2009</w:t>
            </w:r>
          </w:p>
        </w:tc>
      </w:tr>
      <w:tr w:rsidR="00FA0AF1" w:rsidRPr="002F335D" w14:paraId="26D73F8A" w14:textId="77777777" w:rsidTr="009722D9">
        <w:trPr>
          <w:trHeight w:val="195"/>
        </w:trPr>
        <w:tc>
          <w:tcPr>
            <w:cnfStyle w:val="001000000000" w:firstRow="0" w:lastRow="0" w:firstColumn="1" w:lastColumn="0" w:oddVBand="0" w:evenVBand="0" w:oddHBand="0" w:evenHBand="0" w:firstRowFirstColumn="0" w:firstRowLastColumn="0" w:lastRowFirstColumn="0" w:lastRowLastColumn="0"/>
            <w:tcW w:w="290" w:type="pct"/>
            <w:vMerge w:val="restart"/>
          </w:tcPr>
          <w:p w14:paraId="5F5CE1FC" w14:textId="77777777" w:rsidR="00F50B5A" w:rsidRPr="00370449" w:rsidRDefault="00F50B5A" w:rsidP="00FA0AF1">
            <w:pPr>
              <w:pStyle w:val="TableTextLeft"/>
              <w:rPr>
                <w:rFonts w:ascii="Arial" w:hAnsi="Arial"/>
              </w:rPr>
            </w:pPr>
            <w:r w:rsidRPr="00370449">
              <w:rPr>
                <w:rFonts w:ascii="Arial" w:hAnsi="Arial"/>
              </w:rPr>
              <w:t>Coastal protection</w:t>
            </w:r>
          </w:p>
        </w:tc>
        <w:tc>
          <w:tcPr>
            <w:tcW w:w="318" w:type="pct"/>
            <w:vMerge w:val="restart"/>
          </w:tcPr>
          <w:p w14:paraId="09566D5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 xml:space="preserve">Replacement cost </w:t>
            </w:r>
          </w:p>
        </w:tc>
        <w:tc>
          <w:tcPr>
            <w:tcW w:w="362" w:type="pct"/>
          </w:tcPr>
          <w:p w14:paraId="53AD98E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Seawall</w:t>
            </w:r>
          </w:p>
        </w:tc>
        <w:tc>
          <w:tcPr>
            <w:tcW w:w="309" w:type="pct"/>
          </w:tcPr>
          <w:p w14:paraId="45D041F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70449">
              <w:rPr>
                <w:rFonts w:ascii="Arial" w:hAnsi="Arial"/>
              </w:rPr>
              <w:t>$3m</w:t>
            </w:r>
          </w:p>
        </w:tc>
        <w:tc>
          <w:tcPr>
            <w:tcW w:w="499" w:type="pct"/>
            <w:vMerge w:val="restart"/>
          </w:tcPr>
          <w:p w14:paraId="617E9AD5"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 / km</w:t>
            </w:r>
          </w:p>
        </w:tc>
        <w:tc>
          <w:tcPr>
            <w:tcW w:w="573" w:type="pct"/>
            <w:vMerge w:val="restart"/>
          </w:tcPr>
          <w:p w14:paraId="5106C6E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Victoria</w:t>
            </w:r>
          </w:p>
        </w:tc>
        <w:tc>
          <w:tcPr>
            <w:tcW w:w="441" w:type="pct"/>
            <w:vMerge w:val="restart"/>
          </w:tcPr>
          <w:p w14:paraId="0C0875F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Intertidal/beach habitats</w:t>
            </w:r>
          </w:p>
        </w:tc>
        <w:tc>
          <w:tcPr>
            <w:tcW w:w="1954" w:type="pct"/>
            <w:vMerge w:val="restart"/>
          </w:tcPr>
          <w:p w14:paraId="3BA332F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DELWP and Parks Victoria (2015) Valuing Victoria’s parks</w:t>
            </w:r>
          </w:p>
        </w:tc>
        <w:tc>
          <w:tcPr>
            <w:tcW w:w="256" w:type="pct"/>
            <w:vMerge w:val="restart"/>
          </w:tcPr>
          <w:p w14:paraId="7EE80A12"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2015</w:t>
            </w:r>
          </w:p>
        </w:tc>
      </w:tr>
      <w:tr w:rsidR="00FA0AF1" w:rsidRPr="002F335D" w14:paraId="0412D967" w14:textId="77777777" w:rsidTr="009722D9">
        <w:trPr>
          <w:trHeight w:val="195"/>
        </w:trPr>
        <w:tc>
          <w:tcPr>
            <w:cnfStyle w:val="001000000000" w:firstRow="0" w:lastRow="0" w:firstColumn="1" w:lastColumn="0" w:oddVBand="0" w:evenVBand="0" w:oddHBand="0" w:evenHBand="0" w:firstRowFirstColumn="0" w:firstRowLastColumn="0" w:lastRowFirstColumn="0" w:lastRowLastColumn="0"/>
            <w:tcW w:w="290" w:type="pct"/>
            <w:vMerge/>
          </w:tcPr>
          <w:p w14:paraId="2AAD534C" w14:textId="77777777" w:rsidR="00F50B5A" w:rsidRPr="00370449" w:rsidRDefault="00F50B5A" w:rsidP="00FA0AF1">
            <w:pPr>
              <w:pStyle w:val="TableTextLeft"/>
              <w:rPr>
                <w:rFonts w:ascii="Arial" w:hAnsi="Arial"/>
              </w:rPr>
            </w:pPr>
          </w:p>
        </w:tc>
        <w:tc>
          <w:tcPr>
            <w:tcW w:w="318" w:type="pct"/>
            <w:vMerge/>
          </w:tcPr>
          <w:p w14:paraId="56614CF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p>
        </w:tc>
        <w:tc>
          <w:tcPr>
            <w:tcW w:w="362" w:type="pct"/>
          </w:tcPr>
          <w:p w14:paraId="6DD3A9E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Mangrove/ saltmarsh</w:t>
            </w:r>
          </w:p>
        </w:tc>
        <w:tc>
          <w:tcPr>
            <w:tcW w:w="309" w:type="pct"/>
          </w:tcPr>
          <w:p w14:paraId="6C2ADA6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$600k</w:t>
            </w:r>
          </w:p>
        </w:tc>
        <w:tc>
          <w:tcPr>
            <w:tcW w:w="499" w:type="pct"/>
            <w:vMerge/>
          </w:tcPr>
          <w:p w14:paraId="4308FA6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p>
        </w:tc>
        <w:tc>
          <w:tcPr>
            <w:tcW w:w="573" w:type="pct"/>
            <w:vMerge/>
          </w:tcPr>
          <w:p w14:paraId="4A7A432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p>
        </w:tc>
        <w:tc>
          <w:tcPr>
            <w:tcW w:w="441" w:type="pct"/>
            <w:vMerge/>
          </w:tcPr>
          <w:p w14:paraId="4F6F79A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p>
        </w:tc>
        <w:tc>
          <w:tcPr>
            <w:tcW w:w="1954" w:type="pct"/>
            <w:vMerge/>
          </w:tcPr>
          <w:p w14:paraId="0299C10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p>
        </w:tc>
        <w:tc>
          <w:tcPr>
            <w:tcW w:w="256" w:type="pct"/>
            <w:vMerge/>
          </w:tcPr>
          <w:p w14:paraId="5F8ECB1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p>
        </w:tc>
      </w:tr>
      <w:tr w:rsidR="00FA0AF1" w:rsidRPr="002F335D" w14:paraId="74ED5F32" w14:textId="77777777" w:rsidTr="009722D9">
        <w:trPr>
          <w:trHeight w:val="117"/>
        </w:trPr>
        <w:tc>
          <w:tcPr>
            <w:cnfStyle w:val="001000000000" w:firstRow="0" w:lastRow="0" w:firstColumn="1" w:lastColumn="0" w:oddVBand="0" w:evenVBand="0" w:oddHBand="0" w:evenHBand="0" w:firstRowFirstColumn="0" w:firstRowLastColumn="0" w:lastRowFirstColumn="0" w:lastRowLastColumn="0"/>
            <w:tcW w:w="290" w:type="pct"/>
            <w:vMerge/>
          </w:tcPr>
          <w:p w14:paraId="622B01EF" w14:textId="77777777" w:rsidR="00F50B5A" w:rsidRPr="00370449" w:rsidRDefault="00F50B5A" w:rsidP="00FA0AF1">
            <w:pPr>
              <w:pStyle w:val="TableTextLeft"/>
              <w:rPr>
                <w:rFonts w:ascii="Arial" w:hAnsi="Arial"/>
              </w:rPr>
            </w:pPr>
          </w:p>
        </w:tc>
        <w:tc>
          <w:tcPr>
            <w:tcW w:w="318" w:type="pct"/>
            <w:vMerge/>
          </w:tcPr>
          <w:p w14:paraId="26F60C8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p>
        </w:tc>
        <w:tc>
          <w:tcPr>
            <w:tcW w:w="362" w:type="pct"/>
          </w:tcPr>
          <w:p w14:paraId="484BAE06"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Coastal dune</w:t>
            </w:r>
          </w:p>
        </w:tc>
        <w:tc>
          <w:tcPr>
            <w:tcW w:w="309" w:type="pct"/>
          </w:tcPr>
          <w:p w14:paraId="1A5FF63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$400k</w:t>
            </w:r>
          </w:p>
        </w:tc>
        <w:tc>
          <w:tcPr>
            <w:tcW w:w="499" w:type="pct"/>
            <w:vMerge/>
          </w:tcPr>
          <w:p w14:paraId="6E768F1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p>
        </w:tc>
        <w:tc>
          <w:tcPr>
            <w:tcW w:w="573" w:type="pct"/>
            <w:vMerge/>
          </w:tcPr>
          <w:p w14:paraId="555CA578"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p>
        </w:tc>
        <w:tc>
          <w:tcPr>
            <w:tcW w:w="441" w:type="pct"/>
            <w:vMerge/>
          </w:tcPr>
          <w:p w14:paraId="5E44E24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p>
        </w:tc>
        <w:tc>
          <w:tcPr>
            <w:tcW w:w="1954" w:type="pct"/>
            <w:vMerge/>
          </w:tcPr>
          <w:p w14:paraId="13AAB1E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p>
        </w:tc>
        <w:tc>
          <w:tcPr>
            <w:tcW w:w="256" w:type="pct"/>
            <w:vMerge/>
          </w:tcPr>
          <w:p w14:paraId="16772C5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p>
        </w:tc>
      </w:tr>
      <w:tr w:rsidR="00FA0AF1" w:rsidRPr="002F335D" w14:paraId="19CDA2D7" w14:textId="77777777" w:rsidTr="009722D9">
        <w:trPr>
          <w:trHeight w:val="161"/>
        </w:trPr>
        <w:tc>
          <w:tcPr>
            <w:cnfStyle w:val="001000000000" w:firstRow="0" w:lastRow="0" w:firstColumn="1" w:lastColumn="0" w:oddVBand="0" w:evenVBand="0" w:oddHBand="0" w:evenHBand="0" w:firstRowFirstColumn="0" w:firstRowLastColumn="0" w:lastRowFirstColumn="0" w:lastRowLastColumn="0"/>
            <w:tcW w:w="290" w:type="pct"/>
            <w:vMerge/>
          </w:tcPr>
          <w:p w14:paraId="5169ED96" w14:textId="77777777" w:rsidR="00F50B5A" w:rsidRPr="00370449" w:rsidRDefault="00F50B5A" w:rsidP="00FA0AF1">
            <w:pPr>
              <w:pStyle w:val="TableTextLeft"/>
              <w:rPr>
                <w:rFonts w:ascii="Arial" w:hAnsi="Arial"/>
              </w:rPr>
            </w:pPr>
          </w:p>
        </w:tc>
        <w:tc>
          <w:tcPr>
            <w:tcW w:w="680" w:type="pct"/>
            <w:gridSpan w:val="2"/>
          </w:tcPr>
          <w:p w14:paraId="67CC670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 xml:space="preserve">Reduced damage costs </w:t>
            </w:r>
          </w:p>
        </w:tc>
        <w:tc>
          <w:tcPr>
            <w:tcW w:w="309" w:type="pct"/>
          </w:tcPr>
          <w:p w14:paraId="2799B26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11.3</w:t>
            </w:r>
          </w:p>
        </w:tc>
        <w:tc>
          <w:tcPr>
            <w:tcW w:w="499" w:type="pct"/>
          </w:tcPr>
          <w:p w14:paraId="4E5E66C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t>
            </w:r>
          </w:p>
        </w:tc>
        <w:tc>
          <w:tcPr>
            <w:tcW w:w="573" w:type="pct"/>
          </w:tcPr>
          <w:p w14:paraId="169A753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Victoria</w:t>
            </w:r>
          </w:p>
        </w:tc>
        <w:tc>
          <w:tcPr>
            <w:tcW w:w="441" w:type="pct"/>
          </w:tcPr>
          <w:p w14:paraId="3E90191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Seagrass / Saltmarsh / Mangrove</w:t>
            </w:r>
          </w:p>
        </w:tc>
        <w:tc>
          <w:tcPr>
            <w:tcW w:w="1954" w:type="pct"/>
          </w:tcPr>
          <w:p w14:paraId="391FA48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Carnell et al (2019) Mapping Ocean Wealth Australia</w:t>
            </w:r>
          </w:p>
        </w:tc>
        <w:tc>
          <w:tcPr>
            <w:tcW w:w="256" w:type="pct"/>
          </w:tcPr>
          <w:p w14:paraId="0DF8B89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2019</w:t>
            </w:r>
          </w:p>
        </w:tc>
      </w:tr>
      <w:tr w:rsidR="00FA0AF1" w:rsidRPr="002F335D" w14:paraId="2AA24FA0" w14:textId="77777777" w:rsidTr="009722D9">
        <w:trPr>
          <w:trHeight w:val="161"/>
        </w:trPr>
        <w:tc>
          <w:tcPr>
            <w:cnfStyle w:val="001000000000" w:firstRow="0" w:lastRow="0" w:firstColumn="1" w:lastColumn="0" w:oddVBand="0" w:evenVBand="0" w:oddHBand="0" w:evenHBand="0" w:firstRowFirstColumn="0" w:firstRowLastColumn="0" w:lastRowFirstColumn="0" w:lastRowLastColumn="0"/>
            <w:tcW w:w="290" w:type="pct"/>
            <w:vMerge/>
          </w:tcPr>
          <w:p w14:paraId="00ECD7DE" w14:textId="77777777" w:rsidR="00F50B5A" w:rsidRPr="00370449" w:rsidRDefault="00F50B5A" w:rsidP="00FA0AF1">
            <w:pPr>
              <w:pStyle w:val="TableTextLeft"/>
              <w:rPr>
                <w:rFonts w:ascii="Arial" w:hAnsi="Arial"/>
              </w:rPr>
            </w:pPr>
          </w:p>
        </w:tc>
        <w:tc>
          <w:tcPr>
            <w:tcW w:w="680" w:type="pct"/>
            <w:gridSpan w:val="2"/>
          </w:tcPr>
          <w:p w14:paraId="1922173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Value of property protected</w:t>
            </w:r>
          </w:p>
        </w:tc>
        <w:tc>
          <w:tcPr>
            <w:tcW w:w="309" w:type="pct"/>
          </w:tcPr>
          <w:p w14:paraId="4BE29D2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t>
            </w:r>
          </w:p>
        </w:tc>
        <w:tc>
          <w:tcPr>
            <w:tcW w:w="499" w:type="pct"/>
          </w:tcPr>
          <w:p w14:paraId="4FB4FC7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t>
            </w:r>
          </w:p>
        </w:tc>
        <w:tc>
          <w:tcPr>
            <w:tcW w:w="573" w:type="pct"/>
          </w:tcPr>
          <w:p w14:paraId="6D47129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Victoria</w:t>
            </w:r>
          </w:p>
        </w:tc>
        <w:tc>
          <w:tcPr>
            <w:tcW w:w="441" w:type="pct"/>
          </w:tcPr>
          <w:p w14:paraId="5A9FFF45"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Seagrass / Saltmarsh / Mangrove</w:t>
            </w:r>
          </w:p>
        </w:tc>
        <w:tc>
          <w:tcPr>
            <w:tcW w:w="1954" w:type="pct"/>
          </w:tcPr>
          <w:p w14:paraId="4710D58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Carnell et al (2019) Mapping Ocean Wealth Australia - portal (TBC)</w:t>
            </w:r>
          </w:p>
        </w:tc>
        <w:tc>
          <w:tcPr>
            <w:tcW w:w="256" w:type="pct"/>
          </w:tcPr>
          <w:p w14:paraId="6BDD7A1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2019</w:t>
            </w:r>
          </w:p>
        </w:tc>
      </w:tr>
      <w:tr w:rsidR="00FA0AF1" w:rsidRPr="002F335D" w14:paraId="521F6E88" w14:textId="77777777" w:rsidTr="009722D9">
        <w:trPr>
          <w:trHeight w:val="161"/>
        </w:trPr>
        <w:tc>
          <w:tcPr>
            <w:cnfStyle w:val="001000000000" w:firstRow="0" w:lastRow="0" w:firstColumn="1" w:lastColumn="0" w:oddVBand="0" w:evenVBand="0" w:oddHBand="0" w:evenHBand="0" w:firstRowFirstColumn="0" w:firstRowLastColumn="0" w:lastRowFirstColumn="0" w:lastRowLastColumn="0"/>
            <w:tcW w:w="290" w:type="pct"/>
          </w:tcPr>
          <w:p w14:paraId="2FD583AB" w14:textId="77777777" w:rsidR="00F50B5A" w:rsidRPr="00370449" w:rsidRDefault="00F50B5A" w:rsidP="00FA0AF1">
            <w:pPr>
              <w:pStyle w:val="TableTextLeft"/>
              <w:rPr>
                <w:rFonts w:ascii="Arial" w:hAnsi="Arial"/>
              </w:rPr>
            </w:pPr>
            <w:r w:rsidRPr="00370449">
              <w:rPr>
                <w:rFonts w:ascii="Arial" w:hAnsi="Arial"/>
              </w:rPr>
              <w:t>Education</w:t>
            </w:r>
          </w:p>
        </w:tc>
        <w:tc>
          <w:tcPr>
            <w:tcW w:w="680" w:type="pct"/>
            <w:gridSpan w:val="2"/>
          </w:tcPr>
          <w:p w14:paraId="2D290918"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Expenditure on school trips to outdoors</w:t>
            </w:r>
          </w:p>
        </w:tc>
        <w:tc>
          <w:tcPr>
            <w:tcW w:w="309" w:type="pct"/>
          </w:tcPr>
          <w:p w14:paraId="1A4EAC9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p>
        </w:tc>
        <w:tc>
          <w:tcPr>
            <w:tcW w:w="499" w:type="pct"/>
          </w:tcPr>
          <w:p w14:paraId="57410D8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$/trip</w:t>
            </w:r>
          </w:p>
        </w:tc>
        <w:tc>
          <w:tcPr>
            <w:tcW w:w="573" w:type="pct"/>
          </w:tcPr>
          <w:p w14:paraId="75AFDB1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n/a</w:t>
            </w:r>
          </w:p>
        </w:tc>
        <w:tc>
          <w:tcPr>
            <w:tcW w:w="441" w:type="pct"/>
          </w:tcPr>
          <w:p w14:paraId="7675CBC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 xml:space="preserve">Nature </w:t>
            </w:r>
          </w:p>
        </w:tc>
        <w:tc>
          <w:tcPr>
            <w:tcW w:w="1954" w:type="pct"/>
          </w:tcPr>
          <w:p w14:paraId="2017DF9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Australian Camping Association’s Prices and Occupancy Survey Report</w:t>
            </w:r>
          </w:p>
        </w:tc>
        <w:tc>
          <w:tcPr>
            <w:tcW w:w="256" w:type="pct"/>
          </w:tcPr>
          <w:p w14:paraId="4EE8C02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2018</w:t>
            </w:r>
          </w:p>
        </w:tc>
      </w:tr>
      <w:tr w:rsidR="00FA0AF1" w:rsidRPr="002F335D" w14:paraId="116329BE" w14:textId="77777777" w:rsidTr="009722D9">
        <w:trPr>
          <w:trHeight w:val="161"/>
        </w:trPr>
        <w:tc>
          <w:tcPr>
            <w:cnfStyle w:val="001000000000" w:firstRow="0" w:lastRow="0" w:firstColumn="1" w:lastColumn="0" w:oddVBand="0" w:evenVBand="0" w:oddHBand="0" w:evenHBand="0" w:firstRowFirstColumn="0" w:firstRowLastColumn="0" w:lastRowFirstColumn="0" w:lastRowLastColumn="0"/>
            <w:tcW w:w="290" w:type="pct"/>
          </w:tcPr>
          <w:p w14:paraId="1AE02842" w14:textId="77777777" w:rsidR="00F50B5A" w:rsidRPr="00370449" w:rsidRDefault="00F50B5A" w:rsidP="00FA0AF1">
            <w:pPr>
              <w:pStyle w:val="TableTextLeft"/>
              <w:rPr>
                <w:rFonts w:ascii="Arial" w:hAnsi="Arial"/>
              </w:rPr>
            </w:pPr>
            <w:r w:rsidRPr="00370449">
              <w:rPr>
                <w:rFonts w:ascii="Arial" w:hAnsi="Arial"/>
              </w:rPr>
              <w:t>Energy</w:t>
            </w:r>
          </w:p>
        </w:tc>
        <w:tc>
          <w:tcPr>
            <w:tcW w:w="680" w:type="pct"/>
            <w:gridSpan w:val="2"/>
          </w:tcPr>
          <w:p w14:paraId="24751F1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Resource rent of firewood (market price minus subsidies)</w:t>
            </w:r>
          </w:p>
        </w:tc>
        <w:tc>
          <w:tcPr>
            <w:tcW w:w="309" w:type="pct"/>
          </w:tcPr>
          <w:p w14:paraId="3C361776"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$60 to $150</w:t>
            </w:r>
          </w:p>
        </w:tc>
        <w:tc>
          <w:tcPr>
            <w:tcW w:w="499" w:type="pct"/>
          </w:tcPr>
          <w:p w14:paraId="022ED18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 / m</w:t>
            </w:r>
            <w:r w:rsidRPr="00370449">
              <w:rPr>
                <w:rFonts w:ascii="Arial" w:hAnsi="Arial"/>
                <w:vertAlign w:val="superscript"/>
              </w:rPr>
              <w:t>3</w:t>
            </w:r>
          </w:p>
        </w:tc>
        <w:tc>
          <w:tcPr>
            <w:tcW w:w="573" w:type="pct"/>
          </w:tcPr>
          <w:p w14:paraId="5927E7D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Victoria</w:t>
            </w:r>
          </w:p>
        </w:tc>
        <w:tc>
          <w:tcPr>
            <w:tcW w:w="441" w:type="pct"/>
          </w:tcPr>
          <w:p w14:paraId="6AF6738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Forests</w:t>
            </w:r>
          </w:p>
        </w:tc>
        <w:tc>
          <w:tcPr>
            <w:tcW w:w="1954" w:type="pct"/>
          </w:tcPr>
          <w:p w14:paraId="0BBC0BD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DELWP (2019) Ecosystem services from forests in Victoria</w:t>
            </w:r>
          </w:p>
        </w:tc>
        <w:tc>
          <w:tcPr>
            <w:tcW w:w="256" w:type="pct"/>
          </w:tcPr>
          <w:p w14:paraId="4820121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2017-18</w:t>
            </w:r>
          </w:p>
        </w:tc>
      </w:tr>
      <w:tr w:rsidR="00FA0AF1" w:rsidRPr="002F335D" w14:paraId="0488312D" w14:textId="77777777" w:rsidTr="009722D9">
        <w:trPr>
          <w:trHeight w:val="161"/>
        </w:trPr>
        <w:tc>
          <w:tcPr>
            <w:cnfStyle w:val="001000000000" w:firstRow="0" w:lastRow="0" w:firstColumn="1" w:lastColumn="0" w:oddVBand="0" w:evenVBand="0" w:oddHBand="0" w:evenHBand="0" w:firstRowFirstColumn="0" w:firstRowLastColumn="0" w:lastRowFirstColumn="0" w:lastRowLastColumn="0"/>
            <w:tcW w:w="290" w:type="pct"/>
          </w:tcPr>
          <w:p w14:paraId="24451DA4" w14:textId="77777777" w:rsidR="00F50B5A" w:rsidRPr="00370449" w:rsidRDefault="00F50B5A" w:rsidP="00FA0AF1">
            <w:pPr>
              <w:pStyle w:val="TableTextLeft"/>
              <w:rPr>
                <w:rFonts w:ascii="Arial" w:hAnsi="Arial"/>
              </w:rPr>
            </w:pPr>
            <w:r w:rsidRPr="00370449">
              <w:rPr>
                <w:rFonts w:ascii="Arial" w:hAnsi="Arial"/>
              </w:rPr>
              <w:t>Flood risk regulation</w:t>
            </w:r>
          </w:p>
        </w:tc>
        <w:tc>
          <w:tcPr>
            <w:tcW w:w="680" w:type="pct"/>
            <w:gridSpan w:val="2"/>
          </w:tcPr>
          <w:p w14:paraId="0A8ED83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Damage costs at different river heights</w:t>
            </w:r>
          </w:p>
        </w:tc>
        <w:tc>
          <w:tcPr>
            <w:tcW w:w="309" w:type="pct"/>
          </w:tcPr>
          <w:p w14:paraId="2509CCA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t>
            </w:r>
          </w:p>
        </w:tc>
        <w:tc>
          <w:tcPr>
            <w:tcW w:w="499" w:type="pct"/>
          </w:tcPr>
          <w:p w14:paraId="03FD53F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 / year</w:t>
            </w:r>
          </w:p>
        </w:tc>
        <w:tc>
          <w:tcPr>
            <w:tcW w:w="573" w:type="pct"/>
          </w:tcPr>
          <w:p w14:paraId="288A61F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Wangaratta</w:t>
            </w:r>
          </w:p>
        </w:tc>
        <w:tc>
          <w:tcPr>
            <w:tcW w:w="441" w:type="pct"/>
          </w:tcPr>
          <w:p w14:paraId="5FDD7F5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t>
            </w:r>
          </w:p>
        </w:tc>
        <w:tc>
          <w:tcPr>
            <w:tcW w:w="1954" w:type="pct"/>
          </w:tcPr>
          <w:p w14:paraId="4F6B56C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Water Technology (2017) Wangaratta urban waterways flood investigation: Study report in DELWP (2019)</w:t>
            </w:r>
          </w:p>
        </w:tc>
        <w:tc>
          <w:tcPr>
            <w:tcW w:w="256" w:type="pct"/>
          </w:tcPr>
          <w:p w14:paraId="63EC8A72"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2010</w:t>
            </w:r>
          </w:p>
        </w:tc>
      </w:tr>
      <w:tr w:rsidR="00FA0AF1" w:rsidRPr="002F335D" w14:paraId="4F82C692" w14:textId="77777777" w:rsidTr="009722D9">
        <w:trPr>
          <w:trHeight w:val="120"/>
        </w:trPr>
        <w:tc>
          <w:tcPr>
            <w:cnfStyle w:val="001000000000" w:firstRow="0" w:lastRow="0" w:firstColumn="1" w:lastColumn="0" w:oddVBand="0" w:evenVBand="0" w:oddHBand="0" w:evenHBand="0" w:firstRowFirstColumn="0" w:firstRowLastColumn="0" w:lastRowFirstColumn="0" w:lastRowLastColumn="0"/>
            <w:tcW w:w="290" w:type="pct"/>
            <w:vMerge w:val="restart"/>
          </w:tcPr>
          <w:p w14:paraId="77D34530" w14:textId="77777777" w:rsidR="00F50B5A" w:rsidRPr="00370449" w:rsidRDefault="00F50B5A" w:rsidP="00FA0AF1">
            <w:pPr>
              <w:pStyle w:val="TableTextLeft"/>
              <w:rPr>
                <w:rFonts w:ascii="Arial" w:hAnsi="Arial"/>
              </w:rPr>
            </w:pPr>
            <w:r w:rsidRPr="00370449">
              <w:rPr>
                <w:rFonts w:ascii="Arial" w:hAnsi="Arial"/>
              </w:rPr>
              <w:t>Food</w:t>
            </w:r>
          </w:p>
        </w:tc>
        <w:tc>
          <w:tcPr>
            <w:tcW w:w="680" w:type="pct"/>
            <w:gridSpan w:val="2"/>
          </w:tcPr>
          <w:p w14:paraId="7F124B5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Value of reduced fish catch</w:t>
            </w:r>
          </w:p>
        </w:tc>
        <w:tc>
          <w:tcPr>
            <w:tcW w:w="309" w:type="pct"/>
          </w:tcPr>
          <w:p w14:paraId="7BE0D052"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t>
            </w:r>
          </w:p>
        </w:tc>
        <w:tc>
          <w:tcPr>
            <w:tcW w:w="499" w:type="pct"/>
          </w:tcPr>
          <w:p w14:paraId="7AA4CEE6"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t>
            </w:r>
          </w:p>
        </w:tc>
        <w:tc>
          <w:tcPr>
            <w:tcW w:w="573" w:type="pct"/>
          </w:tcPr>
          <w:p w14:paraId="1FA24A2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Victoria (Port Phillip Bay)</w:t>
            </w:r>
          </w:p>
        </w:tc>
        <w:tc>
          <w:tcPr>
            <w:tcW w:w="441" w:type="pct"/>
          </w:tcPr>
          <w:p w14:paraId="3003E36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Seagrass</w:t>
            </w:r>
          </w:p>
        </w:tc>
        <w:tc>
          <w:tcPr>
            <w:tcW w:w="1954" w:type="pct"/>
          </w:tcPr>
          <w:p w14:paraId="2038D95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KPMG (1997) The Bays Asset Management Study. Department of State Development in URS (2007)</w:t>
            </w:r>
          </w:p>
        </w:tc>
        <w:tc>
          <w:tcPr>
            <w:tcW w:w="256" w:type="pct"/>
          </w:tcPr>
          <w:p w14:paraId="3FF5B08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1974-96</w:t>
            </w:r>
          </w:p>
        </w:tc>
      </w:tr>
      <w:tr w:rsidR="00FA0AF1" w:rsidRPr="002F335D" w14:paraId="7B2A9FF6" w14:textId="77777777" w:rsidTr="009722D9">
        <w:trPr>
          <w:trHeight w:val="120"/>
        </w:trPr>
        <w:tc>
          <w:tcPr>
            <w:cnfStyle w:val="001000000000" w:firstRow="0" w:lastRow="0" w:firstColumn="1" w:lastColumn="0" w:oddVBand="0" w:evenVBand="0" w:oddHBand="0" w:evenHBand="0" w:firstRowFirstColumn="0" w:firstRowLastColumn="0" w:lastRowFirstColumn="0" w:lastRowLastColumn="0"/>
            <w:tcW w:w="290" w:type="pct"/>
            <w:vMerge/>
          </w:tcPr>
          <w:p w14:paraId="6708B577" w14:textId="77777777" w:rsidR="00F50B5A" w:rsidRPr="00370449" w:rsidRDefault="00F50B5A" w:rsidP="00FA0AF1">
            <w:pPr>
              <w:pStyle w:val="TableTextLeft"/>
              <w:rPr>
                <w:rFonts w:ascii="Arial" w:hAnsi="Arial"/>
              </w:rPr>
            </w:pPr>
          </w:p>
        </w:tc>
        <w:tc>
          <w:tcPr>
            <w:tcW w:w="680" w:type="pct"/>
            <w:gridSpan w:val="2"/>
          </w:tcPr>
          <w:p w14:paraId="54267BA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Total annual production values attributable to ecosystems</w:t>
            </w:r>
          </w:p>
        </w:tc>
        <w:tc>
          <w:tcPr>
            <w:tcW w:w="309" w:type="pct"/>
          </w:tcPr>
          <w:p w14:paraId="6363C02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t>
            </w:r>
          </w:p>
        </w:tc>
        <w:tc>
          <w:tcPr>
            <w:tcW w:w="499" w:type="pct"/>
          </w:tcPr>
          <w:p w14:paraId="04CFF21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 / ha</w:t>
            </w:r>
          </w:p>
        </w:tc>
        <w:tc>
          <w:tcPr>
            <w:tcW w:w="573" w:type="pct"/>
          </w:tcPr>
          <w:p w14:paraId="38860B62"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South</w:t>
            </w:r>
            <w:r>
              <w:rPr>
                <w:rFonts w:ascii="Arial" w:hAnsi="Arial"/>
              </w:rPr>
              <w:t>-</w:t>
            </w:r>
            <w:r w:rsidRPr="00370449">
              <w:rPr>
                <w:rFonts w:ascii="Arial" w:hAnsi="Arial"/>
              </w:rPr>
              <w:t>East Australia</w:t>
            </w:r>
          </w:p>
        </w:tc>
        <w:tc>
          <w:tcPr>
            <w:tcW w:w="441" w:type="pct"/>
          </w:tcPr>
          <w:p w14:paraId="096F719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Seagrass / Saltmarsh /Mangrove</w:t>
            </w:r>
          </w:p>
        </w:tc>
        <w:tc>
          <w:tcPr>
            <w:tcW w:w="1954" w:type="pct"/>
          </w:tcPr>
          <w:p w14:paraId="1365702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Carnell et al (2019) Mapping Ocean Wealth Australia</w:t>
            </w:r>
          </w:p>
        </w:tc>
        <w:tc>
          <w:tcPr>
            <w:tcW w:w="256" w:type="pct"/>
          </w:tcPr>
          <w:p w14:paraId="358CF1F2"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2019</w:t>
            </w:r>
          </w:p>
        </w:tc>
      </w:tr>
      <w:tr w:rsidR="00FA0AF1" w:rsidRPr="002F335D" w14:paraId="57A687AE" w14:textId="77777777" w:rsidTr="009722D9">
        <w:trPr>
          <w:trHeight w:val="120"/>
        </w:trPr>
        <w:tc>
          <w:tcPr>
            <w:cnfStyle w:val="001000000000" w:firstRow="0" w:lastRow="0" w:firstColumn="1" w:lastColumn="0" w:oddVBand="0" w:evenVBand="0" w:oddHBand="0" w:evenHBand="0" w:firstRowFirstColumn="0" w:firstRowLastColumn="0" w:lastRowFirstColumn="0" w:lastRowLastColumn="0"/>
            <w:tcW w:w="290" w:type="pct"/>
            <w:vMerge/>
          </w:tcPr>
          <w:p w14:paraId="2D479269" w14:textId="77777777" w:rsidR="00F50B5A" w:rsidRPr="00370449" w:rsidRDefault="00F50B5A" w:rsidP="00FA0AF1">
            <w:pPr>
              <w:pStyle w:val="TableTextLeft"/>
              <w:rPr>
                <w:rFonts w:ascii="Arial" w:hAnsi="Arial"/>
              </w:rPr>
            </w:pPr>
          </w:p>
        </w:tc>
        <w:tc>
          <w:tcPr>
            <w:tcW w:w="680" w:type="pct"/>
            <w:gridSpan w:val="2"/>
          </w:tcPr>
          <w:p w14:paraId="2DC88B28"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Gross value of seafood production</w:t>
            </w:r>
          </w:p>
        </w:tc>
        <w:tc>
          <w:tcPr>
            <w:tcW w:w="309" w:type="pct"/>
          </w:tcPr>
          <w:p w14:paraId="018F3C2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t>
            </w:r>
          </w:p>
        </w:tc>
        <w:tc>
          <w:tcPr>
            <w:tcW w:w="499" w:type="pct"/>
          </w:tcPr>
          <w:p w14:paraId="6F04382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t>
            </w:r>
          </w:p>
        </w:tc>
        <w:tc>
          <w:tcPr>
            <w:tcW w:w="573" w:type="pct"/>
          </w:tcPr>
          <w:p w14:paraId="0FEA2328"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 xml:space="preserve">Victoria </w:t>
            </w:r>
          </w:p>
        </w:tc>
        <w:tc>
          <w:tcPr>
            <w:tcW w:w="441" w:type="pct"/>
          </w:tcPr>
          <w:p w14:paraId="24537A6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Marine</w:t>
            </w:r>
          </w:p>
        </w:tc>
        <w:tc>
          <w:tcPr>
            <w:tcW w:w="1954" w:type="pct"/>
          </w:tcPr>
          <w:p w14:paraId="318B2565"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Fisheries Victoria (2012) Commercial fish production: Information bulletin in DELWP (2016b)</w:t>
            </w:r>
          </w:p>
        </w:tc>
        <w:tc>
          <w:tcPr>
            <w:tcW w:w="256" w:type="pct"/>
          </w:tcPr>
          <w:p w14:paraId="4226701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212</w:t>
            </w:r>
          </w:p>
        </w:tc>
      </w:tr>
      <w:tr w:rsidR="00FA0AF1" w:rsidRPr="002F335D" w14:paraId="5F82DBEB" w14:textId="77777777" w:rsidTr="009722D9">
        <w:trPr>
          <w:trHeight w:val="120"/>
        </w:trPr>
        <w:tc>
          <w:tcPr>
            <w:cnfStyle w:val="001000000000" w:firstRow="0" w:lastRow="0" w:firstColumn="1" w:lastColumn="0" w:oddVBand="0" w:evenVBand="0" w:oddHBand="0" w:evenHBand="0" w:firstRowFirstColumn="0" w:firstRowLastColumn="0" w:lastRowFirstColumn="0" w:lastRowLastColumn="0"/>
            <w:tcW w:w="290" w:type="pct"/>
            <w:vMerge/>
          </w:tcPr>
          <w:p w14:paraId="2AB004F0" w14:textId="77777777" w:rsidR="00F50B5A" w:rsidRPr="00370449" w:rsidRDefault="00F50B5A" w:rsidP="00FA0AF1">
            <w:pPr>
              <w:pStyle w:val="TableTextLeft"/>
              <w:rPr>
                <w:rFonts w:ascii="Arial" w:hAnsi="Arial"/>
              </w:rPr>
            </w:pPr>
          </w:p>
        </w:tc>
        <w:tc>
          <w:tcPr>
            <w:tcW w:w="680" w:type="pct"/>
            <w:gridSpan w:val="2"/>
          </w:tcPr>
          <w:p w14:paraId="3DBA462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Economic value of fish productivity</w:t>
            </w:r>
          </w:p>
        </w:tc>
        <w:tc>
          <w:tcPr>
            <w:tcW w:w="309" w:type="pct"/>
          </w:tcPr>
          <w:p w14:paraId="2E220D4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$0.1 to $25,000</w:t>
            </w:r>
          </w:p>
        </w:tc>
        <w:tc>
          <w:tcPr>
            <w:tcW w:w="499" w:type="pct"/>
          </w:tcPr>
          <w:p w14:paraId="6B641EB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 / ha</w:t>
            </w:r>
          </w:p>
        </w:tc>
        <w:tc>
          <w:tcPr>
            <w:tcW w:w="573" w:type="pct"/>
          </w:tcPr>
          <w:p w14:paraId="7AFBBFC6"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Southern Australia</w:t>
            </w:r>
          </w:p>
        </w:tc>
        <w:tc>
          <w:tcPr>
            <w:tcW w:w="441" w:type="pct"/>
          </w:tcPr>
          <w:p w14:paraId="26F91906"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Seagrass</w:t>
            </w:r>
          </w:p>
        </w:tc>
        <w:tc>
          <w:tcPr>
            <w:tcW w:w="1954" w:type="pct"/>
          </w:tcPr>
          <w:p w14:paraId="3D41CC0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 xml:space="preserve">Blandon and </w:t>
            </w:r>
            <w:proofErr w:type="spellStart"/>
            <w:r w:rsidRPr="00370449">
              <w:rPr>
                <w:rFonts w:ascii="Arial" w:hAnsi="Arial"/>
              </w:rPr>
              <w:t>zu</w:t>
            </w:r>
            <w:proofErr w:type="spellEnd"/>
            <w:r w:rsidRPr="00370449">
              <w:rPr>
                <w:rFonts w:ascii="Arial" w:hAnsi="Arial"/>
              </w:rPr>
              <w:t xml:space="preserve"> </w:t>
            </w:r>
            <w:proofErr w:type="spellStart"/>
            <w:r w:rsidRPr="00370449">
              <w:rPr>
                <w:rFonts w:ascii="Arial" w:hAnsi="Arial"/>
              </w:rPr>
              <w:t>Ermgassen</w:t>
            </w:r>
            <w:proofErr w:type="spellEnd"/>
            <w:r w:rsidRPr="00370449">
              <w:rPr>
                <w:rFonts w:ascii="Arial" w:hAnsi="Arial"/>
              </w:rPr>
              <w:t xml:space="preserve"> (2014) Quantitative estimate of commercial fish enhancement by seagrass habitat in Southern Australia in DELWP (2016)</w:t>
            </w:r>
          </w:p>
        </w:tc>
        <w:tc>
          <w:tcPr>
            <w:tcW w:w="256" w:type="pct"/>
          </w:tcPr>
          <w:p w14:paraId="203D0202"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2014</w:t>
            </w:r>
          </w:p>
        </w:tc>
      </w:tr>
      <w:tr w:rsidR="00FA0AF1" w:rsidRPr="002F335D" w14:paraId="331B8E01" w14:textId="77777777" w:rsidTr="009722D9">
        <w:trPr>
          <w:trHeight w:val="120"/>
        </w:trPr>
        <w:tc>
          <w:tcPr>
            <w:cnfStyle w:val="001000000000" w:firstRow="0" w:lastRow="0" w:firstColumn="1" w:lastColumn="0" w:oddVBand="0" w:evenVBand="0" w:oddHBand="0" w:evenHBand="0" w:firstRowFirstColumn="0" w:firstRowLastColumn="0" w:lastRowFirstColumn="0" w:lastRowLastColumn="0"/>
            <w:tcW w:w="290" w:type="pct"/>
            <w:vMerge/>
          </w:tcPr>
          <w:p w14:paraId="3A3BB45E" w14:textId="77777777" w:rsidR="00F50B5A" w:rsidRPr="00370449" w:rsidRDefault="00F50B5A" w:rsidP="00FA0AF1">
            <w:pPr>
              <w:pStyle w:val="TableTextLeft"/>
              <w:rPr>
                <w:rFonts w:ascii="Arial" w:hAnsi="Arial"/>
              </w:rPr>
            </w:pPr>
          </w:p>
        </w:tc>
        <w:tc>
          <w:tcPr>
            <w:tcW w:w="680" w:type="pct"/>
            <w:gridSpan w:val="2"/>
          </w:tcPr>
          <w:p w14:paraId="1F83468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Gross value of production</w:t>
            </w:r>
          </w:p>
        </w:tc>
        <w:tc>
          <w:tcPr>
            <w:tcW w:w="309" w:type="pct"/>
          </w:tcPr>
          <w:p w14:paraId="0A3479D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t>
            </w:r>
          </w:p>
        </w:tc>
        <w:tc>
          <w:tcPr>
            <w:tcW w:w="499" w:type="pct"/>
          </w:tcPr>
          <w:p w14:paraId="1A33D33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$/Tonnes</w:t>
            </w:r>
          </w:p>
        </w:tc>
        <w:tc>
          <w:tcPr>
            <w:tcW w:w="573" w:type="pct"/>
          </w:tcPr>
          <w:p w14:paraId="513A230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Victoria (SA2 level and LGA)</w:t>
            </w:r>
          </w:p>
        </w:tc>
        <w:tc>
          <w:tcPr>
            <w:tcW w:w="441" w:type="pct"/>
          </w:tcPr>
          <w:p w14:paraId="3E5F3CD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Farmland</w:t>
            </w:r>
          </w:p>
        </w:tc>
        <w:tc>
          <w:tcPr>
            <w:tcW w:w="1954" w:type="pct"/>
          </w:tcPr>
          <w:p w14:paraId="66AD771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ABS (2016) Agricultural Census</w:t>
            </w:r>
          </w:p>
        </w:tc>
        <w:tc>
          <w:tcPr>
            <w:tcW w:w="256" w:type="pct"/>
          </w:tcPr>
          <w:p w14:paraId="27BDB02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2016</w:t>
            </w:r>
          </w:p>
        </w:tc>
      </w:tr>
      <w:tr w:rsidR="00FA0AF1" w:rsidRPr="002F335D" w14:paraId="1171B86D" w14:textId="77777777" w:rsidTr="009722D9">
        <w:trPr>
          <w:trHeight w:val="120"/>
        </w:trPr>
        <w:tc>
          <w:tcPr>
            <w:cnfStyle w:val="001000000000" w:firstRow="0" w:lastRow="0" w:firstColumn="1" w:lastColumn="0" w:oddVBand="0" w:evenVBand="0" w:oddHBand="0" w:evenHBand="0" w:firstRowFirstColumn="0" w:firstRowLastColumn="0" w:lastRowFirstColumn="0" w:lastRowLastColumn="0"/>
            <w:tcW w:w="290" w:type="pct"/>
            <w:vMerge/>
          </w:tcPr>
          <w:p w14:paraId="43237AEE" w14:textId="77777777" w:rsidR="00F50B5A" w:rsidRPr="00370449" w:rsidRDefault="00F50B5A" w:rsidP="00FA0AF1">
            <w:pPr>
              <w:pStyle w:val="TableTextLeft"/>
              <w:rPr>
                <w:rFonts w:ascii="Arial" w:hAnsi="Arial"/>
              </w:rPr>
            </w:pPr>
          </w:p>
        </w:tc>
        <w:tc>
          <w:tcPr>
            <w:tcW w:w="680" w:type="pct"/>
            <w:gridSpan w:val="2"/>
          </w:tcPr>
          <w:p w14:paraId="432FC9A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Gross operating surplus of honey</w:t>
            </w:r>
          </w:p>
        </w:tc>
        <w:tc>
          <w:tcPr>
            <w:tcW w:w="309" w:type="pct"/>
          </w:tcPr>
          <w:p w14:paraId="1B574F8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$0.5</w:t>
            </w:r>
          </w:p>
        </w:tc>
        <w:tc>
          <w:tcPr>
            <w:tcW w:w="499" w:type="pct"/>
          </w:tcPr>
          <w:p w14:paraId="7F91C0C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$/Kg</w:t>
            </w:r>
          </w:p>
        </w:tc>
        <w:tc>
          <w:tcPr>
            <w:tcW w:w="573" w:type="pct"/>
          </w:tcPr>
          <w:p w14:paraId="159EA0D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Victoria</w:t>
            </w:r>
          </w:p>
        </w:tc>
        <w:tc>
          <w:tcPr>
            <w:tcW w:w="441" w:type="pct"/>
          </w:tcPr>
          <w:p w14:paraId="018D1148"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Apiary</w:t>
            </w:r>
          </w:p>
        </w:tc>
        <w:tc>
          <w:tcPr>
            <w:tcW w:w="1954" w:type="pct"/>
          </w:tcPr>
          <w:p w14:paraId="1BDC9AF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RIRDC (2008) Australian honeybee industry survey, 2006-07 in DELWP and PV (2015)</w:t>
            </w:r>
          </w:p>
        </w:tc>
        <w:tc>
          <w:tcPr>
            <w:tcW w:w="256" w:type="pct"/>
          </w:tcPr>
          <w:p w14:paraId="7932158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2007</w:t>
            </w:r>
          </w:p>
        </w:tc>
      </w:tr>
      <w:tr w:rsidR="00FA0AF1" w:rsidRPr="002F335D" w14:paraId="48994D54" w14:textId="77777777" w:rsidTr="009722D9">
        <w:trPr>
          <w:trHeight w:val="120"/>
        </w:trPr>
        <w:tc>
          <w:tcPr>
            <w:cnfStyle w:val="001000000000" w:firstRow="0" w:lastRow="0" w:firstColumn="1" w:lastColumn="0" w:oddVBand="0" w:evenVBand="0" w:oddHBand="0" w:evenHBand="0" w:firstRowFirstColumn="0" w:firstRowLastColumn="0" w:lastRowFirstColumn="0" w:lastRowLastColumn="0"/>
            <w:tcW w:w="290" w:type="pct"/>
            <w:vMerge/>
          </w:tcPr>
          <w:p w14:paraId="52BCE292" w14:textId="77777777" w:rsidR="00F50B5A" w:rsidRPr="00370449" w:rsidRDefault="00F50B5A" w:rsidP="00FA0AF1">
            <w:pPr>
              <w:pStyle w:val="TableTextLeft"/>
              <w:rPr>
                <w:rFonts w:ascii="Arial" w:hAnsi="Arial"/>
              </w:rPr>
            </w:pPr>
          </w:p>
        </w:tc>
        <w:tc>
          <w:tcPr>
            <w:tcW w:w="680" w:type="pct"/>
            <w:gridSpan w:val="2"/>
          </w:tcPr>
          <w:p w14:paraId="334CE4F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Gross operating surplus of honey</w:t>
            </w:r>
          </w:p>
        </w:tc>
        <w:tc>
          <w:tcPr>
            <w:tcW w:w="309" w:type="pct"/>
          </w:tcPr>
          <w:p w14:paraId="27F9919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$2.9</w:t>
            </w:r>
          </w:p>
        </w:tc>
        <w:tc>
          <w:tcPr>
            <w:tcW w:w="499" w:type="pct"/>
          </w:tcPr>
          <w:p w14:paraId="2C53BD0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$/Kg</w:t>
            </w:r>
          </w:p>
        </w:tc>
        <w:tc>
          <w:tcPr>
            <w:tcW w:w="573" w:type="pct"/>
          </w:tcPr>
          <w:p w14:paraId="2387879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Victoria</w:t>
            </w:r>
          </w:p>
        </w:tc>
        <w:tc>
          <w:tcPr>
            <w:tcW w:w="441" w:type="pct"/>
          </w:tcPr>
          <w:p w14:paraId="216981B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Apiary</w:t>
            </w:r>
          </w:p>
        </w:tc>
        <w:tc>
          <w:tcPr>
            <w:tcW w:w="1954" w:type="pct"/>
          </w:tcPr>
          <w:p w14:paraId="67A2763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ABARES (2016) Australian honeybee industry: 2014-15 survey results in DELWP (2019)</w:t>
            </w:r>
          </w:p>
        </w:tc>
        <w:tc>
          <w:tcPr>
            <w:tcW w:w="256" w:type="pct"/>
          </w:tcPr>
          <w:p w14:paraId="5E9D036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2014-15</w:t>
            </w:r>
          </w:p>
        </w:tc>
      </w:tr>
      <w:tr w:rsidR="00FA0AF1" w:rsidRPr="002F335D" w14:paraId="48C94690" w14:textId="77777777" w:rsidTr="009722D9">
        <w:trPr>
          <w:trHeight w:val="120"/>
        </w:trPr>
        <w:tc>
          <w:tcPr>
            <w:cnfStyle w:val="001000000000" w:firstRow="0" w:lastRow="0" w:firstColumn="1" w:lastColumn="0" w:oddVBand="0" w:evenVBand="0" w:oddHBand="0" w:evenHBand="0" w:firstRowFirstColumn="0" w:firstRowLastColumn="0" w:lastRowFirstColumn="0" w:lastRowLastColumn="0"/>
            <w:tcW w:w="290" w:type="pct"/>
            <w:vMerge w:val="restart"/>
          </w:tcPr>
          <w:p w14:paraId="3C387C76" w14:textId="77777777" w:rsidR="00F50B5A" w:rsidRPr="00370449" w:rsidRDefault="00F50B5A" w:rsidP="00FA0AF1">
            <w:pPr>
              <w:pStyle w:val="TableTextLeft"/>
              <w:rPr>
                <w:rFonts w:ascii="Arial" w:hAnsi="Arial"/>
              </w:rPr>
            </w:pPr>
            <w:r w:rsidRPr="00370449">
              <w:rPr>
                <w:rFonts w:ascii="Arial" w:hAnsi="Arial"/>
              </w:rPr>
              <w:t>Global climate regulation</w:t>
            </w:r>
          </w:p>
        </w:tc>
        <w:tc>
          <w:tcPr>
            <w:tcW w:w="680" w:type="pct"/>
            <w:gridSpan w:val="2"/>
          </w:tcPr>
          <w:p w14:paraId="5E0B98C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Social cost of carbon</w:t>
            </w:r>
          </w:p>
        </w:tc>
        <w:tc>
          <w:tcPr>
            <w:tcW w:w="309" w:type="pct"/>
          </w:tcPr>
          <w:p w14:paraId="7DEFEE7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$59</w:t>
            </w:r>
          </w:p>
        </w:tc>
        <w:tc>
          <w:tcPr>
            <w:tcW w:w="499" w:type="pct"/>
          </w:tcPr>
          <w:p w14:paraId="789B461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 / tonnes CO</w:t>
            </w:r>
            <w:r w:rsidRPr="00370449">
              <w:rPr>
                <w:rFonts w:ascii="Arial" w:hAnsi="Arial"/>
                <w:vertAlign w:val="subscript"/>
              </w:rPr>
              <w:t>2</w:t>
            </w:r>
            <w:r w:rsidRPr="00370449">
              <w:rPr>
                <w:rFonts w:ascii="Arial" w:hAnsi="Arial"/>
              </w:rPr>
              <w:t xml:space="preserve">e </w:t>
            </w:r>
          </w:p>
        </w:tc>
        <w:tc>
          <w:tcPr>
            <w:tcW w:w="573" w:type="pct"/>
          </w:tcPr>
          <w:p w14:paraId="77DC7628"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Global</w:t>
            </w:r>
          </w:p>
        </w:tc>
        <w:tc>
          <w:tcPr>
            <w:tcW w:w="441" w:type="pct"/>
          </w:tcPr>
          <w:p w14:paraId="5FADD756"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All</w:t>
            </w:r>
          </w:p>
        </w:tc>
        <w:tc>
          <w:tcPr>
            <w:tcW w:w="1954" w:type="pct"/>
          </w:tcPr>
          <w:p w14:paraId="2B2AF35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US government (2016) Interagency Working Group on Social Cost of GHG’s in DELWP (2019)</w:t>
            </w:r>
          </w:p>
        </w:tc>
        <w:tc>
          <w:tcPr>
            <w:tcW w:w="256" w:type="pct"/>
          </w:tcPr>
          <w:p w14:paraId="29C6C03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2016</w:t>
            </w:r>
          </w:p>
        </w:tc>
      </w:tr>
      <w:tr w:rsidR="00FA0AF1" w:rsidRPr="002F335D" w14:paraId="5FEDAD06" w14:textId="77777777" w:rsidTr="009722D9">
        <w:trPr>
          <w:trHeight w:val="120"/>
        </w:trPr>
        <w:tc>
          <w:tcPr>
            <w:cnfStyle w:val="001000000000" w:firstRow="0" w:lastRow="0" w:firstColumn="1" w:lastColumn="0" w:oddVBand="0" w:evenVBand="0" w:oddHBand="0" w:evenHBand="0" w:firstRowFirstColumn="0" w:firstRowLastColumn="0" w:lastRowFirstColumn="0" w:lastRowLastColumn="0"/>
            <w:tcW w:w="290" w:type="pct"/>
            <w:vMerge/>
          </w:tcPr>
          <w:p w14:paraId="6CA4E5D1" w14:textId="77777777" w:rsidR="00F50B5A" w:rsidRPr="00370449" w:rsidRDefault="00F50B5A" w:rsidP="00FA0AF1">
            <w:pPr>
              <w:pStyle w:val="TableTextLeft"/>
              <w:rPr>
                <w:rFonts w:ascii="Arial" w:hAnsi="Arial"/>
              </w:rPr>
            </w:pPr>
          </w:p>
        </w:tc>
        <w:tc>
          <w:tcPr>
            <w:tcW w:w="680" w:type="pct"/>
            <w:gridSpan w:val="2"/>
          </w:tcPr>
          <w:p w14:paraId="0D11652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Social cost of carbon</w:t>
            </w:r>
          </w:p>
        </w:tc>
        <w:tc>
          <w:tcPr>
            <w:tcW w:w="309" w:type="pct"/>
          </w:tcPr>
          <w:p w14:paraId="6F628E76"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$43</w:t>
            </w:r>
          </w:p>
        </w:tc>
        <w:tc>
          <w:tcPr>
            <w:tcW w:w="499" w:type="pct"/>
          </w:tcPr>
          <w:p w14:paraId="33004A6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 / tonnes CO</w:t>
            </w:r>
            <w:r w:rsidRPr="00370449">
              <w:rPr>
                <w:rFonts w:ascii="Arial" w:hAnsi="Arial"/>
                <w:vertAlign w:val="subscript"/>
              </w:rPr>
              <w:t>2</w:t>
            </w:r>
            <w:r w:rsidRPr="00370449">
              <w:rPr>
                <w:rFonts w:ascii="Arial" w:hAnsi="Arial"/>
              </w:rPr>
              <w:t xml:space="preserve">e </w:t>
            </w:r>
          </w:p>
        </w:tc>
        <w:tc>
          <w:tcPr>
            <w:tcW w:w="573" w:type="pct"/>
          </w:tcPr>
          <w:p w14:paraId="2D32AC08"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Global</w:t>
            </w:r>
          </w:p>
        </w:tc>
        <w:tc>
          <w:tcPr>
            <w:tcW w:w="441" w:type="pct"/>
          </w:tcPr>
          <w:p w14:paraId="0BFE703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All</w:t>
            </w:r>
          </w:p>
        </w:tc>
        <w:tc>
          <w:tcPr>
            <w:tcW w:w="1954" w:type="pct"/>
          </w:tcPr>
          <w:p w14:paraId="3B24E35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 xml:space="preserve">Hope (2006) The social cost of carbon: what does it actually depend on? In Mekala et al. (2015) </w:t>
            </w:r>
          </w:p>
        </w:tc>
        <w:tc>
          <w:tcPr>
            <w:tcW w:w="256" w:type="pct"/>
          </w:tcPr>
          <w:p w14:paraId="1132AB98"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2006</w:t>
            </w:r>
          </w:p>
        </w:tc>
      </w:tr>
      <w:tr w:rsidR="00FA0AF1" w:rsidRPr="002F335D" w14:paraId="3E0E233F" w14:textId="77777777" w:rsidTr="009722D9">
        <w:trPr>
          <w:trHeight w:val="120"/>
        </w:trPr>
        <w:tc>
          <w:tcPr>
            <w:cnfStyle w:val="001000000000" w:firstRow="0" w:lastRow="0" w:firstColumn="1" w:lastColumn="0" w:oddVBand="0" w:evenVBand="0" w:oddHBand="0" w:evenHBand="0" w:firstRowFirstColumn="0" w:firstRowLastColumn="0" w:lastRowFirstColumn="0" w:lastRowLastColumn="0"/>
            <w:tcW w:w="290" w:type="pct"/>
            <w:vMerge/>
          </w:tcPr>
          <w:p w14:paraId="3C13B1F8" w14:textId="77777777" w:rsidR="00F50B5A" w:rsidRPr="00370449" w:rsidRDefault="00F50B5A" w:rsidP="00FA0AF1">
            <w:pPr>
              <w:pStyle w:val="TableTextLeft"/>
              <w:rPr>
                <w:rFonts w:ascii="Arial" w:hAnsi="Arial"/>
              </w:rPr>
            </w:pPr>
          </w:p>
        </w:tc>
        <w:tc>
          <w:tcPr>
            <w:tcW w:w="680" w:type="pct"/>
            <w:gridSpan w:val="2"/>
          </w:tcPr>
          <w:p w14:paraId="5A9F5B6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Market prices / replacement cost</w:t>
            </w:r>
          </w:p>
        </w:tc>
        <w:tc>
          <w:tcPr>
            <w:tcW w:w="309" w:type="pct"/>
          </w:tcPr>
          <w:p w14:paraId="2E83206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$20</w:t>
            </w:r>
          </w:p>
        </w:tc>
        <w:tc>
          <w:tcPr>
            <w:tcW w:w="499" w:type="pct"/>
          </w:tcPr>
          <w:p w14:paraId="777E743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 / tonnes CO</w:t>
            </w:r>
            <w:r w:rsidRPr="00370449">
              <w:rPr>
                <w:rFonts w:ascii="Arial" w:hAnsi="Arial"/>
                <w:vertAlign w:val="subscript"/>
              </w:rPr>
              <w:t>2</w:t>
            </w:r>
            <w:r w:rsidRPr="00370449">
              <w:rPr>
                <w:rFonts w:ascii="Arial" w:hAnsi="Arial"/>
              </w:rPr>
              <w:t xml:space="preserve">e </w:t>
            </w:r>
          </w:p>
        </w:tc>
        <w:tc>
          <w:tcPr>
            <w:tcW w:w="573" w:type="pct"/>
          </w:tcPr>
          <w:p w14:paraId="493D64A8"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Global</w:t>
            </w:r>
          </w:p>
        </w:tc>
        <w:tc>
          <w:tcPr>
            <w:tcW w:w="441" w:type="pct"/>
          </w:tcPr>
          <w:p w14:paraId="534B527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All</w:t>
            </w:r>
          </w:p>
        </w:tc>
        <w:tc>
          <w:tcPr>
            <w:tcW w:w="1954" w:type="pct"/>
          </w:tcPr>
          <w:p w14:paraId="0BA7FD2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World Bank (2019) World Bank Carbon Pricing Dashboard in DELWP (2019)</w:t>
            </w:r>
          </w:p>
        </w:tc>
        <w:tc>
          <w:tcPr>
            <w:tcW w:w="256" w:type="pct"/>
          </w:tcPr>
          <w:p w14:paraId="46A83536"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2019</w:t>
            </w:r>
          </w:p>
        </w:tc>
      </w:tr>
      <w:tr w:rsidR="00FA0AF1" w:rsidRPr="002F335D" w14:paraId="097E4B4D" w14:textId="77777777" w:rsidTr="009722D9">
        <w:trPr>
          <w:trHeight w:val="120"/>
        </w:trPr>
        <w:tc>
          <w:tcPr>
            <w:cnfStyle w:val="001000000000" w:firstRow="0" w:lastRow="0" w:firstColumn="1" w:lastColumn="0" w:oddVBand="0" w:evenVBand="0" w:oddHBand="0" w:evenHBand="0" w:firstRowFirstColumn="0" w:firstRowLastColumn="0" w:lastRowFirstColumn="0" w:lastRowLastColumn="0"/>
            <w:tcW w:w="290" w:type="pct"/>
            <w:vMerge/>
          </w:tcPr>
          <w:p w14:paraId="3F6AFE6E" w14:textId="77777777" w:rsidR="00F50B5A" w:rsidRPr="00370449" w:rsidRDefault="00F50B5A" w:rsidP="00FA0AF1">
            <w:pPr>
              <w:pStyle w:val="TableTextLeft"/>
              <w:rPr>
                <w:rFonts w:ascii="Arial" w:hAnsi="Arial"/>
              </w:rPr>
            </w:pPr>
          </w:p>
        </w:tc>
        <w:tc>
          <w:tcPr>
            <w:tcW w:w="680" w:type="pct"/>
            <w:gridSpan w:val="2"/>
          </w:tcPr>
          <w:p w14:paraId="06AF93F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Market prices / replacement cost</w:t>
            </w:r>
          </w:p>
        </w:tc>
        <w:tc>
          <w:tcPr>
            <w:tcW w:w="309" w:type="pct"/>
          </w:tcPr>
          <w:p w14:paraId="18CB06B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$10 to $15</w:t>
            </w:r>
          </w:p>
        </w:tc>
        <w:tc>
          <w:tcPr>
            <w:tcW w:w="499" w:type="pct"/>
          </w:tcPr>
          <w:p w14:paraId="3FCDCB5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 / tonnes CO</w:t>
            </w:r>
            <w:r w:rsidRPr="00370449">
              <w:rPr>
                <w:rFonts w:ascii="Arial" w:hAnsi="Arial"/>
                <w:vertAlign w:val="subscript"/>
              </w:rPr>
              <w:t>2</w:t>
            </w:r>
            <w:r w:rsidRPr="00370449">
              <w:rPr>
                <w:rFonts w:ascii="Arial" w:hAnsi="Arial"/>
              </w:rPr>
              <w:t xml:space="preserve">e </w:t>
            </w:r>
          </w:p>
        </w:tc>
        <w:tc>
          <w:tcPr>
            <w:tcW w:w="573" w:type="pct"/>
          </w:tcPr>
          <w:p w14:paraId="54FD895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Global</w:t>
            </w:r>
          </w:p>
        </w:tc>
        <w:tc>
          <w:tcPr>
            <w:tcW w:w="441" w:type="pct"/>
          </w:tcPr>
          <w:p w14:paraId="1D89A652"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All</w:t>
            </w:r>
          </w:p>
        </w:tc>
        <w:tc>
          <w:tcPr>
            <w:tcW w:w="1954" w:type="pct"/>
          </w:tcPr>
          <w:p w14:paraId="44BE4C9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Australian Government (2016) Commonwealth's Emissions Reduction Fund in DELWP (2015 ; 2016 ; 2019)</w:t>
            </w:r>
          </w:p>
        </w:tc>
        <w:tc>
          <w:tcPr>
            <w:tcW w:w="256" w:type="pct"/>
          </w:tcPr>
          <w:p w14:paraId="538DFF0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2016</w:t>
            </w:r>
          </w:p>
        </w:tc>
      </w:tr>
      <w:tr w:rsidR="00FA0AF1" w:rsidRPr="002F335D" w14:paraId="1EB9B7E4" w14:textId="77777777" w:rsidTr="009722D9">
        <w:trPr>
          <w:trHeight w:val="120"/>
        </w:trPr>
        <w:tc>
          <w:tcPr>
            <w:cnfStyle w:val="001000000000" w:firstRow="0" w:lastRow="0" w:firstColumn="1" w:lastColumn="0" w:oddVBand="0" w:evenVBand="0" w:oddHBand="0" w:evenHBand="0" w:firstRowFirstColumn="0" w:firstRowLastColumn="0" w:lastRowFirstColumn="0" w:lastRowLastColumn="0"/>
            <w:tcW w:w="290" w:type="pct"/>
            <w:vMerge/>
          </w:tcPr>
          <w:p w14:paraId="4D1B7794" w14:textId="77777777" w:rsidR="00F50B5A" w:rsidRPr="00370449" w:rsidRDefault="00F50B5A" w:rsidP="00FA0AF1">
            <w:pPr>
              <w:pStyle w:val="TableTextLeft"/>
              <w:rPr>
                <w:rFonts w:ascii="Arial" w:hAnsi="Arial"/>
              </w:rPr>
            </w:pPr>
          </w:p>
        </w:tc>
        <w:tc>
          <w:tcPr>
            <w:tcW w:w="680" w:type="pct"/>
            <w:gridSpan w:val="2"/>
          </w:tcPr>
          <w:p w14:paraId="31C741D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Abatement cost</w:t>
            </w:r>
          </w:p>
        </w:tc>
        <w:tc>
          <w:tcPr>
            <w:tcW w:w="309" w:type="pct"/>
          </w:tcPr>
          <w:p w14:paraId="44364746"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$71</w:t>
            </w:r>
          </w:p>
        </w:tc>
        <w:tc>
          <w:tcPr>
            <w:tcW w:w="499" w:type="pct"/>
          </w:tcPr>
          <w:p w14:paraId="715924A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 / tonnes CO</w:t>
            </w:r>
            <w:r w:rsidRPr="00370449">
              <w:rPr>
                <w:rFonts w:ascii="Arial" w:hAnsi="Arial"/>
                <w:vertAlign w:val="subscript"/>
              </w:rPr>
              <w:t>2</w:t>
            </w:r>
            <w:r w:rsidRPr="00370449">
              <w:rPr>
                <w:rFonts w:ascii="Arial" w:hAnsi="Arial"/>
              </w:rPr>
              <w:t xml:space="preserve">e </w:t>
            </w:r>
          </w:p>
        </w:tc>
        <w:tc>
          <w:tcPr>
            <w:tcW w:w="573" w:type="pct"/>
          </w:tcPr>
          <w:p w14:paraId="03E07E9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Global</w:t>
            </w:r>
          </w:p>
        </w:tc>
        <w:tc>
          <w:tcPr>
            <w:tcW w:w="441" w:type="pct"/>
          </w:tcPr>
          <w:p w14:paraId="5665A28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All</w:t>
            </w:r>
          </w:p>
        </w:tc>
        <w:tc>
          <w:tcPr>
            <w:tcW w:w="1954" w:type="pct"/>
          </w:tcPr>
          <w:p w14:paraId="1419D57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IPCC Fifth Assessment Report</w:t>
            </w:r>
          </w:p>
        </w:tc>
        <w:tc>
          <w:tcPr>
            <w:tcW w:w="256" w:type="pct"/>
          </w:tcPr>
          <w:p w14:paraId="3E1DF7D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2019</w:t>
            </w:r>
          </w:p>
        </w:tc>
      </w:tr>
      <w:tr w:rsidR="00FA0AF1" w:rsidRPr="002F335D" w14:paraId="0D75F575" w14:textId="77777777" w:rsidTr="009722D9">
        <w:trPr>
          <w:trHeight w:val="120"/>
        </w:trPr>
        <w:tc>
          <w:tcPr>
            <w:cnfStyle w:val="001000000000" w:firstRow="0" w:lastRow="0" w:firstColumn="1" w:lastColumn="0" w:oddVBand="0" w:evenVBand="0" w:oddHBand="0" w:evenHBand="0" w:firstRowFirstColumn="0" w:firstRowLastColumn="0" w:lastRowFirstColumn="0" w:lastRowLastColumn="0"/>
            <w:tcW w:w="290" w:type="pct"/>
            <w:vMerge w:val="restart"/>
          </w:tcPr>
          <w:p w14:paraId="55D075ED" w14:textId="77777777" w:rsidR="00F50B5A" w:rsidRPr="00370449" w:rsidRDefault="00F50B5A" w:rsidP="00FA0AF1">
            <w:pPr>
              <w:pStyle w:val="TableTextLeft"/>
              <w:rPr>
                <w:rFonts w:ascii="Arial" w:hAnsi="Arial"/>
              </w:rPr>
            </w:pPr>
            <w:r w:rsidRPr="00370449">
              <w:rPr>
                <w:rFonts w:ascii="Arial" w:hAnsi="Arial"/>
              </w:rPr>
              <w:t>Local climate regulation</w:t>
            </w:r>
          </w:p>
        </w:tc>
        <w:tc>
          <w:tcPr>
            <w:tcW w:w="680" w:type="pct"/>
            <w:gridSpan w:val="2"/>
          </w:tcPr>
          <w:p w14:paraId="3948E59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Change in Gross Regional Product</w:t>
            </w:r>
          </w:p>
        </w:tc>
        <w:tc>
          <w:tcPr>
            <w:tcW w:w="309" w:type="pct"/>
          </w:tcPr>
          <w:p w14:paraId="3C9D435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t>
            </w:r>
          </w:p>
        </w:tc>
        <w:tc>
          <w:tcPr>
            <w:tcW w:w="499" w:type="pct"/>
          </w:tcPr>
          <w:p w14:paraId="782D979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 reduction due to heatwaves</w:t>
            </w:r>
          </w:p>
        </w:tc>
        <w:tc>
          <w:tcPr>
            <w:tcW w:w="573" w:type="pct"/>
          </w:tcPr>
          <w:p w14:paraId="081CF856"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Victoria (Barwon and Great South Coast)</w:t>
            </w:r>
          </w:p>
        </w:tc>
        <w:tc>
          <w:tcPr>
            <w:tcW w:w="441" w:type="pct"/>
          </w:tcPr>
          <w:p w14:paraId="5A6FC08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n/a</w:t>
            </w:r>
          </w:p>
        </w:tc>
        <w:tc>
          <w:tcPr>
            <w:tcW w:w="1954" w:type="pct"/>
          </w:tcPr>
          <w:p w14:paraId="0C3ABBB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proofErr w:type="spellStart"/>
            <w:r w:rsidRPr="00370449">
              <w:rPr>
                <w:rFonts w:ascii="Arial" w:hAnsi="Arial"/>
              </w:rPr>
              <w:t>NCEconomics</w:t>
            </w:r>
            <w:proofErr w:type="spellEnd"/>
            <w:r w:rsidRPr="00370449">
              <w:rPr>
                <w:rFonts w:ascii="Arial" w:hAnsi="Arial"/>
              </w:rPr>
              <w:t xml:space="preserve"> (2018) Heatwaves in Victoria: a vulnerability assessment</w:t>
            </w:r>
          </w:p>
        </w:tc>
        <w:tc>
          <w:tcPr>
            <w:tcW w:w="256" w:type="pct"/>
          </w:tcPr>
          <w:p w14:paraId="44410552"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2018</w:t>
            </w:r>
          </w:p>
        </w:tc>
      </w:tr>
      <w:tr w:rsidR="00FA0AF1" w:rsidRPr="002F335D" w14:paraId="6E312534" w14:textId="77777777" w:rsidTr="009722D9">
        <w:trPr>
          <w:trHeight w:val="120"/>
        </w:trPr>
        <w:tc>
          <w:tcPr>
            <w:cnfStyle w:val="001000000000" w:firstRow="0" w:lastRow="0" w:firstColumn="1" w:lastColumn="0" w:oddVBand="0" w:evenVBand="0" w:oddHBand="0" w:evenHBand="0" w:firstRowFirstColumn="0" w:firstRowLastColumn="0" w:lastRowFirstColumn="0" w:lastRowLastColumn="0"/>
            <w:tcW w:w="290" w:type="pct"/>
            <w:vMerge/>
          </w:tcPr>
          <w:p w14:paraId="015634BE" w14:textId="77777777" w:rsidR="00F50B5A" w:rsidRPr="00370449" w:rsidRDefault="00F50B5A" w:rsidP="00FA0AF1">
            <w:pPr>
              <w:pStyle w:val="TableTextLeft"/>
              <w:rPr>
                <w:rFonts w:ascii="Arial" w:hAnsi="Arial"/>
              </w:rPr>
            </w:pPr>
          </w:p>
        </w:tc>
        <w:tc>
          <w:tcPr>
            <w:tcW w:w="680" w:type="pct"/>
            <w:gridSpan w:val="2"/>
          </w:tcPr>
          <w:p w14:paraId="6332091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Value of mortality</w:t>
            </w:r>
          </w:p>
        </w:tc>
        <w:tc>
          <w:tcPr>
            <w:tcW w:w="309" w:type="pct"/>
          </w:tcPr>
          <w:p w14:paraId="11933CF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t>
            </w:r>
          </w:p>
        </w:tc>
        <w:tc>
          <w:tcPr>
            <w:tcW w:w="499" w:type="pct"/>
          </w:tcPr>
          <w:p w14:paraId="589719A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 Value Statistical Life</w:t>
            </w:r>
          </w:p>
        </w:tc>
        <w:tc>
          <w:tcPr>
            <w:tcW w:w="573" w:type="pct"/>
          </w:tcPr>
          <w:p w14:paraId="37C0563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Australia</w:t>
            </w:r>
          </w:p>
        </w:tc>
        <w:tc>
          <w:tcPr>
            <w:tcW w:w="441" w:type="pct"/>
          </w:tcPr>
          <w:p w14:paraId="68B946F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n/a</w:t>
            </w:r>
          </w:p>
        </w:tc>
        <w:tc>
          <w:tcPr>
            <w:tcW w:w="1954" w:type="pct"/>
          </w:tcPr>
          <w:p w14:paraId="26E34AC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CRCWSC (2019) Estimating the economic benefits of Urban Heat Island mitigation – Economic analysis</w:t>
            </w:r>
          </w:p>
        </w:tc>
        <w:tc>
          <w:tcPr>
            <w:tcW w:w="256" w:type="pct"/>
          </w:tcPr>
          <w:p w14:paraId="78B90CE8"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2015</w:t>
            </w:r>
          </w:p>
        </w:tc>
      </w:tr>
      <w:tr w:rsidR="00FA0AF1" w:rsidRPr="002F335D" w14:paraId="675AD33B" w14:textId="77777777" w:rsidTr="009722D9">
        <w:trPr>
          <w:trHeight w:val="120"/>
        </w:trPr>
        <w:tc>
          <w:tcPr>
            <w:cnfStyle w:val="001000000000" w:firstRow="0" w:lastRow="0" w:firstColumn="1" w:lastColumn="0" w:oddVBand="0" w:evenVBand="0" w:oddHBand="0" w:evenHBand="0" w:firstRowFirstColumn="0" w:firstRowLastColumn="0" w:lastRowFirstColumn="0" w:lastRowLastColumn="0"/>
            <w:tcW w:w="290" w:type="pct"/>
            <w:vMerge/>
          </w:tcPr>
          <w:p w14:paraId="6E6D1E92" w14:textId="77777777" w:rsidR="00F50B5A" w:rsidRPr="00370449" w:rsidRDefault="00F50B5A" w:rsidP="00FA0AF1">
            <w:pPr>
              <w:pStyle w:val="TableTextLeft"/>
              <w:rPr>
                <w:rFonts w:ascii="Arial" w:hAnsi="Arial"/>
              </w:rPr>
            </w:pPr>
          </w:p>
        </w:tc>
        <w:tc>
          <w:tcPr>
            <w:tcW w:w="680" w:type="pct"/>
            <w:gridSpan w:val="2"/>
          </w:tcPr>
          <w:p w14:paraId="6B3AA96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Value of morbidity</w:t>
            </w:r>
          </w:p>
        </w:tc>
        <w:tc>
          <w:tcPr>
            <w:tcW w:w="309" w:type="pct"/>
          </w:tcPr>
          <w:p w14:paraId="44825AB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t>
            </w:r>
          </w:p>
        </w:tc>
        <w:tc>
          <w:tcPr>
            <w:tcW w:w="499" w:type="pct"/>
          </w:tcPr>
          <w:p w14:paraId="57E0020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 avoided cost</w:t>
            </w:r>
          </w:p>
        </w:tc>
        <w:tc>
          <w:tcPr>
            <w:tcW w:w="573" w:type="pct"/>
          </w:tcPr>
          <w:p w14:paraId="47BA28D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Victoria</w:t>
            </w:r>
          </w:p>
        </w:tc>
        <w:tc>
          <w:tcPr>
            <w:tcW w:w="441" w:type="pct"/>
          </w:tcPr>
          <w:p w14:paraId="4BBECF8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n/a</w:t>
            </w:r>
          </w:p>
        </w:tc>
        <w:tc>
          <w:tcPr>
            <w:tcW w:w="1954" w:type="pct"/>
          </w:tcPr>
          <w:p w14:paraId="722D1435"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CRCWSC (2019) Estimating the economic benefits of Urban Heat Island mitigation – Economic analysis</w:t>
            </w:r>
          </w:p>
        </w:tc>
        <w:tc>
          <w:tcPr>
            <w:tcW w:w="256" w:type="pct"/>
          </w:tcPr>
          <w:p w14:paraId="466D3A1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2017</w:t>
            </w:r>
          </w:p>
        </w:tc>
      </w:tr>
      <w:tr w:rsidR="00FA0AF1" w:rsidRPr="002F335D" w14:paraId="6BEFA1AE" w14:textId="77777777" w:rsidTr="009722D9">
        <w:trPr>
          <w:trHeight w:val="120"/>
        </w:trPr>
        <w:tc>
          <w:tcPr>
            <w:cnfStyle w:val="001000000000" w:firstRow="0" w:lastRow="0" w:firstColumn="1" w:lastColumn="0" w:oddVBand="0" w:evenVBand="0" w:oddHBand="0" w:evenHBand="0" w:firstRowFirstColumn="0" w:firstRowLastColumn="0" w:lastRowFirstColumn="0" w:lastRowLastColumn="0"/>
            <w:tcW w:w="290" w:type="pct"/>
          </w:tcPr>
          <w:p w14:paraId="22666BD5" w14:textId="77777777" w:rsidR="00F50B5A" w:rsidRPr="00370449" w:rsidRDefault="00F50B5A" w:rsidP="00FA0AF1">
            <w:pPr>
              <w:pStyle w:val="TableTextLeft"/>
              <w:rPr>
                <w:rFonts w:ascii="Arial" w:hAnsi="Arial"/>
              </w:rPr>
            </w:pPr>
            <w:r w:rsidRPr="00370449">
              <w:rPr>
                <w:rFonts w:ascii="Arial" w:hAnsi="Arial"/>
              </w:rPr>
              <w:t>Noise regulation</w:t>
            </w:r>
          </w:p>
        </w:tc>
        <w:tc>
          <w:tcPr>
            <w:tcW w:w="680" w:type="pct"/>
            <w:gridSpan w:val="2"/>
          </w:tcPr>
          <w:p w14:paraId="4E43855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Value of noise regulation (welfare)</w:t>
            </w:r>
          </w:p>
        </w:tc>
        <w:tc>
          <w:tcPr>
            <w:tcW w:w="309" w:type="pct"/>
          </w:tcPr>
          <w:p w14:paraId="0F5F7F4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t>
            </w:r>
          </w:p>
        </w:tc>
        <w:tc>
          <w:tcPr>
            <w:tcW w:w="499" w:type="pct"/>
          </w:tcPr>
          <w:p w14:paraId="5DA369E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 xml:space="preserve">$ </w:t>
            </w:r>
          </w:p>
        </w:tc>
        <w:tc>
          <w:tcPr>
            <w:tcW w:w="573" w:type="pct"/>
          </w:tcPr>
          <w:p w14:paraId="61221D2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Unspecified</w:t>
            </w:r>
          </w:p>
        </w:tc>
        <w:tc>
          <w:tcPr>
            <w:tcW w:w="441" w:type="pct"/>
          </w:tcPr>
          <w:p w14:paraId="74C54C6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n/a</w:t>
            </w:r>
          </w:p>
        </w:tc>
        <w:tc>
          <w:tcPr>
            <w:tcW w:w="1954" w:type="pct"/>
          </w:tcPr>
          <w:p w14:paraId="50106F65"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Aurecon (2018) AV / ZEV Environmental &amp; Health Impact Assessment</w:t>
            </w:r>
          </w:p>
        </w:tc>
        <w:tc>
          <w:tcPr>
            <w:tcW w:w="256" w:type="pct"/>
          </w:tcPr>
          <w:p w14:paraId="218E5215"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2018</w:t>
            </w:r>
          </w:p>
        </w:tc>
      </w:tr>
      <w:tr w:rsidR="00FA0AF1" w:rsidRPr="002F335D" w14:paraId="262180C0" w14:textId="77777777" w:rsidTr="009722D9">
        <w:trPr>
          <w:trHeight w:val="120"/>
        </w:trPr>
        <w:tc>
          <w:tcPr>
            <w:cnfStyle w:val="001000000000" w:firstRow="0" w:lastRow="0" w:firstColumn="1" w:lastColumn="0" w:oddVBand="0" w:evenVBand="0" w:oddHBand="0" w:evenHBand="0" w:firstRowFirstColumn="0" w:firstRowLastColumn="0" w:lastRowFirstColumn="0" w:lastRowLastColumn="0"/>
            <w:tcW w:w="290" w:type="pct"/>
            <w:vMerge w:val="restart"/>
          </w:tcPr>
          <w:p w14:paraId="631A76F0" w14:textId="77777777" w:rsidR="00F50B5A" w:rsidRPr="00370449" w:rsidRDefault="00F50B5A" w:rsidP="00FA0AF1">
            <w:pPr>
              <w:pStyle w:val="TableTextLeft"/>
              <w:rPr>
                <w:rFonts w:ascii="Arial" w:hAnsi="Arial"/>
              </w:rPr>
            </w:pPr>
            <w:r w:rsidRPr="00370449">
              <w:rPr>
                <w:rFonts w:ascii="Arial" w:hAnsi="Arial"/>
              </w:rPr>
              <w:t>Recreation</w:t>
            </w:r>
          </w:p>
        </w:tc>
        <w:tc>
          <w:tcPr>
            <w:tcW w:w="680" w:type="pct"/>
            <w:gridSpan w:val="2"/>
          </w:tcPr>
          <w:p w14:paraId="0951B03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Beach recreation (travel cost)</w:t>
            </w:r>
          </w:p>
        </w:tc>
        <w:tc>
          <w:tcPr>
            <w:tcW w:w="309" w:type="pct"/>
          </w:tcPr>
          <w:p w14:paraId="1DE26F26"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$3.27 to $5.15</w:t>
            </w:r>
          </w:p>
        </w:tc>
        <w:tc>
          <w:tcPr>
            <w:tcW w:w="499" w:type="pct"/>
          </w:tcPr>
          <w:p w14:paraId="12CEC2A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$/visitor/day</w:t>
            </w:r>
          </w:p>
        </w:tc>
        <w:tc>
          <w:tcPr>
            <w:tcW w:w="573" w:type="pct"/>
          </w:tcPr>
          <w:p w14:paraId="210D21F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Surf Coast</w:t>
            </w:r>
          </w:p>
        </w:tc>
        <w:tc>
          <w:tcPr>
            <w:tcW w:w="441" w:type="pct"/>
          </w:tcPr>
          <w:p w14:paraId="0FDD7A52"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Beach</w:t>
            </w:r>
          </w:p>
        </w:tc>
        <w:tc>
          <w:tcPr>
            <w:tcW w:w="1954" w:type="pct"/>
          </w:tcPr>
          <w:p w14:paraId="3EAA50F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Raybould et al (2013) Beach and surf tourism and recreation in Australia: Vulnerability and adaptation, FRDC Project No. 2010/536. Fisheries Research and Development Corporation Canberra</w:t>
            </w:r>
          </w:p>
        </w:tc>
        <w:tc>
          <w:tcPr>
            <w:tcW w:w="256" w:type="pct"/>
          </w:tcPr>
          <w:p w14:paraId="26F1D26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2013</w:t>
            </w:r>
          </w:p>
        </w:tc>
      </w:tr>
      <w:tr w:rsidR="00FA0AF1" w:rsidRPr="002F335D" w14:paraId="1A36227B" w14:textId="77777777" w:rsidTr="009722D9">
        <w:trPr>
          <w:trHeight w:val="120"/>
        </w:trPr>
        <w:tc>
          <w:tcPr>
            <w:cnfStyle w:val="001000000000" w:firstRow="0" w:lastRow="0" w:firstColumn="1" w:lastColumn="0" w:oddVBand="0" w:evenVBand="0" w:oddHBand="0" w:evenHBand="0" w:firstRowFirstColumn="0" w:firstRowLastColumn="0" w:lastRowFirstColumn="0" w:lastRowLastColumn="0"/>
            <w:tcW w:w="290" w:type="pct"/>
            <w:vMerge/>
          </w:tcPr>
          <w:p w14:paraId="6E551C97" w14:textId="77777777" w:rsidR="00F50B5A" w:rsidRPr="00370449" w:rsidRDefault="00F50B5A" w:rsidP="00FA0AF1">
            <w:pPr>
              <w:pStyle w:val="TableTextLeft"/>
              <w:rPr>
                <w:rFonts w:ascii="Arial" w:hAnsi="Arial"/>
              </w:rPr>
            </w:pPr>
          </w:p>
        </w:tc>
        <w:tc>
          <w:tcPr>
            <w:tcW w:w="680" w:type="pct"/>
            <w:gridSpan w:val="2"/>
          </w:tcPr>
          <w:p w14:paraId="5236BAB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Coastal recreation (welfare)</w:t>
            </w:r>
          </w:p>
        </w:tc>
        <w:tc>
          <w:tcPr>
            <w:tcW w:w="309" w:type="pct"/>
          </w:tcPr>
          <w:p w14:paraId="18A549C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$48</w:t>
            </w:r>
          </w:p>
        </w:tc>
        <w:tc>
          <w:tcPr>
            <w:tcW w:w="499" w:type="pct"/>
          </w:tcPr>
          <w:p w14:paraId="180D497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$/visitor/day</w:t>
            </w:r>
          </w:p>
        </w:tc>
        <w:tc>
          <w:tcPr>
            <w:tcW w:w="573" w:type="pct"/>
          </w:tcPr>
          <w:p w14:paraId="50C7333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Victoria</w:t>
            </w:r>
          </w:p>
        </w:tc>
        <w:tc>
          <w:tcPr>
            <w:tcW w:w="441" w:type="pct"/>
          </w:tcPr>
          <w:p w14:paraId="0504A38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All coastal assets</w:t>
            </w:r>
          </w:p>
        </w:tc>
        <w:tc>
          <w:tcPr>
            <w:tcW w:w="1954" w:type="pct"/>
          </w:tcPr>
          <w:p w14:paraId="1E02C7D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URS (2007) Assessing the Value of Coast to Victoria</w:t>
            </w:r>
          </w:p>
        </w:tc>
        <w:tc>
          <w:tcPr>
            <w:tcW w:w="256" w:type="pct"/>
          </w:tcPr>
          <w:p w14:paraId="6BB858D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2006</w:t>
            </w:r>
          </w:p>
        </w:tc>
      </w:tr>
      <w:tr w:rsidR="00FA0AF1" w:rsidRPr="002F335D" w14:paraId="12C453DA" w14:textId="77777777" w:rsidTr="009722D9">
        <w:trPr>
          <w:trHeight w:val="120"/>
        </w:trPr>
        <w:tc>
          <w:tcPr>
            <w:cnfStyle w:val="001000000000" w:firstRow="0" w:lastRow="0" w:firstColumn="1" w:lastColumn="0" w:oddVBand="0" w:evenVBand="0" w:oddHBand="0" w:evenHBand="0" w:firstRowFirstColumn="0" w:firstRowLastColumn="0" w:lastRowFirstColumn="0" w:lastRowLastColumn="0"/>
            <w:tcW w:w="290" w:type="pct"/>
            <w:vMerge/>
          </w:tcPr>
          <w:p w14:paraId="29D57677" w14:textId="77777777" w:rsidR="00F50B5A" w:rsidRPr="00370449" w:rsidRDefault="00F50B5A" w:rsidP="00FA0AF1">
            <w:pPr>
              <w:pStyle w:val="TableTextLeft"/>
              <w:rPr>
                <w:rFonts w:ascii="Arial" w:hAnsi="Arial"/>
              </w:rPr>
            </w:pPr>
          </w:p>
        </w:tc>
        <w:tc>
          <w:tcPr>
            <w:tcW w:w="680" w:type="pct"/>
            <w:gridSpan w:val="2"/>
          </w:tcPr>
          <w:p w14:paraId="7D2E8C6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Coastal recreation (welfare)</w:t>
            </w:r>
          </w:p>
        </w:tc>
        <w:tc>
          <w:tcPr>
            <w:tcW w:w="309" w:type="pct"/>
          </w:tcPr>
          <w:p w14:paraId="7DCCDE5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$154</w:t>
            </w:r>
          </w:p>
        </w:tc>
        <w:tc>
          <w:tcPr>
            <w:tcW w:w="499" w:type="pct"/>
          </w:tcPr>
          <w:p w14:paraId="377BE11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$/trip (at least 1 night)</w:t>
            </w:r>
          </w:p>
        </w:tc>
        <w:tc>
          <w:tcPr>
            <w:tcW w:w="573" w:type="pct"/>
          </w:tcPr>
          <w:p w14:paraId="26761B1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Victoria</w:t>
            </w:r>
          </w:p>
        </w:tc>
        <w:tc>
          <w:tcPr>
            <w:tcW w:w="441" w:type="pct"/>
          </w:tcPr>
          <w:p w14:paraId="1BF96FD6"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All coastal assets</w:t>
            </w:r>
          </w:p>
        </w:tc>
        <w:tc>
          <w:tcPr>
            <w:tcW w:w="1954" w:type="pct"/>
          </w:tcPr>
          <w:p w14:paraId="4B44269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URS (2007) Assessing the Value of Coast to Victoria</w:t>
            </w:r>
          </w:p>
        </w:tc>
        <w:tc>
          <w:tcPr>
            <w:tcW w:w="256" w:type="pct"/>
          </w:tcPr>
          <w:p w14:paraId="1089D53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2006</w:t>
            </w:r>
          </w:p>
        </w:tc>
      </w:tr>
      <w:tr w:rsidR="00FA0AF1" w:rsidRPr="002F335D" w14:paraId="79B7F86F" w14:textId="77777777" w:rsidTr="009722D9">
        <w:trPr>
          <w:trHeight w:val="120"/>
        </w:trPr>
        <w:tc>
          <w:tcPr>
            <w:cnfStyle w:val="001000000000" w:firstRow="0" w:lastRow="0" w:firstColumn="1" w:lastColumn="0" w:oddVBand="0" w:evenVBand="0" w:oddHBand="0" w:evenHBand="0" w:firstRowFirstColumn="0" w:firstRowLastColumn="0" w:lastRowFirstColumn="0" w:lastRowLastColumn="0"/>
            <w:tcW w:w="290" w:type="pct"/>
            <w:vMerge/>
          </w:tcPr>
          <w:p w14:paraId="10D19BA1" w14:textId="77777777" w:rsidR="00F50B5A" w:rsidRPr="00370449" w:rsidRDefault="00F50B5A" w:rsidP="00FA0AF1">
            <w:pPr>
              <w:pStyle w:val="TableTextLeft"/>
              <w:rPr>
                <w:rFonts w:ascii="Arial" w:hAnsi="Arial"/>
              </w:rPr>
            </w:pPr>
          </w:p>
        </w:tc>
        <w:tc>
          <w:tcPr>
            <w:tcW w:w="680" w:type="pct"/>
            <w:gridSpan w:val="2"/>
          </w:tcPr>
          <w:p w14:paraId="544C234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Park recreation (welfare)</w:t>
            </w:r>
          </w:p>
        </w:tc>
        <w:tc>
          <w:tcPr>
            <w:tcW w:w="309" w:type="pct"/>
          </w:tcPr>
          <w:p w14:paraId="07F1AEE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$8 to $46</w:t>
            </w:r>
          </w:p>
        </w:tc>
        <w:tc>
          <w:tcPr>
            <w:tcW w:w="499" w:type="pct"/>
          </w:tcPr>
          <w:p w14:paraId="5DCF035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$/visitor/day</w:t>
            </w:r>
          </w:p>
        </w:tc>
        <w:tc>
          <w:tcPr>
            <w:tcW w:w="573" w:type="pct"/>
          </w:tcPr>
          <w:p w14:paraId="69C1233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Victoria</w:t>
            </w:r>
          </w:p>
        </w:tc>
        <w:tc>
          <w:tcPr>
            <w:tcW w:w="441" w:type="pct"/>
          </w:tcPr>
          <w:p w14:paraId="317198D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Parks</w:t>
            </w:r>
          </w:p>
        </w:tc>
        <w:tc>
          <w:tcPr>
            <w:tcW w:w="1954" w:type="pct"/>
          </w:tcPr>
          <w:p w14:paraId="6E00C34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 xml:space="preserve">Read et al (1999) Economic assessment of the recreational values of Victorian parks (in URS, 2007; DELWP and PV, 2015) </w:t>
            </w:r>
          </w:p>
        </w:tc>
        <w:tc>
          <w:tcPr>
            <w:tcW w:w="256" w:type="pct"/>
          </w:tcPr>
          <w:p w14:paraId="2E5122F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1999</w:t>
            </w:r>
          </w:p>
        </w:tc>
      </w:tr>
      <w:tr w:rsidR="00FA0AF1" w:rsidRPr="002F335D" w14:paraId="045B16AD" w14:textId="77777777" w:rsidTr="009722D9">
        <w:trPr>
          <w:trHeight w:val="211"/>
        </w:trPr>
        <w:tc>
          <w:tcPr>
            <w:cnfStyle w:val="001000000000" w:firstRow="0" w:lastRow="0" w:firstColumn="1" w:lastColumn="0" w:oddVBand="0" w:evenVBand="0" w:oddHBand="0" w:evenHBand="0" w:firstRowFirstColumn="0" w:firstRowLastColumn="0" w:lastRowFirstColumn="0" w:lastRowLastColumn="0"/>
            <w:tcW w:w="290" w:type="pct"/>
            <w:vMerge/>
          </w:tcPr>
          <w:p w14:paraId="21C2A0D4" w14:textId="77777777" w:rsidR="00F50B5A" w:rsidRPr="00370449" w:rsidRDefault="00F50B5A" w:rsidP="00FA0AF1">
            <w:pPr>
              <w:pStyle w:val="TableTextLeft"/>
              <w:rPr>
                <w:rFonts w:ascii="Arial" w:hAnsi="Arial"/>
              </w:rPr>
            </w:pPr>
          </w:p>
        </w:tc>
        <w:tc>
          <w:tcPr>
            <w:tcW w:w="680" w:type="pct"/>
            <w:gridSpan w:val="2"/>
          </w:tcPr>
          <w:p w14:paraId="42A0AB1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Specialist fishing recreation (welfare)</w:t>
            </w:r>
          </w:p>
        </w:tc>
        <w:tc>
          <w:tcPr>
            <w:tcW w:w="309" w:type="pct"/>
          </w:tcPr>
          <w:p w14:paraId="28CFCB6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$65</w:t>
            </w:r>
          </w:p>
        </w:tc>
        <w:tc>
          <w:tcPr>
            <w:tcW w:w="499" w:type="pct"/>
          </w:tcPr>
          <w:p w14:paraId="46B9E2B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$/specialist angler/day</w:t>
            </w:r>
          </w:p>
        </w:tc>
        <w:tc>
          <w:tcPr>
            <w:tcW w:w="573" w:type="pct"/>
          </w:tcPr>
          <w:p w14:paraId="643A5858"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Victoria (Kings/Ovens Rivers)</w:t>
            </w:r>
          </w:p>
        </w:tc>
        <w:tc>
          <w:tcPr>
            <w:tcW w:w="441" w:type="pct"/>
          </w:tcPr>
          <w:p w14:paraId="2D5C231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Inland rivers</w:t>
            </w:r>
          </w:p>
        </w:tc>
        <w:tc>
          <w:tcPr>
            <w:tcW w:w="1954" w:type="pct"/>
          </w:tcPr>
          <w:p w14:paraId="42BA7A7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Sinden (1990) Valuation of the Recreational Benefits of River Management in URS (2007)</w:t>
            </w:r>
          </w:p>
        </w:tc>
        <w:tc>
          <w:tcPr>
            <w:tcW w:w="256" w:type="pct"/>
          </w:tcPr>
          <w:p w14:paraId="06F872D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1990</w:t>
            </w:r>
          </w:p>
        </w:tc>
      </w:tr>
      <w:tr w:rsidR="00FA0AF1" w:rsidRPr="002F335D" w14:paraId="72C6EB8F" w14:textId="77777777" w:rsidTr="009722D9">
        <w:trPr>
          <w:trHeight w:val="120"/>
        </w:trPr>
        <w:tc>
          <w:tcPr>
            <w:cnfStyle w:val="001000000000" w:firstRow="0" w:lastRow="0" w:firstColumn="1" w:lastColumn="0" w:oddVBand="0" w:evenVBand="0" w:oddHBand="0" w:evenHBand="0" w:firstRowFirstColumn="0" w:firstRowLastColumn="0" w:lastRowFirstColumn="0" w:lastRowLastColumn="0"/>
            <w:tcW w:w="290" w:type="pct"/>
            <w:vMerge/>
          </w:tcPr>
          <w:p w14:paraId="35819987" w14:textId="77777777" w:rsidR="00F50B5A" w:rsidRPr="00370449" w:rsidRDefault="00F50B5A" w:rsidP="00FA0AF1">
            <w:pPr>
              <w:pStyle w:val="TableTextLeft"/>
              <w:rPr>
                <w:rFonts w:ascii="Arial" w:hAnsi="Arial"/>
              </w:rPr>
            </w:pPr>
          </w:p>
        </w:tc>
        <w:tc>
          <w:tcPr>
            <w:tcW w:w="680" w:type="pct"/>
            <w:gridSpan w:val="2"/>
          </w:tcPr>
          <w:p w14:paraId="47EBB01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Fishing recreation (expenditure)</w:t>
            </w:r>
          </w:p>
        </w:tc>
        <w:tc>
          <w:tcPr>
            <w:tcW w:w="309" w:type="pct"/>
          </w:tcPr>
          <w:p w14:paraId="37CFAA0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$326</w:t>
            </w:r>
          </w:p>
        </w:tc>
        <w:tc>
          <w:tcPr>
            <w:tcW w:w="499" w:type="pct"/>
          </w:tcPr>
          <w:p w14:paraId="34BB1E3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 / trip (excl. boat cost)</w:t>
            </w:r>
          </w:p>
        </w:tc>
        <w:tc>
          <w:tcPr>
            <w:tcW w:w="573" w:type="pct"/>
          </w:tcPr>
          <w:p w14:paraId="09841DD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Victoria</w:t>
            </w:r>
          </w:p>
        </w:tc>
        <w:tc>
          <w:tcPr>
            <w:tcW w:w="441" w:type="pct"/>
          </w:tcPr>
          <w:p w14:paraId="2C79C1D5"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Marine / Coast / Freshwater</w:t>
            </w:r>
          </w:p>
        </w:tc>
        <w:tc>
          <w:tcPr>
            <w:tcW w:w="1954" w:type="pct"/>
          </w:tcPr>
          <w:p w14:paraId="560DE47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Victorian Recreational Fishing Survey 2014 in DELWP (2016)</w:t>
            </w:r>
          </w:p>
        </w:tc>
        <w:tc>
          <w:tcPr>
            <w:tcW w:w="256" w:type="pct"/>
          </w:tcPr>
          <w:p w14:paraId="6E028C22"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2014</w:t>
            </w:r>
          </w:p>
        </w:tc>
      </w:tr>
      <w:tr w:rsidR="00FA0AF1" w:rsidRPr="002F335D" w14:paraId="7976C7AE" w14:textId="77777777" w:rsidTr="009722D9">
        <w:trPr>
          <w:trHeight w:val="120"/>
        </w:trPr>
        <w:tc>
          <w:tcPr>
            <w:cnfStyle w:val="001000000000" w:firstRow="0" w:lastRow="0" w:firstColumn="1" w:lastColumn="0" w:oddVBand="0" w:evenVBand="0" w:oddHBand="0" w:evenHBand="0" w:firstRowFirstColumn="0" w:firstRowLastColumn="0" w:lastRowFirstColumn="0" w:lastRowLastColumn="0"/>
            <w:tcW w:w="290" w:type="pct"/>
            <w:vMerge/>
          </w:tcPr>
          <w:p w14:paraId="5447CCDA" w14:textId="77777777" w:rsidR="00F50B5A" w:rsidRPr="00370449" w:rsidRDefault="00F50B5A" w:rsidP="00FA0AF1">
            <w:pPr>
              <w:pStyle w:val="TableTextLeft"/>
              <w:rPr>
                <w:rFonts w:ascii="Arial" w:hAnsi="Arial"/>
              </w:rPr>
            </w:pPr>
          </w:p>
        </w:tc>
        <w:tc>
          <w:tcPr>
            <w:tcW w:w="680" w:type="pct"/>
            <w:gridSpan w:val="2"/>
          </w:tcPr>
          <w:p w14:paraId="618AA36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Birdwatching recreation (welfare attributable to wetland)</w:t>
            </w:r>
          </w:p>
        </w:tc>
        <w:tc>
          <w:tcPr>
            <w:tcW w:w="309" w:type="pct"/>
          </w:tcPr>
          <w:p w14:paraId="1EACA3C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$158</w:t>
            </w:r>
          </w:p>
        </w:tc>
        <w:tc>
          <w:tcPr>
            <w:tcW w:w="499" w:type="pct"/>
          </w:tcPr>
          <w:p w14:paraId="6014DE7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 / visit</w:t>
            </w:r>
          </w:p>
        </w:tc>
        <w:tc>
          <w:tcPr>
            <w:tcW w:w="573" w:type="pct"/>
          </w:tcPr>
          <w:p w14:paraId="1BA66F4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Port Phillip Bay / Westernport</w:t>
            </w:r>
          </w:p>
        </w:tc>
        <w:tc>
          <w:tcPr>
            <w:tcW w:w="441" w:type="pct"/>
          </w:tcPr>
          <w:p w14:paraId="5B0751D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Mangrove / saltmarsh</w:t>
            </w:r>
          </w:p>
        </w:tc>
        <w:tc>
          <w:tcPr>
            <w:tcW w:w="1954" w:type="pct"/>
          </w:tcPr>
          <w:p w14:paraId="42DC0358"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Carnell et al (2019) Mapping Ocean Wealth Australia</w:t>
            </w:r>
          </w:p>
        </w:tc>
        <w:tc>
          <w:tcPr>
            <w:tcW w:w="256" w:type="pct"/>
          </w:tcPr>
          <w:p w14:paraId="0D791712"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2019</w:t>
            </w:r>
          </w:p>
        </w:tc>
      </w:tr>
      <w:tr w:rsidR="00FA0AF1" w:rsidRPr="002F335D" w14:paraId="345AB6F1" w14:textId="77777777" w:rsidTr="009722D9">
        <w:trPr>
          <w:trHeight w:val="120"/>
        </w:trPr>
        <w:tc>
          <w:tcPr>
            <w:cnfStyle w:val="001000000000" w:firstRow="0" w:lastRow="0" w:firstColumn="1" w:lastColumn="0" w:oddVBand="0" w:evenVBand="0" w:oddHBand="0" w:evenHBand="0" w:firstRowFirstColumn="0" w:firstRowLastColumn="0" w:lastRowFirstColumn="0" w:lastRowLastColumn="0"/>
            <w:tcW w:w="290" w:type="pct"/>
            <w:vMerge/>
          </w:tcPr>
          <w:p w14:paraId="5CD75C9D" w14:textId="77777777" w:rsidR="00F50B5A" w:rsidRPr="00370449" w:rsidRDefault="00F50B5A" w:rsidP="00FA0AF1">
            <w:pPr>
              <w:pStyle w:val="TableTextLeft"/>
              <w:rPr>
                <w:rFonts w:ascii="Arial" w:hAnsi="Arial"/>
              </w:rPr>
            </w:pPr>
          </w:p>
        </w:tc>
        <w:tc>
          <w:tcPr>
            <w:tcW w:w="680" w:type="pct"/>
            <w:gridSpan w:val="2"/>
          </w:tcPr>
          <w:p w14:paraId="4D08DD5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Fishing recreation (welfare attributable to seagrass)</w:t>
            </w:r>
          </w:p>
        </w:tc>
        <w:tc>
          <w:tcPr>
            <w:tcW w:w="309" w:type="pct"/>
          </w:tcPr>
          <w:p w14:paraId="6820E298"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$13 to $85</w:t>
            </w:r>
          </w:p>
        </w:tc>
        <w:tc>
          <w:tcPr>
            <w:tcW w:w="499" w:type="pct"/>
          </w:tcPr>
          <w:p w14:paraId="50A1C8B2"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 / trip</w:t>
            </w:r>
          </w:p>
        </w:tc>
        <w:tc>
          <w:tcPr>
            <w:tcW w:w="573" w:type="pct"/>
          </w:tcPr>
          <w:p w14:paraId="699D2895"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Port Phillip Bay / Westernport</w:t>
            </w:r>
          </w:p>
        </w:tc>
        <w:tc>
          <w:tcPr>
            <w:tcW w:w="441" w:type="pct"/>
          </w:tcPr>
          <w:p w14:paraId="4D2AC6C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Seagrass</w:t>
            </w:r>
          </w:p>
        </w:tc>
        <w:tc>
          <w:tcPr>
            <w:tcW w:w="1954" w:type="pct"/>
          </w:tcPr>
          <w:p w14:paraId="7D179FC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Carnell et al (2019) Mapping Ocean Wealth Australia</w:t>
            </w:r>
          </w:p>
        </w:tc>
        <w:tc>
          <w:tcPr>
            <w:tcW w:w="256" w:type="pct"/>
          </w:tcPr>
          <w:p w14:paraId="0E5A2C1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2019</w:t>
            </w:r>
          </w:p>
        </w:tc>
      </w:tr>
      <w:tr w:rsidR="00FA0AF1" w:rsidRPr="002F335D" w14:paraId="41B5CBD2" w14:textId="77777777" w:rsidTr="009722D9">
        <w:trPr>
          <w:trHeight w:val="120"/>
        </w:trPr>
        <w:tc>
          <w:tcPr>
            <w:cnfStyle w:val="001000000000" w:firstRow="0" w:lastRow="0" w:firstColumn="1" w:lastColumn="0" w:oddVBand="0" w:evenVBand="0" w:oddHBand="0" w:evenHBand="0" w:firstRowFirstColumn="0" w:firstRowLastColumn="0" w:lastRowFirstColumn="0" w:lastRowLastColumn="0"/>
            <w:tcW w:w="290" w:type="pct"/>
            <w:vMerge/>
          </w:tcPr>
          <w:p w14:paraId="1728F8B2" w14:textId="77777777" w:rsidR="00F50B5A" w:rsidRPr="00370449" w:rsidRDefault="00F50B5A" w:rsidP="00FA0AF1">
            <w:pPr>
              <w:pStyle w:val="TableTextLeft"/>
              <w:rPr>
                <w:rFonts w:ascii="Arial" w:hAnsi="Arial"/>
              </w:rPr>
            </w:pPr>
          </w:p>
        </w:tc>
        <w:tc>
          <w:tcPr>
            <w:tcW w:w="680" w:type="pct"/>
            <w:gridSpan w:val="2"/>
          </w:tcPr>
          <w:p w14:paraId="19D9808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River recreation (welfare)</w:t>
            </w:r>
          </w:p>
        </w:tc>
        <w:tc>
          <w:tcPr>
            <w:tcW w:w="309" w:type="pct"/>
          </w:tcPr>
          <w:p w14:paraId="4824C04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$22</w:t>
            </w:r>
          </w:p>
        </w:tc>
        <w:tc>
          <w:tcPr>
            <w:tcW w:w="499" w:type="pct"/>
          </w:tcPr>
          <w:p w14:paraId="44F0C8E5"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$/day visit</w:t>
            </w:r>
          </w:p>
        </w:tc>
        <w:tc>
          <w:tcPr>
            <w:tcW w:w="573" w:type="pct"/>
          </w:tcPr>
          <w:p w14:paraId="6457CB0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Victoria (Kings/Ovens Rivers)</w:t>
            </w:r>
          </w:p>
        </w:tc>
        <w:tc>
          <w:tcPr>
            <w:tcW w:w="441" w:type="pct"/>
          </w:tcPr>
          <w:p w14:paraId="1714196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Inland rivers</w:t>
            </w:r>
          </w:p>
        </w:tc>
        <w:tc>
          <w:tcPr>
            <w:tcW w:w="1954" w:type="pct"/>
          </w:tcPr>
          <w:p w14:paraId="791FE3D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Sinden (1990) Valuation of the Recreational Benefits of River Management in Aither (2015)</w:t>
            </w:r>
          </w:p>
        </w:tc>
        <w:tc>
          <w:tcPr>
            <w:tcW w:w="256" w:type="pct"/>
          </w:tcPr>
          <w:p w14:paraId="5775150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1990</w:t>
            </w:r>
          </w:p>
        </w:tc>
      </w:tr>
      <w:tr w:rsidR="00FA0AF1" w:rsidRPr="002F335D" w14:paraId="1F21F924" w14:textId="77777777" w:rsidTr="009722D9">
        <w:trPr>
          <w:trHeight w:val="231"/>
        </w:trPr>
        <w:tc>
          <w:tcPr>
            <w:cnfStyle w:val="001000000000" w:firstRow="0" w:lastRow="0" w:firstColumn="1" w:lastColumn="0" w:oddVBand="0" w:evenVBand="0" w:oddHBand="0" w:evenHBand="0" w:firstRowFirstColumn="0" w:firstRowLastColumn="0" w:lastRowFirstColumn="0" w:lastRowLastColumn="0"/>
            <w:tcW w:w="290" w:type="pct"/>
            <w:vMerge/>
          </w:tcPr>
          <w:p w14:paraId="76591C4A" w14:textId="77777777" w:rsidR="00F50B5A" w:rsidRPr="00370449" w:rsidRDefault="00F50B5A" w:rsidP="00FA0AF1">
            <w:pPr>
              <w:pStyle w:val="TableTextLeft"/>
              <w:rPr>
                <w:rFonts w:ascii="Arial" w:hAnsi="Arial"/>
              </w:rPr>
            </w:pPr>
          </w:p>
        </w:tc>
        <w:tc>
          <w:tcPr>
            <w:tcW w:w="680" w:type="pct"/>
            <w:gridSpan w:val="2"/>
          </w:tcPr>
          <w:p w14:paraId="539F3D6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 xml:space="preserve">Cost of physical inactivity </w:t>
            </w:r>
          </w:p>
        </w:tc>
        <w:tc>
          <w:tcPr>
            <w:tcW w:w="309" w:type="pct"/>
          </w:tcPr>
          <w:p w14:paraId="1F02FE92"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$1,660</w:t>
            </w:r>
          </w:p>
        </w:tc>
        <w:tc>
          <w:tcPr>
            <w:tcW w:w="499" w:type="pct"/>
          </w:tcPr>
          <w:p w14:paraId="50ECE75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 avoided cost</w:t>
            </w:r>
          </w:p>
        </w:tc>
        <w:tc>
          <w:tcPr>
            <w:tcW w:w="573" w:type="pct"/>
          </w:tcPr>
          <w:p w14:paraId="2B73558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Australia</w:t>
            </w:r>
          </w:p>
        </w:tc>
        <w:tc>
          <w:tcPr>
            <w:tcW w:w="441" w:type="pct"/>
          </w:tcPr>
          <w:p w14:paraId="02A44DD2"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All</w:t>
            </w:r>
          </w:p>
        </w:tc>
        <w:tc>
          <w:tcPr>
            <w:tcW w:w="1954" w:type="pct"/>
          </w:tcPr>
          <w:p w14:paraId="744A32D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Medibank (2008) The cost of physical inactivity</w:t>
            </w:r>
          </w:p>
        </w:tc>
        <w:tc>
          <w:tcPr>
            <w:tcW w:w="256" w:type="pct"/>
          </w:tcPr>
          <w:p w14:paraId="5D8DAC9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2008</w:t>
            </w:r>
          </w:p>
        </w:tc>
      </w:tr>
      <w:tr w:rsidR="00FA0AF1" w:rsidRPr="002F335D" w14:paraId="27D493DD" w14:textId="77777777" w:rsidTr="009722D9">
        <w:trPr>
          <w:trHeight w:val="120"/>
        </w:trPr>
        <w:tc>
          <w:tcPr>
            <w:cnfStyle w:val="001000000000" w:firstRow="0" w:lastRow="0" w:firstColumn="1" w:lastColumn="0" w:oddVBand="0" w:evenVBand="0" w:oddHBand="0" w:evenHBand="0" w:firstRowFirstColumn="0" w:firstRowLastColumn="0" w:lastRowFirstColumn="0" w:lastRowLastColumn="0"/>
            <w:tcW w:w="290" w:type="pct"/>
            <w:vMerge w:val="restart"/>
          </w:tcPr>
          <w:p w14:paraId="755F91F9" w14:textId="77777777" w:rsidR="00F50B5A" w:rsidRPr="00370449" w:rsidRDefault="00F50B5A" w:rsidP="00FA0AF1">
            <w:pPr>
              <w:pStyle w:val="TableTextLeft"/>
              <w:rPr>
                <w:rFonts w:ascii="Arial" w:hAnsi="Arial"/>
              </w:rPr>
            </w:pPr>
            <w:r w:rsidRPr="00370449">
              <w:rPr>
                <w:rFonts w:ascii="Arial" w:hAnsi="Arial"/>
              </w:rPr>
              <w:t>Social cohesion</w:t>
            </w:r>
          </w:p>
        </w:tc>
        <w:tc>
          <w:tcPr>
            <w:tcW w:w="680" w:type="pct"/>
            <w:gridSpan w:val="2"/>
          </w:tcPr>
          <w:p w14:paraId="6E6FEAA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Value of volunteering - average compensation per employee</w:t>
            </w:r>
          </w:p>
        </w:tc>
        <w:tc>
          <w:tcPr>
            <w:tcW w:w="309" w:type="pct"/>
          </w:tcPr>
          <w:p w14:paraId="5688EEF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t>
            </w:r>
          </w:p>
        </w:tc>
        <w:tc>
          <w:tcPr>
            <w:tcW w:w="499" w:type="pct"/>
          </w:tcPr>
          <w:p w14:paraId="5E454B48"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$/person/year</w:t>
            </w:r>
          </w:p>
        </w:tc>
        <w:tc>
          <w:tcPr>
            <w:tcW w:w="573" w:type="pct"/>
          </w:tcPr>
          <w:p w14:paraId="2365EE2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Australia</w:t>
            </w:r>
          </w:p>
        </w:tc>
        <w:tc>
          <w:tcPr>
            <w:tcW w:w="441" w:type="pct"/>
          </w:tcPr>
          <w:p w14:paraId="186E6F0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n/a</w:t>
            </w:r>
          </w:p>
        </w:tc>
        <w:tc>
          <w:tcPr>
            <w:tcW w:w="1954" w:type="pct"/>
          </w:tcPr>
          <w:p w14:paraId="5FA6ABC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 xml:space="preserve">ABS (2000) Unpaid Work and the Australian Economy.  </w:t>
            </w:r>
          </w:p>
        </w:tc>
        <w:tc>
          <w:tcPr>
            <w:tcW w:w="256" w:type="pct"/>
          </w:tcPr>
          <w:p w14:paraId="181990C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2000</w:t>
            </w:r>
          </w:p>
        </w:tc>
      </w:tr>
      <w:tr w:rsidR="00FA0AF1" w:rsidRPr="002F335D" w14:paraId="24F1EFDB" w14:textId="77777777" w:rsidTr="009722D9">
        <w:trPr>
          <w:trHeight w:val="120"/>
        </w:trPr>
        <w:tc>
          <w:tcPr>
            <w:cnfStyle w:val="001000000000" w:firstRow="0" w:lastRow="0" w:firstColumn="1" w:lastColumn="0" w:oddVBand="0" w:evenVBand="0" w:oddHBand="0" w:evenHBand="0" w:firstRowFirstColumn="0" w:firstRowLastColumn="0" w:lastRowFirstColumn="0" w:lastRowLastColumn="0"/>
            <w:tcW w:w="290" w:type="pct"/>
            <w:vMerge/>
          </w:tcPr>
          <w:p w14:paraId="21395024" w14:textId="77777777" w:rsidR="00F50B5A" w:rsidRPr="00370449" w:rsidRDefault="00F50B5A" w:rsidP="00FA0AF1">
            <w:pPr>
              <w:pStyle w:val="TableTextLeft"/>
              <w:rPr>
                <w:rFonts w:ascii="Arial" w:hAnsi="Arial"/>
              </w:rPr>
            </w:pPr>
          </w:p>
        </w:tc>
        <w:tc>
          <w:tcPr>
            <w:tcW w:w="680" w:type="pct"/>
            <w:gridSpan w:val="2"/>
          </w:tcPr>
          <w:p w14:paraId="2EC43A2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Value of volunteering - gross opportunity cost wage rates</w:t>
            </w:r>
          </w:p>
        </w:tc>
        <w:tc>
          <w:tcPr>
            <w:tcW w:w="309" w:type="pct"/>
          </w:tcPr>
          <w:p w14:paraId="38F822D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$24.09</w:t>
            </w:r>
          </w:p>
        </w:tc>
        <w:tc>
          <w:tcPr>
            <w:tcW w:w="499" w:type="pct"/>
          </w:tcPr>
          <w:p w14:paraId="225E6EA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$/person/hour</w:t>
            </w:r>
          </w:p>
        </w:tc>
        <w:tc>
          <w:tcPr>
            <w:tcW w:w="573" w:type="pct"/>
          </w:tcPr>
          <w:p w14:paraId="1BC8960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Australia</w:t>
            </w:r>
          </w:p>
        </w:tc>
        <w:tc>
          <w:tcPr>
            <w:tcW w:w="441" w:type="pct"/>
          </w:tcPr>
          <w:p w14:paraId="7930405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n/a</w:t>
            </w:r>
          </w:p>
        </w:tc>
        <w:tc>
          <w:tcPr>
            <w:tcW w:w="1954" w:type="pct"/>
          </w:tcPr>
          <w:p w14:paraId="4B21337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Ironmonger (2012) The economic value of volunteering in Victoria in DELWP (2019</w:t>
            </w:r>
          </w:p>
        </w:tc>
        <w:tc>
          <w:tcPr>
            <w:tcW w:w="256" w:type="pct"/>
          </w:tcPr>
          <w:p w14:paraId="53C0C27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2006</w:t>
            </w:r>
          </w:p>
        </w:tc>
      </w:tr>
      <w:tr w:rsidR="00FA0AF1" w:rsidRPr="002F335D" w14:paraId="1860FB9A" w14:textId="77777777" w:rsidTr="009722D9">
        <w:trPr>
          <w:trHeight w:val="120"/>
        </w:trPr>
        <w:tc>
          <w:tcPr>
            <w:cnfStyle w:val="001000000000" w:firstRow="0" w:lastRow="0" w:firstColumn="1" w:lastColumn="0" w:oddVBand="0" w:evenVBand="0" w:oddHBand="0" w:evenHBand="0" w:firstRowFirstColumn="0" w:firstRowLastColumn="0" w:lastRowFirstColumn="0" w:lastRowLastColumn="0"/>
            <w:tcW w:w="290" w:type="pct"/>
            <w:vMerge w:val="restart"/>
          </w:tcPr>
          <w:p w14:paraId="708B721B" w14:textId="77777777" w:rsidR="00F50B5A" w:rsidRPr="00370449" w:rsidRDefault="00F50B5A" w:rsidP="00FA0AF1">
            <w:pPr>
              <w:pStyle w:val="TableTextLeft"/>
              <w:rPr>
                <w:rFonts w:ascii="Arial" w:hAnsi="Arial"/>
              </w:rPr>
            </w:pPr>
            <w:r w:rsidRPr="00370449">
              <w:rPr>
                <w:rFonts w:ascii="Arial" w:hAnsi="Arial"/>
              </w:rPr>
              <w:t>Tourism</w:t>
            </w:r>
          </w:p>
        </w:tc>
        <w:tc>
          <w:tcPr>
            <w:tcW w:w="680" w:type="pct"/>
            <w:gridSpan w:val="2"/>
          </w:tcPr>
          <w:p w14:paraId="30A575F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Tourism Expenditure / GSP</w:t>
            </w:r>
          </w:p>
        </w:tc>
        <w:tc>
          <w:tcPr>
            <w:tcW w:w="309" w:type="pct"/>
          </w:tcPr>
          <w:p w14:paraId="56AA42E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t>
            </w:r>
          </w:p>
        </w:tc>
        <w:tc>
          <w:tcPr>
            <w:tcW w:w="499" w:type="pct"/>
          </w:tcPr>
          <w:p w14:paraId="5CD50256"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t>
            </w:r>
          </w:p>
        </w:tc>
        <w:tc>
          <w:tcPr>
            <w:tcW w:w="573" w:type="pct"/>
          </w:tcPr>
          <w:p w14:paraId="72C7917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Victoria SLA’s</w:t>
            </w:r>
          </w:p>
        </w:tc>
        <w:tc>
          <w:tcPr>
            <w:tcW w:w="441" w:type="pct"/>
          </w:tcPr>
          <w:p w14:paraId="6D2404C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All</w:t>
            </w:r>
          </w:p>
        </w:tc>
        <w:tc>
          <w:tcPr>
            <w:tcW w:w="1954" w:type="pct"/>
          </w:tcPr>
          <w:p w14:paraId="19D826E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 xml:space="preserve">Tourism Research Australia (2011) The Economic Importance of Tourism in Australia’s Regions in Worley Parsons (2013) </w:t>
            </w:r>
          </w:p>
        </w:tc>
        <w:tc>
          <w:tcPr>
            <w:tcW w:w="256" w:type="pct"/>
          </w:tcPr>
          <w:p w14:paraId="14583E76"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2007-08</w:t>
            </w:r>
          </w:p>
        </w:tc>
      </w:tr>
      <w:tr w:rsidR="00FA0AF1" w:rsidRPr="002F335D" w14:paraId="74D44DD2" w14:textId="77777777" w:rsidTr="009722D9">
        <w:trPr>
          <w:trHeight w:val="120"/>
        </w:trPr>
        <w:tc>
          <w:tcPr>
            <w:cnfStyle w:val="001000000000" w:firstRow="0" w:lastRow="0" w:firstColumn="1" w:lastColumn="0" w:oddVBand="0" w:evenVBand="0" w:oddHBand="0" w:evenHBand="0" w:firstRowFirstColumn="0" w:firstRowLastColumn="0" w:lastRowFirstColumn="0" w:lastRowLastColumn="0"/>
            <w:tcW w:w="290" w:type="pct"/>
            <w:vMerge/>
          </w:tcPr>
          <w:p w14:paraId="5BA10867" w14:textId="77777777" w:rsidR="00F50B5A" w:rsidRPr="00370449" w:rsidRDefault="00F50B5A" w:rsidP="00FA0AF1">
            <w:pPr>
              <w:pStyle w:val="TableTextLeft"/>
              <w:rPr>
                <w:rFonts w:ascii="Arial" w:hAnsi="Arial"/>
              </w:rPr>
            </w:pPr>
          </w:p>
        </w:tc>
        <w:tc>
          <w:tcPr>
            <w:tcW w:w="680" w:type="pct"/>
            <w:gridSpan w:val="2"/>
          </w:tcPr>
          <w:p w14:paraId="4BCC3FD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 xml:space="preserve">Tourism Gross Value Added </w:t>
            </w:r>
          </w:p>
        </w:tc>
        <w:tc>
          <w:tcPr>
            <w:tcW w:w="309" w:type="pct"/>
          </w:tcPr>
          <w:p w14:paraId="75BB096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$87m</w:t>
            </w:r>
          </w:p>
        </w:tc>
        <w:tc>
          <w:tcPr>
            <w:tcW w:w="499" w:type="pct"/>
          </w:tcPr>
          <w:p w14:paraId="23659C6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t>
            </w:r>
          </w:p>
        </w:tc>
        <w:tc>
          <w:tcPr>
            <w:tcW w:w="573" w:type="pct"/>
          </w:tcPr>
          <w:p w14:paraId="0C2CD96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Great Ocean Road</w:t>
            </w:r>
          </w:p>
        </w:tc>
        <w:tc>
          <w:tcPr>
            <w:tcW w:w="441" w:type="pct"/>
          </w:tcPr>
          <w:p w14:paraId="2F9E208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All</w:t>
            </w:r>
          </w:p>
        </w:tc>
        <w:tc>
          <w:tcPr>
            <w:tcW w:w="1954" w:type="pct"/>
          </w:tcPr>
          <w:p w14:paraId="6052FDD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Deloitte (2014) Report on Valuing the Tourism Services provided by Victorian Parks in DELWP and PV (2015)</w:t>
            </w:r>
          </w:p>
        </w:tc>
        <w:tc>
          <w:tcPr>
            <w:tcW w:w="256" w:type="pct"/>
          </w:tcPr>
          <w:p w14:paraId="6AE1D5C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2010-11</w:t>
            </w:r>
          </w:p>
        </w:tc>
      </w:tr>
      <w:tr w:rsidR="00FA0AF1" w:rsidRPr="002F335D" w14:paraId="71BDEB1F" w14:textId="77777777" w:rsidTr="009722D9">
        <w:trPr>
          <w:trHeight w:val="120"/>
        </w:trPr>
        <w:tc>
          <w:tcPr>
            <w:cnfStyle w:val="001000000000" w:firstRow="0" w:lastRow="0" w:firstColumn="1" w:lastColumn="0" w:oddVBand="0" w:evenVBand="0" w:oddHBand="0" w:evenHBand="0" w:firstRowFirstColumn="0" w:firstRowLastColumn="0" w:lastRowFirstColumn="0" w:lastRowLastColumn="0"/>
            <w:tcW w:w="290" w:type="pct"/>
            <w:vMerge/>
          </w:tcPr>
          <w:p w14:paraId="0FBA7996" w14:textId="77777777" w:rsidR="00F50B5A" w:rsidRPr="00370449" w:rsidRDefault="00F50B5A" w:rsidP="00FA0AF1">
            <w:pPr>
              <w:pStyle w:val="TableTextLeft"/>
              <w:rPr>
                <w:rFonts w:ascii="Arial" w:hAnsi="Arial"/>
              </w:rPr>
            </w:pPr>
          </w:p>
        </w:tc>
        <w:tc>
          <w:tcPr>
            <w:tcW w:w="680" w:type="pct"/>
            <w:gridSpan w:val="2"/>
          </w:tcPr>
          <w:p w14:paraId="7FD7328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 xml:space="preserve">Tourism Gross Value Added </w:t>
            </w:r>
          </w:p>
        </w:tc>
        <w:tc>
          <w:tcPr>
            <w:tcW w:w="309" w:type="pct"/>
          </w:tcPr>
          <w:p w14:paraId="7DBB3AD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t>
            </w:r>
          </w:p>
        </w:tc>
        <w:tc>
          <w:tcPr>
            <w:tcW w:w="499" w:type="pct"/>
          </w:tcPr>
          <w:p w14:paraId="12CE22D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t>
            </w:r>
          </w:p>
        </w:tc>
        <w:tc>
          <w:tcPr>
            <w:tcW w:w="573" w:type="pct"/>
          </w:tcPr>
          <w:p w14:paraId="091BD4B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Great Ocean Road</w:t>
            </w:r>
          </w:p>
        </w:tc>
        <w:tc>
          <w:tcPr>
            <w:tcW w:w="441" w:type="pct"/>
          </w:tcPr>
          <w:p w14:paraId="0BBB7FC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All</w:t>
            </w:r>
          </w:p>
        </w:tc>
        <w:tc>
          <w:tcPr>
            <w:tcW w:w="1954" w:type="pct"/>
          </w:tcPr>
          <w:p w14:paraId="33223B08"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Tourism Victoria (2014) Economic importance of tourism in Victoria’s regions</w:t>
            </w:r>
          </w:p>
        </w:tc>
        <w:tc>
          <w:tcPr>
            <w:tcW w:w="256" w:type="pct"/>
          </w:tcPr>
          <w:p w14:paraId="433F62C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2014</w:t>
            </w:r>
          </w:p>
        </w:tc>
      </w:tr>
      <w:tr w:rsidR="00FA0AF1" w:rsidRPr="002F335D" w14:paraId="38C09222" w14:textId="77777777" w:rsidTr="009722D9">
        <w:trPr>
          <w:trHeight w:val="120"/>
        </w:trPr>
        <w:tc>
          <w:tcPr>
            <w:cnfStyle w:val="001000000000" w:firstRow="0" w:lastRow="0" w:firstColumn="1" w:lastColumn="0" w:oddVBand="0" w:evenVBand="0" w:oddHBand="0" w:evenHBand="0" w:firstRowFirstColumn="0" w:firstRowLastColumn="0" w:lastRowFirstColumn="0" w:lastRowLastColumn="0"/>
            <w:tcW w:w="290" w:type="pct"/>
            <w:vMerge/>
          </w:tcPr>
          <w:p w14:paraId="1DF1FB40" w14:textId="77777777" w:rsidR="00F50B5A" w:rsidRPr="00370449" w:rsidRDefault="00F50B5A" w:rsidP="00FA0AF1">
            <w:pPr>
              <w:pStyle w:val="TableTextLeft"/>
              <w:rPr>
                <w:rFonts w:ascii="Arial" w:hAnsi="Arial"/>
              </w:rPr>
            </w:pPr>
          </w:p>
        </w:tc>
        <w:tc>
          <w:tcPr>
            <w:tcW w:w="680" w:type="pct"/>
            <w:gridSpan w:val="2"/>
          </w:tcPr>
          <w:p w14:paraId="67408AC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 xml:space="preserve">Average </w:t>
            </w:r>
            <w:proofErr w:type="gramStart"/>
            <w:r w:rsidRPr="00370449">
              <w:rPr>
                <w:rFonts w:ascii="Arial" w:hAnsi="Arial"/>
              </w:rPr>
              <w:t>visitor</w:t>
            </w:r>
            <w:proofErr w:type="gramEnd"/>
            <w:r w:rsidRPr="00370449">
              <w:rPr>
                <w:rFonts w:ascii="Arial" w:hAnsi="Arial"/>
              </w:rPr>
              <w:t xml:space="preserve"> spend </w:t>
            </w:r>
          </w:p>
        </w:tc>
        <w:tc>
          <w:tcPr>
            <w:tcW w:w="309" w:type="pct"/>
          </w:tcPr>
          <w:p w14:paraId="321A08C2"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$99 to $109</w:t>
            </w:r>
          </w:p>
        </w:tc>
        <w:tc>
          <w:tcPr>
            <w:tcW w:w="499" w:type="pct"/>
          </w:tcPr>
          <w:p w14:paraId="2BCEC0F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$/day/overnight/intern.</w:t>
            </w:r>
          </w:p>
        </w:tc>
        <w:tc>
          <w:tcPr>
            <w:tcW w:w="573" w:type="pct"/>
          </w:tcPr>
          <w:p w14:paraId="35CE5A7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Great Ocean Road</w:t>
            </w:r>
          </w:p>
        </w:tc>
        <w:tc>
          <w:tcPr>
            <w:tcW w:w="441" w:type="pct"/>
          </w:tcPr>
          <w:p w14:paraId="487155A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All</w:t>
            </w:r>
          </w:p>
        </w:tc>
        <w:tc>
          <w:tcPr>
            <w:tcW w:w="1954" w:type="pct"/>
          </w:tcPr>
          <w:p w14:paraId="3EF0D4D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Surf Coast Shite (2019) Visitor Insights 2019</w:t>
            </w:r>
          </w:p>
        </w:tc>
        <w:tc>
          <w:tcPr>
            <w:tcW w:w="256" w:type="pct"/>
          </w:tcPr>
          <w:p w14:paraId="38232EA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2018</w:t>
            </w:r>
          </w:p>
        </w:tc>
      </w:tr>
      <w:tr w:rsidR="00FA0AF1" w:rsidRPr="002F335D" w14:paraId="607F6A19" w14:textId="77777777" w:rsidTr="009722D9">
        <w:trPr>
          <w:trHeight w:val="120"/>
        </w:trPr>
        <w:tc>
          <w:tcPr>
            <w:cnfStyle w:val="001000000000" w:firstRow="0" w:lastRow="0" w:firstColumn="1" w:lastColumn="0" w:oddVBand="0" w:evenVBand="0" w:oddHBand="0" w:evenHBand="0" w:firstRowFirstColumn="0" w:firstRowLastColumn="0" w:lastRowFirstColumn="0" w:lastRowLastColumn="0"/>
            <w:tcW w:w="290" w:type="pct"/>
            <w:vMerge/>
          </w:tcPr>
          <w:p w14:paraId="4EB2EC4E" w14:textId="77777777" w:rsidR="00F50B5A" w:rsidRPr="00370449" w:rsidRDefault="00F50B5A" w:rsidP="00FA0AF1">
            <w:pPr>
              <w:pStyle w:val="TableTextLeft"/>
              <w:rPr>
                <w:rFonts w:ascii="Arial" w:hAnsi="Arial"/>
              </w:rPr>
            </w:pPr>
          </w:p>
        </w:tc>
        <w:tc>
          <w:tcPr>
            <w:tcW w:w="680" w:type="pct"/>
            <w:gridSpan w:val="2"/>
          </w:tcPr>
          <w:p w14:paraId="412050E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Tourism Gross Value Added</w:t>
            </w:r>
          </w:p>
        </w:tc>
        <w:tc>
          <w:tcPr>
            <w:tcW w:w="309" w:type="pct"/>
          </w:tcPr>
          <w:p w14:paraId="0FCC0B8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t>
            </w:r>
          </w:p>
        </w:tc>
        <w:tc>
          <w:tcPr>
            <w:tcW w:w="499" w:type="pct"/>
          </w:tcPr>
          <w:p w14:paraId="21E3059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t>
            </w:r>
          </w:p>
        </w:tc>
        <w:tc>
          <w:tcPr>
            <w:tcW w:w="573" w:type="pct"/>
          </w:tcPr>
          <w:p w14:paraId="1D598F7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Victoria</w:t>
            </w:r>
          </w:p>
        </w:tc>
        <w:tc>
          <w:tcPr>
            <w:tcW w:w="441" w:type="pct"/>
          </w:tcPr>
          <w:p w14:paraId="0FE20235"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Parks</w:t>
            </w:r>
          </w:p>
        </w:tc>
        <w:tc>
          <w:tcPr>
            <w:tcW w:w="1954" w:type="pct"/>
          </w:tcPr>
          <w:p w14:paraId="6C7B584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Deloitte (2014) Report on Valuing the Tourism Services provided by Victorian Parks</w:t>
            </w:r>
          </w:p>
        </w:tc>
        <w:tc>
          <w:tcPr>
            <w:tcW w:w="256" w:type="pct"/>
          </w:tcPr>
          <w:p w14:paraId="52F6C8B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2014</w:t>
            </w:r>
          </w:p>
        </w:tc>
      </w:tr>
      <w:tr w:rsidR="00FA0AF1" w:rsidRPr="002F335D" w14:paraId="53A3BB76" w14:textId="77777777" w:rsidTr="009722D9">
        <w:trPr>
          <w:trHeight w:val="120"/>
        </w:trPr>
        <w:tc>
          <w:tcPr>
            <w:cnfStyle w:val="001000000000" w:firstRow="0" w:lastRow="0" w:firstColumn="1" w:lastColumn="0" w:oddVBand="0" w:evenVBand="0" w:oddHBand="0" w:evenHBand="0" w:firstRowFirstColumn="0" w:firstRowLastColumn="0" w:lastRowFirstColumn="0" w:lastRowLastColumn="0"/>
            <w:tcW w:w="290" w:type="pct"/>
            <w:vMerge w:val="restart"/>
          </w:tcPr>
          <w:p w14:paraId="13163BD1" w14:textId="77777777" w:rsidR="00F50B5A" w:rsidRPr="00370449" w:rsidRDefault="00F50B5A" w:rsidP="00FA0AF1">
            <w:pPr>
              <w:pStyle w:val="TableTextLeft"/>
              <w:rPr>
                <w:rFonts w:ascii="Arial" w:hAnsi="Arial"/>
              </w:rPr>
            </w:pPr>
            <w:r w:rsidRPr="00370449">
              <w:rPr>
                <w:rFonts w:ascii="Arial" w:hAnsi="Arial"/>
              </w:rPr>
              <w:t>Water provision</w:t>
            </w:r>
          </w:p>
        </w:tc>
        <w:tc>
          <w:tcPr>
            <w:tcW w:w="680" w:type="pct"/>
            <w:gridSpan w:val="2"/>
          </w:tcPr>
          <w:p w14:paraId="570188A2"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Water entitlement prices</w:t>
            </w:r>
          </w:p>
        </w:tc>
        <w:tc>
          <w:tcPr>
            <w:tcW w:w="309" w:type="pct"/>
          </w:tcPr>
          <w:p w14:paraId="70E3822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t>
            </w:r>
          </w:p>
        </w:tc>
        <w:tc>
          <w:tcPr>
            <w:tcW w:w="499" w:type="pct"/>
          </w:tcPr>
          <w:p w14:paraId="6305AB3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$/ML</w:t>
            </w:r>
          </w:p>
        </w:tc>
        <w:tc>
          <w:tcPr>
            <w:tcW w:w="573" w:type="pct"/>
          </w:tcPr>
          <w:p w14:paraId="6B86906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Victoria</w:t>
            </w:r>
          </w:p>
        </w:tc>
        <w:tc>
          <w:tcPr>
            <w:tcW w:w="441" w:type="pct"/>
          </w:tcPr>
          <w:p w14:paraId="245FCD4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t>
            </w:r>
          </w:p>
        </w:tc>
        <w:tc>
          <w:tcPr>
            <w:tcW w:w="1954" w:type="pct"/>
          </w:tcPr>
          <w:p w14:paraId="0A5356F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MJA (2014) Valuing the Water Services provided by Victoria’s Parks in DELWP and PV (2015)</w:t>
            </w:r>
          </w:p>
        </w:tc>
        <w:tc>
          <w:tcPr>
            <w:tcW w:w="256" w:type="pct"/>
          </w:tcPr>
          <w:p w14:paraId="3A3D1036"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2014</w:t>
            </w:r>
          </w:p>
        </w:tc>
      </w:tr>
      <w:tr w:rsidR="00FA0AF1" w:rsidRPr="002F335D" w14:paraId="00085CC7" w14:textId="77777777" w:rsidTr="009722D9">
        <w:trPr>
          <w:trHeight w:val="120"/>
        </w:trPr>
        <w:tc>
          <w:tcPr>
            <w:cnfStyle w:val="001000000000" w:firstRow="0" w:lastRow="0" w:firstColumn="1" w:lastColumn="0" w:oddVBand="0" w:evenVBand="0" w:oddHBand="0" w:evenHBand="0" w:firstRowFirstColumn="0" w:firstRowLastColumn="0" w:lastRowFirstColumn="0" w:lastRowLastColumn="0"/>
            <w:tcW w:w="290" w:type="pct"/>
            <w:vMerge/>
          </w:tcPr>
          <w:p w14:paraId="4B5B8185" w14:textId="77777777" w:rsidR="00F50B5A" w:rsidRPr="00370449" w:rsidRDefault="00F50B5A" w:rsidP="00FA0AF1">
            <w:pPr>
              <w:pStyle w:val="TableTextLeft"/>
              <w:rPr>
                <w:rFonts w:ascii="Arial" w:hAnsi="Arial"/>
              </w:rPr>
            </w:pPr>
          </w:p>
        </w:tc>
        <w:tc>
          <w:tcPr>
            <w:tcW w:w="680" w:type="pct"/>
            <w:gridSpan w:val="2"/>
          </w:tcPr>
          <w:p w14:paraId="1084BB7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Water allocation prices</w:t>
            </w:r>
          </w:p>
        </w:tc>
        <w:tc>
          <w:tcPr>
            <w:tcW w:w="309" w:type="pct"/>
          </w:tcPr>
          <w:p w14:paraId="4F195AAA"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t>
            </w:r>
          </w:p>
        </w:tc>
        <w:tc>
          <w:tcPr>
            <w:tcW w:w="499" w:type="pct"/>
          </w:tcPr>
          <w:p w14:paraId="1AB804B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$/ML</w:t>
            </w:r>
          </w:p>
        </w:tc>
        <w:tc>
          <w:tcPr>
            <w:tcW w:w="573" w:type="pct"/>
          </w:tcPr>
          <w:p w14:paraId="209911C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Victoria</w:t>
            </w:r>
          </w:p>
        </w:tc>
        <w:tc>
          <w:tcPr>
            <w:tcW w:w="441" w:type="pct"/>
          </w:tcPr>
          <w:p w14:paraId="2B4CF05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t>
            </w:r>
          </w:p>
        </w:tc>
        <w:tc>
          <w:tcPr>
            <w:tcW w:w="1954" w:type="pct"/>
          </w:tcPr>
          <w:p w14:paraId="41AC1D28"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DELWP (2019) Ecosystem services from forests in Victoria</w:t>
            </w:r>
          </w:p>
        </w:tc>
        <w:tc>
          <w:tcPr>
            <w:tcW w:w="256" w:type="pct"/>
          </w:tcPr>
          <w:p w14:paraId="02E7572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n.d.</w:t>
            </w:r>
          </w:p>
        </w:tc>
      </w:tr>
      <w:tr w:rsidR="00FA0AF1" w:rsidRPr="002F335D" w14:paraId="47128C5F" w14:textId="77777777" w:rsidTr="009722D9">
        <w:trPr>
          <w:trHeight w:val="120"/>
        </w:trPr>
        <w:tc>
          <w:tcPr>
            <w:cnfStyle w:val="001000000000" w:firstRow="0" w:lastRow="0" w:firstColumn="1" w:lastColumn="0" w:oddVBand="0" w:evenVBand="0" w:oddHBand="0" w:evenHBand="0" w:firstRowFirstColumn="0" w:firstRowLastColumn="0" w:lastRowFirstColumn="0" w:lastRowLastColumn="0"/>
            <w:tcW w:w="290" w:type="pct"/>
            <w:vMerge/>
          </w:tcPr>
          <w:p w14:paraId="5BDBE256" w14:textId="77777777" w:rsidR="00F50B5A" w:rsidRPr="00370449" w:rsidRDefault="00F50B5A" w:rsidP="00FA0AF1">
            <w:pPr>
              <w:pStyle w:val="TableTextLeft"/>
              <w:rPr>
                <w:rFonts w:ascii="Arial" w:hAnsi="Arial"/>
              </w:rPr>
            </w:pPr>
          </w:p>
        </w:tc>
        <w:tc>
          <w:tcPr>
            <w:tcW w:w="680" w:type="pct"/>
            <w:gridSpan w:val="2"/>
          </w:tcPr>
          <w:p w14:paraId="1D86D5E1"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Water provision / filtration / storage</w:t>
            </w:r>
          </w:p>
        </w:tc>
        <w:tc>
          <w:tcPr>
            <w:tcW w:w="309" w:type="pct"/>
          </w:tcPr>
          <w:p w14:paraId="58C7DD12"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t>
            </w:r>
          </w:p>
        </w:tc>
        <w:tc>
          <w:tcPr>
            <w:tcW w:w="499" w:type="pct"/>
          </w:tcPr>
          <w:p w14:paraId="0678EE8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 replacement cost</w:t>
            </w:r>
          </w:p>
        </w:tc>
        <w:tc>
          <w:tcPr>
            <w:tcW w:w="573" w:type="pct"/>
          </w:tcPr>
          <w:p w14:paraId="6864907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Central Highlands</w:t>
            </w:r>
          </w:p>
        </w:tc>
        <w:tc>
          <w:tcPr>
            <w:tcW w:w="441" w:type="pct"/>
          </w:tcPr>
          <w:p w14:paraId="7506AE4B"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Various</w:t>
            </w:r>
          </w:p>
        </w:tc>
        <w:tc>
          <w:tcPr>
            <w:tcW w:w="1954" w:type="pct"/>
          </w:tcPr>
          <w:p w14:paraId="1C5972A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Vardon et al. (2019) Accounting and valuing the ecosystem services related to water supply in the Central Highlands of Victoria, Australia</w:t>
            </w:r>
          </w:p>
        </w:tc>
        <w:tc>
          <w:tcPr>
            <w:tcW w:w="256" w:type="pct"/>
          </w:tcPr>
          <w:p w14:paraId="2E8F35E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2015</w:t>
            </w:r>
          </w:p>
        </w:tc>
      </w:tr>
      <w:tr w:rsidR="00FA0AF1" w:rsidRPr="002F335D" w14:paraId="427FEDAF" w14:textId="77777777" w:rsidTr="009722D9">
        <w:trPr>
          <w:trHeight w:val="120"/>
        </w:trPr>
        <w:tc>
          <w:tcPr>
            <w:cnfStyle w:val="001000000000" w:firstRow="0" w:lastRow="0" w:firstColumn="1" w:lastColumn="0" w:oddVBand="0" w:evenVBand="0" w:oddHBand="0" w:evenHBand="0" w:firstRowFirstColumn="0" w:firstRowLastColumn="0" w:lastRowFirstColumn="0" w:lastRowLastColumn="0"/>
            <w:tcW w:w="290" w:type="pct"/>
            <w:vMerge w:val="restart"/>
          </w:tcPr>
          <w:p w14:paraId="2D9FE29E" w14:textId="77777777" w:rsidR="00F50B5A" w:rsidRPr="00370449" w:rsidRDefault="00F50B5A" w:rsidP="00FA0AF1">
            <w:pPr>
              <w:pStyle w:val="TableTextLeft"/>
              <w:rPr>
                <w:rFonts w:ascii="Arial" w:hAnsi="Arial"/>
              </w:rPr>
            </w:pPr>
            <w:r w:rsidRPr="00370449">
              <w:rPr>
                <w:rFonts w:ascii="Arial" w:hAnsi="Arial"/>
              </w:rPr>
              <w:t>Water quality</w:t>
            </w:r>
          </w:p>
        </w:tc>
        <w:tc>
          <w:tcPr>
            <w:tcW w:w="680" w:type="pct"/>
            <w:gridSpan w:val="2"/>
          </w:tcPr>
          <w:p w14:paraId="69C59386"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Avoided cost of filtration infrastructure upgrades</w:t>
            </w:r>
          </w:p>
        </w:tc>
        <w:tc>
          <w:tcPr>
            <w:tcW w:w="309" w:type="pct"/>
          </w:tcPr>
          <w:p w14:paraId="5BB96A7F"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$250 to $450</w:t>
            </w:r>
          </w:p>
        </w:tc>
        <w:tc>
          <w:tcPr>
            <w:tcW w:w="499" w:type="pct"/>
          </w:tcPr>
          <w:p w14:paraId="73377CC6"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$/kilogram N</w:t>
            </w:r>
          </w:p>
        </w:tc>
        <w:tc>
          <w:tcPr>
            <w:tcW w:w="573" w:type="pct"/>
          </w:tcPr>
          <w:p w14:paraId="32BAB4B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t>
            </w:r>
          </w:p>
        </w:tc>
        <w:tc>
          <w:tcPr>
            <w:tcW w:w="441" w:type="pct"/>
          </w:tcPr>
          <w:p w14:paraId="3FB2880C"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t>
            </w:r>
          </w:p>
        </w:tc>
        <w:tc>
          <w:tcPr>
            <w:tcW w:w="1954" w:type="pct"/>
          </w:tcPr>
          <w:p w14:paraId="3F1A1278"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Centre for Aquatic Pollution Identification and Management (2015) Technical knowledge review for nutrient cycling, marine pests and pollutants in Port Phillip Bay in DELWP (2016b)</w:t>
            </w:r>
          </w:p>
        </w:tc>
        <w:tc>
          <w:tcPr>
            <w:tcW w:w="256" w:type="pct"/>
          </w:tcPr>
          <w:p w14:paraId="664364D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2015</w:t>
            </w:r>
          </w:p>
        </w:tc>
      </w:tr>
      <w:tr w:rsidR="00FA0AF1" w:rsidRPr="002F335D" w14:paraId="4E812502" w14:textId="77777777" w:rsidTr="009722D9">
        <w:trPr>
          <w:trHeight w:val="120"/>
        </w:trPr>
        <w:tc>
          <w:tcPr>
            <w:cnfStyle w:val="001000000000" w:firstRow="0" w:lastRow="0" w:firstColumn="1" w:lastColumn="0" w:oddVBand="0" w:evenVBand="0" w:oddHBand="0" w:evenHBand="0" w:firstRowFirstColumn="0" w:firstRowLastColumn="0" w:lastRowFirstColumn="0" w:lastRowLastColumn="0"/>
            <w:tcW w:w="290" w:type="pct"/>
            <w:vMerge/>
          </w:tcPr>
          <w:p w14:paraId="40CE3627" w14:textId="77777777" w:rsidR="00F50B5A" w:rsidRPr="00370449" w:rsidRDefault="00F50B5A" w:rsidP="00FA0AF1">
            <w:pPr>
              <w:pStyle w:val="TableTextLeft"/>
              <w:rPr>
                <w:rFonts w:ascii="Arial" w:hAnsi="Arial"/>
              </w:rPr>
            </w:pPr>
          </w:p>
        </w:tc>
        <w:tc>
          <w:tcPr>
            <w:tcW w:w="680" w:type="pct"/>
            <w:gridSpan w:val="2"/>
          </w:tcPr>
          <w:p w14:paraId="42005F5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Avoided cost of filtration infrastructure</w:t>
            </w:r>
          </w:p>
        </w:tc>
        <w:tc>
          <w:tcPr>
            <w:tcW w:w="309" w:type="pct"/>
          </w:tcPr>
          <w:p w14:paraId="235773E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$6,645</w:t>
            </w:r>
          </w:p>
        </w:tc>
        <w:tc>
          <w:tcPr>
            <w:tcW w:w="499" w:type="pct"/>
          </w:tcPr>
          <w:p w14:paraId="6D05A407"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$/kilogram N</w:t>
            </w:r>
          </w:p>
        </w:tc>
        <w:tc>
          <w:tcPr>
            <w:tcW w:w="573" w:type="pct"/>
          </w:tcPr>
          <w:p w14:paraId="0C729536"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t>
            </w:r>
          </w:p>
        </w:tc>
        <w:tc>
          <w:tcPr>
            <w:tcW w:w="441" w:type="pct"/>
          </w:tcPr>
          <w:p w14:paraId="22D2E50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p>
        </w:tc>
        <w:tc>
          <w:tcPr>
            <w:tcW w:w="1954" w:type="pct"/>
          </w:tcPr>
          <w:p w14:paraId="0FA9F28D"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Melbourne Water (2014) Stormwater offset rate increase: Questions and answers.</w:t>
            </w:r>
          </w:p>
        </w:tc>
        <w:tc>
          <w:tcPr>
            <w:tcW w:w="256" w:type="pct"/>
          </w:tcPr>
          <w:p w14:paraId="05CAC200"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2014</w:t>
            </w:r>
          </w:p>
        </w:tc>
      </w:tr>
      <w:tr w:rsidR="00FA0AF1" w:rsidRPr="002F335D" w14:paraId="6450FA6E" w14:textId="77777777" w:rsidTr="009722D9">
        <w:trPr>
          <w:trHeight w:val="120"/>
        </w:trPr>
        <w:tc>
          <w:tcPr>
            <w:cnfStyle w:val="001000000000" w:firstRow="0" w:lastRow="0" w:firstColumn="1" w:lastColumn="0" w:oddVBand="0" w:evenVBand="0" w:oddHBand="0" w:evenHBand="0" w:firstRowFirstColumn="0" w:firstRowLastColumn="0" w:lastRowFirstColumn="0" w:lastRowLastColumn="0"/>
            <w:tcW w:w="290" w:type="pct"/>
            <w:vMerge/>
          </w:tcPr>
          <w:p w14:paraId="4B75A19B" w14:textId="77777777" w:rsidR="00F50B5A" w:rsidRPr="00370449" w:rsidRDefault="00F50B5A" w:rsidP="00FA0AF1">
            <w:pPr>
              <w:pStyle w:val="TableTextLeft"/>
              <w:rPr>
                <w:rFonts w:ascii="Arial" w:hAnsi="Arial"/>
              </w:rPr>
            </w:pPr>
          </w:p>
        </w:tc>
        <w:tc>
          <w:tcPr>
            <w:tcW w:w="680" w:type="pct"/>
            <w:gridSpan w:val="2"/>
          </w:tcPr>
          <w:p w14:paraId="7AC5960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Cost of replacement water given lost dam storage due to sediment</w:t>
            </w:r>
          </w:p>
        </w:tc>
        <w:tc>
          <w:tcPr>
            <w:tcW w:w="309" w:type="pct"/>
          </w:tcPr>
          <w:p w14:paraId="09190813"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t>
            </w:r>
          </w:p>
        </w:tc>
        <w:tc>
          <w:tcPr>
            <w:tcW w:w="499" w:type="pct"/>
          </w:tcPr>
          <w:p w14:paraId="205774A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w:t>
            </w:r>
          </w:p>
        </w:tc>
        <w:tc>
          <w:tcPr>
            <w:tcW w:w="573" w:type="pct"/>
          </w:tcPr>
          <w:p w14:paraId="5623FE64"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Great Otway N.P</w:t>
            </w:r>
          </w:p>
        </w:tc>
        <w:tc>
          <w:tcPr>
            <w:tcW w:w="441" w:type="pct"/>
          </w:tcPr>
          <w:p w14:paraId="3DE33199"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Park</w:t>
            </w:r>
          </w:p>
        </w:tc>
        <w:tc>
          <w:tcPr>
            <w:tcW w:w="1954" w:type="pct"/>
          </w:tcPr>
          <w:p w14:paraId="4FF28A4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MJA (2014) Valuing the Water Services provided by Victoria’s Parks in DELWP and PV (2015)</w:t>
            </w:r>
          </w:p>
        </w:tc>
        <w:tc>
          <w:tcPr>
            <w:tcW w:w="256" w:type="pct"/>
          </w:tcPr>
          <w:p w14:paraId="26B0B65E" w14:textId="77777777" w:rsidR="00F50B5A" w:rsidRPr="00370449" w:rsidRDefault="00F50B5A" w:rsidP="00FA0AF1">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370449">
              <w:rPr>
                <w:rFonts w:ascii="Arial" w:hAnsi="Arial"/>
              </w:rPr>
              <w:t>2014</w:t>
            </w:r>
          </w:p>
        </w:tc>
      </w:tr>
    </w:tbl>
    <w:p w14:paraId="11A43657" w14:textId="77777777" w:rsidR="00F50B5A" w:rsidRPr="002F335D" w:rsidRDefault="00F50B5A" w:rsidP="00F50B5A">
      <w:pPr>
        <w:rPr>
          <w:rFonts w:ascii="Arial" w:hAnsi="Arial"/>
          <w:color w:val="363534"/>
        </w:rPr>
        <w:sectPr w:rsidR="00F50B5A" w:rsidRPr="002F335D" w:rsidSect="00E52A9A">
          <w:headerReference w:type="even" r:id="rId354"/>
          <w:headerReference w:type="default" r:id="rId355"/>
          <w:footerReference w:type="even" r:id="rId356"/>
          <w:footerReference w:type="default" r:id="rId357"/>
          <w:pgSz w:w="23811" w:h="16838" w:orient="landscape" w:code="8"/>
          <w:pgMar w:top="1134" w:right="1134" w:bottom="1134" w:left="1134" w:header="283" w:footer="283" w:gutter="0"/>
          <w:cols w:space="284"/>
          <w:docGrid w:linePitch="360"/>
        </w:sectPr>
      </w:pPr>
    </w:p>
    <w:p w14:paraId="63C55C0E" w14:textId="7338EDA4" w:rsidR="00F50B5A" w:rsidRPr="002F335D" w:rsidRDefault="00F50B5A" w:rsidP="009722D9">
      <w:pPr>
        <w:pStyle w:val="Caption"/>
        <w:rPr>
          <w:lang w:eastAsia="en-US"/>
        </w:rPr>
      </w:pPr>
      <w:r w:rsidRPr="002F335D">
        <w:rPr>
          <w:lang w:eastAsia="en-US"/>
        </w:rPr>
        <w:lastRenderedPageBreak/>
        <w:t xml:space="preserve">Figure </w:t>
      </w:r>
      <w:r>
        <w:rPr>
          <w:lang w:eastAsia="en-US"/>
        </w:rPr>
        <w:t>A3.1.</w:t>
      </w:r>
      <w:r w:rsidRPr="002F335D">
        <w:rPr>
          <w:lang w:eastAsia="en-US"/>
        </w:rPr>
        <w:t xml:space="preserve"> Depth of relevant evidence identified on physical provision of ecosystem services from ecosystem assets in Great Ocean Road</w:t>
      </w:r>
      <w:r>
        <w:rPr>
          <w:lang w:eastAsia="en-US"/>
        </w:rPr>
        <w:t xml:space="preserve"> Coast and Parks</w:t>
      </w:r>
    </w:p>
    <w:tbl>
      <w:tblPr>
        <w:tblStyle w:val="TableGrid"/>
        <w:tblW w:w="0" w:type="auto"/>
        <w:tblLayout w:type="fixed"/>
        <w:tblLook w:val="04A0" w:firstRow="1" w:lastRow="0" w:firstColumn="1" w:lastColumn="0" w:noHBand="0" w:noVBand="1"/>
      </w:tblPr>
      <w:tblGrid>
        <w:gridCol w:w="1418"/>
        <w:gridCol w:w="2835"/>
        <w:gridCol w:w="1389"/>
        <w:gridCol w:w="1389"/>
        <w:gridCol w:w="1389"/>
        <w:gridCol w:w="1389"/>
        <w:gridCol w:w="1389"/>
        <w:gridCol w:w="1389"/>
        <w:gridCol w:w="1389"/>
        <w:gridCol w:w="1389"/>
        <w:gridCol w:w="1389"/>
        <w:gridCol w:w="1390"/>
        <w:gridCol w:w="2198"/>
        <w:gridCol w:w="1201"/>
      </w:tblGrid>
      <w:tr w:rsidR="008468A5" w14:paraId="08BE6A15" w14:textId="2E75EA72" w:rsidTr="006669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shd w:val="clear" w:color="auto" w:fill="auto"/>
          </w:tcPr>
          <w:p w14:paraId="429A2A35" w14:textId="171A7F08" w:rsidR="008468A5" w:rsidRDefault="008468A5" w:rsidP="00BE1FA1">
            <w:pPr>
              <w:pStyle w:val="TableHeadingLeft"/>
              <w:rPr>
                <w:lang w:eastAsia="en-US"/>
              </w:rPr>
            </w:pPr>
            <w:r>
              <w:rPr>
                <w:noProof/>
              </w:rPr>
              <mc:AlternateContent>
                <mc:Choice Requires="wps">
                  <w:drawing>
                    <wp:anchor distT="0" distB="0" distL="114300" distR="114300" simplePos="0" relativeHeight="251658330" behindDoc="0" locked="0" layoutInCell="1" allowOverlap="1" wp14:anchorId="31997694" wp14:editId="7A5F6ADD">
                      <wp:simplePos x="0" y="0"/>
                      <wp:positionH relativeFrom="column">
                        <wp:posOffset>12118340</wp:posOffset>
                      </wp:positionH>
                      <wp:positionV relativeFrom="paragraph">
                        <wp:posOffset>194945</wp:posOffset>
                      </wp:positionV>
                      <wp:extent cx="419100" cy="114300"/>
                      <wp:effectExtent l="0" t="0" r="0" b="0"/>
                      <wp:wrapNone/>
                      <wp:docPr id="826" name="Rectangle 826"/>
                      <wp:cNvGraphicFramePr/>
                      <a:graphic xmlns:a="http://schemas.openxmlformats.org/drawingml/2006/main">
                        <a:graphicData uri="http://schemas.microsoft.com/office/word/2010/wordprocessingShape">
                          <wps:wsp>
                            <wps:cNvSpPr/>
                            <wps:spPr>
                              <a:xfrm>
                                <a:off x="0" y="0"/>
                                <a:ext cx="419100" cy="1143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6FAFAA" id="Rectangle 826" o:spid="_x0000_s1026" style="position:absolute;margin-left:954.2pt;margin-top:15.35pt;width:33pt;height:9pt;z-index:25165833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" fillcolor="white [3212]" stroked="f" strokeweight="2pt"/>
                  </w:pict>
                </mc:Fallback>
              </mc:AlternateContent>
            </w:r>
          </w:p>
        </w:tc>
        <w:tc>
          <w:tcPr>
            <w:tcW w:w="2835" w:type="dxa"/>
            <w:shd w:val="clear" w:color="auto" w:fill="auto"/>
          </w:tcPr>
          <w:p w14:paraId="71995279" w14:textId="77777777" w:rsidR="008468A5" w:rsidRDefault="008468A5" w:rsidP="00BE1FA1">
            <w:pPr>
              <w:pStyle w:val="TableHeadingLeft"/>
              <w:cnfStyle w:val="100000000000" w:firstRow="1" w:lastRow="0" w:firstColumn="0" w:lastColumn="0" w:oddVBand="0" w:evenVBand="0" w:oddHBand="0" w:evenHBand="0" w:firstRowFirstColumn="0" w:firstRowLastColumn="0" w:lastRowFirstColumn="0" w:lastRowLastColumn="0"/>
              <w:rPr>
                <w:lang w:eastAsia="en-US"/>
              </w:rPr>
            </w:pPr>
          </w:p>
        </w:tc>
        <w:tc>
          <w:tcPr>
            <w:tcW w:w="13891" w:type="dxa"/>
            <w:gridSpan w:val="10"/>
            <w:tcBorders>
              <w:bottom w:val="single" w:sz="4" w:space="0" w:color="FFFFFF" w:themeColor="background1"/>
            </w:tcBorders>
          </w:tcPr>
          <w:p w14:paraId="7B411713" w14:textId="6E33E93D" w:rsidR="008468A5" w:rsidRDefault="008468A5" w:rsidP="008468A5">
            <w:pPr>
              <w:pStyle w:val="TableHeadingLeft"/>
              <w:jc w:val="center"/>
              <w:cnfStyle w:val="100000000000" w:firstRow="1" w:lastRow="0" w:firstColumn="0" w:lastColumn="0" w:oddVBand="0" w:evenVBand="0" w:oddHBand="0" w:evenHBand="0" w:firstRowFirstColumn="0" w:firstRowLastColumn="0" w:lastRowFirstColumn="0" w:lastRowLastColumn="0"/>
              <w:rPr>
                <w:lang w:eastAsia="en-US"/>
              </w:rPr>
            </w:pPr>
            <w:r>
              <w:rPr>
                <w:lang w:eastAsia="en-US"/>
              </w:rPr>
              <w:t>Ecosystem asset</w:t>
            </w:r>
          </w:p>
        </w:tc>
        <w:tc>
          <w:tcPr>
            <w:tcW w:w="2198" w:type="dxa"/>
            <w:vMerge w:val="restart"/>
          </w:tcPr>
          <w:p w14:paraId="59C5EAED" w14:textId="594B50A8" w:rsidR="008468A5" w:rsidRDefault="008468A5" w:rsidP="008468A5">
            <w:pPr>
              <w:pStyle w:val="TableHeadingLeft"/>
              <w:jc w:val="center"/>
              <w:cnfStyle w:val="100000000000" w:firstRow="1" w:lastRow="0" w:firstColumn="0" w:lastColumn="0" w:oddVBand="0" w:evenVBand="0" w:oddHBand="0" w:evenHBand="0" w:firstRowFirstColumn="0" w:firstRowLastColumn="0" w:lastRowFirstColumn="0" w:lastRowLastColumn="0"/>
              <w:rPr>
                <w:lang w:eastAsia="en-US"/>
              </w:rPr>
            </w:pPr>
            <w:r>
              <w:rPr>
                <w:lang w:eastAsia="en-US"/>
              </w:rPr>
              <w:t>GORCAP</w:t>
            </w:r>
            <w:r>
              <w:rPr>
                <w:lang w:eastAsia="en-US"/>
              </w:rPr>
              <w:br/>
              <w:t>Non-asset specific/</w:t>
            </w:r>
            <w:r>
              <w:rPr>
                <w:lang w:eastAsia="en-US"/>
              </w:rPr>
              <w:br/>
              <w:t>cross-cutting info.</w:t>
            </w:r>
          </w:p>
        </w:tc>
        <w:tc>
          <w:tcPr>
            <w:tcW w:w="1201" w:type="dxa"/>
            <w:vMerge w:val="restart"/>
          </w:tcPr>
          <w:p w14:paraId="7CAFF1ED" w14:textId="306A9E96" w:rsidR="008468A5" w:rsidRDefault="008468A5" w:rsidP="008468A5">
            <w:pPr>
              <w:pStyle w:val="TableHeadingLeft"/>
              <w:jc w:val="center"/>
              <w:cnfStyle w:val="100000000000" w:firstRow="1" w:lastRow="0" w:firstColumn="0" w:lastColumn="0" w:oddVBand="0" w:evenVBand="0" w:oddHBand="0" w:evenHBand="0" w:firstRowFirstColumn="0" w:firstRowLastColumn="0" w:lastRowFirstColumn="0" w:lastRowLastColumn="0"/>
              <w:rPr>
                <w:lang w:eastAsia="en-US"/>
              </w:rPr>
            </w:pPr>
            <w:r>
              <w:rPr>
                <w:lang w:eastAsia="en-US"/>
              </w:rPr>
              <w:t>Total no. sources</w:t>
            </w:r>
          </w:p>
        </w:tc>
      </w:tr>
      <w:tr w:rsidR="008468A5" w14:paraId="0897199F" w14:textId="04E0FB20" w:rsidTr="00666947">
        <w:tc>
          <w:tcPr>
            <w:cnfStyle w:val="001000000000" w:firstRow="0" w:lastRow="0" w:firstColumn="1" w:lastColumn="0" w:oddVBand="0" w:evenVBand="0" w:oddHBand="0" w:evenHBand="0" w:firstRowFirstColumn="0" w:firstRowLastColumn="0" w:lastRowFirstColumn="0" w:lastRowLastColumn="0"/>
            <w:tcW w:w="1418" w:type="dxa"/>
            <w:tcBorders>
              <w:top w:val="nil"/>
              <w:bottom w:val="nil"/>
            </w:tcBorders>
            <w:shd w:val="clear" w:color="auto" w:fill="auto"/>
          </w:tcPr>
          <w:p w14:paraId="0BF86D04" w14:textId="77777777" w:rsidR="008468A5" w:rsidRDefault="008468A5" w:rsidP="009722D9">
            <w:pPr>
              <w:pStyle w:val="BodyText"/>
              <w:rPr>
                <w:lang w:eastAsia="en-US"/>
              </w:rPr>
            </w:pPr>
          </w:p>
        </w:tc>
        <w:tc>
          <w:tcPr>
            <w:tcW w:w="2835" w:type="dxa"/>
            <w:tcBorders>
              <w:top w:val="nil"/>
              <w:bottom w:val="single" w:sz="4" w:space="0" w:color="201547" w:themeColor="text2"/>
            </w:tcBorders>
            <w:shd w:val="clear" w:color="auto" w:fill="auto"/>
          </w:tcPr>
          <w:p w14:paraId="2285533C" w14:textId="77777777" w:rsidR="008468A5" w:rsidRDefault="008468A5" w:rsidP="009722D9">
            <w:pPr>
              <w:pStyle w:val="BodyText"/>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Borders>
              <w:top w:val="single" w:sz="4" w:space="0" w:color="FFFFFF" w:themeColor="background1"/>
            </w:tcBorders>
            <w:shd w:val="clear" w:color="auto" w:fill="004C97" w:themeFill="accent1"/>
          </w:tcPr>
          <w:p w14:paraId="547AED92" w14:textId="21FDD948" w:rsidR="008468A5" w:rsidRPr="00FA18A0" w:rsidRDefault="008468A5" w:rsidP="008468A5">
            <w:pPr>
              <w:pStyle w:val="BodyText"/>
              <w:jc w:val="center"/>
              <w:cnfStyle w:val="000000000000" w:firstRow="0" w:lastRow="0" w:firstColumn="0" w:lastColumn="0" w:oddVBand="0" w:evenVBand="0" w:oddHBand="0" w:evenHBand="0" w:firstRowFirstColumn="0" w:firstRowLastColumn="0" w:lastRowFirstColumn="0" w:lastRowLastColumn="0"/>
              <w:rPr>
                <w:b/>
                <w:bCs/>
                <w:color w:val="FFFFFF" w:themeColor="background1"/>
                <w:lang w:eastAsia="en-US"/>
              </w:rPr>
            </w:pPr>
            <w:r w:rsidRPr="00FA18A0">
              <w:rPr>
                <w:b/>
                <w:bCs/>
                <w:color w:val="FFFFFF" w:themeColor="background1"/>
                <w:lang w:eastAsia="en-US"/>
              </w:rPr>
              <w:t>Alpine</w:t>
            </w:r>
          </w:p>
        </w:tc>
        <w:tc>
          <w:tcPr>
            <w:tcW w:w="1389" w:type="dxa"/>
            <w:tcBorders>
              <w:top w:val="single" w:sz="4" w:space="0" w:color="FFFFFF" w:themeColor="background1"/>
            </w:tcBorders>
            <w:shd w:val="clear" w:color="auto" w:fill="004C97" w:themeFill="accent1"/>
          </w:tcPr>
          <w:p w14:paraId="0AF8DFF2" w14:textId="3D7B6716" w:rsidR="008468A5" w:rsidRPr="00FA18A0" w:rsidRDefault="008468A5" w:rsidP="008468A5">
            <w:pPr>
              <w:pStyle w:val="BodyText"/>
              <w:jc w:val="center"/>
              <w:cnfStyle w:val="000000000000" w:firstRow="0" w:lastRow="0" w:firstColumn="0" w:lastColumn="0" w:oddVBand="0" w:evenVBand="0" w:oddHBand="0" w:evenHBand="0" w:firstRowFirstColumn="0" w:firstRowLastColumn="0" w:lastRowFirstColumn="0" w:lastRowLastColumn="0"/>
              <w:rPr>
                <w:b/>
                <w:bCs/>
                <w:color w:val="FFFFFF" w:themeColor="background1"/>
                <w:lang w:eastAsia="en-US"/>
              </w:rPr>
            </w:pPr>
            <w:r w:rsidRPr="00FA18A0">
              <w:rPr>
                <w:b/>
                <w:bCs/>
                <w:color w:val="FFFFFF" w:themeColor="background1"/>
                <w:lang w:eastAsia="en-US"/>
              </w:rPr>
              <w:t>Coastal margins</w:t>
            </w:r>
          </w:p>
        </w:tc>
        <w:tc>
          <w:tcPr>
            <w:tcW w:w="1389" w:type="dxa"/>
            <w:tcBorders>
              <w:top w:val="single" w:sz="4" w:space="0" w:color="FFFFFF" w:themeColor="background1"/>
            </w:tcBorders>
            <w:shd w:val="clear" w:color="auto" w:fill="004C97" w:themeFill="accent1"/>
          </w:tcPr>
          <w:p w14:paraId="08B3FB98" w14:textId="18A02888" w:rsidR="008468A5" w:rsidRPr="00FA18A0" w:rsidRDefault="008468A5" w:rsidP="008468A5">
            <w:pPr>
              <w:pStyle w:val="BodyText"/>
              <w:jc w:val="center"/>
              <w:cnfStyle w:val="000000000000" w:firstRow="0" w:lastRow="0" w:firstColumn="0" w:lastColumn="0" w:oddVBand="0" w:evenVBand="0" w:oddHBand="0" w:evenHBand="0" w:firstRowFirstColumn="0" w:firstRowLastColumn="0" w:lastRowFirstColumn="0" w:lastRowLastColumn="0"/>
              <w:rPr>
                <w:b/>
                <w:bCs/>
                <w:color w:val="FFFFFF" w:themeColor="background1"/>
                <w:lang w:eastAsia="en-US"/>
              </w:rPr>
            </w:pPr>
            <w:r w:rsidRPr="00FA18A0">
              <w:rPr>
                <w:b/>
                <w:bCs/>
                <w:color w:val="FFFFFF" w:themeColor="background1"/>
                <w:lang w:eastAsia="en-US"/>
              </w:rPr>
              <w:t>Farmland</w:t>
            </w:r>
          </w:p>
        </w:tc>
        <w:tc>
          <w:tcPr>
            <w:tcW w:w="1389" w:type="dxa"/>
            <w:tcBorders>
              <w:top w:val="single" w:sz="4" w:space="0" w:color="FFFFFF" w:themeColor="background1"/>
            </w:tcBorders>
            <w:shd w:val="clear" w:color="auto" w:fill="004C97" w:themeFill="accent1"/>
          </w:tcPr>
          <w:p w14:paraId="7BC79DED" w14:textId="5DF4FEE7" w:rsidR="008468A5" w:rsidRPr="00FA18A0" w:rsidRDefault="008468A5" w:rsidP="008468A5">
            <w:pPr>
              <w:pStyle w:val="BodyText"/>
              <w:jc w:val="center"/>
              <w:cnfStyle w:val="000000000000" w:firstRow="0" w:lastRow="0" w:firstColumn="0" w:lastColumn="0" w:oddVBand="0" w:evenVBand="0" w:oddHBand="0" w:evenHBand="0" w:firstRowFirstColumn="0" w:firstRowLastColumn="0" w:lastRowFirstColumn="0" w:lastRowLastColumn="0"/>
              <w:rPr>
                <w:b/>
                <w:bCs/>
                <w:color w:val="FFFFFF" w:themeColor="background1"/>
                <w:lang w:eastAsia="en-US"/>
              </w:rPr>
            </w:pPr>
            <w:r w:rsidRPr="00FA18A0">
              <w:rPr>
                <w:b/>
                <w:bCs/>
                <w:color w:val="FFFFFF" w:themeColor="background1"/>
                <w:lang w:eastAsia="en-US"/>
              </w:rPr>
              <w:t>Forest/</w:t>
            </w:r>
            <w:r w:rsidR="00BB746F">
              <w:rPr>
                <w:b/>
                <w:bCs/>
                <w:color w:val="FFFFFF" w:themeColor="background1"/>
                <w:lang w:eastAsia="en-US"/>
              </w:rPr>
              <w:br/>
            </w:r>
            <w:r w:rsidRPr="00FA18A0">
              <w:rPr>
                <w:b/>
                <w:bCs/>
                <w:color w:val="FFFFFF" w:themeColor="background1"/>
                <w:lang w:eastAsia="en-US"/>
              </w:rPr>
              <w:t>woodland</w:t>
            </w:r>
          </w:p>
        </w:tc>
        <w:tc>
          <w:tcPr>
            <w:tcW w:w="1389" w:type="dxa"/>
            <w:tcBorders>
              <w:top w:val="single" w:sz="4" w:space="0" w:color="FFFFFF" w:themeColor="background1"/>
            </w:tcBorders>
            <w:shd w:val="clear" w:color="auto" w:fill="004C97" w:themeFill="accent1"/>
          </w:tcPr>
          <w:p w14:paraId="340297A4" w14:textId="2F0D071E" w:rsidR="008468A5" w:rsidRPr="00FA18A0" w:rsidRDefault="008468A5" w:rsidP="008468A5">
            <w:pPr>
              <w:pStyle w:val="BodyText"/>
              <w:jc w:val="center"/>
              <w:cnfStyle w:val="000000000000" w:firstRow="0" w:lastRow="0" w:firstColumn="0" w:lastColumn="0" w:oddVBand="0" w:evenVBand="0" w:oddHBand="0" w:evenHBand="0" w:firstRowFirstColumn="0" w:firstRowLastColumn="0" w:lastRowFirstColumn="0" w:lastRowLastColumn="0"/>
              <w:rPr>
                <w:b/>
                <w:bCs/>
                <w:color w:val="FFFFFF" w:themeColor="background1"/>
                <w:lang w:eastAsia="en-US"/>
              </w:rPr>
            </w:pPr>
            <w:r w:rsidRPr="00FA18A0">
              <w:rPr>
                <w:b/>
                <w:bCs/>
                <w:color w:val="FFFFFF" w:themeColor="background1"/>
                <w:lang w:eastAsia="en-US"/>
              </w:rPr>
              <w:t>Freshwater/wetland</w:t>
            </w:r>
          </w:p>
        </w:tc>
        <w:tc>
          <w:tcPr>
            <w:tcW w:w="1389" w:type="dxa"/>
            <w:tcBorders>
              <w:top w:val="single" w:sz="4" w:space="0" w:color="FFFFFF" w:themeColor="background1"/>
            </w:tcBorders>
            <w:shd w:val="clear" w:color="auto" w:fill="004C97" w:themeFill="accent1"/>
          </w:tcPr>
          <w:p w14:paraId="628042DF" w14:textId="76E26F3A" w:rsidR="008468A5" w:rsidRPr="00FA18A0" w:rsidRDefault="008468A5" w:rsidP="008468A5">
            <w:pPr>
              <w:pStyle w:val="BodyText"/>
              <w:jc w:val="center"/>
              <w:cnfStyle w:val="000000000000" w:firstRow="0" w:lastRow="0" w:firstColumn="0" w:lastColumn="0" w:oddVBand="0" w:evenVBand="0" w:oddHBand="0" w:evenHBand="0" w:firstRowFirstColumn="0" w:firstRowLastColumn="0" w:lastRowFirstColumn="0" w:lastRowLastColumn="0"/>
              <w:rPr>
                <w:b/>
                <w:bCs/>
                <w:color w:val="FFFFFF" w:themeColor="background1"/>
                <w:lang w:eastAsia="en-US"/>
              </w:rPr>
            </w:pPr>
            <w:r w:rsidRPr="00FA18A0">
              <w:rPr>
                <w:b/>
                <w:bCs/>
                <w:color w:val="FFFFFF" w:themeColor="background1"/>
                <w:lang w:eastAsia="en-US"/>
              </w:rPr>
              <w:t>Grassland</w:t>
            </w:r>
          </w:p>
        </w:tc>
        <w:tc>
          <w:tcPr>
            <w:tcW w:w="1389" w:type="dxa"/>
            <w:tcBorders>
              <w:top w:val="single" w:sz="4" w:space="0" w:color="FFFFFF" w:themeColor="background1"/>
            </w:tcBorders>
            <w:shd w:val="clear" w:color="auto" w:fill="004C97" w:themeFill="accent1"/>
          </w:tcPr>
          <w:p w14:paraId="6D924C1C" w14:textId="2970634F" w:rsidR="008468A5" w:rsidRPr="00FA18A0" w:rsidRDefault="008468A5" w:rsidP="008468A5">
            <w:pPr>
              <w:pStyle w:val="BodyText"/>
              <w:jc w:val="center"/>
              <w:cnfStyle w:val="000000000000" w:firstRow="0" w:lastRow="0" w:firstColumn="0" w:lastColumn="0" w:oddVBand="0" w:evenVBand="0" w:oddHBand="0" w:evenHBand="0" w:firstRowFirstColumn="0" w:firstRowLastColumn="0" w:lastRowFirstColumn="0" w:lastRowLastColumn="0"/>
              <w:rPr>
                <w:b/>
                <w:bCs/>
                <w:color w:val="FFFFFF" w:themeColor="background1"/>
                <w:lang w:eastAsia="en-US"/>
              </w:rPr>
            </w:pPr>
            <w:r w:rsidRPr="00FA18A0">
              <w:rPr>
                <w:b/>
                <w:bCs/>
                <w:color w:val="FFFFFF" w:themeColor="background1"/>
                <w:lang w:eastAsia="en-US"/>
              </w:rPr>
              <w:t>Heathland/shrubland</w:t>
            </w:r>
          </w:p>
        </w:tc>
        <w:tc>
          <w:tcPr>
            <w:tcW w:w="1389" w:type="dxa"/>
            <w:tcBorders>
              <w:top w:val="single" w:sz="4" w:space="0" w:color="FFFFFF" w:themeColor="background1"/>
            </w:tcBorders>
            <w:shd w:val="clear" w:color="auto" w:fill="004C97" w:themeFill="accent1"/>
          </w:tcPr>
          <w:p w14:paraId="207ECBFB" w14:textId="6A01B120" w:rsidR="008468A5" w:rsidRPr="00FA18A0" w:rsidRDefault="008468A5" w:rsidP="008468A5">
            <w:pPr>
              <w:pStyle w:val="BodyText"/>
              <w:jc w:val="center"/>
              <w:cnfStyle w:val="000000000000" w:firstRow="0" w:lastRow="0" w:firstColumn="0" w:lastColumn="0" w:oddVBand="0" w:evenVBand="0" w:oddHBand="0" w:evenHBand="0" w:firstRowFirstColumn="0" w:firstRowLastColumn="0" w:lastRowFirstColumn="0" w:lastRowLastColumn="0"/>
              <w:rPr>
                <w:b/>
                <w:bCs/>
                <w:color w:val="FFFFFF" w:themeColor="background1"/>
                <w:lang w:eastAsia="en-US"/>
              </w:rPr>
            </w:pPr>
            <w:r w:rsidRPr="00FA18A0">
              <w:rPr>
                <w:b/>
                <w:bCs/>
                <w:color w:val="FFFFFF" w:themeColor="background1"/>
                <w:lang w:eastAsia="en-US"/>
              </w:rPr>
              <w:t>Mal</w:t>
            </w:r>
            <w:r w:rsidR="00BB746F">
              <w:rPr>
                <w:b/>
                <w:bCs/>
                <w:color w:val="FFFFFF" w:themeColor="background1"/>
                <w:lang w:eastAsia="en-US"/>
              </w:rPr>
              <w:t>l</w:t>
            </w:r>
            <w:r w:rsidRPr="00FA18A0">
              <w:rPr>
                <w:b/>
                <w:bCs/>
                <w:color w:val="FFFFFF" w:themeColor="background1"/>
                <w:lang w:eastAsia="en-US"/>
              </w:rPr>
              <w:t>ee</w:t>
            </w:r>
          </w:p>
        </w:tc>
        <w:tc>
          <w:tcPr>
            <w:tcW w:w="1389" w:type="dxa"/>
            <w:tcBorders>
              <w:top w:val="single" w:sz="4" w:space="0" w:color="FFFFFF" w:themeColor="background1"/>
            </w:tcBorders>
            <w:shd w:val="clear" w:color="auto" w:fill="004C97" w:themeFill="accent1"/>
          </w:tcPr>
          <w:p w14:paraId="3B640EC3" w14:textId="34D4557C" w:rsidR="008468A5" w:rsidRPr="00FA18A0" w:rsidRDefault="008468A5" w:rsidP="008468A5">
            <w:pPr>
              <w:pStyle w:val="BodyText"/>
              <w:jc w:val="center"/>
              <w:cnfStyle w:val="000000000000" w:firstRow="0" w:lastRow="0" w:firstColumn="0" w:lastColumn="0" w:oddVBand="0" w:evenVBand="0" w:oddHBand="0" w:evenHBand="0" w:firstRowFirstColumn="0" w:firstRowLastColumn="0" w:lastRowFirstColumn="0" w:lastRowLastColumn="0"/>
              <w:rPr>
                <w:b/>
                <w:bCs/>
                <w:color w:val="FFFFFF" w:themeColor="background1"/>
                <w:lang w:eastAsia="en-US"/>
              </w:rPr>
            </w:pPr>
            <w:r w:rsidRPr="00FA18A0">
              <w:rPr>
                <w:b/>
                <w:bCs/>
                <w:color w:val="FFFFFF" w:themeColor="background1"/>
                <w:lang w:eastAsia="en-US"/>
              </w:rPr>
              <w:t>Marine</w:t>
            </w:r>
          </w:p>
        </w:tc>
        <w:tc>
          <w:tcPr>
            <w:tcW w:w="1390" w:type="dxa"/>
            <w:tcBorders>
              <w:top w:val="single" w:sz="4" w:space="0" w:color="FFFFFF" w:themeColor="background1"/>
            </w:tcBorders>
            <w:shd w:val="clear" w:color="auto" w:fill="004C97" w:themeFill="accent1"/>
          </w:tcPr>
          <w:p w14:paraId="44923ED6" w14:textId="6305ACB6" w:rsidR="008468A5" w:rsidRPr="00FA18A0" w:rsidRDefault="008468A5" w:rsidP="008468A5">
            <w:pPr>
              <w:pStyle w:val="BodyText"/>
              <w:jc w:val="center"/>
              <w:cnfStyle w:val="000000000000" w:firstRow="0" w:lastRow="0" w:firstColumn="0" w:lastColumn="0" w:oddVBand="0" w:evenVBand="0" w:oddHBand="0" w:evenHBand="0" w:firstRowFirstColumn="0" w:firstRowLastColumn="0" w:lastRowFirstColumn="0" w:lastRowLastColumn="0"/>
              <w:rPr>
                <w:b/>
                <w:bCs/>
                <w:color w:val="FFFFFF" w:themeColor="background1"/>
                <w:lang w:eastAsia="en-US"/>
              </w:rPr>
            </w:pPr>
            <w:r w:rsidRPr="00FA18A0">
              <w:rPr>
                <w:b/>
                <w:bCs/>
                <w:color w:val="FFFFFF" w:themeColor="background1"/>
                <w:lang w:eastAsia="en-US"/>
              </w:rPr>
              <w:t>Urban</w:t>
            </w:r>
          </w:p>
        </w:tc>
        <w:tc>
          <w:tcPr>
            <w:tcW w:w="2198" w:type="dxa"/>
            <w:vMerge/>
            <w:shd w:val="clear" w:color="auto" w:fill="004C97" w:themeFill="accent1"/>
          </w:tcPr>
          <w:p w14:paraId="5969AF5A" w14:textId="77777777" w:rsidR="008468A5" w:rsidRDefault="008468A5"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201" w:type="dxa"/>
            <w:vMerge/>
            <w:shd w:val="clear" w:color="auto" w:fill="004C97" w:themeFill="accent1"/>
          </w:tcPr>
          <w:p w14:paraId="460EAF00" w14:textId="5A6F3CE9" w:rsidR="008468A5" w:rsidRDefault="008468A5"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r>
      <w:tr w:rsidR="00BB746F" w14:paraId="6C7F5286" w14:textId="3C5C6B91" w:rsidTr="00666947">
        <w:trPr>
          <w:trHeight w:val="101"/>
        </w:trPr>
        <w:tc>
          <w:tcPr>
            <w:cnfStyle w:val="001000000000" w:firstRow="0" w:lastRow="0" w:firstColumn="1" w:lastColumn="0" w:oddVBand="0" w:evenVBand="0" w:oddHBand="0" w:evenHBand="0" w:firstRowFirstColumn="0" w:firstRowLastColumn="0" w:lastRowFirstColumn="0" w:lastRowLastColumn="0"/>
            <w:tcW w:w="1418" w:type="dxa"/>
            <w:vMerge w:val="restart"/>
            <w:tcBorders>
              <w:top w:val="nil"/>
            </w:tcBorders>
            <w:shd w:val="clear" w:color="auto" w:fill="004C97" w:themeFill="accent1"/>
          </w:tcPr>
          <w:p w14:paraId="27BEA6E1" w14:textId="04B5021B" w:rsidR="00BB746F" w:rsidRDefault="00BB746F" w:rsidP="00FA18A0">
            <w:pPr>
              <w:pStyle w:val="TableHeadingLeft"/>
              <w:rPr>
                <w:lang w:eastAsia="en-US"/>
              </w:rPr>
            </w:pPr>
            <w:r>
              <w:rPr>
                <w:lang w:eastAsia="en-US"/>
              </w:rPr>
              <w:t>Ecosystem service</w:t>
            </w:r>
          </w:p>
        </w:tc>
        <w:tc>
          <w:tcPr>
            <w:tcW w:w="2835" w:type="dxa"/>
            <w:tcBorders>
              <w:top w:val="single" w:sz="4" w:space="0" w:color="201547" w:themeColor="text2"/>
            </w:tcBorders>
            <w:shd w:val="clear" w:color="auto" w:fill="CCDBEA" w:themeFill="background2"/>
          </w:tcPr>
          <w:p w14:paraId="21955732" w14:textId="627F8F7A" w:rsidR="00BB746F" w:rsidRDefault="00BB746F" w:rsidP="00FA18A0">
            <w:pPr>
              <w:pStyle w:val="BodyText"/>
              <w:cnfStyle w:val="000000000000" w:firstRow="0" w:lastRow="0" w:firstColumn="0" w:lastColumn="0" w:oddVBand="0" w:evenVBand="0" w:oddHBand="0" w:evenHBand="0" w:firstRowFirstColumn="0" w:firstRowLastColumn="0" w:lastRowFirstColumn="0" w:lastRowLastColumn="0"/>
              <w:rPr>
                <w:lang w:eastAsia="en-US"/>
              </w:rPr>
            </w:pPr>
            <w:r>
              <w:rPr>
                <w:lang w:eastAsia="en-US"/>
              </w:rPr>
              <w:t>Aesthetics</w:t>
            </w:r>
          </w:p>
        </w:tc>
        <w:tc>
          <w:tcPr>
            <w:tcW w:w="1389" w:type="dxa"/>
          </w:tcPr>
          <w:p w14:paraId="5814CF77" w14:textId="6FD6E17C"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3167FE3E"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7D916D95" w14:textId="55E6CF9F"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4F25DDE5"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7ABE8243" w14:textId="4814654D"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79985001"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63422661" w14:textId="41AA8CC0"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7BC7465B" w14:textId="10B08EF9"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26E2F936"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90" w:type="dxa"/>
          </w:tcPr>
          <w:p w14:paraId="38143A1A" w14:textId="28ED7854"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2198" w:type="dxa"/>
          </w:tcPr>
          <w:p w14:paraId="270025D1" w14:textId="30C31AE4"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1</w:t>
            </w:r>
          </w:p>
        </w:tc>
        <w:tc>
          <w:tcPr>
            <w:tcW w:w="1201" w:type="dxa"/>
            <w:shd w:val="clear" w:color="auto" w:fill="FFC000"/>
          </w:tcPr>
          <w:p w14:paraId="409767FA" w14:textId="507CB6E9"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1</w:t>
            </w:r>
          </w:p>
        </w:tc>
      </w:tr>
      <w:tr w:rsidR="00BB746F" w14:paraId="2195E8AB" w14:textId="0B7CB48B" w:rsidTr="00666947">
        <w:tc>
          <w:tcPr>
            <w:cnfStyle w:val="001000000000" w:firstRow="0" w:lastRow="0" w:firstColumn="1" w:lastColumn="0" w:oddVBand="0" w:evenVBand="0" w:oddHBand="0" w:evenHBand="0" w:firstRowFirstColumn="0" w:firstRowLastColumn="0" w:lastRowFirstColumn="0" w:lastRowLastColumn="0"/>
            <w:tcW w:w="1418" w:type="dxa"/>
            <w:vMerge/>
            <w:shd w:val="clear" w:color="auto" w:fill="004C97" w:themeFill="accent1"/>
          </w:tcPr>
          <w:p w14:paraId="6B8DCA93" w14:textId="77777777" w:rsidR="00BB746F" w:rsidRDefault="00BB746F" w:rsidP="00FA18A0">
            <w:pPr>
              <w:pStyle w:val="TableHeadingLeft"/>
              <w:rPr>
                <w:lang w:eastAsia="en-US"/>
              </w:rPr>
            </w:pPr>
          </w:p>
        </w:tc>
        <w:tc>
          <w:tcPr>
            <w:tcW w:w="2835" w:type="dxa"/>
            <w:shd w:val="clear" w:color="auto" w:fill="CCDBEA" w:themeFill="background2"/>
          </w:tcPr>
          <w:p w14:paraId="7DB58DC6" w14:textId="4D1A7D95" w:rsidR="00BB746F" w:rsidRDefault="00BB746F" w:rsidP="00FA18A0">
            <w:pPr>
              <w:pStyle w:val="BodyText"/>
              <w:cnfStyle w:val="000000000000" w:firstRow="0" w:lastRow="0" w:firstColumn="0" w:lastColumn="0" w:oddVBand="0" w:evenVBand="0" w:oddHBand="0" w:evenHBand="0" w:firstRowFirstColumn="0" w:firstRowLastColumn="0" w:lastRowFirstColumn="0" w:lastRowLastColumn="0"/>
              <w:rPr>
                <w:lang w:eastAsia="en-US"/>
              </w:rPr>
            </w:pPr>
            <w:r>
              <w:rPr>
                <w:lang w:eastAsia="en-US"/>
              </w:rPr>
              <w:t>Air quality regulation</w:t>
            </w:r>
          </w:p>
        </w:tc>
        <w:tc>
          <w:tcPr>
            <w:tcW w:w="1389" w:type="dxa"/>
          </w:tcPr>
          <w:p w14:paraId="39A158D2" w14:textId="793EEA75"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7DD94E05"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4931EF0" w14:textId="73E4A79B"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6B16A019"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5E08C0C9"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0D8D9D5"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6A2968B0" w14:textId="04696E5E"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51A21D80" w14:textId="64A08E10"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5352911D"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90" w:type="dxa"/>
          </w:tcPr>
          <w:p w14:paraId="262FB23E" w14:textId="730C4BA1"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2198" w:type="dxa"/>
          </w:tcPr>
          <w:p w14:paraId="58E9F7B8" w14:textId="47EB5B05"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1</w:t>
            </w:r>
          </w:p>
        </w:tc>
        <w:tc>
          <w:tcPr>
            <w:tcW w:w="1201" w:type="dxa"/>
            <w:shd w:val="clear" w:color="auto" w:fill="FFC000"/>
          </w:tcPr>
          <w:p w14:paraId="4A27005A" w14:textId="5B81E674"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1</w:t>
            </w:r>
          </w:p>
        </w:tc>
      </w:tr>
      <w:tr w:rsidR="00BB746F" w14:paraId="27D49FA5" w14:textId="55455DF4" w:rsidTr="00666947">
        <w:tc>
          <w:tcPr>
            <w:cnfStyle w:val="001000000000" w:firstRow="0" w:lastRow="0" w:firstColumn="1" w:lastColumn="0" w:oddVBand="0" w:evenVBand="0" w:oddHBand="0" w:evenHBand="0" w:firstRowFirstColumn="0" w:firstRowLastColumn="0" w:lastRowFirstColumn="0" w:lastRowLastColumn="0"/>
            <w:tcW w:w="1418" w:type="dxa"/>
            <w:vMerge/>
            <w:shd w:val="clear" w:color="auto" w:fill="004C97" w:themeFill="accent1"/>
          </w:tcPr>
          <w:p w14:paraId="0F0BA784" w14:textId="77777777" w:rsidR="00BB746F" w:rsidRDefault="00BB746F" w:rsidP="00FA18A0">
            <w:pPr>
              <w:pStyle w:val="TableHeadingLeft"/>
              <w:rPr>
                <w:lang w:eastAsia="en-US"/>
              </w:rPr>
            </w:pPr>
          </w:p>
        </w:tc>
        <w:tc>
          <w:tcPr>
            <w:tcW w:w="2835" w:type="dxa"/>
            <w:shd w:val="clear" w:color="auto" w:fill="CCDBEA" w:themeFill="background2"/>
          </w:tcPr>
          <w:p w14:paraId="40180B94" w14:textId="75E4D35A" w:rsidR="00BB746F" w:rsidRDefault="00BB746F" w:rsidP="00FA18A0">
            <w:pPr>
              <w:pStyle w:val="BodyText"/>
              <w:cnfStyle w:val="000000000000" w:firstRow="0" w:lastRow="0" w:firstColumn="0" w:lastColumn="0" w:oddVBand="0" w:evenVBand="0" w:oddHBand="0" w:evenHBand="0" w:firstRowFirstColumn="0" w:firstRowLastColumn="0" w:lastRowFirstColumn="0" w:lastRowLastColumn="0"/>
              <w:rPr>
                <w:lang w:eastAsia="en-US"/>
              </w:rPr>
            </w:pPr>
            <w:r>
              <w:rPr>
                <w:lang w:eastAsia="en-US"/>
              </w:rPr>
              <w:t>Amenity (Liveability)</w:t>
            </w:r>
          </w:p>
        </w:tc>
        <w:tc>
          <w:tcPr>
            <w:tcW w:w="1389" w:type="dxa"/>
          </w:tcPr>
          <w:p w14:paraId="4D2619B1" w14:textId="390CEE20"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49B4719E"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2A779DD4"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49EEA947"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63E0EBC5" w14:textId="251697EE"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46C1E2BF" w14:textId="29BEB424"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7248EBC" w14:textId="3E490932"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70847180" w14:textId="13A1C97A"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240325FA" w14:textId="36BA7D4A"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90" w:type="dxa"/>
          </w:tcPr>
          <w:p w14:paraId="363052F3" w14:textId="23A30983"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2198" w:type="dxa"/>
          </w:tcPr>
          <w:p w14:paraId="4C25DF2B"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201" w:type="dxa"/>
            <w:shd w:val="clear" w:color="auto" w:fill="FF7E79"/>
          </w:tcPr>
          <w:p w14:paraId="61322AA3" w14:textId="2172D9DE"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0</w:t>
            </w:r>
          </w:p>
        </w:tc>
      </w:tr>
      <w:tr w:rsidR="00BB746F" w14:paraId="0C1215BD" w14:textId="5C9A969D" w:rsidTr="00666947">
        <w:tc>
          <w:tcPr>
            <w:cnfStyle w:val="001000000000" w:firstRow="0" w:lastRow="0" w:firstColumn="1" w:lastColumn="0" w:oddVBand="0" w:evenVBand="0" w:oddHBand="0" w:evenHBand="0" w:firstRowFirstColumn="0" w:firstRowLastColumn="0" w:lastRowFirstColumn="0" w:lastRowLastColumn="0"/>
            <w:tcW w:w="1418" w:type="dxa"/>
            <w:vMerge/>
            <w:shd w:val="clear" w:color="auto" w:fill="004C97" w:themeFill="accent1"/>
          </w:tcPr>
          <w:p w14:paraId="22FD3CC8" w14:textId="77777777" w:rsidR="00BB746F" w:rsidRDefault="00BB746F" w:rsidP="00FA18A0">
            <w:pPr>
              <w:pStyle w:val="TableHeadingLeft"/>
              <w:rPr>
                <w:lang w:eastAsia="en-US"/>
              </w:rPr>
            </w:pPr>
          </w:p>
        </w:tc>
        <w:tc>
          <w:tcPr>
            <w:tcW w:w="2835" w:type="dxa"/>
            <w:shd w:val="clear" w:color="auto" w:fill="CCDBEA" w:themeFill="background2"/>
          </w:tcPr>
          <w:p w14:paraId="7382477C" w14:textId="6C0CAC44" w:rsidR="00BB746F" w:rsidRDefault="00BB746F" w:rsidP="00FA18A0">
            <w:pPr>
              <w:pStyle w:val="BodyText"/>
              <w:cnfStyle w:val="000000000000" w:firstRow="0" w:lastRow="0" w:firstColumn="0" w:lastColumn="0" w:oddVBand="0" w:evenVBand="0" w:oddHBand="0" w:evenHBand="0" w:firstRowFirstColumn="0" w:firstRowLastColumn="0" w:lastRowFirstColumn="0" w:lastRowLastColumn="0"/>
              <w:rPr>
                <w:lang w:eastAsia="en-US"/>
              </w:rPr>
            </w:pPr>
            <w:r>
              <w:rPr>
                <w:lang w:eastAsia="en-US"/>
              </w:rPr>
              <w:t>Biotic raw material</w:t>
            </w:r>
          </w:p>
        </w:tc>
        <w:tc>
          <w:tcPr>
            <w:tcW w:w="1389" w:type="dxa"/>
          </w:tcPr>
          <w:p w14:paraId="68119534" w14:textId="75811151"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0595CFD9"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5F537725"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200EB2F1" w14:textId="542FB1CF"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2</w:t>
            </w:r>
          </w:p>
        </w:tc>
        <w:tc>
          <w:tcPr>
            <w:tcW w:w="1389" w:type="dxa"/>
          </w:tcPr>
          <w:p w14:paraId="6EF37BA0"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0DDA8C2F"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4409F80" w14:textId="3F33202A"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0E339C5D"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6D024B5D"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90" w:type="dxa"/>
          </w:tcPr>
          <w:p w14:paraId="2F19CE25"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2198" w:type="dxa"/>
          </w:tcPr>
          <w:p w14:paraId="70EF1C06" w14:textId="6E508EBE"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201" w:type="dxa"/>
            <w:shd w:val="clear" w:color="auto" w:fill="FF9300"/>
          </w:tcPr>
          <w:p w14:paraId="3190F85A" w14:textId="4E1CD870"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2</w:t>
            </w:r>
          </w:p>
        </w:tc>
      </w:tr>
      <w:tr w:rsidR="00BB746F" w14:paraId="2EE64900" w14:textId="21945D14" w:rsidTr="00666947">
        <w:tc>
          <w:tcPr>
            <w:cnfStyle w:val="001000000000" w:firstRow="0" w:lastRow="0" w:firstColumn="1" w:lastColumn="0" w:oddVBand="0" w:evenVBand="0" w:oddHBand="0" w:evenHBand="0" w:firstRowFirstColumn="0" w:firstRowLastColumn="0" w:lastRowFirstColumn="0" w:lastRowLastColumn="0"/>
            <w:tcW w:w="1418" w:type="dxa"/>
            <w:vMerge/>
            <w:shd w:val="clear" w:color="auto" w:fill="004C97" w:themeFill="accent1"/>
          </w:tcPr>
          <w:p w14:paraId="2CD8BD2B" w14:textId="77777777" w:rsidR="00BB746F" w:rsidRDefault="00BB746F" w:rsidP="00FA18A0">
            <w:pPr>
              <w:pStyle w:val="TableHeadingLeft"/>
              <w:rPr>
                <w:lang w:eastAsia="en-US"/>
              </w:rPr>
            </w:pPr>
          </w:p>
        </w:tc>
        <w:tc>
          <w:tcPr>
            <w:tcW w:w="2835" w:type="dxa"/>
            <w:shd w:val="clear" w:color="auto" w:fill="CCDBEA" w:themeFill="background2"/>
          </w:tcPr>
          <w:p w14:paraId="7C402191" w14:textId="6CF6FB59" w:rsidR="00BB746F" w:rsidRDefault="00BB746F" w:rsidP="00FA18A0">
            <w:pPr>
              <w:pStyle w:val="BodyText"/>
              <w:cnfStyle w:val="000000000000" w:firstRow="0" w:lastRow="0" w:firstColumn="0" w:lastColumn="0" w:oddVBand="0" w:evenVBand="0" w:oddHBand="0" w:evenHBand="0" w:firstRowFirstColumn="0" w:firstRowLastColumn="0" w:lastRowFirstColumn="0" w:lastRowLastColumn="0"/>
              <w:rPr>
                <w:lang w:eastAsia="en-US"/>
              </w:rPr>
            </w:pPr>
            <w:r>
              <w:rPr>
                <w:lang w:eastAsia="en-US"/>
              </w:rPr>
              <w:t>Coastal protection</w:t>
            </w:r>
          </w:p>
        </w:tc>
        <w:tc>
          <w:tcPr>
            <w:tcW w:w="1389" w:type="dxa"/>
          </w:tcPr>
          <w:p w14:paraId="11DDD55E" w14:textId="67FD5203"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064F3A37" w14:textId="4BD8B8A0"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3</w:t>
            </w:r>
          </w:p>
        </w:tc>
        <w:tc>
          <w:tcPr>
            <w:tcW w:w="1389" w:type="dxa"/>
          </w:tcPr>
          <w:p w14:paraId="2878F2E6"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430B2DC2"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EE73AE7"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27CB7813" w14:textId="115FBA1A"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43CA47AB" w14:textId="2CECDF8E"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422C51FF"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39528C89"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90" w:type="dxa"/>
          </w:tcPr>
          <w:p w14:paraId="654E1423"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2198" w:type="dxa"/>
          </w:tcPr>
          <w:p w14:paraId="16842D7A"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201" w:type="dxa"/>
            <w:shd w:val="clear" w:color="auto" w:fill="D5FC79"/>
          </w:tcPr>
          <w:p w14:paraId="53C38D93" w14:textId="43A822C5"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3</w:t>
            </w:r>
          </w:p>
        </w:tc>
      </w:tr>
      <w:tr w:rsidR="00BB746F" w14:paraId="1B80D720" w14:textId="101B1AEB" w:rsidTr="00666947">
        <w:tc>
          <w:tcPr>
            <w:cnfStyle w:val="001000000000" w:firstRow="0" w:lastRow="0" w:firstColumn="1" w:lastColumn="0" w:oddVBand="0" w:evenVBand="0" w:oddHBand="0" w:evenHBand="0" w:firstRowFirstColumn="0" w:firstRowLastColumn="0" w:lastRowFirstColumn="0" w:lastRowLastColumn="0"/>
            <w:tcW w:w="1418" w:type="dxa"/>
            <w:vMerge/>
            <w:shd w:val="clear" w:color="auto" w:fill="004C97" w:themeFill="accent1"/>
          </w:tcPr>
          <w:p w14:paraId="538B47AF" w14:textId="77777777" w:rsidR="00BB746F" w:rsidRDefault="00BB746F" w:rsidP="00FA18A0">
            <w:pPr>
              <w:pStyle w:val="TableHeadingLeft"/>
              <w:rPr>
                <w:lang w:eastAsia="en-US"/>
              </w:rPr>
            </w:pPr>
          </w:p>
        </w:tc>
        <w:tc>
          <w:tcPr>
            <w:tcW w:w="2835" w:type="dxa"/>
            <w:shd w:val="clear" w:color="auto" w:fill="CCDBEA" w:themeFill="background2"/>
          </w:tcPr>
          <w:p w14:paraId="21B50038" w14:textId="6EFEF9F2" w:rsidR="00BB746F" w:rsidRDefault="00BB746F" w:rsidP="00FA18A0">
            <w:pPr>
              <w:pStyle w:val="BodyText"/>
              <w:cnfStyle w:val="000000000000" w:firstRow="0" w:lastRow="0" w:firstColumn="0" w:lastColumn="0" w:oddVBand="0" w:evenVBand="0" w:oddHBand="0" w:evenHBand="0" w:firstRowFirstColumn="0" w:firstRowLastColumn="0" w:lastRowFirstColumn="0" w:lastRowLastColumn="0"/>
              <w:rPr>
                <w:lang w:eastAsia="en-US"/>
              </w:rPr>
            </w:pPr>
            <w:r>
              <w:rPr>
                <w:lang w:eastAsia="en-US"/>
              </w:rPr>
              <w:t>Cultural heritage</w:t>
            </w:r>
          </w:p>
        </w:tc>
        <w:tc>
          <w:tcPr>
            <w:tcW w:w="1389" w:type="dxa"/>
          </w:tcPr>
          <w:p w14:paraId="2149F7BE" w14:textId="4354A7C5"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2DB1EE78"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E163F26"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56814834" w14:textId="74DD3175"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38BBE3F5"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B250B84"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773794CD" w14:textId="24E7E495"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2A54721D"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04AA7CC2"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90" w:type="dxa"/>
          </w:tcPr>
          <w:p w14:paraId="3F7E1568"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2198" w:type="dxa"/>
          </w:tcPr>
          <w:p w14:paraId="639DD411" w14:textId="2B0F9F84"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2</w:t>
            </w:r>
          </w:p>
        </w:tc>
        <w:tc>
          <w:tcPr>
            <w:tcW w:w="1201" w:type="dxa"/>
            <w:shd w:val="clear" w:color="auto" w:fill="FFFD78"/>
          </w:tcPr>
          <w:p w14:paraId="7AE46D07" w14:textId="244AB07E"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2</w:t>
            </w:r>
          </w:p>
        </w:tc>
      </w:tr>
      <w:tr w:rsidR="00BB746F" w14:paraId="0D373452" w14:textId="77777777" w:rsidTr="00666947">
        <w:tc>
          <w:tcPr>
            <w:cnfStyle w:val="001000000000" w:firstRow="0" w:lastRow="0" w:firstColumn="1" w:lastColumn="0" w:oddVBand="0" w:evenVBand="0" w:oddHBand="0" w:evenHBand="0" w:firstRowFirstColumn="0" w:firstRowLastColumn="0" w:lastRowFirstColumn="0" w:lastRowLastColumn="0"/>
            <w:tcW w:w="1418" w:type="dxa"/>
            <w:vMerge/>
            <w:shd w:val="clear" w:color="auto" w:fill="004C97" w:themeFill="accent1"/>
          </w:tcPr>
          <w:p w14:paraId="7673AC4F" w14:textId="77777777" w:rsidR="00BB746F" w:rsidRDefault="00BB746F" w:rsidP="00FA18A0">
            <w:pPr>
              <w:pStyle w:val="TableHeadingLeft"/>
              <w:rPr>
                <w:lang w:eastAsia="en-US"/>
              </w:rPr>
            </w:pPr>
          </w:p>
        </w:tc>
        <w:tc>
          <w:tcPr>
            <w:tcW w:w="2835" w:type="dxa"/>
            <w:shd w:val="clear" w:color="auto" w:fill="CCDBEA" w:themeFill="background2"/>
          </w:tcPr>
          <w:p w14:paraId="2BD83F67" w14:textId="33DE7CD1" w:rsidR="00BB746F" w:rsidRDefault="00BB746F" w:rsidP="00FA18A0">
            <w:pPr>
              <w:pStyle w:val="BodyText"/>
              <w:cnfStyle w:val="000000000000" w:firstRow="0" w:lastRow="0" w:firstColumn="0" w:lastColumn="0" w:oddVBand="0" w:evenVBand="0" w:oddHBand="0" w:evenHBand="0" w:firstRowFirstColumn="0" w:firstRowLastColumn="0" w:lastRowFirstColumn="0" w:lastRowLastColumn="0"/>
              <w:rPr>
                <w:lang w:eastAsia="en-US"/>
              </w:rPr>
            </w:pPr>
            <w:r>
              <w:rPr>
                <w:lang w:eastAsia="en-US"/>
              </w:rPr>
              <w:t>Education and research</w:t>
            </w:r>
          </w:p>
        </w:tc>
        <w:tc>
          <w:tcPr>
            <w:tcW w:w="1389" w:type="dxa"/>
          </w:tcPr>
          <w:p w14:paraId="4EA63E25" w14:textId="37D61B0B"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5AAAFD69"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6CC89B87" w14:textId="76F1CD3C"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670389F2"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0DCFE527"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7B96D3A5"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64424FE9" w14:textId="59C0AB44"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5F0077EE"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3005E0F2"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90" w:type="dxa"/>
          </w:tcPr>
          <w:p w14:paraId="6C936493"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2198" w:type="dxa"/>
          </w:tcPr>
          <w:p w14:paraId="6D86523C" w14:textId="1167567C"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2</w:t>
            </w:r>
          </w:p>
        </w:tc>
        <w:tc>
          <w:tcPr>
            <w:tcW w:w="1201" w:type="dxa"/>
            <w:shd w:val="clear" w:color="auto" w:fill="FFFD78"/>
          </w:tcPr>
          <w:p w14:paraId="550DCB25" w14:textId="60618BD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2</w:t>
            </w:r>
          </w:p>
        </w:tc>
      </w:tr>
      <w:tr w:rsidR="00BB746F" w14:paraId="6C736772" w14:textId="77777777" w:rsidTr="00666947">
        <w:tc>
          <w:tcPr>
            <w:cnfStyle w:val="001000000000" w:firstRow="0" w:lastRow="0" w:firstColumn="1" w:lastColumn="0" w:oddVBand="0" w:evenVBand="0" w:oddHBand="0" w:evenHBand="0" w:firstRowFirstColumn="0" w:firstRowLastColumn="0" w:lastRowFirstColumn="0" w:lastRowLastColumn="0"/>
            <w:tcW w:w="1418" w:type="dxa"/>
            <w:vMerge/>
            <w:shd w:val="clear" w:color="auto" w:fill="004C97" w:themeFill="accent1"/>
          </w:tcPr>
          <w:p w14:paraId="60F98FB9" w14:textId="77777777" w:rsidR="00BB746F" w:rsidRDefault="00BB746F" w:rsidP="00FA18A0">
            <w:pPr>
              <w:pStyle w:val="TableHeadingLeft"/>
              <w:rPr>
                <w:lang w:eastAsia="en-US"/>
              </w:rPr>
            </w:pPr>
          </w:p>
        </w:tc>
        <w:tc>
          <w:tcPr>
            <w:tcW w:w="2835" w:type="dxa"/>
            <w:shd w:val="clear" w:color="auto" w:fill="CCDBEA" w:themeFill="background2"/>
          </w:tcPr>
          <w:p w14:paraId="37DF3B6C" w14:textId="4089371F" w:rsidR="00BB746F" w:rsidRDefault="00BB746F" w:rsidP="00FA18A0">
            <w:pPr>
              <w:pStyle w:val="BodyText"/>
              <w:cnfStyle w:val="000000000000" w:firstRow="0" w:lastRow="0" w:firstColumn="0" w:lastColumn="0" w:oddVBand="0" w:evenVBand="0" w:oddHBand="0" w:evenHBand="0" w:firstRowFirstColumn="0" w:firstRowLastColumn="0" w:lastRowFirstColumn="0" w:lastRowLastColumn="0"/>
              <w:rPr>
                <w:lang w:eastAsia="en-US"/>
              </w:rPr>
            </w:pPr>
            <w:r>
              <w:rPr>
                <w:lang w:eastAsia="en-US"/>
              </w:rPr>
              <w:t>Energy (biofuels)</w:t>
            </w:r>
          </w:p>
        </w:tc>
        <w:tc>
          <w:tcPr>
            <w:tcW w:w="1389" w:type="dxa"/>
          </w:tcPr>
          <w:p w14:paraId="610BA18B" w14:textId="2205140F"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6413C92"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5FBD762B"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026B3441" w14:textId="7DBBBD3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1</w:t>
            </w:r>
          </w:p>
        </w:tc>
        <w:tc>
          <w:tcPr>
            <w:tcW w:w="1389" w:type="dxa"/>
          </w:tcPr>
          <w:p w14:paraId="65C052EA"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E39C8C8"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29D86F1C"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6F2B3F77"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692E9E35"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90" w:type="dxa"/>
          </w:tcPr>
          <w:p w14:paraId="3C783956"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2198" w:type="dxa"/>
          </w:tcPr>
          <w:p w14:paraId="6B3C692A" w14:textId="70C76DCE"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201" w:type="dxa"/>
            <w:shd w:val="clear" w:color="auto" w:fill="FFC000"/>
          </w:tcPr>
          <w:p w14:paraId="079B50B2" w14:textId="193EAE8B"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1</w:t>
            </w:r>
          </w:p>
        </w:tc>
      </w:tr>
      <w:tr w:rsidR="00BB746F" w14:paraId="62610FBB" w14:textId="77777777" w:rsidTr="00666947">
        <w:tc>
          <w:tcPr>
            <w:cnfStyle w:val="001000000000" w:firstRow="0" w:lastRow="0" w:firstColumn="1" w:lastColumn="0" w:oddVBand="0" w:evenVBand="0" w:oddHBand="0" w:evenHBand="0" w:firstRowFirstColumn="0" w:firstRowLastColumn="0" w:lastRowFirstColumn="0" w:lastRowLastColumn="0"/>
            <w:tcW w:w="1418" w:type="dxa"/>
            <w:vMerge/>
            <w:shd w:val="clear" w:color="auto" w:fill="004C97" w:themeFill="accent1"/>
          </w:tcPr>
          <w:p w14:paraId="3AD9C2D0" w14:textId="77777777" w:rsidR="00BB746F" w:rsidRDefault="00BB746F" w:rsidP="00FA18A0">
            <w:pPr>
              <w:pStyle w:val="TableHeadingLeft"/>
              <w:rPr>
                <w:lang w:eastAsia="en-US"/>
              </w:rPr>
            </w:pPr>
          </w:p>
        </w:tc>
        <w:tc>
          <w:tcPr>
            <w:tcW w:w="2835" w:type="dxa"/>
            <w:shd w:val="clear" w:color="auto" w:fill="CCDBEA" w:themeFill="background2"/>
          </w:tcPr>
          <w:p w14:paraId="73F77765" w14:textId="6B0D6CEB" w:rsidR="00BB746F" w:rsidRDefault="00BB746F" w:rsidP="00FA18A0">
            <w:pPr>
              <w:pStyle w:val="BodyText"/>
              <w:cnfStyle w:val="000000000000" w:firstRow="0" w:lastRow="0" w:firstColumn="0" w:lastColumn="0" w:oddVBand="0" w:evenVBand="0" w:oddHBand="0" w:evenHBand="0" w:firstRowFirstColumn="0" w:firstRowLastColumn="0" w:lastRowFirstColumn="0" w:lastRowLastColumn="0"/>
              <w:rPr>
                <w:lang w:eastAsia="en-US"/>
              </w:rPr>
            </w:pPr>
            <w:r>
              <w:rPr>
                <w:lang w:eastAsia="en-US"/>
              </w:rPr>
              <w:t>Existence / Option values</w:t>
            </w:r>
          </w:p>
        </w:tc>
        <w:tc>
          <w:tcPr>
            <w:tcW w:w="1389" w:type="dxa"/>
          </w:tcPr>
          <w:p w14:paraId="4F136E64" w14:textId="09F76C03"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377EE173"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99BBA91"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06511296" w14:textId="3090EF3A"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6F42CA06"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704D3798"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5D5AC651"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7E76F441"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348551DB"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90" w:type="dxa"/>
          </w:tcPr>
          <w:p w14:paraId="79A21C24"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2198" w:type="dxa"/>
          </w:tcPr>
          <w:p w14:paraId="5B1E8C42" w14:textId="39588E25"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2</w:t>
            </w:r>
          </w:p>
        </w:tc>
        <w:tc>
          <w:tcPr>
            <w:tcW w:w="1201" w:type="dxa"/>
            <w:shd w:val="clear" w:color="auto" w:fill="FF9300"/>
          </w:tcPr>
          <w:p w14:paraId="3DF7B17E" w14:textId="14BAD281"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2</w:t>
            </w:r>
          </w:p>
        </w:tc>
      </w:tr>
      <w:tr w:rsidR="00BB746F" w14:paraId="6131F7AD" w14:textId="77777777" w:rsidTr="00666947">
        <w:tc>
          <w:tcPr>
            <w:cnfStyle w:val="001000000000" w:firstRow="0" w:lastRow="0" w:firstColumn="1" w:lastColumn="0" w:oddVBand="0" w:evenVBand="0" w:oddHBand="0" w:evenHBand="0" w:firstRowFirstColumn="0" w:firstRowLastColumn="0" w:lastRowFirstColumn="0" w:lastRowLastColumn="0"/>
            <w:tcW w:w="1418" w:type="dxa"/>
            <w:vMerge/>
            <w:shd w:val="clear" w:color="auto" w:fill="004C97" w:themeFill="accent1"/>
          </w:tcPr>
          <w:p w14:paraId="579A3524" w14:textId="77777777" w:rsidR="00BB746F" w:rsidRDefault="00BB746F" w:rsidP="00FA18A0">
            <w:pPr>
              <w:pStyle w:val="TableHeadingLeft"/>
              <w:rPr>
                <w:lang w:eastAsia="en-US"/>
              </w:rPr>
            </w:pPr>
          </w:p>
        </w:tc>
        <w:tc>
          <w:tcPr>
            <w:tcW w:w="2835" w:type="dxa"/>
            <w:shd w:val="clear" w:color="auto" w:fill="CCDBEA" w:themeFill="background2"/>
          </w:tcPr>
          <w:p w14:paraId="267BFB54" w14:textId="252D0342" w:rsidR="00BB746F" w:rsidRDefault="00BB746F" w:rsidP="00FA18A0">
            <w:pPr>
              <w:pStyle w:val="BodyText"/>
              <w:cnfStyle w:val="000000000000" w:firstRow="0" w:lastRow="0" w:firstColumn="0" w:lastColumn="0" w:oddVBand="0" w:evenVBand="0" w:oddHBand="0" w:evenHBand="0" w:firstRowFirstColumn="0" w:firstRowLastColumn="0" w:lastRowFirstColumn="0" w:lastRowLastColumn="0"/>
              <w:rPr>
                <w:lang w:eastAsia="en-US"/>
              </w:rPr>
            </w:pPr>
            <w:r>
              <w:rPr>
                <w:lang w:eastAsia="en-US"/>
              </w:rPr>
              <w:t>Flood risk regulation</w:t>
            </w:r>
          </w:p>
        </w:tc>
        <w:tc>
          <w:tcPr>
            <w:tcW w:w="1389" w:type="dxa"/>
          </w:tcPr>
          <w:p w14:paraId="51F58F34" w14:textId="77AC4264"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548391A9" w14:textId="2523D535"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5677DD14"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4F693C8E" w14:textId="3D5DB06B"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344E9D5"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55CB467A"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725B95B4" w14:textId="3AFFDA16"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3E8AFCFF"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75189DF9"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90" w:type="dxa"/>
          </w:tcPr>
          <w:p w14:paraId="4C714368"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2198" w:type="dxa"/>
          </w:tcPr>
          <w:p w14:paraId="3033C07A" w14:textId="1551F4D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2</w:t>
            </w:r>
          </w:p>
        </w:tc>
        <w:tc>
          <w:tcPr>
            <w:tcW w:w="1201" w:type="dxa"/>
            <w:shd w:val="clear" w:color="auto" w:fill="FF9300"/>
          </w:tcPr>
          <w:p w14:paraId="4C6BDE0A" w14:textId="5E2A67B1"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2</w:t>
            </w:r>
          </w:p>
        </w:tc>
      </w:tr>
      <w:tr w:rsidR="00BB746F" w14:paraId="7B33D54A" w14:textId="77777777" w:rsidTr="00666947">
        <w:tc>
          <w:tcPr>
            <w:cnfStyle w:val="001000000000" w:firstRow="0" w:lastRow="0" w:firstColumn="1" w:lastColumn="0" w:oddVBand="0" w:evenVBand="0" w:oddHBand="0" w:evenHBand="0" w:firstRowFirstColumn="0" w:firstRowLastColumn="0" w:lastRowFirstColumn="0" w:lastRowLastColumn="0"/>
            <w:tcW w:w="1418" w:type="dxa"/>
            <w:vMerge/>
            <w:shd w:val="clear" w:color="auto" w:fill="004C97" w:themeFill="accent1"/>
          </w:tcPr>
          <w:p w14:paraId="176DACF7" w14:textId="77777777" w:rsidR="00BB746F" w:rsidRDefault="00BB746F" w:rsidP="00FA18A0">
            <w:pPr>
              <w:pStyle w:val="TableHeadingLeft"/>
              <w:rPr>
                <w:lang w:eastAsia="en-US"/>
              </w:rPr>
            </w:pPr>
          </w:p>
        </w:tc>
        <w:tc>
          <w:tcPr>
            <w:tcW w:w="2835" w:type="dxa"/>
            <w:shd w:val="clear" w:color="auto" w:fill="CCDBEA" w:themeFill="background2"/>
          </w:tcPr>
          <w:p w14:paraId="3B40DE87" w14:textId="156A14C9" w:rsidR="00BB746F" w:rsidRDefault="00BB746F" w:rsidP="00FA18A0">
            <w:pPr>
              <w:pStyle w:val="BodyText"/>
              <w:cnfStyle w:val="000000000000" w:firstRow="0" w:lastRow="0" w:firstColumn="0" w:lastColumn="0" w:oddVBand="0" w:evenVBand="0" w:oddHBand="0" w:evenHBand="0" w:firstRowFirstColumn="0" w:firstRowLastColumn="0" w:lastRowFirstColumn="0" w:lastRowLastColumn="0"/>
              <w:rPr>
                <w:lang w:eastAsia="en-US"/>
              </w:rPr>
            </w:pPr>
            <w:r>
              <w:rPr>
                <w:lang w:eastAsia="en-US"/>
              </w:rPr>
              <w:t>Food (Nutrition)</w:t>
            </w:r>
          </w:p>
        </w:tc>
        <w:tc>
          <w:tcPr>
            <w:tcW w:w="1389" w:type="dxa"/>
          </w:tcPr>
          <w:p w14:paraId="65912B7D" w14:textId="7D6588DF"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0D3E3740" w14:textId="57D3BE1D" w:rsidR="00BB746F" w:rsidRPr="00FA18A0"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4</w:t>
            </w:r>
          </w:p>
        </w:tc>
        <w:tc>
          <w:tcPr>
            <w:tcW w:w="1389" w:type="dxa"/>
          </w:tcPr>
          <w:p w14:paraId="26DA47C0" w14:textId="77777777" w:rsidR="00BB746F" w:rsidRPr="00FA18A0"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EFF5EC1" w14:textId="0EB376F3" w:rsidR="00BB746F" w:rsidRPr="00FA18A0"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45E2C8F6" w14:textId="6AB72280" w:rsidR="00BB746F" w:rsidRPr="00FA18A0"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28445DB6" w14:textId="77777777" w:rsidR="00BB746F" w:rsidRPr="00FA18A0"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61CBC883"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61D828AC"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3C9D3B95" w14:textId="7DE6E8EE"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4</w:t>
            </w:r>
          </w:p>
        </w:tc>
        <w:tc>
          <w:tcPr>
            <w:tcW w:w="1390" w:type="dxa"/>
          </w:tcPr>
          <w:p w14:paraId="77038896"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2198" w:type="dxa"/>
          </w:tcPr>
          <w:p w14:paraId="5D9BCAF1" w14:textId="042A95F4"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2</w:t>
            </w:r>
          </w:p>
        </w:tc>
        <w:tc>
          <w:tcPr>
            <w:tcW w:w="1201" w:type="dxa"/>
            <w:shd w:val="clear" w:color="auto" w:fill="92D050"/>
          </w:tcPr>
          <w:p w14:paraId="3CC56155" w14:textId="1BD8E06C"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10</w:t>
            </w:r>
          </w:p>
        </w:tc>
      </w:tr>
      <w:tr w:rsidR="00BB746F" w14:paraId="591DFB3C" w14:textId="77777777" w:rsidTr="00666947">
        <w:tc>
          <w:tcPr>
            <w:cnfStyle w:val="001000000000" w:firstRow="0" w:lastRow="0" w:firstColumn="1" w:lastColumn="0" w:oddVBand="0" w:evenVBand="0" w:oddHBand="0" w:evenHBand="0" w:firstRowFirstColumn="0" w:firstRowLastColumn="0" w:lastRowFirstColumn="0" w:lastRowLastColumn="0"/>
            <w:tcW w:w="1418" w:type="dxa"/>
            <w:vMerge/>
            <w:shd w:val="clear" w:color="auto" w:fill="004C97" w:themeFill="accent1"/>
          </w:tcPr>
          <w:p w14:paraId="52456700" w14:textId="77777777" w:rsidR="00BB746F" w:rsidRDefault="00BB746F" w:rsidP="00FA18A0">
            <w:pPr>
              <w:pStyle w:val="TableHeadingLeft"/>
              <w:rPr>
                <w:lang w:eastAsia="en-US"/>
              </w:rPr>
            </w:pPr>
          </w:p>
        </w:tc>
        <w:tc>
          <w:tcPr>
            <w:tcW w:w="2835" w:type="dxa"/>
            <w:shd w:val="clear" w:color="auto" w:fill="CCDBEA" w:themeFill="background2"/>
          </w:tcPr>
          <w:p w14:paraId="6C3B738C" w14:textId="1088BFB5" w:rsidR="00BB746F" w:rsidRDefault="00BB746F" w:rsidP="00FA18A0">
            <w:pPr>
              <w:pStyle w:val="BodyText"/>
              <w:cnfStyle w:val="000000000000" w:firstRow="0" w:lastRow="0" w:firstColumn="0" w:lastColumn="0" w:oddVBand="0" w:evenVBand="0" w:oddHBand="0" w:evenHBand="0" w:firstRowFirstColumn="0" w:firstRowLastColumn="0" w:lastRowFirstColumn="0" w:lastRowLastColumn="0"/>
              <w:rPr>
                <w:lang w:eastAsia="en-US"/>
              </w:rPr>
            </w:pPr>
            <w:r>
              <w:rPr>
                <w:lang w:eastAsia="en-US"/>
              </w:rPr>
              <w:t>Global climate regulation</w:t>
            </w:r>
          </w:p>
        </w:tc>
        <w:tc>
          <w:tcPr>
            <w:tcW w:w="1389" w:type="dxa"/>
          </w:tcPr>
          <w:p w14:paraId="4B8D47FC" w14:textId="42A5C320"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060F7859" w14:textId="7131470F" w:rsidR="00BB746F" w:rsidRPr="00FA18A0"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5</w:t>
            </w:r>
          </w:p>
        </w:tc>
        <w:tc>
          <w:tcPr>
            <w:tcW w:w="1389" w:type="dxa"/>
          </w:tcPr>
          <w:p w14:paraId="1A88B418" w14:textId="77777777" w:rsidR="00BB746F" w:rsidRPr="00FA18A0"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0971B452" w14:textId="0A7FF334" w:rsidR="00BB746F" w:rsidRPr="00FA18A0"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3</w:t>
            </w:r>
          </w:p>
        </w:tc>
        <w:tc>
          <w:tcPr>
            <w:tcW w:w="1389" w:type="dxa"/>
          </w:tcPr>
          <w:p w14:paraId="6A1F58B9" w14:textId="69A1C2D1" w:rsidR="00BB746F" w:rsidRPr="00FA18A0"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1</w:t>
            </w:r>
          </w:p>
        </w:tc>
        <w:tc>
          <w:tcPr>
            <w:tcW w:w="1389" w:type="dxa"/>
          </w:tcPr>
          <w:p w14:paraId="4F9B8E1E" w14:textId="77777777" w:rsidR="00BB746F" w:rsidRPr="00FA18A0"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DA7F7BB"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4FD78AD0" w14:textId="1CB8E05E"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AF52B27" w14:textId="1E82FEE1"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4</w:t>
            </w:r>
          </w:p>
        </w:tc>
        <w:tc>
          <w:tcPr>
            <w:tcW w:w="1390" w:type="dxa"/>
          </w:tcPr>
          <w:p w14:paraId="4A8525A0"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2198" w:type="dxa"/>
          </w:tcPr>
          <w:p w14:paraId="71013647" w14:textId="2DCC7292"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2</w:t>
            </w:r>
          </w:p>
        </w:tc>
        <w:tc>
          <w:tcPr>
            <w:tcW w:w="1201" w:type="dxa"/>
            <w:shd w:val="clear" w:color="auto" w:fill="00B050"/>
          </w:tcPr>
          <w:p w14:paraId="568C22C0" w14:textId="6A265105"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15</w:t>
            </w:r>
          </w:p>
        </w:tc>
      </w:tr>
      <w:tr w:rsidR="00BB746F" w14:paraId="62329791" w14:textId="77777777" w:rsidTr="00666947">
        <w:tc>
          <w:tcPr>
            <w:cnfStyle w:val="001000000000" w:firstRow="0" w:lastRow="0" w:firstColumn="1" w:lastColumn="0" w:oddVBand="0" w:evenVBand="0" w:oddHBand="0" w:evenHBand="0" w:firstRowFirstColumn="0" w:firstRowLastColumn="0" w:lastRowFirstColumn="0" w:lastRowLastColumn="0"/>
            <w:tcW w:w="1418" w:type="dxa"/>
            <w:vMerge/>
            <w:shd w:val="clear" w:color="auto" w:fill="004C97" w:themeFill="accent1"/>
          </w:tcPr>
          <w:p w14:paraId="09B5D851" w14:textId="77777777" w:rsidR="00BB746F" w:rsidRDefault="00BB746F" w:rsidP="00FA18A0">
            <w:pPr>
              <w:pStyle w:val="TableHeadingLeft"/>
              <w:rPr>
                <w:lang w:eastAsia="en-US"/>
              </w:rPr>
            </w:pPr>
          </w:p>
        </w:tc>
        <w:tc>
          <w:tcPr>
            <w:tcW w:w="2835" w:type="dxa"/>
            <w:shd w:val="clear" w:color="auto" w:fill="CCDBEA" w:themeFill="background2"/>
          </w:tcPr>
          <w:p w14:paraId="20385F9D" w14:textId="55D8493B" w:rsidR="00BB746F" w:rsidRDefault="00BB746F" w:rsidP="00FA18A0">
            <w:pPr>
              <w:pStyle w:val="BodyText"/>
              <w:cnfStyle w:val="000000000000" w:firstRow="0" w:lastRow="0" w:firstColumn="0" w:lastColumn="0" w:oddVBand="0" w:evenVBand="0" w:oddHBand="0" w:evenHBand="0" w:firstRowFirstColumn="0" w:firstRowLastColumn="0" w:lastRowFirstColumn="0" w:lastRowLastColumn="0"/>
              <w:rPr>
                <w:lang w:eastAsia="en-US"/>
              </w:rPr>
            </w:pPr>
            <w:r>
              <w:rPr>
                <w:lang w:eastAsia="en-US"/>
              </w:rPr>
              <w:t>Landslide regulation</w:t>
            </w:r>
          </w:p>
        </w:tc>
        <w:tc>
          <w:tcPr>
            <w:tcW w:w="1389" w:type="dxa"/>
          </w:tcPr>
          <w:p w14:paraId="2DB8C8C0"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24FA48DD"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30CA1B54"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54874593"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6484ECFF"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5A84CF3F"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340F9135"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5442789E"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51A217D"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90" w:type="dxa"/>
          </w:tcPr>
          <w:p w14:paraId="268374F4"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2198" w:type="dxa"/>
          </w:tcPr>
          <w:p w14:paraId="1C2A857E"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201" w:type="dxa"/>
            <w:shd w:val="clear" w:color="auto" w:fill="FF7E79"/>
          </w:tcPr>
          <w:p w14:paraId="264FE5E0" w14:textId="5AFF1916"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0</w:t>
            </w:r>
          </w:p>
        </w:tc>
      </w:tr>
      <w:tr w:rsidR="00BB746F" w14:paraId="4658808F" w14:textId="77777777" w:rsidTr="00666947">
        <w:tc>
          <w:tcPr>
            <w:cnfStyle w:val="001000000000" w:firstRow="0" w:lastRow="0" w:firstColumn="1" w:lastColumn="0" w:oddVBand="0" w:evenVBand="0" w:oddHBand="0" w:evenHBand="0" w:firstRowFirstColumn="0" w:firstRowLastColumn="0" w:lastRowFirstColumn="0" w:lastRowLastColumn="0"/>
            <w:tcW w:w="1418" w:type="dxa"/>
            <w:vMerge/>
            <w:shd w:val="clear" w:color="auto" w:fill="004C97" w:themeFill="accent1"/>
          </w:tcPr>
          <w:p w14:paraId="64F46B8E" w14:textId="77777777" w:rsidR="00BB746F" w:rsidRDefault="00BB746F" w:rsidP="00FA18A0">
            <w:pPr>
              <w:pStyle w:val="TableHeadingLeft"/>
              <w:rPr>
                <w:lang w:eastAsia="en-US"/>
              </w:rPr>
            </w:pPr>
          </w:p>
        </w:tc>
        <w:tc>
          <w:tcPr>
            <w:tcW w:w="2835" w:type="dxa"/>
            <w:shd w:val="clear" w:color="auto" w:fill="CCDBEA" w:themeFill="background2"/>
          </w:tcPr>
          <w:p w14:paraId="287AE865" w14:textId="4CE21BE1" w:rsidR="00BB746F" w:rsidRDefault="00BB746F" w:rsidP="00FA18A0">
            <w:pPr>
              <w:pStyle w:val="BodyText"/>
              <w:cnfStyle w:val="000000000000" w:firstRow="0" w:lastRow="0" w:firstColumn="0" w:lastColumn="0" w:oddVBand="0" w:evenVBand="0" w:oddHBand="0" w:evenHBand="0" w:firstRowFirstColumn="0" w:firstRowLastColumn="0" w:lastRowFirstColumn="0" w:lastRowLastColumn="0"/>
              <w:rPr>
                <w:lang w:eastAsia="en-US"/>
              </w:rPr>
            </w:pPr>
            <w:r>
              <w:rPr>
                <w:lang w:eastAsia="en-US"/>
              </w:rPr>
              <w:t>Local climate regulation</w:t>
            </w:r>
          </w:p>
        </w:tc>
        <w:tc>
          <w:tcPr>
            <w:tcW w:w="1389" w:type="dxa"/>
          </w:tcPr>
          <w:p w14:paraId="0FCF201F" w14:textId="3FCCA24B"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8101091"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3B585335"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467CEB80" w14:textId="2FB8FAD6"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41635FC6"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C5DF357"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5B4D2439"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397393D2"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21FAB575" w14:textId="4AF08368"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90" w:type="dxa"/>
          </w:tcPr>
          <w:p w14:paraId="2A101F00"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2198" w:type="dxa"/>
          </w:tcPr>
          <w:p w14:paraId="47820024" w14:textId="175412C0"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1</w:t>
            </w:r>
          </w:p>
        </w:tc>
        <w:tc>
          <w:tcPr>
            <w:tcW w:w="1201" w:type="dxa"/>
            <w:shd w:val="clear" w:color="auto" w:fill="FFC000"/>
          </w:tcPr>
          <w:p w14:paraId="614C474F" w14:textId="6AA456D9"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1</w:t>
            </w:r>
          </w:p>
        </w:tc>
      </w:tr>
      <w:tr w:rsidR="00BB746F" w14:paraId="2942A6D4" w14:textId="77777777" w:rsidTr="00666947">
        <w:tc>
          <w:tcPr>
            <w:cnfStyle w:val="001000000000" w:firstRow="0" w:lastRow="0" w:firstColumn="1" w:lastColumn="0" w:oddVBand="0" w:evenVBand="0" w:oddHBand="0" w:evenHBand="0" w:firstRowFirstColumn="0" w:firstRowLastColumn="0" w:lastRowFirstColumn="0" w:lastRowLastColumn="0"/>
            <w:tcW w:w="1418" w:type="dxa"/>
            <w:vMerge/>
            <w:shd w:val="clear" w:color="auto" w:fill="004C97" w:themeFill="accent1"/>
          </w:tcPr>
          <w:p w14:paraId="19EE40F3" w14:textId="77777777" w:rsidR="00BB746F" w:rsidRDefault="00BB746F" w:rsidP="00FA18A0">
            <w:pPr>
              <w:pStyle w:val="TableHeadingLeft"/>
              <w:rPr>
                <w:lang w:eastAsia="en-US"/>
              </w:rPr>
            </w:pPr>
          </w:p>
        </w:tc>
        <w:tc>
          <w:tcPr>
            <w:tcW w:w="2835" w:type="dxa"/>
            <w:shd w:val="clear" w:color="auto" w:fill="CCDBEA" w:themeFill="background2"/>
          </w:tcPr>
          <w:p w14:paraId="37DB19D5" w14:textId="54CAA248" w:rsidR="00BB746F" w:rsidRDefault="00BB746F" w:rsidP="00FA18A0">
            <w:pPr>
              <w:pStyle w:val="BodyText"/>
              <w:cnfStyle w:val="000000000000" w:firstRow="0" w:lastRow="0" w:firstColumn="0" w:lastColumn="0" w:oddVBand="0" w:evenVBand="0" w:oddHBand="0" w:evenHBand="0" w:firstRowFirstColumn="0" w:firstRowLastColumn="0" w:lastRowFirstColumn="0" w:lastRowLastColumn="0"/>
              <w:rPr>
                <w:lang w:eastAsia="en-US"/>
              </w:rPr>
            </w:pPr>
            <w:r>
              <w:rPr>
                <w:lang w:eastAsia="en-US"/>
              </w:rPr>
              <w:t>Noise and smell</w:t>
            </w:r>
          </w:p>
        </w:tc>
        <w:tc>
          <w:tcPr>
            <w:tcW w:w="1389" w:type="dxa"/>
          </w:tcPr>
          <w:p w14:paraId="643E714F" w14:textId="0E3239AB"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4A8DC508"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3BCC9BDF"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33849D4B"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01931394"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0262B344"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F83E869"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2277C5AB"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67E7012E"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90" w:type="dxa"/>
          </w:tcPr>
          <w:p w14:paraId="242531EB"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2198" w:type="dxa"/>
          </w:tcPr>
          <w:p w14:paraId="41F8CB54"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201" w:type="dxa"/>
            <w:shd w:val="clear" w:color="auto" w:fill="FF7E79"/>
          </w:tcPr>
          <w:p w14:paraId="009D2FE2" w14:textId="3DA4B8B2"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0</w:t>
            </w:r>
          </w:p>
        </w:tc>
      </w:tr>
      <w:tr w:rsidR="00BB746F" w14:paraId="6F8AB229" w14:textId="77777777" w:rsidTr="00666947">
        <w:tc>
          <w:tcPr>
            <w:cnfStyle w:val="001000000000" w:firstRow="0" w:lastRow="0" w:firstColumn="1" w:lastColumn="0" w:oddVBand="0" w:evenVBand="0" w:oddHBand="0" w:evenHBand="0" w:firstRowFirstColumn="0" w:firstRowLastColumn="0" w:lastRowFirstColumn="0" w:lastRowLastColumn="0"/>
            <w:tcW w:w="1418" w:type="dxa"/>
            <w:vMerge/>
            <w:shd w:val="clear" w:color="auto" w:fill="004C97" w:themeFill="accent1"/>
          </w:tcPr>
          <w:p w14:paraId="406D1864" w14:textId="77777777" w:rsidR="00BB746F" w:rsidRDefault="00BB746F" w:rsidP="00FA18A0">
            <w:pPr>
              <w:pStyle w:val="TableHeadingLeft"/>
              <w:rPr>
                <w:lang w:eastAsia="en-US"/>
              </w:rPr>
            </w:pPr>
          </w:p>
        </w:tc>
        <w:tc>
          <w:tcPr>
            <w:tcW w:w="2835" w:type="dxa"/>
            <w:shd w:val="clear" w:color="auto" w:fill="CCDBEA" w:themeFill="background2"/>
          </w:tcPr>
          <w:p w14:paraId="609164DB" w14:textId="01B3DA09" w:rsidR="00BB746F" w:rsidRDefault="00BB746F" w:rsidP="00FA18A0">
            <w:pPr>
              <w:pStyle w:val="BodyText"/>
              <w:cnfStyle w:val="000000000000" w:firstRow="0" w:lastRow="0" w:firstColumn="0" w:lastColumn="0" w:oddVBand="0" w:evenVBand="0" w:oddHBand="0" w:evenHBand="0" w:firstRowFirstColumn="0" w:firstRowLastColumn="0" w:lastRowFirstColumn="0" w:lastRowLastColumn="0"/>
              <w:rPr>
                <w:lang w:eastAsia="en-US"/>
              </w:rPr>
            </w:pPr>
            <w:r>
              <w:rPr>
                <w:lang w:eastAsia="en-US"/>
              </w:rPr>
              <w:t>Recreation</w:t>
            </w:r>
          </w:p>
        </w:tc>
        <w:tc>
          <w:tcPr>
            <w:tcW w:w="1389" w:type="dxa"/>
          </w:tcPr>
          <w:p w14:paraId="344D7A2A" w14:textId="6B7AC982"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B545BD3" w14:textId="4586A566"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3</w:t>
            </w:r>
          </w:p>
        </w:tc>
        <w:tc>
          <w:tcPr>
            <w:tcW w:w="1389" w:type="dxa"/>
          </w:tcPr>
          <w:p w14:paraId="0E537AD5"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339BF44D" w14:textId="59841E75"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1</w:t>
            </w:r>
          </w:p>
        </w:tc>
        <w:tc>
          <w:tcPr>
            <w:tcW w:w="1389" w:type="dxa"/>
          </w:tcPr>
          <w:p w14:paraId="00F80D49" w14:textId="6F60B0C5"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1</w:t>
            </w:r>
          </w:p>
        </w:tc>
        <w:tc>
          <w:tcPr>
            <w:tcW w:w="1389" w:type="dxa"/>
          </w:tcPr>
          <w:p w14:paraId="47225ECB"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0C9B7136"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4252CCEE"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7D8C95A8" w14:textId="2278C05A"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2</w:t>
            </w:r>
          </w:p>
        </w:tc>
        <w:tc>
          <w:tcPr>
            <w:tcW w:w="1390" w:type="dxa"/>
          </w:tcPr>
          <w:p w14:paraId="15564E03"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2198" w:type="dxa"/>
          </w:tcPr>
          <w:p w14:paraId="2AFB85DC" w14:textId="0F5FFCB6"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4</w:t>
            </w:r>
          </w:p>
        </w:tc>
        <w:tc>
          <w:tcPr>
            <w:tcW w:w="1201" w:type="dxa"/>
            <w:shd w:val="clear" w:color="auto" w:fill="00B050"/>
          </w:tcPr>
          <w:p w14:paraId="0E4B0851" w14:textId="1EF13F08"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11</w:t>
            </w:r>
          </w:p>
        </w:tc>
      </w:tr>
      <w:tr w:rsidR="00BB746F" w14:paraId="207D95EF" w14:textId="77777777" w:rsidTr="00666947">
        <w:tc>
          <w:tcPr>
            <w:cnfStyle w:val="001000000000" w:firstRow="0" w:lastRow="0" w:firstColumn="1" w:lastColumn="0" w:oddVBand="0" w:evenVBand="0" w:oddHBand="0" w:evenHBand="0" w:firstRowFirstColumn="0" w:firstRowLastColumn="0" w:lastRowFirstColumn="0" w:lastRowLastColumn="0"/>
            <w:tcW w:w="1418" w:type="dxa"/>
            <w:vMerge/>
            <w:shd w:val="clear" w:color="auto" w:fill="004C97" w:themeFill="accent1"/>
          </w:tcPr>
          <w:p w14:paraId="2462A175" w14:textId="77777777" w:rsidR="00BB746F" w:rsidRDefault="00BB746F" w:rsidP="00FA18A0">
            <w:pPr>
              <w:pStyle w:val="TableHeadingLeft"/>
              <w:rPr>
                <w:lang w:eastAsia="en-US"/>
              </w:rPr>
            </w:pPr>
          </w:p>
        </w:tc>
        <w:tc>
          <w:tcPr>
            <w:tcW w:w="2835" w:type="dxa"/>
            <w:shd w:val="clear" w:color="auto" w:fill="CCDBEA" w:themeFill="background2"/>
          </w:tcPr>
          <w:p w14:paraId="06C0415A" w14:textId="47344E15" w:rsidR="00BB746F" w:rsidRDefault="00BB746F" w:rsidP="00FA18A0">
            <w:pPr>
              <w:pStyle w:val="BodyText"/>
              <w:cnfStyle w:val="000000000000" w:firstRow="0" w:lastRow="0" w:firstColumn="0" w:lastColumn="0" w:oddVBand="0" w:evenVBand="0" w:oddHBand="0" w:evenHBand="0" w:firstRowFirstColumn="0" w:firstRowLastColumn="0" w:lastRowFirstColumn="0" w:lastRowLastColumn="0"/>
              <w:rPr>
                <w:lang w:eastAsia="en-US"/>
              </w:rPr>
            </w:pPr>
            <w:r>
              <w:rPr>
                <w:lang w:eastAsia="en-US"/>
              </w:rPr>
              <w:t>Social / community cohesion</w:t>
            </w:r>
          </w:p>
        </w:tc>
        <w:tc>
          <w:tcPr>
            <w:tcW w:w="1389" w:type="dxa"/>
          </w:tcPr>
          <w:p w14:paraId="76D8C08B" w14:textId="44D6FD4D"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745F99CA" w14:textId="2EDB8F42"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1</w:t>
            </w:r>
          </w:p>
        </w:tc>
        <w:tc>
          <w:tcPr>
            <w:tcW w:w="1389" w:type="dxa"/>
          </w:tcPr>
          <w:p w14:paraId="129BDFFC"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00EC74EF"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0A4E92A6" w14:textId="0657E1C0"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035CA906"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4CD0B6F"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93C5EA8"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3C080D24"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90" w:type="dxa"/>
          </w:tcPr>
          <w:p w14:paraId="1BECDF75"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2198" w:type="dxa"/>
          </w:tcPr>
          <w:p w14:paraId="69453E4E" w14:textId="706E84FE"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1</w:t>
            </w:r>
          </w:p>
        </w:tc>
        <w:tc>
          <w:tcPr>
            <w:tcW w:w="1201" w:type="dxa"/>
            <w:shd w:val="clear" w:color="auto" w:fill="FF9300"/>
          </w:tcPr>
          <w:p w14:paraId="20741606" w14:textId="280BD6DF"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2</w:t>
            </w:r>
          </w:p>
        </w:tc>
      </w:tr>
      <w:tr w:rsidR="00BB746F" w14:paraId="6EE3BFEB" w14:textId="77777777" w:rsidTr="00666947">
        <w:tc>
          <w:tcPr>
            <w:cnfStyle w:val="001000000000" w:firstRow="0" w:lastRow="0" w:firstColumn="1" w:lastColumn="0" w:oddVBand="0" w:evenVBand="0" w:oddHBand="0" w:evenHBand="0" w:firstRowFirstColumn="0" w:firstRowLastColumn="0" w:lastRowFirstColumn="0" w:lastRowLastColumn="0"/>
            <w:tcW w:w="1418" w:type="dxa"/>
            <w:vMerge/>
            <w:shd w:val="clear" w:color="auto" w:fill="004C97" w:themeFill="accent1"/>
          </w:tcPr>
          <w:p w14:paraId="55936E76" w14:textId="77777777" w:rsidR="00BB746F" w:rsidRDefault="00BB746F" w:rsidP="00FA18A0">
            <w:pPr>
              <w:pStyle w:val="TableHeadingLeft"/>
              <w:rPr>
                <w:lang w:eastAsia="en-US"/>
              </w:rPr>
            </w:pPr>
          </w:p>
        </w:tc>
        <w:tc>
          <w:tcPr>
            <w:tcW w:w="2835" w:type="dxa"/>
            <w:shd w:val="clear" w:color="auto" w:fill="CCDBEA" w:themeFill="background2"/>
          </w:tcPr>
          <w:p w14:paraId="12A122EB" w14:textId="05C081AB" w:rsidR="00BB746F" w:rsidRDefault="00BB746F" w:rsidP="00FA18A0">
            <w:pPr>
              <w:pStyle w:val="BodyText"/>
              <w:cnfStyle w:val="000000000000" w:firstRow="0" w:lastRow="0" w:firstColumn="0" w:lastColumn="0" w:oddVBand="0" w:evenVBand="0" w:oddHBand="0" w:evenHBand="0" w:firstRowFirstColumn="0" w:firstRowLastColumn="0" w:lastRowFirstColumn="0" w:lastRowLastColumn="0"/>
              <w:rPr>
                <w:lang w:eastAsia="en-US"/>
              </w:rPr>
            </w:pPr>
            <w:r>
              <w:rPr>
                <w:lang w:eastAsia="en-US"/>
              </w:rPr>
              <w:t>Tourism</w:t>
            </w:r>
          </w:p>
        </w:tc>
        <w:tc>
          <w:tcPr>
            <w:tcW w:w="1389" w:type="dxa"/>
          </w:tcPr>
          <w:p w14:paraId="14019A82" w14:textId="1897CD06"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C912773"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07A31F6D"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7F9585D"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53BFB15D" w14:textId="75F3FC51"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7C0424DB"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4606F13A"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36107BA"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0C723341"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90" w:type="dxa"/>
          </w:tcPr>
          <w:p w14:paraId="1424FF6F"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2198" w:type="dxa"/>
          </w:tcPr>
          <w:p w14:paraId="6A680F5A" w14:textId="5AF0EAED"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6</w:t>
            </w:r>
          </w:p>
        </w:tc>
        <w:tc>
          <w:tcPr>
            <w:tcW w:w="1201" w:type="dxa"/>
            <w:shd w:val="clear" w:color="auto" w:fill="92D050"/>
          </w:tcPr>
          <w:p w14:paraId="3521DB38" w14:textId="693EEEFE"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6</w:t>
            </w:r>
          </w:p>
        </w:tc>
      </w:tr>
      <w:tr w:rsidR="00BB746F" w14:paraId="2B766A66" w14:textId="77777777" w:rsidTr="00666947">
        <w:tc>
          <w:tcPr>
            <w:cnfStyle w:val="001000000000" w:firstRow="0" w:lastRow="0" w:firstColumn="1" w:lastColumn="0" w:oddVBand="0" w:evenVBand="0" w:oddHBand="0" w:evenHBand="0" w:firstRowFirstColumn="0" w:firstRowLastColumn="0" w:lastRowFirstColumn="0" w:lastRowLastColumn="0"/>
            <w:tcW w:w="1418" w:type="dxa"/>
            <w:vMerge/>
            <w:shd w:val="clear" w:color="auto" w:fill="004C97" w:themeFill="accent1"/>
          </w:tcPr>
          <w:p w14:paraId="05A0F9A3" w14:textId="77777777" w:rsidR="00BB746F" w:rsidRDefault="00BB746F" w:rsidP="00FA18A0">
            <w:pPr>
              <w:pStyle w:val="TableHeadingLeft"/>
              <w:rPr>
                <w:lang w:eastAsia="en-US"/>
              </w:rPr>
            </w:pPr>
          </w:p>
        </w:tc>
        <w:tc>
          <w:tcPr>
            <w:tcW w:w="2835" w:type="dxa"/>
            <w:shd w:val="clear" w:color="auto" w:fill="CCDBEA" w:themeFill="background2"/>
          </w:tcPr>
          <w:p w14:paraId="0E19FD0F" w14:textId="0B59A888" w:rsidR="00BB746F" w:rsidRDefault="00BB746F" w:rsidP="00FA18A0">
            <w:pPr>
              <w:pStyle w:val="BodyText"/>
              <w:cnfStyle w:val="000000000000" w:firstRow="0" w:lastRow="0" w:firstColumn="0" w:lastColumn="0" w:oddVBand="0" w:evenVBand="0" w:oddHBand="0" w:evenHBand="0" w:firstRowFirstColumn="0" w:firstRowLastColumn="0" w:lastRowFirstColumn="0" w:lastRowLastColumn="0"/>
              <w:rPr>
                <w:lang w:eastAsia="en-US"/>
              </w:rPr>
            </w:pPr>
            <w:r>
              <w:rPr>
                <w:lang w:eastAsia="en-US"/>
              </w:rPr>
              <w:t>Water provision</w:t>
            </w:r>
          </w:p>
        </w:tc>
        <w:tc>
          <w:tcPr>
            <w:tcW w:w="1389" w:type="dxa"/>
          </w:tcPr>
          <w:p w14:paraId="0B958B48" w14:textId="4AC54CA4"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030D01F4"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25108D5B"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070BA7B0"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652CB1C0" w14:textId="2A59F33E"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7EABF008"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25246895"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00CCD168"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4C8A3BE0"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90" w:type="dxa"/>
          </w:tcPr>
          <w:p w14:paraId="6E27E9F3"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2198" w:type="dxa"/>
          </w:tcPr>
          <w:p w14:paraId="0C46F1F6" w14:textId="67715A1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2</w:t>
            </w:r>
          </w:p>
        </w:tc>
        <w:tc>
          <w:tcPr>
            <w:tcW w:w="1201" w:type="dxa"/>
            <w:shd w:val="clear" w:color="auto" w:fill="FF9300"/>
          </w:tcPr>
          <w:p w14:paraId="18BD2663" w14:textId="2E637924"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2</w:t>
            </w:r>
          </w:p>
        </w:tc>
      </w:tr>
      <w:tr w:rsidR="00BB746F" w14:paraId="02770AA1" w14:textId="77777777" w:rsidTr="00666947">
        <w:tc>
          <w:tcPr>
            <w:cnfStyle w:val="001000000000" w:firstRow="0" w:lastRow="0" w:firstColumn="1" w:lastColumn="0" w:oddVBand="0" w:evenVBand="0" w:oddHBand="0" w:evenHBand="0" w:firstRowFirstColumn="0" w:firstRowLastColumn="0" w:lastRowFirstColumn="0" w:lastRowLastColumn="0"/>
            <w:tcW w:w="1418" w:type="dxa"/>
            <w:vMerge/>
            <w:tcBorders>
              <w:bottom w:val="nil"/>
            </w:tcBorders>
            <w:shd w:val="clear" w:color="auto" w:fill="004C97" w:themeFill="accent1"/>
          </w:tcPr>
          <w:p w14:paraId="6ADB2F42" w14:textId="77777777" w:rsidR="00BB746F" w:rsidRDefault="00BB746F" w:rsidP="00FA18A0">
            <w:pPr>
              <w:pStyle w:val="TableHeadingLeft"/>
              <w:rPr>
                <w:lang w:eastAsia="en-US"/>
              </w:rPr>
            </w:pPr>
          </w:p>
        </w:tc>
        <w:tc>
          <w:tcPr>
            <w:tcW w:w="2835" w:type="dxa"/>
            <w:shd w:val="clear" w:color="auto" w:fill="CCDBEA" w:themeFill="background2"/>
          </w:tcPr>
          <w:p w14:paraId="75B0E365" w14:textId="28FF6F80" w:rsidR="00BB746F" w:rsidRDefault="00BB746F" w:rsidP="00FA18A0">
            <w:pPr>
              <w:pStyle w:val="BodyText"/>
              <w:cnfStyle w:val="000000000000" w:firstRow="0" w:lastRow="0" w:firstColumn="0" w:lastColumn="0" w:oddVBand="0" w:evenVBand="0" w:oddHBand="0" w:evenHBand="0" w:firstRowFirstColumn="0" w:firstRowLastColumn="0" w:lastRowFirstColumn="0" w:lastRowLastColumn="0"/>
              <w:rPr>
                <w:lang w:eastAsia="en-US"/>
              </w:rPr>
            </w:pPr>
            <w:r>
              <w:rPr>
                <w:lang w:eastAsia="en-US"/>
              </w:rPr>
              <w:t xml:space="preserve">Water quality </w:t>
            </w:r>
            <w:r w:rsidR="00B84D25">
              <w:rPr>
                <w:lang w:eastAsia="en-US"/>
              </w:rPr>
              <w:t>regulation</w:t>
            </w:r>
          </w:p>
        </w:tc>
        <w:tc>
          <w:tcPr>
            <w:tcW w:w="1389" w:type="dxa"/>
          </w:tcPr>
          <w:p w14:paraId="1E10939A"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7CFB42CC"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4E3E93BB"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51B63DEE"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5772BADC"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67777D3C"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6E0C558A"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6A3A7ACD"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60860B6C"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90" w:type="dxa"/>
          </w:tcPr>
          <w:p w14:paraId="11711F3B" w14:textId="77777777"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2198" w:type="dxa"/>
          </w:tcPr>
          <w:p w14:paraId="3BC7CA9D" w14:textId="029A15F3"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2</w:t>
            </w:r>
          </w:p>
        </w:tc>
        <w:tc>
          <w:tcPr>
            <w:tcW w:w="1201" w:type="dxa"/>
            <w:tcBorders>
              <w:bottom w:val="single" w:sz="4" w:space="0" w:color="auto"/>
            </w:tcBorders>
            <w:shd w:val="clear" w:color="auto" w:fill="FF9300"/>
          </w:tcPr>
          <w:p w14:paraId="7AB4BB01" w14:textId="384A048F" w:rsidR="00BB746F" w:rsidRDefault="00BB746F"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2</w:t>
            </w:r>
          </w:p>
        </w:tc>
      </w:tr>
      <w:tr w:rsidR="000865B4" w14:paraId="21370F5C" w14:textId="77777777" w:rsidTr="00BB746F">
        <w:tc>
          <w:tcPr>
            <w:cnfStyle w:val="001000000000" w:firstRow="0" w:lastRow="0" w:firstColumn="1" w:lastColumn="0" w:oddVBand="0" w:evenVBand="0" w:oddHBand="0" w:evenHBand="0" w:firstRowFirstColumn="0" w:firstRowLastColumn="0" w:lastRowFirstColumn="0" w:lastRowLastColumn="0"/>
            <w:tcW w:w="1418" w:type="dxa"/>
            <w:tcBorders>
              <w:top w:val="nil"/>
              <w:bottom w:val="single" w:sz="4" w:space="0" w:color="auto"/>
            </w:tcBorders>
            <w:shd w:val="clear" w:color="auto" w:fill="201547" w:themeFill="text2"/>
          </w:tcPr>
          <w:p w14:paraId="1FFD0E19" w14:textId="28A6A46F" w:rsidR="00BE1FA1" w:rsidRDefault="007375E5" w:rsidP="00BE1FA1">
            <w:pPr>
              <w:pStyle w:val="TableHeadingLeft"/>
              <w:rPr>
                <w:lang w:eastAsia="en-US"/>
              </w:rPr>
            </w:pPr>
            <w:r>
              <w:rPr>
                <w:lang w:eastAsia="en-US"/>
              </w:rPr>
              <w:t>Total</w:t>
            </w:r>
          </w:p>
        </w:tc>
        <w:tc>
          <w:tcPr>
            <w:tcW w:w="2835" w:type="dxa"/>
            <w:tcBorders>
              <w:bottom w:val="single" w:sz="4" w:space="0" w:color="auto"/>
            </w:tcBorders>
            <w:shd w:val="clear" w:color="auto" w:fill="201547" w:themeFill="text2"/>
          </w:tcPr>
          <w:p w14:paraId="2BACB0ED" w14:textId="77777777" w:rsidR="00BE1FA1" w:rsidRDefault="00BE1FA1" w:rsidP="009722D9">
            <w:pPr>
              <w:pStyle w:val="BodyText"/>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Borders>
              <w:bottom w:val="single" w:sz="4" w:space="0" w:color="auto"/>
            </w:tcBorders>
            <w:shd w:val="clear" w:color="auto" w:fill="FF7E79"/>
          </w:tcPr>
          <w:p w14:paraId="4A12A5DB" w14:textId="31D0881B" w:rsidR="00BE1FA1" w:rsidRDefault="00FA18A0"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0</w:t>
            </w:r>
          </w:p>
        </w:tc>
        <w:tc>
          <w:tcPr>
            <w:tcW w:w="1389" w:type="dxa"/>
            <w:tcBorders>
              <w:bottom w:val="single" w:sz="4" w:space="0" w:color="auto"/>
            </w:tcBorders>
            <w:shd w:val="clear" w:color="auto" w:fill="00B050"/>
          </w:tcPr>
          <w:p w14:paraId="4871950E" w14:textId="78504EAB" w:rsidR="00BE1FA1" w:rsidRDefault="00FA18A0"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16</w:t>
            </w:r>
          </w:p>
        </w:tc>
        <w:tc>
          <w:tcPr>
            <w:tcW w:w="1389" w:type="dxa"/>
            <w:tcBorders>
              <w:bottom w:val="single" w:sz="4" w:space="0" w:color="auto"/>
            </w:tcBorders>
            <w:shd w:val="clear" w:color="auto" w:fill="FF7E79"/>
          </w:tcPr>
          <w:p w14:paraId="48701366" w14:textId="3BE6E863" w:rsidR="00BE1FA1" w:rsidRDefault="00FA18A0"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0</w:t>
            </w:r>
          </w:p>
        </w:tc>
        <w:tc>
          <w:tcPr>
            <w:tcW w:w="1389" w:type="dxa"/>
            <w:tcBorders>
              <w:bottom w:val="single" w:sz="4" w:space="0" w:color="auto"/>
            </w:tcBorders>
            <w:shd w:val="clear" w:color="auto" w:fill="92D050"/>
          </w:tcPr>
          <w:p w14:paraId="0EA51DAE" w14:textId="246DF7F5" w:rsidR="00BE1FA1" w:rsidRDefault="00FA18A0"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7</w:t>
            </w:r>
          </w:p>
        </w:tc>
        <w:tc>
          <w:tcPr>
            <w:tcW w:w="1389" w:type="dxa"/>
            <w:tcBorders>
              <w:bottom w:val="single" w:sz="4" w:space="0" w:color="auto"/>
            </w:tcBorders>
            <w:shd w:val="clear" w:color="auto" w:fill="FF9300"/>
          </w:tcPr>
          <w:p w14:paraId="6F7045B8" w14:textId="29CE2B40" w:rsidR="00BE1FA1" w:rsidRDefault="00FA18A0"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2</w:t>
            </w:r>
          </w:p>
        </w:tc>
        <w:tc>
          <w:tcPr>
            <w:tcW w:w="1389" w:type="dxa"/>
            <w:tcBorders>
              <w:bottom w:val="single" w:sz="4" w:space="0" w:color="auto"/>
            </w:tcBorders>
            <w:shd w:val="clear" w:color="auto" w:fill="FF7E79"/>
          </w:tcPr>
          <w:p w14:paraId="412F95CF" w14:textId="655E0765" w:rsidR="00BE1FA1" w:rsidRDefault="00FA18A0"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0</w:t>
            </w:r>
          </w:p>
        </w:tc>
        <w:tc>
          <w:tcPr>
            <w:tcW w:w="1389" w:type="dxa"/>
            <w:tcBorders>
              <w:bottom w:val="single" w:sz="4" w:space="0" w:color="auto"/>
            </w:tcBorders>
            <w:shd w:val="clear" w:color="auto" w:fill="FF7E79"/>
          </w:tcPr>
          <w:p w14:paraId="59930AAD" w14:textId="634EA307" w:rsidR="00BE1FA1" w:rsidRDefault="00FA18A0"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0</w:t>
            </w:r>
          </w:p>
        </w:tc>
        <w:tc>
          <w:tcPr>
            <w:tcW w:w="1389" w:type="dxa"/>
            <w:tcBorders>
              <w:bottom w:val="single" w:sz="4" w:space="0" w:color="auto"/>
            </w:tcBorders>
            <w:shd w:val="clear" w:color="auto" w:fill="FF7E79"/>
          </w:tcPr>
          <w:p w14:paraId="790D7EF0" w14:textId="5AD12E9D" w:rsidR="00BE1FA1" w:rsidRDefault="00FA18A0"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0</w:t>
            </w:r>
          </w:p>
        </w:tc>
        <w:tc>
          <w:tcPr>
            <w:tcW w:w="1389" w:type="dxa"/>
            <w:tcBorders>
              <w:bottom w:val="single" w:sz="4" w:space="0" w:color="auto"/>
            </w:tcBorders>
            <w:shd w:val="clear" w:color="auto" w:fill="92D050"/>
          </w:tcPr>
          <w:p w14:paraId="15CBB334" w14:textId="70171BAB" w:rsidR="00BE1FA1" w:rsidRDefault="00FA18A0"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10</w:t>
            </w:r>
          </w:p>
        </w:tc>
        <w:tc>
          <w:tcPr>
            <w:tcW w:w="1390" w:type="dxa"/>
            <w:tcBorders>
              <w:bottom w:val="single" w:sz="4" w:space="0" w:color="auto"/>
            </w:tcBorders>
            <w:shd w:val="clear" w:color="auto" w:fill="FF7E79"/>
          </w:tcPr>
          <w:p w14:paraId="42A688AA" w14:textId="418D6D27" w:rsidR="00BE1FA1" w:rsidRDefault="00FA18A0"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0</w:t>
            </w:r>
          </w:p>
        </w:tc>
        <w:tc>
          <w:tcPr>
            <w:tcW w:w="2198" w:type="dxa"/>
            <w:tcBorders>
              <w:bottom w:val="single" w:sz="4" w:space="0" w:color="auto"/>
            </w:tcBorders>
            <w:shd w:val="clear" w:color="auto" w:fill="00B050"/>
          </w:tcPr>
          <w:p w14:paraId="09D5B322" w14:textId="69043D36" w:rsidR="00BE1FA1" w:rsidRDefault="00FA18A0"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30</w:t>
            </w:r>
          </w:p>
        </w:tc>
        <w:tc>
          <w:tcPr>
            <w:tcW w:w="1201" w:type="dxa"/>
            <w:tcBorders>
              <w:top w:val="single" w:sz="4" w:space="0" w:color="auto"/>
              <w:bottom w:val="nil"/>
            </w:tcBorders>
          </w:tcPr>
          <w:p w14:paraId="6645DCDE" w14:textId="2BDF804E" w:rsidR="00BE1FA1" w:rsidRDefault="00BE1FA1" w:rsidP="008468A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r>
    </w:tbl>
    <w:p w14:paraId="315F7DA6" w14:textId="77777777" w:rsidR="00F50B5A" w:rsidRPr="002F335D" w:rsidRDefault="00F50B5A" w:rsidP="009722D9">
      <w:pPr>
        <w:pStyle w:val="BodyText"/>
        <w:rPr>
          <w:lang w:eastAsia="en-US"/>
        </w:rPr>
      </w:pPr>
    </w:p>
    <w:p w14:paraId="24077001" w14:textId="77777777" w:rsidR="00F50B5A" w:rsidRPr="002F335D" w:rsidRDefault="00F50B5A" w:rsidP="009722D9">
      <w:pPr>
        <w:pStyle w:val="BodyText"/>
        <w:rPr>
          <w:lang w:eastAsia="en-US"/>
        </w:rPr>
        <w:sectPr w:rsidR="00F50B5A" w:rsidRPr="002F335D" w:rsidSect="00E52A9A">
          <w:headerReference w:type="even" r:id="rId358"/>
          <w:headerReference w:type="default" r:id="rId359"/>
          <w:footerReference w:type="default" r:id="rId360"/>
          <w:pgSz w:w="23811" w:h="16838" w:orient="landscape" w:code="8"/>
          <w:pgMar w:top="1134" w:right="1134" w:bottom="1134" w:left="1134" w:header="283" w:footer="283" w:gutter="0"/>
          <w:cols w:space="284"/>
          <w:docGrid w:linePitch="360"/>
        </w:sectPr>
      </w:pPr>
    </w:p>
    <w:p w14:paraId="4C60A81C" w14:textId="01E845E0" w:rsidR="00F50B5A" w:rsidRDefault="00F50B5A" w:rsidP="009722D9">
      <w:pPr>
        <w:pStyle w:val="Caption"/>
        <w:rPr>
          <w:lang w:eastAsia="en-US"/>
        </w:rPr>
      </w:pPr>
      <w:r w:rsidRPr="002F335D">
        <w:rPr>
          <w:lang w:eastAsia="en-US"/>
        </w:rPr>
        <w:lastRenderedPageBreak/>
        <w:t xml:space="preserve">Figure </w:t>
      </w:r>
      <w:r>
        <w:rPr>
          <w:lang w:eastAsia="en-US"/>
        </w:rPr>
        <w:t>A3.2.</w:t>
      </w:r>
      <w:r w:rsidRPr="002F335D">
        <w:rPr>
          <w:lang w:eastAsia="en-US"/>
        </w:rPr>
        <w:t xml:space="preserve"> Depth of relevant evidence identified on monetary value of ecosystem services from ecosystem assets in Great Ocean Road </w:t>
      </w:r>
      <w:r>
        <w:rPr>
          <w:lang w:eastAsia="en-US"/>
        </w:rPr>
        <w:t>Coast and Parks</w:t>
      </w:r>
    </w:p>
    <w:p w14:paraId="24A66FD0" w14:textId="260DEDE4" w:rsidR="00BB746F" w:rsidRPr="005E569B" w:rsidRDefault="00BB746F" w:rsidP="005E569B">
      <w:pPr>
        <w:pStyle w:val="BodyText"/>
        <w:rPr>
          <w:lang w:eastAsia="en-US"/>
        </w:rPr>
      </w:pPr>
    </w:p>
    <w:tbl>
      <w:tblPr>
        <w:tblStyle w:val="TableGrid"/>
        <w:tblW w:w="0" w:type="auto"/>
        <w:tblLayout w:type="fixed"/>
        <w:tblLook w:val="04A0" w:firstRow="1" w:lastRow="0" w:firstColumn="1" w:lastColumn="0" w:noHBand="0" w:noVBand="1"/>
      </w:tblPr>
      <w:tblGrid>
        <w:gridCol w:w="1418"/>
        <w:gridCol w:w="2835"/>
        <w:gridCol w:w="1389"/>
        <w:gridCol w:w="1389"/>
        <w:gridCol w:w="1389"/>
        <w:gridCol w:w="1389"/>
        <w:gridCol w:w="1389"/>
        <w:gridCol w:w="1389"/>
        <w:gridCol w:w="1389"/>
        <w:gridCol w:w="1389"/>
        <w:gridCol w:w="1389"/>
        <w:gridCol w:w="1390"/>
        <w:gridCol w:w="2198"/>
        <w:gridCol w:w="1201"/>
      </w:tblGrid>
      <w:tr w:rsidR="00BB746F" w14:paraId="799C7D1C" w14:textId="77777777" w:rsidTr="006669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shd w:val="clear" w:color="auto" w:fill="auto"/>
          </w:tcPr>
          <w:p w14:paraId="7858F187" w14:textId="23232941" w:rsidR="00BB746F" w:rsidRDefault="00BB746F" w:rsidP="00666947">
            <w:pPr>
              <w:pStyle w:val="TableHeadingLeft"/>
              <w:rPr>
                <w:lang w:eastAsia="en-US"/>
              </w:rPr>
            </w:pPr>
          </w:p>
        </w:tc>
        <w:tc>
          <w:tcPr>
            <w:tcW w:w="2835" w:type="dxa"/>
            <w:shd w:val="clear" w:color="auto" w:fill="auto"/>
          </w:tcPr>
          <w:p w14:paraId="0736D36A" w14:textId="77777777" w:rsidR="00BB746F" w:rsidRDefault="00BB746F" w:rsidP="00666947">
            <w:pPr>
              <w:pStyle w:val="TableHeadingLeft"/>
              <w:cnfStyle w:val="100000000000" w:firstRow="1" w:lastRow="0" w:firstColumn="0" w:lastColumn="0" w:oddVBand="0" w:evenVBand="0" w:oddHBand="0" w:evenHBand="0" w:firstRowFirstColumn="0" w:firstRowLastColumn="0" w:lastRowFirstColumn="0" w:lastRowLastColumn="0"/>
              <w:rPr>
                <w:lang w:eastAsia="en-US"/>
              </w:rPr>
            </w:pPr>
          </w:p>
        </w:tc>
        <w:tc>
          <w:tcPr>
            <w:tcW w:w="13891" w:type="dxa"/>
            <w:gridSpan w:val="10"/>
            <w:tcBorders>
              <w:bottom w:val="single" w:sz="4" w:space="0" w:color="FFFFFF" w:themeColor="background1"/>
            </w:tcBorders>
          </w:tcPr>
          <w:p w14:paraId="5D59374A" w14:textId="77777777" w:rsidR="00BB746F" w:rsidRDefault="00BB746F" w:rsidP="00666947">
            <w:pPr>
              <w:pStyle w:val="TableHeadingLeft"/>
              <w:jc w:val="center"/>
              <w:cnfStyle w:val="100000000000" w:firstRow="1" w:lastRow="0" w:firstColumn="0" w:lastColumn="0" w:oddVBand="0" w:evenVBand="0" w:oddHBand="0" w:evenHBand="0" w:firstRowFirstColumn="0" w:firstRowLastColumn="0" w:lastRowFirstColumn="0" w:lastRowLastColumn="0"/>
              <w:rPr>
                <w:lang w:eastAsia="en-US"/>
              </w:rPr>
            </w:pPr>
            <w:r>
              <w:rPr>
                <w:lang w:eastAsia="en-US"/>
              </w:rPr>
              <w:t>Ecosystem asset</w:t>
            </w:r>
          </w:p>
        </w:tc>
        <w:tc>
          <w:tcPr>
            <w:tcW w:w="2198" w:type="dxa"/>
            <w:vMerge w:val="restart"/>
          </w:tcPr>
          <w:p w14:paraId="42AAEB0C" w14:textId="77777777" w:rsidR="00BB746F" w:rsidRDefault="00BB746F" w:rsidP="00666947">
            <w:pPr>
              <w:pStyle w:val="TableHeadingLeft"/>
              <w:jc w:val="center"/>
              <w:cnfStyle w:val="100000000000" w:firstRow="1" w:lastRow="0" w:firstColumn="0" w:lastColumn="0" w:oddVBand="0" w:evenVBand="0" w:oddHBand="0" w:evenHBand="0" w:firstRowFirstColumn="0" w:firstRowLastColumn="0" w:lastRowFirstColumn="0" w:lastRowLastColumn="0"/>
              <w:rPr>
                <w:lang w:eastAsia="en-US"/>
              </w:rPr>
            </w:pPr>
            <w:r>
              <w:rPr>
                <w:lang w:eastAsia="en-US"/>
              </w:rPr>
              <w:t>GORCAP</w:t>
            </w:r>
            <w:r>
              <w:rPr>
                <w:lang w:eastAsia="en-US"/>
              </w:rPr>
              <w:br/>
              <w:t>Non-asset specific/</w:t>
            </w:r>
            <w:r>
              <w:rPr>
                <w:lang w:eastAsia="en-US"/>
              </w:rPr>
              <w:br/>
              <w:t>cross-cutting info.</w:t>
            </w:r>
          </w:p>
        </w:tc>
        <w:tc>
          <w:tcPr>
            <w:tcW w:w="1201" w:type="dxa"/>
            <w:vMerge w:val="restart"/>
          </w:tcPr>
          <w:p w14:paraId="32080B0B" w14:textId="77777777" w:rsidR="00BB746F" w:rsidRDefault="00BB746F" w:rsidP="00666947">
            <w:pPr>
              <w:pStyle w:val="TableHeadingLeft"/>
              <w:jc w:val="center"/>
              <w:cnfStyle w:val="100000000000" w:firstRow="1" w:lastRow="0" w:firstColumn="0" w:lastColumn="0" w:oddVBand="0" w:evenVBand="0" w:oddHBand="0" w:evenHBand="0" w:firstRowFirstColumn="0" w:firstRowLastColumn="0" w:lastRowFirstColumn="0" w:lastRowLastColumn="0"/>
              <w:rPr>
                <w:lang w:eastAsia="en-US"/>
              </w:rPr>
            </w:pPr>
            <w:r>
              <w:rPr>
                <w:lang w:eastAsia="en-US"/>
              </w:rPr>
              <w:t>Total no. sources</w:t>
            </w:r>
          </w:p>
        </w:tc>
      </w:tr>
      <w:tr w:rsidR="00BB746F" w14:paraId="24793EE3" w14:textId="77777777" w:rsidTr="00666947">
        <w:tc>
          <w:tcPr>
            <w:cnfStyle w:val="001000000000" w:firstRow="0" w:lastRow="0" w:firstColumn="1" w:lastColumn="0" w:oddVBand="0" w:evenVBand="0" w:oddHBand="0" w:evenHBand="0" w:firstRowFirstColumn="0" w:firstRowLastColumn="0" w:lastRowFirstColumn="0" w:lastRowLastColumn="0"/>
            <w:tcW w:w="1418" w:type="dxa"/>
            <w:tcBorders>
              <w:top w:val="nil"/>
              <w:bottom w:val="nil"/>
            </w:tcBorders>
            <w:shd w:val="clear" w:color="auto" w:fill="auto"/>
          </w:tcPr>
          <w:p w14:paraId="03788C64" w14:textId="77777777" w:rsidR="00BB746F" w:rsidRDefault="00BB746F" w:rsidP="00666947">
            <w:pPr>
              <w:pStyle w:val="BodyText"/>
              <w:rPr>
                <w:lang w:eastAsia="en-US"/>
              </w:rPr>
            </w:pPr>
          </w:p>
        </w:tc>
        <w:tc>
          <w:tcPr>
            <w:tcW w:w="2835" w:type="dxa"/>
            <w:tcBorders>
              <w:top w:val="nil"/>
              <w:bottom w:val="single" w:sz="4" w:space="0" w:color="201547" w:themeColor="text2"/>
            </w:tcBorders>
            <w:shd w:val="clear" w:color="auto" w:fill="auto"/>
          </w:tcPr>
          <w:p w14:paraId="42AE9D7D" w14:textId="77777777" w:rsidR="00BB746F" w:rsidRDefault="00BB746F" w:rsidP="00666947">
            <w:pPr>
              <w:pStyle w:val="BodyText"/>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Borders>
              <w:top w:val="single" w:sz="4" w:space="0" w:color="FFFFFF" w:themeColor="background1"/>
            </w:tcBorders>
            <w:shd w:val="clear" w:color="auto" w:fill="004C97" w:themeFill="accent1"/>
          </w:tcPr>
          <w:p w14:paraId="3FDC90FD" w14:textId="77777777" w:rsidR="00BB746F" w:rsidRPr="00FA18A0"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b/>
                <w:bCs/>
                <w:color w:val="FFFFFF" w:themeColor="background1"/>
                <w:lang w:eastAsia="en-US"/>
              </w:rPr>
            </w:pPr>
            <w:r w:rsidRPr="00FA18A0">
              <w:rPr>
                <w:b/>
                <w:bCs/>
                <w:color w:val="FFFFFF" w:themeColor="background1"/>
                <w:lang w:eastAsia="en-US"/>
              </w:rPr>
              <w:t>Alpine</w:t>
            </w:r>
          </w:p>
        </w:tc>
        <w:tc>
          <w:tcPr>
            <w:tcW w:w="1389" w:type="dxa"/>
            <w:tcBorders>
              <w:top w:val="single" w:sz="4" w:space="0" w:color="FFFFFF" w:themeColor="background1"/>
            </w:tcBorders>
            <w:shd w:val="clear" w:color="auto" w:fill="004C97" w:themeFill="accent1"/>
          </w:tcPr>
          <w:p w14:paraId="0BB305D1" w14:textId="77777777" w:rsidR="00BB746F" w:rsidRPr="00FA18A0"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b/>
                <w:bCs/>
                <w:color w:val="FFFFFF" w:themeColor="background1"/>
                <w:lang w:eastAsia="en-US"/>
              </w:rPr>
            </w:pPr>
            <w:r w:rsidRPr="00FA18A0">
              <w:rPr>
                <w:b/>
                <w:bCs/>
                <w:color w:val="FFFFFF" w:themeColor="background1"/>
                <w:lang w:eastAsia="en-US"/>
              </w:rPr>
              <w:t>Coastal margins</w:t>
            </w:r>
          </w:p>
        </w:tc>
        <w:tc>
          <w:tcPr>
            <w:tcW w:w="1389" w:type="dxa"/>
            <w:tcBorders>
              <w:top w:val="single" w:sz="4" w:space="0" w:color="FFFFFF" w:themeColor="background1"/>
            </w:tcBorders>
            <w:shd w:val="clear" w:color="auto" w:fill="004C97" w:themeFill="accent1"/>
          </w:tcPr>
          <w:p w14:paraId="6DF2D679" w14:textId="77777777" w:rsidR="00BB746F" w:rsidRPr="00FA18A0"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b/>
                <w:bCs/>
                <w:color w:val="FFFFFF" w:themeColor="background1"/>
                <w:lang w:eastAsia="en-US"/>
              </w:rPr>
            </w:pPr>
            <w:r w:rsidRPr="00FA18A0">
              <w:rPr>
                <w:b/>
                <w:bCs/>
                <w:color w:val="FFFFFF" w:themeColor="background1"/>
                <w:lang w:eastAsia="en-US"/>
              </w:rPr>
              <w:t>Farmland</w:t>
            </w:r>
          </w:p>
        </w:tc>
        <w:tc>
          <w:tcPr>
            <w:tcW w:w="1389" w:type="dxa"/>
            <w:tcBorders>
              <w:top w:val="single" w:sz="4" w:space="0" w:color="FFFFFF" w:themeColor="background1"/>
            </w:tcBorders>
            <w:shd w:val="clear" w:color="auto" w:fill="004C97" w:themeFill="accent1"/>
          </w:tcPr>
          <w:p w14:paraId="181ADEF7" w14:textId="4D8F6461" w:rsidR="00BB746F" w:rsidRPr="00FA18A0"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b/>
                <w:bCs/>
                <w:color w:val="FFFFFF" w:themeColor="background1"/>
                <w:lang w:eastAsia="en-US"/>
              </w:rPr>
            </w:pPr>
            <w:r w:rsidRPr="00FA18A0">
              <w:rPr>
                <w:b/>
                <w:bCs/>
                <w:color w:val="FFFFFF" w:themeColor="background1"/>
                <w:lang w:eastAsia="en-US"/>
              </w:rPr>
              <w:t>Forest/</w:t>
            </w:r>
            <w:r>
              <w:rPr>
                <w:b/>
                <w:bCs/>
                <w:color w:val="FFFFFF" w:themeColor="background1"/>
                <w:lang w:eastAsia="en-US"/>
              </w:rPr>
              <w:br/>
            </w:r>
            <w:r w:rsidRPr="00FA18A0">
              <w:rPr>
                <w:b/>
                <w:bCs/>
                <w:color w:val="FFFFFF" w:themeColor="background1"/>
                <w:lang w:eastAsia="en-US"/>
              </w:rPr>
              <w:t>woodland</w:t>
            </w:r>
          </w:p>
        </w:tc>
        <w:tc>
          <w:tcPr>
            <w:tcW w:w="1389" w:type="dxa"/>
            <w:tcBorders>
              <w:top w:val="single" w:sz="4" w:space="0" w:color="FFFFFF" w:themeColor="background1"/>
            </w:tcBorders>
            <w:shd w:val="clear" w:color="auto" w:fill="004C97" w:themeFill="accent1"/>
          </w:tcPr>
          <w:p w14:paraId="59E858B6" w14:textId="77777777" w:rsidR="00BB746F" w:rsidRPr="00FA18A0"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b/>
                <w:bCs/>
                <w:color w:val="FFFFFF" w:themeColor="background1"/>
                <w:lang w:eastAsia="en-US"/>
              </w:rPr>
            </w:pPr>
            <w:r w:rsidRPr="00FA18A0">
              <w:rPr>
                <w:b/>
                <w:bCs/>
                <w:color w:val="FFFFFF" w:themeColor="background1"/>
                <w:lang w:eastAsia="en-US"/>
              </w:rPr>
              <w:t>Freshwater/wetland</w:t>
            </w:r>
          </w:p>
        </w:tc>
        <w:tc>
          <w:tcPr>
            <w:tcW w:w="1389" w:type="dxa"/>
            <w:tcBorders>
              <w:top w:val="single" w:sz="4" w:space="0" w:color="FFFFFF" w:themeColor="background1"/>
            </w:tcBorders>
            <w:shd w:val="clear" w:color="auto" w:fill="004C97" w:themeFill="accent1"/>
          </w:tcPr>
          <w:p w14:paraId="41A013AF" w14:textId="77777777" w:rsidR="00BB746F" w:rsidRPr="00FA18A0"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b/>
                <w:bCs/>
                <w:color w:val="FFFFFF" w:themeColor="background1"/>
                <w:lang w:eastAsia="en-US"/>
              </w:rPr>
            </w:pPr>
            <w:r w:rsidRPr="00FA18A0">
              <w:rPr>
                <w:b/>
                <w:bCs/>
                <w:color w:val="FFFFFF" w:themeColor="background1"/>
                <w:lang w:eastAsia="en-US"/>
              </w:rPr>
              <w:t>Grassland</w:t>
            </w:r>
          </w:p>
        </w:tc>
        <w:tc>
          <w:tcPr>
            <w:tcW w:w="1389" w:type="dxa"/>
            <w:tcBorders>
              <w:top w:val="single" w:sz="4" w:space="0" w:color="FFFFFF" w:themeColor="background1"/>
            </w:tcBorders>
            <w:shd w:val="clear" w:color="auto" w:fill="004C97" w:themeFill="accent1"/>
          </w:tcPr>
          <w:p w14:paraId="35200B0C" w14:textId="77777777" w:rsidR="00BB746F" w:rsidRPr="00FA18A0"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b/>
                <w:bCs/>
                <w:color w:val="FFFFFF" w:themeColor="background1"/>
                <w:lang w:eastAsia="en-US"/>
              </w:rPr>
            </w:pPr>
            <w:r w:rsidRPr="00FA18A0">
              <w:rPr>
                <w:b/>
                <w:bCs/>
                <w:color w:val="FFFFFF" w:themeColor="background1"/>
                <w:lang w:eastAsia="en-US"/>
              </w:rPr>
              <w:t>Heathland/shrubland</w:t>
            </w:r>
          </w:p>
        </w:tc>
        <w:tc>
          <w:tcPr>
            <w:tcW w:w="1389" w:type="dxa"/>
            <w:tcBorders>
              <w:top w:val="single" w:sz="4" w:space="0" w:color="FFFFFF" w:themeColor="background1"/>
            </w:tcBorders>
            <w:shd w:val="clear" w:color="auto" w:fill="004C97" w:themeFill="accent1"/>
          </w:tcPr>
          <w:p w14:paraId="2954A979" w14:textId="110AAE64" w:rsidR="00BB746F" w:rsidRPr="00FA18A0"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b/>
                <w:bCs/>
                <w:color w:val="FFFFFF" w:themeColor="background1"/>
                <w:lang w:eastAsia="en-US"/>
              </w:rPr>
            </w:pPr>
            <w:r w:rsidRPr="00FA18A0">
              <w:rPr>
                <w:b/>
                <w:bCs/>
                <w:color w:val="FFFFFF" w:themeColor="background1"/>
                <w:lang w:eastAsia="en-US"/>
              </w:rPr>
              <w:t>Mal</w:t>
            </w:r>
            <w:r>
              <w:rPr>
                <w:b/>
                <w:bCs/>
                <w:color w:val="FFFFFF" w:themeColor="background1"/>
                <w:lang w:eastAsia="en-US"/>
              </w:rPr>
              <w:t>l</w:t>
            </w:r>
            <w:r w:rsidRPr="00FA18A0">
              <w:rPr>
                <w:b/>
                <w:bCs/>
                <w:color w:val="FFFFFF" w:themeColor="background1"/>
                <w:lang w:eastAsia="en-US"/>
              </w:rPr>
              <w:t>ee</w:t>
            </w:r>
          </w:p>
        </w:tc>
        <w:tc>
          <w:tcPr>
            <w:tcW w:w="1389" w:type="dxa"/>
            <w:tcBorders>
              <w:top w:val="single" w:sz="4" w:space="0" w:color="FFFFFF" w:themeColor="background1"/>
            </w:tcBorders>
            <w:shd w:val="clear" w:color="auto" w:fill="004C97" w:themeFill="accent1"/>
          </w:tcPr>
          <w:p w14:paraId="2FF63FD4" w14:textId="77777777" w:rsidR="00BB746F" w:rsidRPr="00FA18A0"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b/>
                <w:bCs/>
                <w:color w:val="FFFFFF" w:themeColor="background1"/>
                <w:lang w:eastAsia="en-US"/>
              </w:rPr>
            </w:pPr>
            <w:r w:rsidRPr="00FA18A0">
              <w:rPr>
                <w:b/>
                <w:bCs/>
                <w:color w:val="FFFFFF" w:themeColor="background1"/>
                <w:lang w:eastAsia="en-US"/>
              </w:rPr>
              <w:t>Marine</w:t>
            </w:r>
          </w:p>
        </w:tc>
        <w:tc>
          <w:tcPr>
            <w:tcW w:w="1390" w:type="dxa"/>
            <w:tcBorders>
              <w:top w:val="single" w:sz="4" w:space="0" w:color="FFFFFF" w:themeColor="background1"/>
            </w:tcBorders>
            <w:shd w:val="clear" w:color="auto" w:fill="004C97" w:themeFill="accent1"/>
          </w:tcPr>
          <w:p w14:paraId="14FB7CB0" w14:textId="77777777" w:rsidR="00BB746F" w:rsidRPr="00FA18A0"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b/>
                <w:bCs/>
                <w:color w:val="FFFFFF" w:themeColor="background1"/>
                <w:lang w:eastAsia="en-US"/>
              </w:rPr>
            </w:pPr>
            <w:r w:rsidRPr="00FA18A0">
              <w:rPr>
                <w:b/>
                <w:bCs/>
                <w:color w:val="FFFFFF" w:themeColor="background1"/>
                <w:lang w:eastAsia="en-US"/>
              </w:rPr>
              <w:t>Urban</w:t>
            </w:r>
          </w:p>
        </w:tc>
        <w:tc>
          <w:tcPr>
            <w:tcW w:w="2198" w:type="dxa"/>
            <w:vMerge/>
            <w:shd w:val="clear" w:color="auto" w:fill="004C97" w:themeFill="accent1"/>
          </w:tcPr>
          <w:p w14:paraId="0EEB2928"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201" w:type="dxa"/>
            <w:vMerge/>
            <w:shd w:val="clear" w:color="auto" w:fill="004C97" w:themeFill="accent1"/>
          </w:tcPr>
          <w:p w14:paraId="6E96A65D" w14:textId="77777777" w:rsidR="00BB746F" w:rsidRDefault="00BB746F" w:rsidP="00666947">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r>
      <w:tr w:rsidR="00BB746F" w14:paraId="54C17422" w14:textId="77777777" w:rsidTr="00BB746F">
        <w:trPr>
          <w:trHeight w:val="101"/>
        </w:trPr>
        <w:tc>
          <w:tcPr>
            <w:cnfStyle w:val="001000000000" w:firstRow="0" w:lastRow="0" w:firstColumn="1" w:lastColumn="0" w:oddVBand="0" w:evenVBand="0" w:oddHBand="0" w:evenHBand="0" w:firstRowFirstColumn="0" w:firstRowLastColumn="0" w:lastRowFirstColumn="0" w:lastRowLastColumn="0"/>
            <w:tcW w:w="1418" w:type="dxa"/>
            <w:vMerge w:val="restart"/>
            <w:tcBorders>
              <w:top w:val="nil"/>
            </w:tcBorders>
            <w:shd w:val="clear" w:color="auto" w:fill="004C97" w:themeFill="accent1"/>
          </w:tcPr>
          <w:p w14:paraId="5A6E631B" w14:textId="77777777" w:rsidR="00BB746F" w:rsidRDefault="00BB746F" w:rsidP="00666947">
            <w:pPr>
              <w:pStyle w:val="TableHeadingLeft"/>
              <w:rPr>
                <w:lang w:eastAsia="en-US"/>
              </w:rPr>
            </w:pPr>
            <w:r>
              <w:rPr>
                <w:lang w:eastAsia="en-US"/>
              </w:rPr>
              <w:t>Ecosystem service</w:t>
            </w:r>
          </w:p>
        </w:tc>
        <w:tc>
          <w:tcPr>
            <w:tcW w:w="2835" w:type="dxa"/>
            <w:tcBorders>
              <w:top w:val="single" w:sz="4" w:space="0" w:color="201547" w:themeColor="text2"/>
            </w:tcBorders>
            <w:shd w:val="clear" w:color="auto" w:fill="CCDBEA" w:themeFill="background2"/>
          </w:tcPr>
          <w:p w14:paraId="57DCD813" w14:textId="77777777" w:rsidR="00BB746F" w:rsidRDefault="00BB746F" w:rsidP="00666947">
            <w:pPr>
              <w:pStyle w:val="BodyText"/>
              <w:cnfStyle w:val="000000000000" w:firstRow="0" w:lastRow="0" w:firstColumn="0" w:lastColumn="0" w:oddVBand="0" w:evenVBand="0" w:oddHBand="0" w:evenHBand="0" w:firstRowFirstColumn="0" w:firstRowLastColumn="0" w:lastRowFirstColumn="0" w:lastRowLastColumn="0"/>
              <w:rPr>
                <w:lang w:eastAsia="en-US"/>
              </w:rPr>
            </w:pPr>
            <w:r>
              <w:rPr>
                <w:lang w:eastAsia="en-US"/>
              </w:rPr>
              <w:t>Aesthetics</w:t>
            </w:r>
          </w:p>
        </w:tc>
        <w:tc>
          <w:tcPr>
            <w:tcW w:w="1389" w:type="dxa"/>
          </w:tcPr>
          <w:p w14:paraId="4E5A45DD"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78371DE0"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75821E78"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BD7EACA"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45571156"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3840F4CC"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2EFC06CF"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59DFEBB"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69420301"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90" w:type="dxa"/>
          </w:tcPr>
          <w:p w14:paraId="247A2A9C"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2198" w:type="dxa"/>
          </w:tcPr>
          <w:p w14:paraId="7DC17610" w14:textId="750EB2A6"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201" w:type="dxa"/>
            <w:shd w:val="clear" w:color="auto" w:fill="FF7E79"/>
          </w:tcPr>
          <w:p w14:paraId="01DB4A63" w14:textId="311F8D26" w:rsidR="00BB746F" w:rsidRDefault="00BB746F" w:rsidP="00666947">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0</w:t>
            </w:r>
          </w:p>
        </w:tc>
      </w:tr>
      <w:tr w:rsidR="00BB746F" w14:paraId="5155BB00" w14:textId="77777777" w:rsidTr="00244D89">
        <w:tc>
          <w:tcPr>
            <w:cnfStyle w:val="001000000000" w:firstRow="0" w:lastRow="0" w:firstColumn="1" w:lastColumn="0" w:oddVBand="0" w:evenVBand="0" w:oddHBand="0" w:evenHBand="0" w:firstRowFirstColumn="0" w:firstRowLastColumn="0" w:lastRowFirstColumn="0" w:lastRowLastColumn="0"/>
            <w:tcW w:w="1418" w:type="dxa"/>
            <w:vMerge/>
            <w:shd w:val="clear" w:color="auto" w:fill="004C97" w:themeFill="accent1"/>
          </w:tcPr>
          <w:p w14:paraId="1C9110BA" w14:textId="77777777" w:rsidR="00BB746F" w:rsidRDefault="00BB746F" w:rsidP="00666947">
            <w:pPr>
              <w:pStyle w:val="TableHeadingLeft"/>
              <w:rPr>
                <w:lang w:eastAsia="en-US"/>
              </w:rPr>
            </w:pPr>
          </w:p>
        </w:tc>
        <w:tc>
          <w:tcPr>
            <w:tcW w:w="2835" w:type="dxa"/>
            <w:shd w:val="clear" w:color="auto" w:fill="CCDBEA" w:themeFill="background2"/>
          </w:tcPr>
          <w:p w14:paraId="043B67EC" w14:textId="77777777" w:rsidR="00BB746F" w:rsidRDefault="00BB746F" w:rsidP="00666947">
            <w:pPr>
              <w:pStyle w:val="BodyText"/>
              <w:cnfStyle w:val="000000000000" w:firstRow="0" w:lastRow="0" w:firstColumn="0" w:lastColumn="0" w:oddVBand="0" w:evenVBand="0" w:oddHBand="0" w:evenHBand="0" w:firstRowFirstColumn="0" w:firstRowLastColumn="0" w:lastRowFirstColumn="0" w:lastRowLastColumn="0"/>
              <w:rPr>
                <w:lang w:eastAsia="en-US"/>
              </w:rPr>
            </w:pPr>
            <w:r>
              <w:rPr>
                <w:lang w:eastAsia="en-US"/>
              </w:rPr>
              <w:t>Air quality regulation</w:t>
            </w:r>
          </w:p>
        </w:tc>
        <w:tc>
          <w:tcPr>
            <w:tcW w:w="1389" w:type="dxa"/>
          </w:tcPr>
          <w:p w14:paraId="760E6C9F"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226A1031"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59FBE803"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3000AE7B"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25327409"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B9A3E76"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075AE965"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45B887D4"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533FBC70"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90" w:type="dxa"/>
          </w:tcPr>
          <w:p w14:paraId="4F2CE828"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2198" w:type="dxa"/>
          </w:tcPr>
          <w:p w14:paraId="08D32DB6" w14:textId="308F8449" w:rsidR="00BB746F" w:rsidRDefault="00244D89"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2</w:t>
            </w:r>
          </w:p>
        </w:tc>
        <w:tc>
          <w:tcPr>
            <w:tcW w:w="1201" w:type="dxa"/>
            <w:shd w:val="clear" w:color="auto" w:fill="FFFD78"/>
          </w:tcPr>
          <w:p w14:paraId="288D572A" w14:textId="2276BDFA" w:rsidR="00BB746F" w:rsidRDefault="00BB746F" w:rsidP="00666947">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2</w:t>
            </w:r>
          </w:p>
        </w:tc>
      </w:tr>
      <w:tr w:rsidR="00BB746F" w14:paraId="6F3F321B" w14:textId="77777777" w:rsidTr="00244D89">
        <w:tc>
          <w:tcPr>
            <w:cnfStyle w:val="001000000000" w:firstRow="0" w:lastRow="0" w:firstColumn="1" w:lastColumn="0" w:oddVBand="0" w:evenVBand="0" w:oddHBand="0" w:evenHBand="0" w:firstRowFirstColumn="0" w:firstRowLastColumn="0" w:lastRowFirstColumn="0" w:lastRowLastColumn="0"/>
            <w:tcW w:w="1418" w:type="dxa"/>
            <w:vMerge/>
            <w:shd w:val="clear" w:color="auto" w:fill="004C97" w:themeFill="accent1"/>
          </w:tcPr>
          <w:p w14:paraId="60F3D98C" w14:textId="77777777" w:rsidR="00BB746F" w:rsidRDefault="00BB746F" w:rsidP="00666947">
            <w:pPr>
              <w:pStyle w:val="TableHeadingLeft"/>
              <w:rPr>
                <w:lang w:eastAsia="en-US"/>
              </w:rPr>
            </w:pPr>
          </w:p>
        </w:tc>
        <w:tc>
          <w:tcPr>
            <w:tcW w:w="2835" w:type="dxa"/>
            <w:shd w:val="clear" w:color="auto" w:fill="CCDBEA" w:themeFill="background2"/>
          </w:tcPr>
          <w:p w14:paraId="05EDB4F1" w14:textId="77777777" w:rsidR="00BB746F" w:rsidRDefault="00BB746F" w:rsidP="00666947">
            <w:pPr>
              <w:pStyle w:val="BodyText"/>
              <w:cnfStyle w:val="000000000000" w:firstRow="0" w:lastRow="0" w:firstColumn="0" w:lastColumn="0" w:oddVBand="0" w:evenVBand="0" w:oddHBand="0" w:evenHBand="0" w:firstRowFirstColumn="0" w:firstRowLastColumn="0" w:lastRowFirstColumn="0" w:lastRowLastColumn="0"/>
              <w:rPr>
                <w:lang w:eastAsia="en-US"/>
              </w:rPr>
            </w:pPr>
            <w:r>
              <w:rPr>
                <w:lang w:eastAsia="en-US"/>
              </w:rPr>
              <w:t>Amenity (Liveability)</w:t>
            </w:r>
          </w:p>
        </w:tc>
        <w:tc>
          <w:tcPr>
            <w:tcW w:w="1389" w:type="dxa"/>
          </w:tcPr>
          <w:p w14:paraId="0B43364E"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2C86FD05" w14:textId="74B101FA" w:rsidR="00BB746F" w:rsidRDefault="00B84D25"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2</w:t>
            </w:r>
          </w:p>
        </w:tc>
        <w:tc>
          <w:tcPr>
            <w:tcW w:w="1389" w:type="dxa"/>
          </w:tcPr>
          <w:p w14:paraId="51A56283"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50C1102F"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996B7B0"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4611A1E5"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2D7CA88E"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225B2BAD"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EA74864"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90" w:type="dxa"/>
          </w:tcPr>
          <w:p w14:paraId="1290F52E"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2198" w:type="dxa"/>
          </w:tcPr>
          <w:p w14:paraId="5E1A98CF" w14:textId="0CD2BBBD" w:rsidR="00BB746F" w:rsidRDefault="00244D89"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1</w:t>
            </w:r>
          </w:p>
        </w:tc>
        <w:tc>
          <w:tcPr>
            <w:tcW w:w="1201" w:type="dxa"/>
            <w:shd w:val="clear" w:color="auto" w:fill="D5FC79"/>
          </w:tcPr>
          <w:p w14:paraId="3D6538C2" w14:textId="4062EB20" w:rsidR="00BB746F" w:rsidRDefault="00BB746F" w:rsidP="00666947">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3</w:t>
            </w:r>
          </w:p>
        </w:tc>
      </w:tr>
      <w:tr w:rsidR="00BB746F" w14:paraId="0110926D" w14:textId="77777777" w:rsidTr="00244D89">
        <w:tc>
          <w:tcPr>
            <w:cnfStyle w:val="001000000000" w:firstRow="0" w:lastRow="0" w:firstColumn="1" w:lastColumn="0" w:oddVBand="0" w:evenVBand="0" w:oddHBand="0" w:evenHBand="0" w:firstRowFirstColumn="0" w:firstRowLastColumn="0" w:lastRowFirstColumn="0" w:lastRowLastColumn="0"/>
            <w:tcW w:w="1418" w:type="dxa"/>
            <w:vMerge/>
            <w:shd w:val="clear" w:color="auto" w:fill="004C97" w:themeFill="accent1"/>
          </w:tcPr>
          <w:p w14:paraId="66722886" w14:textId="77777777" w:rsidR="00BB746F" w:rsidRDefault="00BB746F" w:rsidP="00666947">
            <w:pPr>
              <w:pStyle w:val="TableHeadingLeft"/>
              <w:rPr>
                <w:lang w:eastAsia="en-US"/>
              </w:rPr>
            </w:pPr>
          </w:p>
        </w:tc>
        <w:tc>
          <w:tcPr>
            <w:tcW w:w="2835" w:type="dxa"/>
            <w:shd w:val="clear" w:color="auto" w:fill="CCDBEA" w:themeFill="background2"/>
          </w:tcPr>
          <w:p w14:paraId="44897A1E" w14:textId="77777777" w:rsidR="00BB746F" w:rsidRDefault="00BB746F" w:rsidP="00666947">
            <w:pPr>
              <w:pStyle w:val="BodyText"/>
              <w:cnfStyle w:val="000000000000" w:firstRow="0" w:lastRow="0" w:firstColumn="0" w:lastColumn="0" w:oddVBand="0" w:evenVBand="0" w:oddHBand="0" w:evenHBand="0" w:firstRowFirstColumn="0" w:firstRowLastColumn="0" w:lastRowFirstColumn="0" w:lastRowLastColumn="0"/>
              <w:rPr>
                <w:lang w:eastAsia="en-US"/>
              </w:rPr>
            </w:pPr>
            <w:r>
              <w:rPr>
                <w:lang w:eastAsia="en-US"/>
              </w:rPr>
              <w:t>Biotic raw material</w:t>
            </w:r>
          </w:p>
        </w:tc>
        <w:tc>
          <w:tcPr>
            <w:tcW w:w="1389" w:type="dxa"/>
          </w:tcPr>
          <w:p w14:paraId="691E97C7"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55B1A70D"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B627DEF"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2C85F5FE" w14:textId="40BB9909" w:rsidR="00BB746F" w:rsidRDefault="00B84D25"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2</w:t>
            </w:r>
          </w:p>
        </w:tc>
        <w:tc>
          <w:tcPr>
            <w:tcW w:w="1389" w:type="dxa"/>
          </w:tcPr>
          <w:p w14:paraId="2A3AE5A5"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3088B2A6"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073A5DA1" w14:textId="34605A7F"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65269C5D"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5498271"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90" w:type="dxa"/>
          </w:tcPr>
          <w:p w14:paraId="401DD6AF"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2198" w:type="dxa"/>
          </w:tcPr>
          <w:p w14:paraId="53C1C2CD" w14:textId="2201CA2A"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201" w:type="dxa"/>
            <w:shd w:val="clear" w:color="auto" w:fill="FFFD78"/>
          </w:tcPr>
          <w:p w14:paraId="4B5B1A66" w14:textId="2DE2F328" w:rsidR="00BB746F" w:rsidRDefault="00BB746F" w:rsidP="00666947">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2</w:t>
            </w:r>
          </w:p>
        </w:tc>
      </w:tr>
      <w:tr w:rsidR="00BB746F" w14:paraId="303C712D" w14:textId="77777777" w:rsidTr="00244D89">
        <w:tc>
          <w:tcPr>
            <w:cnfStyle w:val="001000000000" w:firstRow="0" w:lastRow="0" w:firstColumn="1" w:lastColumn="0" w:oddVBand="0" w:evenVBand="0" w:oddHBand="0" w:evenHBand="0" w:firstRowFirstColumn="0" w:firstRowLastColumn="0" w:lastRowFirstColumn="0" w:lastRowLastColumn="0"/>
            <w:tcW w:w="1418" w:type="dxa"/>
            <w:vMerge/>
            <w:shd w:val="clear" w:color="auto" w:fill="004C97" w:themeFill="accent1"/>
          </w:tcPr>
          <w:p w14:paraId="73CE0B21" w14:textId="77777777" w:rsidR="00BB746F" w:rsidRDefault="00BB746F" w:rsidP="00666947">
            <w:pPr>
              <w:pStyle w:val="TableHeadingLeft"/>
              <w:rPr>
                <w:lang w:eastAsia="en-US"/>
              </w:rPr>
            </w:pPr>
          </w:p>
        </w:tc>
        <w:tc>
          <w:tcPr>
            <w:tcW w:w="2835" w:type="dxa"/>
            <w:shd w:val="clear" w:color="auto" w:fill="CCDBEA" w:themeFill="background2"/>
          </w:tcPr>
          <w:p w14:paraId="428DDF49" w14:textId="77777777" w:rsidR="00BB746F" w:rsidRDefault="00BB746F" w:rsidP="00666947">
            <w:pPr>
              <w:pStyle w:val="BodyText"/>
              <w:cnfStyle w:val="000000000000" w:firstRow="0" w:lastRow="0" w:firstColumn="0" w:lastColumn="0" w:oddVBand="0" w:evenVBand="0" w:oddHBand="0" w:evenHBand="0" w:firstRowFirstColumn="0" w:firstRowLastColumn="0" w:lastRowFirstColumn="0" w:lastRowLastColumn="0"/>
              <w:rPr>
                <w:lang w:eastAsia="en-US"/>
              </w:rPr>
            </w:pPr>
            <w:r>
              <w:rPr>
                <w:lang w:eastAsia="en-US"/>
              </w:rPr>
              <w:t>Coastal protection</w:t>
            </w:r>
          </w:p>
        </w:tc>
        <w:tc>
          <w:tcPr>
            <w:tcW w:w="1389" w:type="dxa"/>
          </w:tcPr>
          <w:p w14:paraId="57BBC0EB"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58E4E990" w14:textId="45A5BB4C" w:rsidR="00BB746F" w:rsidRDefault="00B84D25"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3</w:t>
            </w:r>
          </w:p>
        </w:tc>
        <w:tc>
          <w:tcPr>
            <w:tcW w:w="1389" w:type="dxa"/>
          </w:tcPr>
          <w:p w14:paraId="60E10C42"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34A01CBD"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7D7B538D"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7F4140B4"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055C3C98"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3E8D48CB"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4D2E68B7"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90" w:type="dxa"/>
          </w:tcPr>
          <w:p w14:paraId="08740D93" w14:textId="7777777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2198" w:type="dxa"/>
          </w:tcPr>
          <w:p w14:paraId="673972C1" w14:textId="46A4F9E7" w:rsidR="00BB746F" w:rsidRDefault="00BB746F" w:rsidP="00BB746F">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201" w:type="dxa"/>
            <w:shd w:val="clear" w:color="auto" w:fill="D5FC79"/>
          </w:tcPr>
          <w:p w14:paraId="21F4325A" w14:textId="769718C6" w:rsidR="00BB746F" w:rsidRDefault="00BB746F" w:rsidP="00666947">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3</w:t>
            </w:r>
          </w:p>
        </w:tc>
      </w:tr>
      <w:tr w:rsidR="00B84D25" w14:paraId="17774789" w14:textId="77777777" w:rsidTr="00244D89">
        <w:tc>
          <w:tcPr>
            <w:cnfStyle w:val="001000000000" w:firstRow="0" w:lastRow="0" w:firstColumn="1" w:lastColumn="0" w:oddVBand="0" w:evenVBand="0" w:oddHBand="0" w:evenHBand="0" w:firstRowFirstColumn="0" w:firstRowLastColumn="0" w:lastRowFirstColumn="0" w:lastRowLastColumn="0"/>
            <w:tcW w:w="1418" w:type="dxa"/>
            <w:vMerge/>
            <w:shd w:val="clear" w:color="auto" w:fill="004C97" w:themeFill="accent1"/>
          </w:tcPr>
          <w:p w14:paraId="19CE93F5" w14:textId="77777777" w:rsidR="00B84D25" w:rsidRDefault="00B84D25" w:rsidP="00B84D25">
            <w:pPr>
              <w:pStyle w:val="TableHeadingLeft"/>
              <w:rPr>
                <w:lang w:eastAsia="en-US"/>
              </w:rPr>
            </w:pPr>
          </w:p>
        </w:tc>
        <w:tc>
          <w:tcPr>
            <w:tcW w:w="2835" w:type="dxa"/>
            <w:shd w:val="clear" w:color="auto" w:fill="CCDBEA" w:themeFill="background2"/>
          </w:tcPr>
          <w:p w14:paraId="250ED1DB" w14:textId="77777777" w:rsidR="00B84D25" w:rsidRDefault="00B84D25" w:rsidP="00B84D25">
            <w:pPr>
              <w:pStyle w:val="BodyText"/>
              <w:cnfStyle w:val="000000000000" w:firstRow="0" w:lastRow="0" w:firstColumn="0" w:lastColumn="0" w:oddVBand="0" w:evenVBand="0" w:oddHBand="0" w:evenHBand="0" w:firstRowFirstColumn="0" w:firstRowLastColumn="0" w:lastRowFirstColumn="0" w:lastRowLastColumn="0"/>
              <w:rPr>
                <w:lang w:eastAsia="en-US"/>
              </w:rPr>
            </w:pPr>
            <w:r>
              <w:rPr>
                <w:lang w:eastAsia="en-US"/>
              </w:rPr>
              <w:t>Cultural heritage</w:t>
            </w:r>
          </w:p>
        </w:tc>
        <w:tc>
          <w:tcPr>
            <w:tcW w:w="1389" w:type="dxa"/>
          </w:tcPr>
          <w:p w14:paraId="44958CB5"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3843E6E7"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FFDFC05"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6DBA05F5"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4838669"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4C82E1C"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5E9D91FB"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5DF631A8"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48DBF450"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90" w:type="dxa"/>
          </w:tcPr>
          <w:p w14:paraId="39388BB0"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2198" w:type="dxa"/>
          </w:tcPr>
          <w:p w14:paraId="4953A49F" w14:textId="39F81C9A"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1</w:t>
            </w:r>
          </w:p>
        </w:tc>
        <w:tc>
          <w:tcPr>
            <w:tcW w:w="1201" w:type="dxa"/>
            <w:shd w:val="clear" w:color="auto" w:fill="FFC000"/>
          </w:tcPr>
          <w:p w14:paraId="28DF3EC1" w14:textId="1D9E5C91"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1</w:t>
            </w:r>
          </w:p>
        </w:tc>
      </w:tr>
      <w:tr w:rsidR="00B84D25" w14:paraId="50510281" w14:textId="77777777" w:rsidTr="00244D89">
        <w:tc>
          <w:tcPr>
            <w:cnfStyle w:val="001000000000" w:firstRow="0" w:lastRow="0" w:firstColumn="1" w:lastColumn="0" w:oddVBand="0" w:evenVBand="0" w:oddHBand="0" w:evenHBand="0" w:firstRowFirstColumn="0" w:firstRowLastColumn="0" w:lastRowFirstColumn="0" w:lastRowLastColumn="0"/>
            <w:tcW w:w="1418" w:type="dxa"/>
            <w:vMerge/>
            <w:shd w:val="clear" w:color="auto" w:fill="004C97" w:themeFill="accent1"/>
          </w:tcPr>
          <w:p w14:paraId="560008F1" w14:textId="77777777" w:rsidR="00B84D25" w:rsidRDefault="00B84D25" w:rsidP="00B84D25">
            <w:pPr>
              <w:pStyle w:val="TableHeadingLeft"/>
              <w:rPr>
                <w:lang w:eastAsia="en-US"/>
              </w:rPr>
            </w:pPr>
          </w:p>
        </w:tc>
        <w:tc>
          <w:tcPr>
            <w:tcW w:w="2835" w:type="dxa"/>
            <w:shd w:val="clear" w:color="auto" w:fill="CCDBEA" w:themeFill="background2"/>
          </w:tcPr>
          <w:p w14:paraId="5A63EBE7" w14:textId="77777777" w:rsidR="00B84D25" w:rsidRDefault="00B84D25" w:rsidP="00B84D25">
            <w:pPr>
              <w:pStyle w:val="BodyText"/>
              <w:cnfStyle w:val="000000000000" w:firstRow="0" w:lastRow="0" w:firstColumn="0" w:lastColumn="0" w:oddVBand="0" w:evenVBand="0" w:oddHBand="0" w:evenHBand="0" w:firstRowFirstColumn="0" w:firstRowLastColumn="0" w:lastRowFirstColumn="0" w:lastRowLastColumn="0"/>
              <w:rPr>
                <w:lang w:eastAsia="en-US"/>
              </w:rPr>
            </w:pPr>
            <w:r>
              <w:rPr>
                <w:lang w:eastAsia="en-US"/>
              </w:rPr>
              <w:t>Education and research</w:t>
            </w:r>
          </w:p>
        </w:tc>
        <w:tc>
          <w:tcPr>
            <w:tcW w:w="1389" w:type="dxa"/>
          </w:tcPr>
          <w:p w14:paraId="465DDB67"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9B6DA22"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6DB0A6B"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6C2B69F5"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588CD9F5"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2E9272E2"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434E0AA3"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23FAF472"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6D807C19" w14:textId="5DB5A19B"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90" w:type="dxa"/>
          </w:tcPr>
          <w:p w14:paraId="7525BE3E"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2198" w:type="dxa"/>
          </w:tcPr>
          <w:p w14:paraId="440057C5" w14:textId="7E6E22D9"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1</w:t>
            </w:r>
          </w:p>
        </w:tc>
        <w:tc>
          <w:tcPr>
            <w:tcW w:w="1201" w:type="dxa"/>
            <w:shd w:val="clear" w:color="auto" w:fill="FFC000"/>
          </w:tcPr>
          <w:p w14:paraId="5C33F529" w14:textId="5F51EB15"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1</w:t>
            </w:r>
          </w:p>
        </w:tc>
      </w:tr>
      <w:tr w:rsidR="00B84D25" w14:paraId="09A38B1F" w14:textId="77777777" w:rsidTr="00244D89">
        <w:tc>
          <w:tcPr>
            <w:cnfStyle w:val="001000000000" w:firstRow="0" w:lastRow="0" w:firstColumn="1" w:lastColumn="0" w:oddVBand="0" w:evenVBand="0" w:oddHBand="0" w:evenHBand="0" w:firstRowFirstColumn="0" w:firstRowLastColumn="0" w:lastRowFirstColumn="0" w:lastRowLastColumn="0"/>
            <w:tcW w:w="1418" w:type="dxa"/>
            <w:vMerge/>
            <w:shd w:val="clear" w:color="auto" w:fill="004C97" w:themeFill="accent1"/>
          </w:tcPr>
          <w:p w14:paraId="4ED9FC2F" w14:textId="77777777" w:rsidR="00B84D25" w:rsidRDefault="00B84D25" w:rsidP="00B84D25">
            <w:pPr>
              <w:pStyle w:val="TableHeadingLeft"/>
              <w:rPr>
                <w:lang w:eastAsia="en-US"/>
              </w:rPr>
            </w:pPr>
          </w:p>
        </w:tc>
        <w:tc>
          <w:tcPr>
            <w:tcW w:w="2835" w:type="dxa"/>
            <w:shd w:val="clear" w:color="auto" w:fill="CCDBEA" w:themeFill="background2"/>
          </w:tcPr>
          <w:p w14:paraId="1BAC7171" w14:textId="77777777" w:rsidR="00B84D25" w:rsidRDefault="00B84D25" w:rsidP="00B84D25">
            <w:pPr>
              <w:pStyle w:val="BodyText"/>
              <w:cnfStyle w:val="000000000000" w:firstRow="0" w:lastRow="0" w:firstColumn="0" w:lastColumn="0" w:oddVBand="0" w:evenVBand="0" w:oddHBand="0" w:evenHBand="0" w:firstRowFirstColumn="0" w:firstRowLastColumn="0" w:lastRowFirstColumn="0" w:lastRowLastColumn="0"/>
              <w:rPr>
                <w:lang w:eastAsia="en-US"/>
              </w:rPr>
            </w:pPr>
            <w:r>
              <w:rPr>
                <w:lang w:eastAsia="en-US"/>
              </w:rPr>
              <w:t>Energy (biofuels)</w:t>
            </w:r>
          </w:p>
        </w:tc>
        <w:tc>
          <w:tcPr>
            <w:tcW w:w="1389" w:type="dxa"/>
          </w:tcPr>
          <w:p w14:paraId="4188B1C6"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3418DBD6"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38B67197"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4A308752" w14:textId="76E816B2"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1</w:t>
            </w:r>
          </w:p>
        </w:tc>
        <w:tc>
          <w:tcPr>
            <w:tcW w:w="1389" w:type="dxa"/>
          </w:tcPr>
          <w:p w14:paraId="42C429FC"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7A8B702D"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525B6110" w14:textId="3C45BF22"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6A78040"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32EFDE22"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90" w:type="dxa"/>
          </w:tcPr>
          <w:p w14:paraId="372991BF" w14:textId="4A77EDA0"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2198" w:type="dxa"/>
          </w:tcPr>
          <w:p w14:paraId="50C92C98" w14:textId="133D76CB"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201" w:type="dxa"/>
            <w:shd w:val="clear" w:color="auto" w:fill="FFC000"/>
          </w:tcPr>
          <w:p w14:paraId="50C0A5C0" w14:textId="64B47E9C"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1</w:t>
            </w:r>
          </w:p>
        </w:tc>
      </w:tr>
      <w:tr w:rsidR="00B84D25" w14:paraId="61EB1B76" w14:textId="77777777" w:rsidTr="00BB746F">
        <w:tc>
          <w:tcPr>
            <w:cnfStyle w:val="001000000000" w:firstRow="0" w:lastRow="0" w:firstColumn="1" w:lastColumn="0" w:oddVBand="0" w:evenVBand="0" w:oddHBand="0" w:evenHBand="0" w:firstRowFirstColumn="0" w:firstRowLastColumn="0" w:lastRowFirstColumn="0" w:lastRowLastColumn="0"/>
            <w:tcW w:w="1418" w:type="dxa"/>
            <w:vMerge/>
            <w:shd w:val="clear" w:color="auto" w:fill="004C97" w:themeFill="accent1"/>
          </w:tcPr>
          <w:p w14:paraId="621CEBF7" w14:textId="77777777" w:rsidR="00B84D25" w:rsidRDefault="00B84D25" w:rsidP="00B84D25">
            <w:pPr>
              <w:pStyle w:val="TableHeadingLeft"/>
              <w:rPr>
                <w:lang w:eastAsia="en-US"/>
              </w:rPr>
            </w:pPr>
          </w:p>
        </w:tc>
        <w:tc>
          <w:tcPr>
            <w:tcW w:w="2835" w:type="dxa"/>
            <w:shd w:val="clear" w:color="auto" w:fill="CCDBEA" w:themeFill="background2"/>
          </w:tcPr>
          <w:p w14:paraId="0A955C6B" w14:textId="77777777" w:rsidR="00B84D25" w:rsidRDefault="00B84D25" w:rsidP="00B84D25">
            <w:pPr>
              <w:pStyle w:val="BodyText"/>
              <w:cnfStyle w:val="000000000000" w:firstRow="0" w:lastRow="0" w:firstColumn="0" w:lastColumn="0" w:oddVBand="0" w:evenVBand="0" w:oddHBand="0" w:evenHBand="0" w:firstRowFirstColumn="0" w:firstRowLastColumn="0" w:lastRowFirstColumn="0" w:lastRowLastColumn="0"/>
              <w:rPr>
                <w:lang w:eastAsia="en-US"/>
              </w:rPr>
            </w:pPr>
            <w:r>
              <w:rPr>
                <w:lang w:eastAsia="en-US"/>
              </w:rPr>
              <w:t>Existence / Option values</w:t>
            </w:r>
          </w:p>
        </w:tc>
        <w:tc>
          <w:tcPr>
            <w:tcW w:w="1389" w:type="dxa"/>
          </w:tcPr>
          <w:p w14:paraId="1F0727C0"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708CB109"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6070A0A0"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5BCF0BCA"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31043347"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092FFE0B"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13197E8" w14:textId="2ED881DD"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369D63B1" w14:textId="078A51B3"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4F0650EC" w14:textId="179C774A"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90" w:type="dxa"/>
          </w:tcPr>
          <w:p w14:paraId="405B3C7C" w14:textId="1F5073EC"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2198" w:type="dxa"/>
          </w:tcPr>
          <w:p w14:paraId="072C3738" w14:textId="197009EC"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201" w:type="dxa"/>
            <w:shd w:val="clear" w:color="auto" w:fill="FF7E79"/>
          </w:tcPr>
          <w:p w14:paraId="464F0E79" w14:textId="7B6A1BC8"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0</w:t>
            </w:r>
          </w:p>
        </w:tc>
      </w:tr>
      <w:tr w:rsidR="00B84D25" w14:paraId="4B242558" w14:textId="77777777" w:rsidTr="00244D89">
        <w:tc>
          <w:tcPr>
            <w:cnfStyle w:val="001000000000" w:firstRow="0" w:lastRow="0" w:firstColumn="1" w:lastColumn="0" w:oddVBand="0" w:evenVBand="0" w:oddHBand="0" w:evenHBand="0" w:firstRowFirstColumn="0" w:firstRowLastColumn="0" w:lastRowFirstColumn="0" w:lastRowLastColumn="0"/>
            <w:tcW w:w="1418" w:type="dxa"/>
            <w:vMerge/>
            <w:shd w:val="clear" w:color="auto" w:fill="004C97" w:themeFill="accent1"/>
          </w:tcPr>
          <w:p w14:paraId="1389601A" w14:textId="77777777" w:rsidR="00B84D25" w:rsidRDefault="00B84D25" w:rsidP="00B84D25">
            <w:pPr>
              <w:pStyle w:val="TableHeadingLeft"/>
              <w:rPr>
                <w:lang w:eastAsia="en-US"/>
              </w:rPr>
            </w:pPr>
          </w:p>
        </w:tc>
        <w:tc>
          <w:tcPr>
            <w:tcW w:w="2835" w:type="dxa"/>
            <w:shd w:val="clear" w:color="auto" w:fill="CCDBEA" w:themeFill="background2"/>
          </w:tcPr>
          <w:p w14:paraId="18387DF2" w14:textId="77777777" w:rsidR="00B84D25" w:rsidRDefault="00B84D25" w:rsidP="00B84D25">
            <w:pPr>
              <w:pStyle w:val="BodyText"/>
              <w:cnfStyle w:val="000000000000" w:firstRow="0" w:lastRow="0" w:firstColumn="0" w:lastColumn="0" w:oddVBand="0" w:evenVBand="0" w:oddHBand="0" w:evenHBand="0" w:firstRowFirstColumn="0" w:firstRowLastColumn="0" w:lastRowFirstColumn="0" w:lastRowLastColumn="0"/>
              <w:rPr>
                <w:lang w:eastAsia="en-US"/>
              </w:rPr>
            </w:pPr>
            <w:r>
              <w:rPr>
                <w:lang w:eastAsia="en-US"/>
              </w:rPr>
              <w:t>Flood risk regulation</w:t>
            </w:r>
          </w:p>
        </w:tc>
        <w:tc>
          <w:tcPr>
            <w:tcW w:w="1389" w:type="dxa"/>
          </w:tcPr>
          <w:p w14:paraId="4A445EBE"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3BF370D9"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053CF5CC"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0EAE5919"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519CBA38"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04A0E1A5"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2AFD2E9D"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4DF2154D"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5B2803C3"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90" w:type="dxa"/>
          </w:tcPr>
          <w:p w14:paraId="2925330C"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2198" w:type="dxa"/>
          </w:tcPr>
          <w:p w14:paraId="132419B8" w14:textId="1D889DA2"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1</w:t>
            </w:r>
          </w:p>
        </w:tc>
        <w:tc>
          <w:tcPr>
            <w:tcW w:w="1201" w:type="dxa"/>
            <w:shd w:val="clear" w:color="auto" w:fill="FFC000"/>
          </w:tcPr>
          <w:p w14:paraId="6AFB70D2" w14:textId="30B8C430"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1</w:t>
            </w:r>
          </w:p>
        </w:tc>
      </w:tr>
      <w:tr w:rsidR="00B84D25" w14:paraId="36F77753" w14:textId="77777777" w:rsidTr="00244D89">
        <w:tc>
          <w:tcPr>
            <w:cnfStyle w:val="001000000000" w:firstRow="0" w:lastRow="0" w:firstColumn="1" w:lastColumn="0" w:oddVBand="0" w:evenVBand="0" w:oddHBand="0" w:evenHBand="0" w:firstRowFirstColumn="0" w:firstRowLastColumn="0" w:lastRowFirstColumn="0" w:lastRowLastColumn="0"/>
            <w:tcW w:w="1418" w:type="dxa"/>
            <w:vMerge/>
            <w:shd w:val="clear" w:color="auto" w:fill="004C97" w:themeFill="accent1"/>
          </w:tcPr>
          <w:p w14:paraId="44B980F4" w14:textId="77777777" w:rsidR="00B84D25" w:rsidRDefault="00B84D25" w:rsidP="00B84D25">
            <w:pPr>
              <w:pStyle w:val="TableHeadingLeft"/>
              <w:rPr>
                <w:lang w:eastAsia="en-US"/>
              </w:rPr>
            </w:pPr>
          </w:p>
        </w:tc>
        <w:tc>
          <w:tcPr>
            <w:tcW w:w="2835" w:type="dxa"/>
            <w:shd w:val="clear" w:color="auto" w:fill="CCDBEA" w:themeFill="background2"/>
          </w:tcPr>
          <w:p w14:paraId="1B94DE45" w14:textId="77777777" w:rsidR="00B84D25" w:rsidRDefault="00B84D25" w:rsidP="00B84D25">
            <w:pPr>
              <w:pStyle w:val="BodyText"/>
              <w:cnfStyle w:val="000000000000" w:firstRow="0" w:lastRow="0" w:firstColumn="0" w:lastColumn="0" w:oddVBand="0" w:evenVBand="0" w:oddHBand="0" w:evenHBand="0" w:firstRowFirstColumn="0" w:firstRowLastColumn="0" w:lastRowFirstColumn="0" w:lastRowLastColumn="0"/>
              <w:rPr>
                <w:lang w:eastAsia="en-US"/>
              </w:rPr>
            </w:pPr>
            <w:r>
              <w:rPr>
                <w:lang w:eastAsia="en-US"/>
              </w:rPr>
              <w:t>Food (Nutrition)</w:t>
            </w:r>
          </w:p>
        </w:tc>
        <w:tc>
          <w:tcPr>
            <w:tcW w:w="1389" w:type="dxa"/>
          </w:tcPr>
          <w:p w14:paraId="391FB770"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0CD0A46" w14:textId="020F269C" w:rsidR="00B84D25" w:rsidRPr="00FA18A0"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2</w:t>
            </w:r>
          </w:p>
        </w:tc>
        <w:tc>
          <w:tcPr>
            <w:tcW w:w="1389" w:type="dxa"/>
          </w:tcPr>
          <w:p w14:paraId="250FD6F4" w14:textId="1A48D38A" w:rsidR="00B84D25" w:rsidRPr="00FA18A0"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1</w:t>
            </w:r>
          </w:p>
        </w:tc>
        <w:tc>
          <w:tcPr>
            <w:tcW w:w="1389" w:type="dxa"/>
          </w:tcPr>
          <w:p w14:paraId="6BB618F8" w14:textId="77777777" w:rsidR="00B84D25" w:rsidRPr="00FA18A0"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43E8C320" w14:textId="77777777" w:rsidR="00B84D25" w:rsidRPr="00FA18A0"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53928528" w14:textId="77777777" w:rsidR="00B84D25" w:rsidRPr="00FA18A0"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370B23E7"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416D1CA0"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1EFF973" w14:textId="1DB0750F"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2</w:t>
            </w:r>
          </w:p>
        </w:tc>
        <w:tc>
          <w:tcPr>
            <w:tcW w:w="1390" w:type="dxa"/>
          </w:tcPr>
          <w:p w14:paraId="3E4163A7"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2198" w:type="dxa"/>
          </w:tcPr>
          <w:p w14:paraId="6D98E451" w14:textId="1D14195C"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2</w:t>
            </w:r>
          </w:p>
        </w:tc>
        <w:tc>
          <w:tcPr>
            <w:tcW w:w="1201" w:type="dxa"/>
            <w:shd w:val="clear" w:color="auto" w:fill="92D050"/>
          </w:tcPr>
          <w:p w14:paraId="1D7BF1C9" w14:textId="3B4B3AEE"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7</w:t>
            </w:r>
          </w:p>
        </w:tc>
      </w:tr>
      <w:tr w:rsidR="00B84D25" w14:paraId="2F2F8E84" w14:textId="77777777" w:rsidTr="00244D89">
        <w:tc>
          <w:tcPr>
            <w:cnfStyle w:val="001000000000" w:firstRow="0" w:lastRow="0" w:firstColumn="1" w:lastColumn="0" w:oddVBand="0" w:evenVBand="0" w:oddHBand="0" w:evenHBand="0" w:firstRowFirstColumn="0" w:firstRowLastColumn="0" w:lastRowFirstColumn="0" w:lastRowLastColumn="0"/>
            <w:tcW w:w="1418" w:type="dxa"/>
            <w:vMerge/>
            <w:shd w:val="clear" w:color="auto" w:fill="004C97" w:themeFill="accent1"/>
          </w:tcPr>
          <w:p w14:paraId="4EA973AF" w14:textId="77777777" w:rsidR="00B84D25" w:rsidRDefault="00B84D25" w:rsidP="00B84D25">
            <w:pPr>
              <w:pStyle w:val="TableHeadingLeft"/>
              <w:rPr>
                <w:lang w:eastAsia="en-US"/>
              </w:rPr>
            </w:pPr>
          </w:p>
        </w:tc>
        <w:tc>
          <w:tcPr>
            <w:tcW w:w="2835" w:type="dxa"/>
            <w:shd w:val="clear" w:color="auto" w:fill="CCDBEA" w:themeFill="background2"/>
          </w:tcPr>
          <w:p w14:paraId="55C7D3D2" w14:textId="77777777" w:rsidR="00B84D25" w:rsidRDefault="00B84D25" w:rsidP="00B84D25">
            <w:pPr>
              <w:pStyle w:val="BodyText"/>
              <w:cnfStyle w:val="000000000000" w:firstRow="0" w:lastRow="0" w:firstColumn="0" w:lastColumn="0" w:oddVBand="0" w:evenVBand="0" w:oddHBand="0" w:evenHBand="0" w:firstRowFirstColumn="0" w:firstRowLastColumn="0" w:lastRowFirstColumn="0" w:lastRowLastColumn="0"/>
              <w:rPr>
                <w:lang w:eastAsia="en-US"/>
              </w:rPr>
            </w:pPr>
            <w:r>
              <w:rPr>
                <w:lang w:eastAsia="en-US"/>
              </w:rPr>
              <w:t>Global climate regulation</w:t>
            </w:r>
          </w:p>
        </w:tc>
        <w:tc>
          <w:tcPr>
            <w:tcW w:w="1389" w:type="dxa"/>
          </w:tcPr>
          <w:p w14:paraId="6E15F18F"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5AE0E5B9" w14:textId="19308026" w:rsidR="00B84D25" w:rsidRPr="00FA18A0"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00D9BDE8" w14:textId="77777777" w:rsidR="00B84D25" w:rsidRPr="00FA18A0"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3C571CA3" w14:textId="07D889F0" w:rsidR="00B84D25" w:rsidRPr="00FA18A0"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74F26B42" w14:textId="33F2E218" w:rsidR="00B84D25" w:rsidRPr="00FA18A0"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309CAAD" w14:textId="4BA4B822" w:rsidR="00B84D25" w:rsidRPr="00FA18A0"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79B10086"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66DFEEE"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4D9B9AB" w14:textId="15879293"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90" w:type="dxa"/>
          </w:tcPr>
          <w:p w14:paraId="7FB49A5A"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2198" w:type="dxa"/>
          </w:tcPr>
          <w:p w14:paraId="4E92689A" w14:textId="271D992B"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5</w:t>
            </w:r>
          </w:p>
        </w:tc>
        <w:tc>
          <w:tcPr>
            <w:tcW w:w="1201" w:type="dxa"/>
            <w:shd w:val="clear" w:color="auto" w:fill="D5FC79"/>
          </w:tcPr>
          <w:p w14:paraId="61C3CA2A" w14:textId="50209FF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5</w:t>
            </w:r>
          </w:p>
        </w:tc>
      </w:tr>
      <w:tr w:rsidR="00B84D25" w14:paraId="69CB2064" w14:textId="77777777" w:rsidTr="00BB746F">
        <w:tc>
          <w:tcPr>
            <w:cnfStyle w:val="001000000000" w:firstRow="0" w:lastRow="0" w:firstColumn="1" w:lastColumn="0" w:oddVBand="0" w:evenVBand="0" w:oddHBand="0" w:evenHBand="0" w:firstRowFirstColumn="0" w:firstRowLastColumn="0" w:lastRowFirstColumn="0" w:lastRowLastColumn="0"/>
            <w:tcW w:w="1418" w:type="dxa"/>
            <w:vMerge/>
            <w:shd w:val="clear" w:color="auto" w:fill="004C97" w:themeFill="accent1"/>
          </w:tcPr>
          <w:p w14:paraId="4E7B2EF3" w14:textId="77777777" w:rsidR="00B84D25" w:rsidRDefault="00B84D25" w:rsidP="00B84D25">
            <w:pPr>
              <w:pStyle w:val="TableHeadingLeft"/>
              <w:rPr>
                <w:lang w:eastAsia="en-US"/>
              </w:rPr>
            </w:pPr>
          </w:p>
        </w:tc>
        <w:tc>
          <w:tcPr>
            <w:tcW w:w="2835" w:type="dxa"/>
            <w:shd w:val="clear" w:color="auto" w:fill="CCDBEA" w:themeFill="background2"/>
          </w:tcPr>
          <w:p w14:paraId="66C507AD" w14:textId="77777777" w:rsidR="00B84D25" w:rsidRDefault="00B84D25" w:rsidP="00B84D25">
            <w:pPr>
              <w:pStyle w:val="BodyText"/>
              <w:cnfStyle w:val="000000000000" w:firstRow="0" w:lastRow="0" w:firstColumn="0" w:lastColumn="0" w:oddVBand="0" w:evenVBand="0" w:oddHBand="0" w:evenHBand="0" w:firstRowFirstColumn="0" w:firstRowLastColumn="0" w:lastRowFirstColumn="0" w:lastRowLastColumn="0"/>
              <w:rPr>
                <w:lang w:eastAsia="en-US"/>
              </w:rPr>
            </w:pPr>
            <w:r>
              <w:rPr>
                <w:lang w:eastAsia="en-US"/>
              </w:rPr>
              <w:t>Landslide regulation</w:t>
            </w:r>
          </w:p>
        </w:tc>
        <w:tc>
          <w:tcPr>
            <w:tcW w:w="1389" w:type="dxa"/>
          </w:tcPr>
          <w:p w14:paraId="2FC46B2A"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D4FF2A4"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F1C42E4"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A3ED8FB"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7816D8D7"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F89B122"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005D36F4"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311DAB4"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2EFFD760"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90" w:type="dxa"/>
          </w:tcPr>
          <w:p w14:paraId="27F6579F"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2198" w:type="dxa"/>
          </w:tcPr>
          <w:p w14:paraId="308C4155" w14:textId="5FA141A8"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201" w:type="dxa"/>
            <w:shd w:val="clear" w:color="auto" w:fill="FF7E79"/>
          </w:tcPr>
          <w:p w14:paraId="0FB33A2A" w14:textId="0EA5A8F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0</w:t>
            </w:r>
          </w:p>
        </w:tc>
      </w:tr>
      <w:tr w:rsidR="00B84D25" w14:paraId="0B8B324C" w14:textId="77777777" w:rsidTr="00244D89">
        <w:tc>
          <w:tcPr>
            <w:cnfStyle w:val="001000000000" w:firstRow="0" w:lastRow="0" w:firstColumn="1" w:lastColumn="0" w:oddVBand="0" w:evenVBand="0" w:oddHBand="0" w:evenHBand="0" w:firstRowFirstColumn="0" w:firstRowLastColumn="0" w:lastRowFirstColumn="0" w:lastRowLastColumn="0"/>
            <w:tcW w:w="1418" w:type="dxa"/>
            <w:vMerge/>
            <w:shd w:val="clear" w:color="auto" w:fill="004C97" w:themeFill="accent1"/>
          </w:tcPr>
          <w:p w14:paraId="30A692F1" w14:textId="77777777" w:rsidR="00B84D25" w:rsidRDefault="00B84D25" w:rsidP="00B84D25">
            <w:pPr>
              <w:pStyle w:val="TableHeadingLeft"/>
              <w:rPr>
                <w:lang w:eastAsia="en-US"/>
              </w:rPr>
            </w:pPr>
          </w:p>
        </w:tc>
        <w:tc>
          <w:tcPr>
            <w:tcW w:w="2835" w:type="dxa"/>
            <w:shd w:val="clear" w:color="auto" w:fill="CCDBEA" w:themeFill="background2"/>
          </w:tcPr>
          <w:p w14:paraId="015FEFA3" w14:textId="77777777" w:rsidR="00B84D25" w:rsidRDefault="00B84D25" w:rsidP="00B84D25">
            <w:pPr>
              <w:pStyle w:val="BodyText"/>
              <w:cnfStyle w:val="000000000000" w:firstRow="0" w:lastRow="0" w:firstColumn="0" w:lastColumn="0" w:oddVBand="0" w:evenVBand="0" w:oddHBand="0" w:evenHBand="0" w:firstRowFirstColumn="0" w:firstRowLastColumn="0" w:lastRowFirstColumn="0" w:lastRowLastColumn="0"/>
              <w:rPr>
                <w:lang w:eastAsia="en-US"/>
              </w:rPr>
            </w:pPr>
            <w:r>
              <w:rPr>
                <w:lang w:eastAsia="en-US"/>
              </w:rPr>
              <w:t>Local climate regulation</w:t>
            </w:r>
          </w:p>
        </w:tc>
        <w:tc>
          <w:tcPr>
            <w:tcW w:w="1389" w:type="dxa"/>
          </w:tcPr>
          <w:p w14:paraId="5878E9A6"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31A8704E"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25E92DF7"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7D951719"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5BA40707"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3EAE756E"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45DBC74A"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B7942EB"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608ED77"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90" w:type="dxa"/>
          </w:tcPr>
          <w:p w14:paraId="6F8ABBA1"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2198" w:type="dxa"/>
          </w:tcPr>
          <w:p w14:paraId="384D01AE" w14:textId="3589C9AF"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3</w:t>
            </w:r>
          </w:p>
        </w:tc>
        <w:tc>
          <w:tcPr>
            <w:tcW w:w="1201" w:type="dxa"/>
            <w:shd w:val="clear" w:color="auto" w:fill="D5FC79"/>
          </w:tcPr>
          <w:p w14:paraId="7D464327" w14:textId="044FC43B"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3</w:t>
            </w:r>
          </w:p>
        </w:tc>
      </w:tr>
      <w:tr w:rsidR="00B84D25" w14:paraId="646BF00A" w14:textId="77777777" w:rsidTr="00244D89">
        <w:tc>
          <w:tcPr>
            <w:cnfStyle w:val="001000000000" w:firstRow="0" w:lastRow="0" w:firstColumn="1" w:lastColumn="0" w:oddVBand="0" w:evenVBand="0" w:oddHBand="0" w:evenHBand="0" w:firstRowFirstColumn="0" w:firstRowLastColumn="0" w:lastRowFirstColumn="0" w:lastRowLastColumn="0"/>
            <w:tcW w:w="1418" w:type="dxa"/>
            <w:vMerge/>
            <w:shd w:val="clear" w:color="auto" w:fill="004C97" w:themeFill="accent1"/>
          </w:tcPr>
          <w:p w14:paraId="76153C23" w14:textId="77777777" w:rsidR="00B84D25" w:rsidRDefault="00B84D25" w:rsidP="00B84D25">
            <w:pPr>
              <w:pStyle w:val="TableHeadingLeft"/>
              <w:rPr>
                <w:lang w:eastAsia="en-US"/>
              </w:rPr>
            </w:pPr>
          </w:p>
        </w:tc>
        <w:tc>
          <w:tcPr>
            <w:tcW w:w="2835" w:type="dxa"/>
            <w:shd w:val="clear" w:color="auto" w:fill="CCDBEA" w:themeFill="background2"/>
          </w:tcPr>
          <w:p w14:paraId="27B10334" w14:textId="77777777" w:rsidR="00B84D25" w:rsidRDefault="00B84D25" w:rsidP="00B84D25">
            <w:pPr>
              <w:pStyle w:val="BodyText"/>
              <w:cnfStyle w:val="000000000000" w:firstRow="0" w:lastRow="0" w:firstColumn="0" w:lastColumn="0" w:oddVBand="0" w:evenVBand="0" w:oddHBand="0" w:evenHBand="0" w:firstRowFirstColumn="0" w:firstRowLastColumn="0" w:lastRowFirstColumn="0" w:lastRowLastColumn="0"/>
              <w:rPr>
                <w:lang w:eastAsia="en-US"/>
              </w:rPr>
            </w:pPr>
            <w:r>
              <w:rPr>
                <w:lang w:eastAsia="en-US"/>
              </w:rPr>
              <w:t>Noise and smell</w:t>
            </w:r>
          </w:p>
        </w:tc>
        <w:tc>
          <w:tcPr>
            <w:tcW w:w="1389" w:type="dxa"/>
          </w:tcPr>
          <w:p w14:paraId="4CD4985D"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2E603A6"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D26C54F"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736C1E8B"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5DCB934"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4FB9B95C"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2308E47A"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2731DEEF"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3F423CA8"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90" w:type="dxa"/>
          </w:tcPr>
          <w:p w14:paraId="6B1DDDF5"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2198" w:type="dxa"/>
          </w:tcPr>
          <w:p w14:paraId="73D8F38A" w14:textId="020B07DC"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1</w:t>
            </w:r>
          </w:p>
        </w:tc>
        <w:tc>
          <w:tcPr>
            <w:tcW w:w="1201" w:type="dxa"/>
            <w:shd w:val="clear" w:color="auto" w:fill="FFC000"/>
          </w:tcPr>
          <w:p w14:paraId="6503F8C8" w14:textId="0327BD44"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1</w:t>
            </w:r>
          </w:p>
        </w:tc>
      </w:tr>
      <w:tr w:rsidR="00B84D25" w14:paraId="2A01851F" w14:textId="77777777" w:rsidTr="00244D89">
        <w:tc>
          <w:tcPr>
            <w:cnfStyle w:val="001000000000" w:firstRow="0" w:lastRow="0" w:firstColumn="1" w:lastColumn="0" w:oddVBand="0" w:evenVBand="0" w:oddHBand="0" w:evenHBand="0" w:firstRowFirstColumn="0" w:firstRowLastColumn="0" w:lastRowFirstColumn="0" w:lastRowLastColumn="0"/>
            <w:tcW w:w="1418" w:type="dxa"/>
            <w:vMerge/>
            <w:shd w:val="clear" w:color="auto" w:fill="004C97" w:themeFill="accent1"/>
          </w:tcPr>
          <w:p w14:paraId="1BE4923E" w14:textId="77777777" w:rsidR="00B84D25" w:rsidRDefault="00B84D25" w:rsidP="00B84D25">
            <w:pPr>
              <w:pStyle w:val="TableHeadingLeft"/>
              <w:rPr>
                <w:lang w:eastAsia="en-US"/>
              </w:rPr>
            </w:pPr>
          </w:p>
        </w:tc>
        <w:tc>
          <w:tcPr>
            <w:tcW w:w="2835" w:type="dxa"/>
            <w:shd w:val="clear" w:color="auto" w:fill="CCDBEA" w:themeFill="background2"/>
          </w:tcPr>
          <w:p w14:paraId="2ACB0980" w14:textId="77777777" w:rsidR="00B84D25" w:rsidRDefault="00B84D25" w:rsidP="00B84D25">
            <w:pPr>
              <w:pStyle w:val="BodyText"/>
              <w:cnfStyle w:val="000000000000" w:firstRow="0" w:lastRow="0" w:firstColumn="0" w:lastColumn="0" w:oddVBand="0" w:evenVBand="0" w:oddHBand="0" w:evenHBand="0" w:firstRowFirstColumn="0" w:firstRowLastColumn="0" w:lastRowFirstColumn="0" w:lastRowLastColumn="0"/>
              <w:rPr>
                <w:lang w:eastAsia="en-US"/>
              </w:rPr>
            </w:pPr>
            <w:r>
              <w:rPr>
                <w:lang w:eastAsia="en-US"/>
              </w:rPr>
              <w:t>Recreation</w:t>
            </w:r>
          </w:p>
        </w:tc>
        <w:tc>
          <w:tcPr>
            <w:tcW w:w="1389" w:type="dxa"/>
          </w:tcPr>
          <w:p w14:paraId="4A383716"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69A61AAF" w14:textId="46722385"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5</w:t>
            </w:r>
          </w:p>
        </w:tc>
        <w:tc>
          <w:tcPr>
            <w:tcW w:w="1389" w:type="dxa"/>
          </w:tcPr>
          <w:p w14:paraId="245AA7A8"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44DEAA14" w14:textId="66E636F6"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2D2F9723" w14:textId="23C96D53"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2</w:t>
            </w:r>
          </w:p>
        </w:tc>
        <w:tc>
          <w:tcPr>
            <w:tcW w:w="1389" w:type="dxa"/>
          </w:tcPr>
          <w:p w14:paraId="15C5D356"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614957DE"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55BCC061"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452D362F" w14:textId="0B16B83E"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1</w:t>
            </w:r>
          </w:p>
        </w:tc>
        <w:tc>
          <w:tcPr>
            <w:tcW w:w="1390" w:type="dxa"/>
          </w:tcPr>
          <w:p w14:paraId="728486F5"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2198" w:type="dxa"/>
          </w:tcPr>
          <w:p w14:paraId="613A55B2" w14:textId="7C3928C2"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2</w:t>
            </w:r>
          </w:p>
        </w:tc>
        <w:tc>
          <w:tcPr>
            <w:tcW w:w="1201" w:type="dxa"/>
            <w:shd w:val="clear" w:color="auto" w:fill="92D050"/>
          </w:tcPr>
          <w:p w14:paraId="15F66EB3" w14:textId="2AC55D39"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10</w:t>
            </w:r>
          </w:p>
        </w:tc>
      </w:tr>
      <w:tr w:rsidR="00B84D25" w14:paraId="144BB525" w14:textId="77777777" w:rsidTr="00244D89">
        <w:tc>
          <w:tcPr>
            <w:cnfStyle w:val="001000000000" w:firstRow="0" w:lastRow="0" w:firstColumn="1" w:lastColumn="0" w:oddVBand="0" w:evenVBand="0" w:oddHBand="0" w:evenHBand="0" w:firstRowFirstColumn="0" w:firstRowLastColumn="0" w:lastRowFirstColumn="0" w:lastRowLastColumn="0"/>
            <w:tcW w:w="1418" w:type="dxa"/>
            <w:vMerge/>
            <w:shd w:val="clear" w:color="auto" w:fill="004C97" w:themeFill="accent1"/>
          </w:tcPr>
          <w:p w14:paraId="175CC3AA" w14:textId="77777777" w:rsidR="00B84D25" w:rsidRDefault="00B84D25" w:rsidP="00B84D25">
            <w:pPr>
              <w:pStyle w:val="TableHeadingLeft"/>
              <w:rPr>
                <w:lang w:eastAsia="en-US"/>
              </w:rPr>
            </w:pPr>
          </w:p>
        </w:tc>
        <w:tc>
          <w:tcPr>
            <w:tcW w:w="2835" w:type="dxa"/>
            <w:shd w:val="clear" w:color="auto" w:fill="CCDBEA" w:themeFill="background2"/>
          </w:tcPr>
          <w:p w14:paraId="5CCB1C95" w14:textId="77777777" w:rsidR="00B84D25" w:rsidRDefault="00B84D25" w:rsidP="00B84D25">
            <w:pPr>
              <w:pStyle w:val="BodyText"/>
              <w:cnfStyle w:val="000000000000" w:firstRow="0" w:lastRow="0" w:firstColumn="0" w:lastColumn="0" w:oddVBand="0" w:evenVBand="0" w:oddHBand="0" w:evenHBand="0" w:firstRowFirstColumn="0" w:firstRowLastColumn="0" w:lastRowFirstColumn="0" w:lastRowLastColumn="0"/>
              <w:rPr>
                <w:lang w:eastAsia="en-US"/>
              </w:rPr>
            </w:pPr>
            <w:r>
              <w:rPr>
                <w:lang w:eastAsia="en-US"/>
              </w:rPr>
              <w:t>Social / community cohesion</w:t>
            </w:r>
          </w:p>
        </w:tc>
        <w:tc>
          <w:tcPr>
            <w:tcW w:w="1389" w:type="dxa"/>
          </w:tcPr>
          <w:p w14:paraId="7714796F"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67839A72" w14:textId="6C565119"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3EC902AC"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4078529B"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6305E125"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739B244D"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21CC9257"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4016CA87"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45647C5A"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90" w:type="dxa"/>
          </w:tcPr>
          <w:p w14:paraId="3B036455"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2198" w:type="dxa"/>
          </w:tcPr>
          <w:p w14:paraId="0C2CF057" w14:textId="37DD9044"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2</w:t>
            </w:r>
          </w:p>
        </w:tc>
        <w:tc>
          <w:tcPr>
            <w:tcW w:w="1201" w:type="dxa"/>
            <w:shd w:val="clear" w:color="auto" w:fill="FFFD78"/>
          </w:tcPr>
          <w:p w14:paraId="330CFCD1" w14:textId="709630B1"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2</w:t>
            </w:r>
          </w:p>
        </w:tc>
      </w:tr>
      <w:tr w:rsidR="00B84D25" w14:paraId="7BDAAB30" w14:textId="77777777" w:rsidTr="00244D89">
        <w:tc>
          <w:tcPr>
            <w:cnfStyle w:val="001000000000" w:firstRow="0" w:lastRow="0" w:firstColumn="1" w:lastColumn="0" w:oddVBand="0" w:evenVBand="0" w:oddHBand="0" w:evenHBand="0" w:firstRowFirstColumn="0" w:firstRowLastColumn="0" w:lastRowFirstColumn="0" w:lastRowLastColumn="0"/>
            <w:tcW w:w="1418" w:type="dxa"/>
            <w:vMerge/>
            <w:shd w:val="clear" w:color="auto" w:fill="004C97" w:themeFill="accent1"/>
          </w:tcPr>
          <w:p w14:paraId="37711067" w14:textId="77777777" w:rsidR="00B84D25" w:rsidRDefault="00B84D25" w:rsidP="00B84D25">
            <w:pPr>
              <w:pStyle w:val="TableHeadingLeft"/>
              <w:rPr>
                <w:lang w:eastAsia="en-US"/>
              </w:rPr>
            </w:pPr>
          </w:p>
        </w:tc>
        <w:tc>
          <w:tcPr>
            <w:tcW w:w="2835" w:type="dxa"/>
            <w:shd w:val="clear" w:color="auto" w:fill="CCDBEA" w:themeFill="background2"/>
          </w:tcPr>
          <w:p w14:paraId="078F0F98" w14:textId="77777777" w:rsidR="00B84D25" w:rsidRDefault="00B84D25" w:rsidP="00B84D25">
            <w:pPr>
              <w:pStyle w:val="BodyText"/>
              <w:cnfStyle w:val="000000000000" w:firstRow="0" w:lastRow="0" w:firstColumn="0" w:lastColumn="0" w:oddVBand="0" w:evenVBand="0" w:oddHBand="0" w:evenHBand="0" w:firstRowFirstColumn="0" w:firstRowLastColumn="0" w:lastRowFirstColumn="0" w:lastRowLastColumn="0"/>
              <w:rPr>
                <w:lang w:eastAsia="en-US"/>
              </w:rPr>
            </w:pPr>
            <w:r>
              <w:rPr>
                <w:lang w:eastAsia="en-US"/>
              </w:rPr>
              <w:t>Tourism</w:t>
            </w:r>
          </w:p>
        </w:tc>
        <w:tc>
          <w:tcPr>
            <w:tcW w:w="1389" w:type="dxa"/>
          </w:tcPr>
          <w:p w14:paraId="1655FB56"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7B97BFCC"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07A5DFBC"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0184F50F"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64B9F80B"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4D6DB5A8" w14:textId="37FECE4A"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04DED669"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73D42E97"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2E0C5CC1"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90" w:type="dxa"/>
          </w:tcPr>
          <w:p w14:paraId="2B4F225E"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2198" w:type="dxa"/>
          </w:tcPr>
          <w:p w14:paraId="15E64A37" w14:textId="49F45FC9"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8</w:t>
            </w:r>
          </w:p>
        </w:tc>
        <w:tc>
          <w:tcPr>
            <w:tcW w:w="1201" w:type="dxa"/>
            <w:shd w:val="clear" w:color="auto" w:fill="92D050"/>
          </w:tcPr>
          <w:p w14:paraId="3EB9E032" w14:textId="4CD6E019"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8</w:t>
            </w:r>
          </w:p>
        </w:tc>
      </w:tr>
      <w:tr w:rsidR="00B84D25" w14:paraId="42C96837" w14:textId="77777777" w:rsidTr="00244D89">
        <w:tc>
          <w:tcPr>
            <w:cnfStyle w:val="001000000000" w:firstRow="0" w:lastRow="0" w:firstColumn="1" w:lastColumn="0" w:oddVBand="0" w:evenVBand="0" w:oddHBand="0" w:evenHBand="0" w:firstRowFirstColumn="0" w:firstRowLastColumn="0" w:lastRowFirstColumn="0" w:lastRowLastColumn="0"/>
            <w:tcW w:w="1418" w:type="dxa"/>
            <w:vMerge/>
            <w:shd w:val="clear" w:color="auto" w:fill="004C97" w:themeFill="accent1"/>
          </w:tcPr>
          <w:p w14:paraId="0EE64627" w14:textId="77777777" w:rsidR="00B84D25" w:rsidRDefault="00B84D25" w:rsidP="00B84D25">
            <w:pPr>
              <w:pStyle w:val="TableHeadingLeft"/>
              <w:rPr>
                <w:lang w:eastAsia="en-US"/>
              </w:rPr>
            </w:pPr>
          </w:p>
        </w:tc>
        <w:tc>
          <w:tcPr>
            <w:tcW w:w="2835" w:type="dxa"/>
            <w:shd w:val="clear" w:color="auto" w:fill="CCDBEA" w:themeFill="background2"/>
          </w:tcPr>
          <w:p w14:paraId="331E076E" w14:textId="77777777" w:rsidR="00B84D25" w:rsidRDefault="00B84D25" w:rsidP="00B84D25">
            <w:pPr>
              <w:pStyle w:val="BodyText"/>
              <w:cnfStyle w:val="000000000000" w:firstRow="0" w:lastRow="0" w:firstColumn="0" w:lastColumn="0" w:oddVBand="0" w:evenVBand="0" w:oddHBand="0" w:evenHBand="0" w:firstRowFirstColumn="0" w:firstRowLastColumn="0" w:lastRowFirstColumn="0" w:lastRowLastColumn="0"/>
              <w:rPr>
                <w:lang w:eastAsia="en-US"/>
              </w:rPr>
            </w:pPr>
            <w:r>
              <w:rPr>
                <w:lang w:eastAsia="en-US"/>
              </w:rPr>
              <w:t>Water provision</w:t>
            </w:r>
          </w:p>
        </w:tc>
        <w:tc>
          <w:tcPr>
            <w:tcW w:w="1389" w:type="dxa"/>
          </w:tcPr>
          <w:p w14:paraId="220FE8D2"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57637C4E"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1EA4A922"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2DF94D4D"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5017558B" w14:textId="5081725C"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2A3995C8"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7E33DCCA"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26AA27FF"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68CD29CA"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90" w:type="dxa"/>
          </w:tcPr>
          <w:p w14:paraId="21C92784"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2198" w:type="dxa"/>
          </w:tcPr>
          <w:p w14:paraId="3CFDB378" w14:textId="3F0B8F1E"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3</w:t>
            </w:r>
          </w:p>
        </w:tc>
        <w:tc>
          <w:tcPr>
            <w:tcW w:w="1201" w:type="dxa"/>
            <w:shd w:val="clear" w:color="auto" w:fill="D5FC79"/>
          </w:tcPr>
          <w:p w14:paraId="6BDAC521" w14:textId="6A600B34"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3</w:t>
            </w:r>
          </w:p>
        </w:tc>
      </w:tr>
      <w:tr w:rsidR="00B84D25" w14:paraId="57611E18" w14:textId="77777777" w:rsidTr="00244D89">
        <w:tc>
          <w:tcPr>
            <w:cnfStyle w:val="001000000000" w:firstRow="0" w:lastRow="0" w:firstColumn="1" w:lastColumn="0" w:oddVBand="0" w:evenVBand="0" w:oddHBand="0" w:evenHBand="0" w:firstRowFirstColumn="0" w:firstRowLastColumn="0" w:lastRowFirstColumn="0" w:lastRowLastColumn="0"/>
            <w:tcW w:w="1418" w:type="dxa"/>
            <w:vMerge/>
            <w:tcBorders>
              <w:bottom w:val="nil"/>
            </w:tcBorders>
            <w:shd w:val="clear" w:color="auto" w:fill="004C97" w:themeFill="accent1"/>
          </w:tcPr>
          <w:p w14:paraId="43AFEF1B" w14:textId="77777777" w:rsidR="00B84D25" w:rsidRDefault="00B84D25" w:rsidP="00B84D25">
            <w:pPr>
              <w:pStyle w:val="TableHeadingLeft"/>
              <w:rPr>
                <w:lang w:eastAsia="en-US"/>
              </w:rPr>
            </w:pPr>
          </w:p>
        </w:tc>
        <w:tc>
          <w:tcPr>
            <w:tcW w:w="2835" w:type="dxa"/>
            <w:shd w:val="clear" w:color="auto" w:fill="CCDBEA" w:themeFill="background2"/>
          </w:tcPr>
          <w:p w14:paraId="4F74B294" w14:textId="6DB8C8F6" w:rsidR="00B84D25" w:rsidRDefault="00B84D25" w:rsidP="00B84D25">
            <w:pPr>
              <w:pStyle w:val="BodyText"/>
              <w:cnfStyle w:val="000000000000" w:firstRow="0" w:lastRow="0" w:firstColumn="0" w:lastColumn="0" w:oddVBand="0" w:evenVBand="0" w:oddHBand="0" w:evenHBand="0" w:firstRowFirstColumn="0" w:firstRowLastColumn="0" w:lastRowFirstColumn="0" w:lastRowLastColumn="0"/>
              <w:rPr>
                <w:lang w:eastAsia="en-US"/>
              </w:rPr>
            </w:pPr>
            <w:r>
              <w:rPr>
                <w:lang w:eastAsia="en-US"/>
              </w:rPr>
              <w:t>Water quality regulation</w:t>
            </w:r>
          </w:p>
        </w:tc>
        <w:tc>
          <w:tcPr>
            <w:tcW w:w="1389" w:type="dxa"/>
          </w:tcPr>
          <w:p w14:paraId="4AF3B474"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025E9412"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0163266C"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53C5B356"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627DBA42" w14:textId="038A81AB"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0C5F62C7"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425D15E1"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081D2B50"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Pr>
          <w:p w14:paraId="621355FB"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1390" w:type="dxa"/>
          </w:tcPr>
          <w:p w14:paraId="1AD667AF"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c>
          <w:tcPr>
            <w:tcW w:w="2198" w:type="dxa"/>
          </w:tcPr>
          <w:p w14:paraId="2E5474D3" w14:textId="397E375C"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3</w:t>
            </w:r>
          </w:p>
        </w:tc>
        <w:tc>
          <w:tcPr>
            <w:tcW w:w="1201" w:type="dxa"/>
            <w:tcBorders>
              <w:bottom w:val="single" w:sz="4" w:space="0" w:color="auto"/>
            </w:tcBorders>
            <w:shd w:val="clear" w:color="auto" w:fill="D5FC79"/>
          </w:tcPr>
          <w:p w14:paraId="79128ABB" w14:textId="019AA7DB"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3</w:t>
            </w:r>
          </w:p>
        </w:tc>
      </w:tr>
      <w:tr w:rsidR="00B84D25" w14:paraId="42B4F99B" w14:textId="77777777" w:rsidTr="00244D89">
        <w:tc>
          <w:tcPr>
            <w:cnfStyle w:val="001000000000" w:firstRow="0" w:lastRow="0" w:firstColumn="1" w:lastColumn="0" w:oddVBand="0" w:evenVBand="0" w:oddHBand="0" w:evenHBand="0" w:firstRowFirstColumn="0" w:firstRowLastColumn="0" w:lastRowFirstColumn="0" w:lastRowLastColumn="0"/>
            <w:tcW w:w="1418" w:type="dxa"/>
            <w:tcBorders>
              <w:top w:val="nil"/>
              <w:bottom w:val="single" w:sz="4" w:space="0" w:color="auto"/>
            </w:tcBorders>
            <w:shd w:val="clear" w:color="auto" w:fill="201547" w:themeFill="text2"/>
          </w:tcPr>
          <w:p w14:paraId="43CC69CB" w14:textId="77777777" w:rsidR="00B84D25" w:rsidRDefault="00B84D25" w:rsidP="00B84D25">
            <w:pPr>
              <w:pStyle w:val="TableHeadingLeft"/>
              <w:rPr>
                <w:lang w:eastAsia="en-US"/>
              </w:rPr>
            </w:pPr>
            <w:r>
              <w:rPr>
                <w:lang w:eastAsia="en-US"/>
              </w:rPr>
              <w:t>Total</w:t>
            </w:r>
          </w:p>
        </w:tc>
        <w:tc>
          <w:tcPr>
            <w:tcW w:w="2835" w:type="dxa"/>
            <w:tcBorders>
              <w:bottom w:val="single" w:sz="4" w:space="0" w:color="auto"/>
            </w:tcBorders>
            <w:shd w:val="clear" w:color="auto" w:fill="201547" w:themeFill="text2"/>
          </w:tcPr>
          <w:p w14:paraId="140359E1" w14:textId="77777777" w:rsidR="00B84D25" w:rsidRDefault="00B84D25" w:rsidP="00B84D25">
            <w:pPr>
              <w:pStyle w:val="BodyText"/>
              <w:cnfStyle w:val="000000000000" w:firstRow="0" w:lastRow="0" w:firstColumn="0" w:lastColumn="0" w:oddVBand="0" w:evenVBand="0" w:oddHBand="0" w:evenHBand="0" w:firstRowFirstColumn="0" w:firstRowLastColumn="0" w:lastRowFirstColumn="0" w:lastRowLastColumn="0"/>
              <w:rPr>
                <w:lang w:eastAsia="en-US"/>
              </w:rPr>
            </w:pPr>
          </w:p>
        </w:tc>
        <w:tc>
          <w:tcPr>
            <w:tcW w:w="1389" w:type="dxa"/>
            <w:tcBorders>
              <w:bottom w:val="single" w:sz="4" w:space="0" w:color="auto"/>
            </w:tcBorders>
            <w:shd w:val="clear" w:color="auto" w:fill="FF7E79"/>
          </w:tcPr>
          <w:p w14:paraId="5F9BCB01" w14:textId="4E3E8FEB"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0</w:t>
            </w:r>
          </w:p>
        </w:tc>
        <w:tc>
          <w:tcPr>
            <w:tcW w:w="1389" w:type="dxa"/>
            <w:tcBorders>
              <w:bottom w:val="single" w:sz="4" w:space="0" w:color="auto"/>
            </w:tcBorders>
            <w:shd w:val="clear" w:color="auto" w:fill="92D050"/>
          </w:tcPr>
          <w:p w14:paraId="76C7BD07" w14:textId="6FEA4475"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12</w:t>
            </w:r>
          </w:p>
        </w:tc>
        <w:tc>
          <w:tcPr>
            <w:tcW w:w="1389" w:type="dxa"/>
            <w:tcBorders>
              <w:bottom w:val="single" w:sz="4" w:space="0" w:color="auto"/>
            </w:tcBorders>
            <w:shd w:val="clear" w:color="auto" w:fill="FFC000"/>
          </w:tcPr>
          <w:p w14:paraId="67ABA350" w14:textId="09512449"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1</w:t>
            </w:r>
          </w:p>
        </w:tc>
        <w:tc>
          <w:tcPr>
            <w:tcW w:w="1389" w:type="dxa"/>
            <w:tcBorders>
              <w:bottom w:val="single" w:sz="4" w:space="0" w:color="auto"/>
            </w:tcBorders>
            <w:shd w:val="clear" w:color="auto" w:fill="D5FC79"/>
          </w:tcPr>
          <w:p w14:paraId="3EA511F3" w14:textId="08E9A7AA"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3</w:t>
            </w:r>
          </w:p>
        </w:tc>
        <w:tc>
          <w:tcPr>
            <w:tcW w:w="1389" w:type="dxa"/>
            <w:tcBorders>
              <w:bottom w:val="single" w:sz="4" w:space="0" w:color="auto"/>
            </w:tcBorders>
            <w:shd w:val="clear" w:color="auto" w:fill="FFFD78"/>
          </w:tcPr>
          <w:p w14:paraId="5DAE619B" w14:textId="2BDF6F3A"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2</w:t>
            </w:r>
          </w:p>
        </w:tc>
        <w:tc>
          <w:tcPr>
            <w:tcW w:w="1389" w:type="dxa"/>
            <w:tcBorders>
              <w:bottom w:val="single" w:sz="4" w:space="0" w:color="auto"/>
            </w:tcBorders>
            <w:shd w:val="clear" w:color="auto" w:fill="FF7E79"/>
          </w:tcPr>
          <w:p w14:paraId="05E35858" w14:textId="77D23118"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0</w:t>
            </w:r>
          </w:p>
        </w:tc>
        <w:tc>
          <w:tcPr>
            <w:tcW w:w="1389" w:type="dxa"/>
            <w:tcBorders>
              <w:bottom w:val="single" w:sz="4" w:space="0" w:color="auto"/>
            </w:tcBorders>
            <w:shd w:val="clear" w:color="auto" w:fill="FF7E79"/>
          </w:tcPr>
          <w:p w14:paraId="7DC0E40F" w14:textId="66ADBF60"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0</w:t>
            </w:r>
          </w:p>
        </w:tc>
        <w:tc>
          <w:tcPr>
            <w:tcW w:w="1389" w:type="dxa"/>
            <w:tcBorders>
              <w:bottom w:val="single" w:sz="4" w:space="0" w:color="auto"/>
            </w:tcBorders>
            <w:shd w:val="clear" w:color="auto" w:fill="FF7E79"/>
          </w:tcPr>
          <w:p w14:paraId="6BFA0736" w14:textId="3293B871"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0</w:t>
            </w:r>
          </w:p>
        </w:tc>
        <w:tc>
          <w:tcPr>
            <w:tcW w:w="1389" w:type="dxa"/>
            <w:tcBorders>
              <w:bottom w:val="single" w:sz="4" w:space="0" w:color="auto"/>
            </w:tcBorders>
            <w:shd w:val="clear" w:color="auto" w:fill="D5FC79"/>
          </w:tcPr>
          <w:p w14:paraId="71F394E1" w14:textId="68179679"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3</w:t>
            </w:r>
          </w:p>
        </w:tc>
        <w:tc>
          <w:tcPr>
            <w:tcW w:w="1390" w:type="dxa"/>
            <w:tcBorders>
              <w:bottom w:val="single" w:sz="4" w:space="0" w:color="auto"/>
            </w:tcBorders>
            <w:shd w:val="clear" w:color="auto" w:fill="FF7E79"/>
          </w:tcPr>
          <w:p w14:paraId="28A37C18" w14:textId="04D5041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0</w:t>
            </w:r>
          </w:p>
        </w:tc>
        <w:tc>
          <w:tcPr>
            <w:tcW w:w="2198" w:type="dxa"/>
            <w:tcBorders>
              <w:bottom w:val="single" w:sz="4" w:space="0" w:color="auto"/>
            </w:tcBorders>
            <w:shd w:val="clear" w:color="auto" w:fill="00B050"/>
          </w:tcPr>
          <w:p w14:paraId="22DC5E0A" w14:textId="7285748C"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35</w:t>
            </w:r>
          </w:p>
        </w:tc>
        <w:tc>
          <w:tcPr>
            <w:tcW w:w="1201" w:type="dxa"/>
            <w:tcBorders>
              <w:top w:val="single" w:sz="4" w:space="0" w:color="auto"/>
              <w:bottom w:val="nil"/>
            </w:tcBorders>
          </w:tcPr>
          <w:p w14:paraId="7B107DBF" w14:textId="77777777" w:rsidR="00B84D25" w:rsidRDefault="00B84D25" w:rsidP="00B84D25">
            <w:pPr>
              <w:pStyle w:val="BodyText"/>
              <w:jc w:val="center"/>
              <w:cnfStyle w:val="000000000000" w:firstRow="0" w:lastRow="0" w:firstColumn="0" w:lastColumn="0" w:oddVBand="0" w:evenVBand="0" w:oddHBand="0" w:evenHBand="0" w:firstRowFirstColumn="0" w:firstRowLastColumn="0" w:lastRowFirstColumn="0" w:lastRowLastColumn="0"/>
              <w:rPr>
                <w:lang w:eastAsia="en-US"/>
              </w:rPr>
            </w:pPr>
          </w:p>
        </w:tc>
      </w:tr>
    </w:tbl>
    <w:p w14:paraId="4009C738" w14:textId="5432319E" w:rsidR="005E569B" w:rsidRPr="005E569B" w:rsidRDefault="005E569B" w:rsidP="005E569B">
      <w:pPr>
        <w:pStyle w:val="BodyText"/>
        <w:rPr>
          <w:lang w:eastAsia="en-US"/>
        </w:rPr>
      </w:pPr>
    </w:p>
    <w:p w14:paraId="24EC9D83" w14:textId="55DB6E8D" w:rsidR="00F50B5A" w:rsidRPr="002F335D" w:rsidRDefault="00F50B5A" w:rsidP="009722D9">
      <w:pPr>
        <w:pStyle w:val="BodyText"/>
        <w:sectPr w:rsidR="00F50B5A" w:rsidRPr="002F335D" w:rsidSect="00E52A9A">
          <w:headerReference w:type="even" r:id="rId361"/>
          <w:footerReference w:type="even" r:id="rId362"/>
          <w:footerReference w:type="default" r:id="rId363"/>
          <w:pgSz w:w="23811" w:h="16838" w:orient="landscape" w:code="8"/>
          <w:pgMar w:top="1134" w:right="1134" w:bottom="1134" w:left="1134" w:header="283" w:footer="283" w:gutter="0"/>
          <w:cols w:space="284"/>
          <w:docGrid w:linePitch="360"/>
        </w:sectPr>
      </w:pPr>
      <w:r w:rsidRPr="00C40C45">
        <w:rPr>
          <w:noProof/>
        </w:rPr>
        <mc:AlternateContent>
          <mc:Choice Requires="wps">
            <w:drawing>
              <wp:anchor distT="45720" distB="45720" distL="114300" distR="114300" simplePos="0" relativeHeight="251658326" behindDoc="0" locked="0" layoutInCell="1" allowOverlap="1" wp14:anchorId="789F77CF" wp14:editId="52A37276">
                <wp:simplePos x="0" y="0"/>
                <wp:positionH relativeFrom="column">
                  <wp:posOffset>12061825</wp:posOffset>
                </wp:positionH>
                <wp:positionV relativeFrom="paragraph">
                  <wp:posOffset>48169</wp:posOffset>
                </wp:positionV>
                <wp:extent cx="1045028" cy="302985"/>
                <wp:effectExtent l="0" t="0" r="0" b="0"/>
                <wp:wrapNone/>
                <wp:docPr id="839" name="Text Box 8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5028" cy="302985"/>
                        </a:xfrm>
                        <a:prstGeom prst="rect">
                          <a:avLst/>
                        </a:prstGeom>
                        <a:noFill/>
                        <a:ln w="9525">
                          <a:noFill/>
                          <a:miter lim="800000"/>
                          <a:headEnd/>
                          <a:tailEnd/>
                        </a:ln>
                      </wps:spPr>
                      <wps:txbx>
                        <w:txbxContent>
                          <w:p w14:paraId="1BEB49D0" w14:textId="77777777" w:rsidR="00F50B5A" w:rsidRPr="004E6992" w:rsidRDefault="00F50B5A" w:rsidP="00F50B5A">
                            <w:pPr>
                              <w:rPr>
                                <w:b/>
                                <w:bCs/>
                              </w:rPr>
                            </w:pPr>
                            <w:r w:rsidRPr="004E6992">
                              <w:rPr>
                                <w:b/>
                                <w:bCs/>
                              </w:rPr>
                              <w:t>GORCAP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9F77CF" id="Text Box 839" o:spid="_x0000_s1079" type="#_x0000_t202" style="position:absolute;margin-left:949.75pt;margin-top:3.8pt;width:82.3pt;height:23.85pt;z-index:25165832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" filled="f" stroked="f">
                <v:textbox>
                  <w:txbxContent>
                    <w:p w14:paraId="1BEB49D0" w14:textId="77777777" w:rsidR="00F50B5A" w:rsidRPr="004E6992" w:rsidRDefault="00F50B5A" w:rsidP="00F50B5A">
                      <w:pPr>
                        <w:rPr>
                          <w:b/>
                          <w:bCs/>
                        </w:rPr>
                      </w:pPr>
                      <w:r w:rsidRPr="004E6992">
                        <w:rPr>
                          <w:b/>
                          <w:bCs/>
                        </w:rPr>
                        <w:t>GORCAP</w:t>
                      </w:r>
                    </w:p>
                  </w:txbxContent>
                </v:textbox>
              </v:shape>
            </w:pict>
          </mc:Fallback>
        </mc:AlternateContent>
      </w:r>
      <w:r w:rsidRPr="00C40C45">
        <w:rPr>
          <w:noProof/>
        </w:rPr>
        <mc:AlternateContent>
          <mc:Choice Requires="wps">
            <w:drawing>
              <wp:anchor distT="0" distB="0" distL="114300" distR="114300" simplePos="0" relativeHeight="251658325" behindDoc="0" locked="0" layoutInCell="1" allowOverlap="1" wp14:anchorId="3A29F523" wp14:editId="765915BA">
                <wp:simplePos x="0" y="0"/>
                <wp:positionH relativeFrom="column">
                  <wp:posOffset>12315825</wp:posOffset>
                </wp:positionH>
                <wp:positionV relativeFrom="paragraph">
                  <wp:posOffset>208915</wp:posOffset>
                </wp:positionV>
                <wp:extent cx="419100" cy="114300"/>
                <wp:effectExtent l="0" t="0" r="0" b="0"/>
                <wp:wrapNone/>
                <wp:docPr id="838" name="Rectangle 838"/>
                <wp:cNvGraphicFramePr/>
                <a:graphic xmlns:a="http://schemas.openxmlformats.org/drawingml/2006/main">
                  <a:graphicData uri="http://schemas.microsoft.com/office/word/2010/wordprocessingShape">
                    <wps:wsp>
                      <wps:cNvSpPr/>
                      <wps:spPr>
                        <a:xfrm>
                          <a:off x="0" y="0"/>
                          <a:ext cx="419100" cy="1143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191A98" id="Rectangle 838" o:spid="_x0000_s1026" style="position:absolute;margin-left:969.75pt;margin-top:16.45pt;width:33pt;height:9pt;z-index:25165832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" fillcolor="white [3212]" stroked="f" strokeweight="2pt"/>
            </w:pict>
          </mc:Fallback>
        </mc:AlternateContent>
      </w:r>
    </w:p>
    <w:p w14:paraId="246376B8" w14:textId="40D5BDA0" w:rsidR="00F50B5A" w:rsidRPr="008C7964" w:rsidRDefault="00F50B5A" w:rsidP="009722D9">
      <w:pPr>
        <w:pStyle w:val="Heading2"/>
        <w:numPr>
          <w:ilvl w:val="0"/>
          <w:numId w:val="0"/>
        </w:numPr>
      </w:pPr>
      <w:bookmarkStart w:id="425" w:name="_Toc163547103"/>
      <w:r w:rsidRPr="008C7964">
        <w:lastRenderedPageBreak/>
        <w:t>A3.1. Biomass for timber</w:t>
      </w:r>
      <w:bookmarkEnd w:id="425"/>
      <w:r w:rsidRPr="008C7964">
        <w:t xml:space="preserve"> </w:t>
      </w:r>
    </w:p>
    <w:p w14:paraId="00790B41" w14:textId="77777777" w:rsidR="00F50B5A" w:rsidRPr="005D5694" w:rsidRDefault="00F50B5A" w:rsidP="009722D9">
      <w:pPr>
        <w:pStyle w:val="BodyText"/>
      </w:pPr>
      <w:r w:rsidRPr="005D5694">
        <w:t>Forest and wood product statistics for Victoria indicate that there was approximately 418,000 hectares of plantation area and 8,000 hectares of native forest within Victoria in 2018-19 and 2016 respectively and that these areas produced 8,859,000m</w:t>
      </w:r>
      <w:r w:rsidRPr="005D5694">
        <w:rPr>
          <w:vertAlign w:val="superscript"/>
        </w:rPr>
        <w:t xml:space="preserve">3 </w:t>
      </w:r>
      <w:r w:rsidRPr="005D5694">
        <w:t>of timber with an economic value of $734million in 2018-19 (ABARES, 2020), see Table</w:t>
      </w:r>
      <w:r>
        <w:t xml:space="preserve"> A3.3</w:t>
      </w:r>
      <w:r w:rsidRPr="005D5694">
        <w:t>.</w:t>
      </w:r>
    </w:p>
    <w:p w14:paraId="37A1B9FA" w14:textId="77777777" w:rsidR="00F50B5A" w:rsidRPr="005D5694" w:rsidRDefault="00F50B5A" w:rsidP="009722D9">
      <w:pPr>
        <w:pStyle w:val="Caption"/>
        <w:rPr>
          <w:highlight w:val="yellow"/>
        </w:rPr>
      </w:pPr>
      <w:r w:rsidRPr="005D5694">
        <w:t xml:space="preserve">Table </w:t>
      </w:r>
      <w:r>
        <w:t>A3.3</w:t>
      </w:r>
      <w:r w:rsidRPr="005D5694">
        <w:t>. Forest and wood product statistics for Victoria (ABARES, 2020)</w:t>
      </w:r>
    </w:p>
    <w:tbl>
      <w:tblPr>
        <w:tblStyle w:val="TableGrid"/>
        <w:tblW w:w="5000" w:type="pct"/>
        <w:tblLook w:val="04A0" w:firstRow="1" w:lastRow="0" w:firstColumn="1" w:lastColumn="0" w:noHBand="0" w:noVBand="1"/>
      </w:tblPr>
      <w:tblGrid>
        <w:gridCol w:w="2677"/>
        <w:gridCol w:w="2414"/>
        <w:gridCol w:w="1695"/>
        <w:gridCol w:w="1426"/>
        <w:gridCol w:w="1426"/>
      </w:tblGrid>
      <w:tr w:rsidR="003D4383" w:rsidRPr="005D5694" w14:paraId="01EA37D3" w14:textId="77777777" w:rsidTr="009722D9">
        <w:trPr>
          <w:cnfStyle w:val="100000000000" w:firstRow="1" w:lastRow="0" w:firstColumn="0" w:lastColumn="0" w:oddVBand="0" w:evenVBand="0" w:oddHBand="0"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1388" w:type="pct"/>
          </w:tcPr>
          <w:p w14:paraId="102CC6F0" w14:textId="77777777" w:rsidR="00F50B5A" w:rsidRPr="005D5694" w:rsidRDefault="00F50B5A" w:rsidP="009722D9">
            <w:pPr>
              <w:pStyle w:val="TableHeadingLeft"/>
            </w:pPr>
          </w:p>
        </w:tc>
        <w:tc>
          <w:tcPr>
            <w:tcW w:w="1252" w:type="pct"/>
          </w:tcPr>
          <w:p w14:paraId="20D8A8C6" w14:textId="77777777" w:rsidR="00F50B5A" w:rsidRPr="005D5694" w:rsidRDefault="00F50B5A" w:rsidP="009722D9">
            <w:pPr>
              <w:pStyle w:val="TableHeadingLeft"/>
              <w:cnfStyle w:val="100000000000" w:firstRow="1" w:lastRow="0" w:firstColumn="0" w:lastColumn="0" w:oddVBand="0" w:evenVBand="0" w:oddHBand="0" w:evenHBand="0" w:firstRowFirstColumn="0" w:firstRowLastColumn="0" w:lastRowFirstColumn="0" w:lastRowLastColumn="0"/>
              <w:rPr>
                <w:bCs/>
              </w:rPr>
            </w:pPr>
          </w:p>
        </w:tc>
        <w:tc>
          <w:tcPr>
            <w:tcW w:w="879" w:type="pct"/>
          </w:tcPr>
          <w:p w14:paraId="32CF87A0" w14:textId="77777777" w:rsidR="00F50B5A" w:rsidRPr="005D5694" w:rsidRDefault="00F50B5A" w:rsidP="009722D9">
            <w:pPr>
              <w:pStyle w:val="TableHeadingLeft"/>
              <w:cnfStyle w:val="100000000000" w:firstRow="1" w:lastRow="0" w:firstColumn="0" w:lastColumn="0" w:oddVBand="0" w:evenVBand="0" w:oddHBand="0" w:evenHBand="0" w:firstRowFirstColumn="0" w:firstRowLastColumn="0" w:lastRowFirstColumn="0" w:lastRowLastColumn="0"/>
              <w:rPr>
                <w:color w:val="FFFFFF" w:themeColor="background1"/>
              </w:rPr>
            </w:pPr>
            <w:r w:rsidRPr="005D5694">
              <w:rPr>
                <w:color w:val="FFFFFF" w:themeColor="background1"/>
              </w:rPr>
              <w:t>Estimate</w:t>
            </w:r>
          </w:p>
        </w:tc>
        <w:tc>
          <w:tcPr>
            <w:tcW w:w="740" w:type="pct"/>
          </w:tcPr>
          <w:p w14:paraId="5E92DAD7" w14:textId="77777777" w:rsidR="00F50B5A" w:rsidRPr="005D5694" w:rsidRDefault="00F50B5A" w:rsidP="009722D9">
            <w:pPr>
              <w:pStyle w:val="TableHeadingLeft"/>
              <w:cnfStyle w:val="100000000000" w:firstRow="1" w:lastRow="0" w:firstColumn="0" w:lastColumn="0" w:oddVBand="0" w:evenVBand="0" w:oddHBand="0" w:evenHBand="0" w:firstRowFirstColumn="0" w:firstRowLastColumn="0" w:lastRowFirstColumn="0" w:lastRowLastColumn="0"/>
              <w:rPr>
                <w:color w:val="FFFFFF" w:themeColor="background1"/>
              </w:rPr>
            </w:pPr>
            <w:r w:rsidRPr="005D5694">
              <w:rPr>
                <w:color w:val="FFFFFF" w:themeColor="background1"/>
              </w:rPr>
              <w:t>Metric</w:t>
            </w:r>
          </w:p>
        </w:tc>
        <w:tc>
          <w:tcPr>
            <w:tcW w:w="740" w:type="pct"/>
          </w:tcPr>
          <w:p w14:paraId="42E26284" w14:textId="77777777" w:rsidR="00F50B5A" w:rsidRPr="005D5694" w:rsidRDefault="00F50B5A" w:rsidP="009722D9">
            <w:pPr>
              <w:pStyle w:val="TableHeadingLeft"/>
              <w:cnfStyle w:val="100000000000" w:firstRow="1" w:lastRow="0" w:firstColumn="0" w:lastColumn="0" w:oddVBand="0" w:evenVBand="0" w:oddHBand="0" w:evenHBand="0" w:firstRowFirstColumn="0" w:firstRowLastColumn="0" w:lastRowFirstColumn="0" w:lastRowLastColumn="0"/>
              <w:rPr>
                <w:color w:val="FFFFFF" w:themeColor="background1"/>
              </w:rPr>
            </w:pPr>
            <w:r w:rsidRPr="005D5694">
              <w:rPr>
                <w:color w:val="FFFFFF" w:themeColor="background1"/>
              </w:rPr>
              <w:t>Year</w:t>
            </w:r>
          </w:p>
        </w:tc>
      </w:tr>
      <w:tr w:rsidR="00F50B5A" w:rsidRPr="005D5694" w14:paraId="79FA1513" w14:textId="77777777" w:rsidTr="009722D9">
        <w:trPr>
          <w:trHeight w:val="223"/>
        </w:trPr>
        <w:tc>
          <w:tcPr>
            <w:cnfStyle w:val="001000000000" w:firstRow="0" w:lastRow="0" w:firstColumn="1" w:lastColumn="0" w:oddVBand="0" w:evenVBand="0" w:oddHBand="0" w:evenHBand="0" w:firstRowFirstColumn="0" w:firstRowLastColumn="0" w:lastRowFirstColumn="0" w:lastRowLastColumn="0"/>
            <w:tcW w:w="1388" w:type="pct"/>
            <w:vMerge w:val="restart"/>
          </w:tcPr>
          <w:p w14:paraId="116C5346" w14:textId="77777777" w:rsidR="00F50B5A" w:rsidRPr="005D5694" w:rsidRDefault="00F50B5A" w:rsidP="009722D9">
            <w:pPr>
              <w:pStyle w:val="TableTextLeft"/>
              <w:rPr>
                <w:rFonts w:ascii="Arial" w:hAnsi="Arial"/>
              </w:rPr>
            </w:pPr>
            <w:r w:rsidRPr="005D5694">
              <w:rPr>
                <w:rFonts w:ascii="Arial" w:hAnsi="Arial"/>
              </w:rPr>
              <w:t xml:space="preserve">Plantation area </w:t>
            </w:r>
          </w:p>
        </w:tc>
        <w:tc>
          <w:tcPr>
            <w:tcW w:w="1252" w:type="pct"/>
          </w:tcPr>
          <w:p w14:paraId="03C37210"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Hardwood</w:t>
            </w:r>
          </w:p>
        </w:tc>
        <w:tc>
          <w:tcPr>
            <w:tcW w:w="879" w:type="pct"/>
          </w:tcPr>
          <w:p w14:paraId="7BFB7AD1"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194,100</w:t>
            </w:r>
          </w:p>
        </w:tc>
        <w:tc>
          <w:tcPr>
            <w:tcW w:w="740" w:type="pct"/>
          </w:tcPr>
          <w:p w14:paraId="79A3AE2A"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Ha</w:t>
            </w:r>
          </w:p>
        </w:tc>
        <w:tc>
          <w:tcPr>
            <w:tcW w:w="740" w:type="pct"/>
          </w:tcPr>
          <w:p w14:paraId="175D8668"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2018-19</w:t>
            </w:r>
          </w:p>
        </w:tc>
      </w:tr>
      <w:tr w:rsidR="00F50B5A" w:rsidRPr="005D5694" w14:paraId="15AE8B2B" w14:textId="77777777" w:rsidTr="009722D9">
        <w:trPr>
          <w:trHeight w:val="223"/>
        </w:trPr>
        <w:tc>
          <w:tcPr>
            <w:cnfStyle w:val="001000000000" w:firstRow="0" w:lastRow="0" w:firstColumn="1" w:lastColumn="0" w:oddVBand="0" w:evenVBand="0" w:oddHBand="0" w:evenHBand="0" w:firstRowFirstColumn="0" w:firstRowLastColumn="0" w:lastRowFirstColumn="0" w:lastRowLastColumn="0"/>
            <w:tcW w:w="1388" w:type="pct"/>
            <w:vMerge/>
          </w:tcPr>
          <w:p w14:paraId="0A077D2E" w14:textId="77777777" w:rsidR="00F50B5A" w:rsidRPr="005D5694" w:rsidRDefault="00F50B5A" w:rsidP="009722D9">
            <w:pPr>
              <w:pStyle w:val="TableTextLeft"/>
              <w:rPr>
                <w:rFonts w:ascii="Arial" w:hAnsi="Arial"/>
              </w:rPr>
            </w:pPr>
          </w:p>
        </w:tc>
        <w:tc>
          <w:tcPr>
            <w:tcW w:w="1252" w:type="pct"/>
          </w:tcPr>
          <w:p w14:paraId="5C5A0A2D"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Softwood</w:t>
            </w:r>
          </w:p>
        </w:tc>
        <w:tc>
          <w:tcPr>
            <w:tcW w:w="879" w:type="pct"/>
          </w:tcPr>
          <w:p w14:paraId="05455098"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223,600</w:t>
            </w:r>
          </w:p>
        </w:tc>
        <w:tc>
          <w:tcPr>
            <w:tcW w:w="740" w:type="pct"/>
          </w:tcPr>
          <w:p w14:paraId="4F318E71"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Ha</w:t>
            </w:r>
          </w:p>
        </w:tc>
        <w:tc>
          <w:tcPr>
            <w:tcW w:w="740" w:type="pct"/>
          </w:tcPr>
          <w:p w14:paraId="3B3259DF"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2018-19</w:t>
            </w:r>
          </w:p>
        </w:tc>
      </w:tr>
      <w:tr w:rsidR="00F50B5A" w:rsidRPr="005D5694" w14:paraId="11401044" w14:textId="77777777" w:rsidTr="009722D9">
        <w:trPr>
          <w:trHeight w:val="223"/>
        </w:trPr>
        <w:tc>
          <w:tcPr>
            <w:cnfStyle w:val="001000000000" w:firstRow="0" w:lastRow="0" w:firstColumn="1" w:lastColumn="0" w:oddVBand="0" w:evenVBand="0" w:oddHBand="0" w:evenHBand="0" w:firstRowFirstColumn="0" w:firstRowLastColumn="0" w:lastRowFirstColumn="0" w:lastRowLastColumn="0"/>
            <w:tcW w:w="1388" w:type="pct"/>
            <w:vMerge/>
          </w:tcPr>
          <w:p w14:paraId="641DAB37" w14:textId="77777777" w:rsidR="00F50B5A" w:rsidRPr="005D5694" w:rsidRDefault="00F50B5A" w:rsidP="009722D9">
            <w:pPr>
              <w:pStyle w:val="TableTextLeft"/>
              <w:rPr>
                <w:rFonts w:ascii="Arial" w:hAnsi="Arial"/>
              </w:rPr>
            </w:pPr>
          </w:p>
        </w:tc>
        <w:tc>
          <w:tcPr>
            <w:tcW w:w="1252" w:type="pct"/>
          </w:tcPr>
          <w:p w14:paraId="613E3877"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Total</w:t>
            </w:r>
          </w:p>
        </w:tc>
        <w:tc>
          <w:tcPr>
            <w:tcW w:w="879" w:type="pct"/>
          </w:tcPr>
          <w:p w14:paraId="2B09251E"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418,500</w:t>
            </w:r>
          </w:p>
        </w:tc>
        <w:tc>
          <w:tcPr>
            <w:tcW w:w="740" w:type="pct"/>
          </w:tcPr>
          <w:p w14:paraId="18E1BB5B"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Ha</w:t>
            </w:r>
          </w:p>
        </w:tc>
        <w:tc>
          <w:tcPr>
            <w:tcW w:w="740" w:type="pct"/>
          </w:tcPr>
          <w:p w14:paraId="26DD422A"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2018-19</w:t>
            </w:r>
          </w:p>
        </w:tc>
      </w:tr>
      <w:tr w:rsidR="00F50B5A" w:rsidRPr="005D5694" w14:paraId="564AC31A" w14:textId="77777777" w:rsidTr="009722D9">
        <w:trPr>
          <w:trHeight w:val="223"/>
        </w:trPr>
        <w:tc>
          <w:tcPr>
            <w:cnfStyle w:val="001000000000" w:firstRow="0" w:lastRow="0" w:firstColumn="1" w:lastColumn="0" w:oddVBand="0" w:evenVBand="0" w:oddHBand="0" w:evenHBand="0" w:firstRowFirstColumn="0" w:firstRowLastColumn="0" w:lastRowFirstColumn="0" w:lastRowLastColumn="0"/>
            <w:tcW w:w="1388" w:type="pct"/>
            <w:vMerge w:val="restart"/>
          </w:tcPr>
          <w:p w14:paraId="61BCAD5C" w14:textId="77777777" w:rsidR="00F50B5A" w:rsidRPr="005D5694" w:rsidRDefault="00F50B5A" w:rsidP="009722D9">
            <w:pPr>
              <w:pStyle w:val="TableTextLeft"/>
              <w:rPr>
                <w:rFonts w:ascii="Arial" w:hAnsi="Arial"/>
              </w:rPr>
            </w:pPr>
            <w:r w:rsidRPr="005D5694">
              <w:rPr>
                <w:rFonts w:ascii="Arial" w:hAnsi="Arial"/>
              </w:rPr>
              <w:t>Native forest area</w:t>
            </w:r>
          </w:p>
        </w:tc>
        <w:tc>
          <w:tcPr>
            <w:tcW w:w="1252" w:type="pct"/>
          </w:tcPr>
          <w:p w14:paraId="1E538627"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 xml:space="preserve">Crown </w:t>
            </w:r>
          </w:p>
        </w:tc>
        <w:tc>
          <w:tcPr>
            <w:tcW w:w="879" w:type="pct"/>
          </w:tcPr>
          <w:p w14:paraId="054E56F2"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6,660</w:t>
            </w:r>
          </w:p>
        </w:tc>
        <w:tc>
          <w:tcPr>
            <w:tcW w:w="740" w:type="pct"/>
          </w:tcPr>
          <w:p w14:paraId="296A2E0C"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Ha</w:t>
            </w:r>
          </w:p>
        </w:tc>
        <w:tc>
          <w:tcPr>
            <w:tcW w:w="740" w:type="pct"/>
          </w:tcPr>
          <w:p w14:paraId="69755BAC"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2016</w:t>
            </w:r>
          </w:p>
        </w:tc>
      </w:tr>
      <w:tr w:rsidR="00F50B5A" w:rsidRPr="005D5694" w14:paraId="6F16C020" w14:textId="77777777" w:rsidTr="009722D9">
        <w:trPr>
          <w:trHeight w:val="214"/>
        </w:trPr>
        <w:tc>
          <w:tcPr>
            <w:cnfStyle w:val="001000000000" w:firstRow="0" w:lastRow="0" w:firstColumn="1" w:lastColumn="0" w:oddVBand="0" w:evenVBand="0" w:oddHBand="0" w:evenHBand="0" w:firstRowFirstColumn="0" w:firstRowLastColumn="0" w:lastRowFirstColumn="0" w:lastRowLastColumn="0"/>
            <w:tcW w:w="1388" w:type="pct"/>
            <w:vMerge/>
          </w:tcPr>
          <w:p w14:paraId="0D2BB2B0" w14:textId="77777777" w:rsidR="00F50B5A" w:rsidRPr="005D5694" w:rsidRDefault="00F50B5A" w:rsidP="009722D9">
            <w:pPr>
              <w:pStyle w:val="TableTextLeft"/>
              <w:rPr>
                <w:rFonts w:ascii="Arial" w:hAnsi="Arial"/>
              </w:rPr>
            </w:pPr>
          </w:p>
        </w:tc>
        <w:tc>
          <w:tcPr>
            <w:tcW w:w="1252" w:type="pct"/>
          </w:tcPr>
          <w:p w14:paraId="6072AF2D"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Private</w:t>
            </w:r>
          </w:p>
        </w:tc>
        <w:tc>
          <w:tcPr>
            <w:tcW w:w="879" w:type="pct"/>
          </w:tcPr>
          <w:p w14:paraId="2AB735C1"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984</w:t>
            </w:r>
          </w:p>
        </w:tc>
        <w:tc>
          <w:tcPr>
            <w:tcW w:w="740" w:type="pct"/>
          </w:tcPr>
          <w:p w14:paraId="5195EFE0"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Ha</w:t>
            </w:r>
          </w:p>
        </w:tc>
        <w:tc>
          <w:tcPr>
            <w:tcW w:w="740" w:type="pct"/>
          </w:tcPr>
          <w:p w14:paraId="00203826"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2016</w:t>
            </w:r>
          </w:p>
        </w:tc>
      </w:tr>
      <w:tr w:rsidR="00F50B5A" w:rsidRPr="005D5694" w14:paraId="72F410FE" w14:textId="77777777" w:rsidTr="009722D9">
        <w:trPr>
          <w:trHeight w:val="214"/>
        </w:trPr>
        <w:tc>
          <w:tcPr>
            <w:cnfStyle w:val="001000000000" w:firstRow="0" w:lastRow="0" w:firstColumn="1" w:lastColumn="0" w:oddVBand="0" w:evenVBand="0" w:oddHBand="0" w:evenHBand="0" w:firstRowFirstColumn="0" w:firstRowLastColumn="0" w:lastRowFirstColumn="0" w:lastRowLastColumn="0"/>
            <w:tcW w:w="1388" w:type="pct"/>
            <w:vMerge/>
          </w:tcPr>
          <w:p w14:paraId="56D57FEA" w14:textId="77777777" w:rsidR="00F50B5A" w:rsidRPr="005D5694" w:rsidRDefault="00F50B5A" w:rsidP="009722D9">
            <w:pPr>
              <w:pStyle w:val="TableTextLeft"/>
              <w:rPr>
                <w:rFonts w:ascii="Arial" w:hAnsi="Arial"/>
              </w:rPr>
            </w:pPr>
          </w:p>
        </w:tc>
        <w:tc>
          <w:tcPr>
            <w:tcW w:w="1252" w:type="pct"/>
          </w:tcPr>
          <w:p w14:paraId="579918A3"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Total</w:t>
            </w:r>
          </w:p>
        </w:tc>
        <w:tc>
          <w:tcPr>
            <w:tcW w:w="879" w:type="pct"/>
          </w:tcPr>
          <w:p w14:paraId="2752FCE2"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7,645</w:t>
            </w:r>
          </w:p>
        </w:tc>
        <w:tc>
          <w:tcPr>
            <w:tcW w:w="740" w:type="pct"/>
          </w:tcPr>
          <w:p w14:paraId="35BC3182"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Ha</w:t>
            </w:r>
          </w:p>
        </w:tc>
        <w:tc>
          <w:tcPr>
            <w:tcW w:w="740" w:type="pct"/>
          </w:tcPr>
          <w:p w14:paraId="0FC4260A"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2016</w:t>
            </w:r>
          </w:p>
        </w:tc>
      </w:tr>
      <w:tr w:rsidR="00F50B5A" w:rsidRPr="005D5694" w14:paraId="774904B9" w14:textId="77777777" w:rsidTr="009722D9">
        <w:trPr>
          <w:trHeight w:val="223"/>
        </w:trPr>
        <w:tc>
          <w:tcPr>
            <w:cnfStyle w:val="001000000000" w:firstRow="0" w:lastRow="0" w:firstColumn="1" w:lastColumn="0" w:oddVBand="0" w:evenVBand="0" w:oddHBand="0" w:evenHBand="0" w:firstRowFirstColumn="0" w:firstRowLastColumn="0" w:lastRowFirstColumn="0" w:lastRowLastColumn="0"/>
            <w:tcW w:w="1388" w:type="pct"/>
            <w:vMerge w:val="restart"/>
          </w:tcPr>
          <w:p w14:paraId="183CC56E" w14:textId="77777777" w:rsidR="00F50B5A" w:rsidRPr="005D5694" w:rsidRDefault="00F50B5A" w:rsidP="009722D9">
            <w:pPr>
              <w:pStyle w:val="TableTextLeft"/>
              <w:rPr>
                <w:rFonts w:ascii="Arial" w:hAnsi="Arial"/>
              </w:rPr>
            </w:pPr>
            <w:r w:rsidRPr="005D5694">
              <w:rPr>
                <w:rFonts w:ascii="Arial" w:hAnsi="Arial"/>
              </w:rPr>
              <w:t>Volume of logs</w:t>
            </w:r>
          </w:p>
        </w:tc>
        <w:tc>
          <w:tcPr>
            <w:tcW w:w="1252" w:type="pct"/>
          </w:tcPr>
          <w:p w14:paraId="6E6EC8AD"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Hardwood native</w:t>
            </w:r>
          </w:p>
        </w:tc>
        <w:tc>
          <w:tcPr>
            <w:tcW w:w="879" w:type="pct"/>
          </w:tcPr>
          <w:p w14:paraId="2B158C23"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1,078,000</w:t>
            </w:r>
          </w:p>
        </w:tc>
        <w:tc>
          <w:tcPr>
            <w:tcW w:w="740" w:type="pct"/>
          </w:tcPr>
          <w:p w14:paraId="74ADD4C8"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vertAlign w:val="superscript"/>
              </w:rPr>
            </w:pPr>
            <w:r w:rsidRPr="005D5694">
              <w:rPr>
                <w:rFonts w:ascii="Arial" w:hAnsi="Arial"/>
              </w:rPr>
              <w:t>m</w:t>
            </w:r>
            <w:r w:rsidRPr="005D5694">
              <w:rPr>
                <w:rFonts w:ascii="Arial" w:hAnsi="Arial"/>
                <w:vertAlign w:val="superscript"/>
              </w:rPr>
              <w:t>3</w:t>
            </w:r>
          </w:p>
        </w:tc>
        <w:tc>
          <w:tcPr>
            <w:tcW w:w="740" w:type="pct"/>
          </w:tcPr>
          <w:p w14:paraId="4BC8F417"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2018-19</w:t>
            </w:r>
          </w:p>
        </w:tc>
      </w:tr>
      <w:tr w:rsidR="00F50B5A" w:rsidRPr="005D5694" w14:paraId="734DA751" w14:textId="77777777" w:rsidTr="009722D9">
        <w:trPr>
          <w:trHeight w:val="214"/>
        </w:trPr>
        <w:tc>
          <w:tcPr>
            <w:cnfStyle w:val="001000000000" w:firstRow="0" w:lastRow="0" w:firstColumn="1" w:lastColumn="0" w:oddVBand="0" w:evenVBand="0" w:oddHBand="0" w:evenHBand="0" w:firstRowFirstColumn="0" w:firstRowLastColumn="0" w:lastRowFirstColumn="0" w:lastRowLastColumn="0"/>
            <w:tcW w:w="1388" w:type="pct"/>
            <w:vMerge/>
          </w:tcPr>
          <w:p w14:paraId="47471C67" w14:textId="77777777" w:rsidR="00F50B5A" w:rsidRPr="005D5694" w:rsidRDefault="00F50B5A" w:rsidP="009722D9">
            <w:pPr>
              <w:pStyle w:val="TableTextLeft"/>
              <w:rPr>
                <w:rFonts w:ascii="Arial" w:hAnsi="Arial"/>
              </w:rPr>
            </w:pPr>
          </w:p>
        </w:tc>
        <w:tc>
          <w:tcPr>
            <w:tcW w:w="1252" w:type="pct"/>
          </w:tcPr>
          <w:p w14:paraId="0E19642D"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Hardwood plantation</w:t>
            </w:r>
          </w:p>
        </w:tc>
        <w:tc>
          <w:tcPr>
            <w:tcW w:w="879" w:type="pct"/>
          </w:tcPr>
          <w:p w14:paraId="7F24D422"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3,893,000</w:t>
            </w:r>
          </w:p>
        </w:tc>
        <w:tc>
          <w:tcPr>
            <w:tcW w:w="740" w:type="pct"/>
          </w:tcPr>
          <w:p w14:paraId="42EB08A0"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m</w:t>
            </w:r>
            <w:r w:rsidRPr="005D5694">
              <w:rPr>
                <w:rFonts w:ascii="Arial" w:hAnsi="Arial"/>
                <w:vertAlign w:val="superscript"/>
              </w:rPr>
              <w:t>3</w:t>
            </w:r>
          </w:p>
        </w:tc>
        <w:tc>
          <w:tcPr>
            <w:tcW w:w="740" w:type="pct"/>
          </w:tcPr>
          <w:p w14:paraId="4DB6A7BC"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2018-19</w:t>
            </w:r>
          </w:p>
        </w:tc>
      </w:tr>
      <w:tr w:rsidR="00F50B5A" w:rsidRPr="005D5694" w14:paraId="048747CD" w14:textId="77777777" w:rsidTr="009722D9">
        <w:trPr>
          <w:trHeight w:val="214"/>
        </w:trPr>
        <w:tc>
          <w:tcPr>
            <w:cnfStyle w:val="001000000000" w:firstRow="0" w:lastRow="0" w:firstColumn="1" w:lastColumn="0" w:oddVBand="0" w:evenVBand="0" w:oddHBand="0" w:evenHBand="0" w:firstRowFirstColumn="0" w:firstRowLastColumn="0" w:lastRowFirstColumn="0" w:lastRowLastColumn="0"/>
            <w:tcW w:w="1388" w:type="pct"/>
            <w:vMerge/>
          </w:tcPr>
          <w:p w14:paraId="0518CE55" w14:textId="77777777" w:rsidR="00F50B5A" w:rsidRPr="005D5694" w:rsidRDefault="00F50B5A" w:rsidP="009722D9">
            <w:pPr>
              <w:pStyle w:val="TableTextLeft"/>
              <w:rPr>
                <w:rFonts w:ascii="Arial" w:hAnsi="Arial"/>
              </w:rPr>
            </w:pPr>
          </w:p>
        </w:tc>
        <w:tc>
          <w:tcPr>
            <w:tcW w:w="1252" w:type="pct"/>
          </w:tcPr>
          <w:p w14:paraId="23B048C1"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Softwood</w:t>
            </w:r>
          </w:p>
        </w:tc>
        <w:tc>
          <w:tcPr>
            <w:tcW w:w="879" w:type="pct"/>
          </w:tcPr>
          <w:p w14:paraId="3CE3DE98"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3,888,000</w:t>
            </w:r>
          </w:p>
        </w:tc>
        <w:tc>
          <w:tcPr>
            <w:tcW w:w="740" w:type="pct"/>
          </w:tcPr>
          <w:p w14:paraId="0CDF35D4"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m</w:t>
            </w:r>
            <w:r w:rsidRPr="005D5694">
              <w:rPr>
                <w:rFonts w:ascii="Arial" w:hAnsi="Arial"/>
                <w:vertAlign w:val="superscript"/>
              </w:rPr>
              <w:t>3</w:t>
            </w:r>
          </w:p>
        </w:tc>
        <w:tc>
          <w:tcPr>
            <w:tcW w:w="740" w:type="pct"/>
          </w:tcPr>
          <w:p w14:paraId="6A20B9DD"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2018-19</w:t>
            </w:r>
          </w:p>
        </w:tc>
      </w:tr>
      <w:tr w:rsidR="00F50B5A" w:rsidRPr="005D5694" w14:paraId="0C2BA75C" w14:textId="77777777" w:rsidTr="009722D9">
        <w:trPr>
          <w:trHeight w:val="214"/>
        </w:trPr>
        <w:tc>
          <w:tcPr>
            <w:cnfStyle w:val="001000000000" w:firstRow="0" w:lastRow="0" w:firstColumn="1" w:lastColumn="0" w:oddVBand="0" w:evenVBand="0" w:oddHBand="0" w:evenHBand="0" w:firstRowFirstColumn="0" w:firstRowLastColumn="0" w:lastRowFirstColumn="0" w:lastRowLastColumn="0"/>
            <w:tcW w:w="1388" w:type="pct"/>
            <w:vMerge/>
          </w:tcPr>
          <w:p w14:paraId="54DA4842" w14:textId="77777777" w:rsidR="00F50B5A" w:rsidRPr="005D5694" w:rsidRDefault="00F50B5A" w:rsidP="009722D9">
            <w:pPr>
              <w:pStyle w:val="TableTextLeft"/>
              <w:rPr>
                <w:rFonts w:ascii="Arial" w:hAnsi="Arial"/>
              </w:rPr>
            </w:pPr>
          </w:p>
        </w:tc>
        <w:tc>
          <w:tcPr>
            <w:tcW w:w="1252" w:type="pct"/>
          </w:tcPr>
          <w:p w14:paraId="5512DC13"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Total</w:t>
            </w:r>
          </w:p>
        </w:tc>
        <w:tc>
          <w:tcPr>
            <w:tcW w:w="879" w:type="pct"/>
          </w:tcPr>
          <w:p w14:paraId="4F91A569"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8,859,000</w:t>
            </w:r>
          </w:p>
        </w:tc>
        <w:tc>
          <w:tcPr>
            <w:tcW w:w="740" w:type="pct"/>
          </w:tcPr>
          <w:p w14:paraId="21838530"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m</w:t>
            </w:r>
            <w:r w:rsidRPr="005D5694">
              <w:rPr>
                <w:rFonts w:ascii="Arial" w:hAnsi="Arial"/>
                <w:vertAlign w:val="superscript"/>
              </w:rPr>
              <w:t>3</w:t>
            </w:r>
          </w:p>
        </w:tc>
        <w:tc>
          <w:tcPr>
            <w:tcW w:w="740" w:type="pct"/>
          </w:tcPr>
          <w:p w14:paraId="4D994652"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2018-19</w:t>
            </w:r>
          </w:p>
        </w:tc>
      </w:tr>
      <w:tr w:rsidR="00F50B5A" w:rsidRPr="005D5694" w14:paraId="62FEBA31" w14:textId="77777777" w:rsidTr="009722D9">
        <w:trPr>
          <w:trHeight w:val="223"/>
        </w:trPr>
        <w:tc>
          <w:tcPr>
            <w:cnfStyle w:val="001000000000" w:firstRow="0" w:lastRow="0" w:firstColumn="1" w:lastColumn="0" w:oddVBand="0" w:evenVBand="0" w:oddHBand="0" w:evenHBand="0" w:firstRowFirstColumn="0" w:firstRowLastColumn="0" w:lastRowFirstColumn="0" w:lastRowLastColumn="0"/>
            <w:tcW w:w="1388" w:type="pct"/>
            <w:vMerge w:val="restart"/>
          </w:tcPr>
          <w:p w14:paraId="01C039A9" w14:textId="77777777" w:rsidR="00F50B5A" w:rsidRPr="005D5694" w:rsidRDefault="00F50B5A" w:rsidP="009722D9">
            <w:pPr>
              <w:pStyle w:val="TableTextLeft"/>
              <w:rPr>
                <w:rFonts w:ascii="Arial" w:hAnsi="Arial"/>
              </w:rPr>
            </w:pPr>
            <w:r w:rsidRPr="005D5694">
              <w:rPr>
                <w:rFonts w:ascii="Arial" w:hAnsi="Arial"/>
              </w:rPr>
              <w:t>Value of logs</w:t>
            </w:r>
          </w:p>
        </w:tc>
        <w:tc>
          <w:tcPr>
            <w:tcW w:w="1252" w:type="pct"/>
          </w:tcPr>
          <w:p w14:paraId="4670B594"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Hardwood native</w:t>
            </w:r>
          </w:p>
        </w:tc>
        <w:tc>
          <w:tcPr>
            <w:tcW w:w="879" w:type="pct"/>
          </w:tcPr>
          <w:p w14:paraId="6CF2B68C"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$96m</w:t>
            </w:r>
          </w:p>
        </w:tc>
        <w:tc>
          <w:tcPr>
            <w:tcW w:w="740" w:type="pct"/>
          </w:tcPr>
          <w:p w14:paraId="36520A27"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vertAlign w:val="superscript"/>
              </w:rPr>
            </w:pPr>
            <w:r w:rsidRPr="005D5694">
              <w:rPr>
                <w:rFonts w:ascii="Arial" w:hAnsi="Arial"/>
              </w:rPr>
              <w:t>$m</w:t>
            </w:r>
          </w:p>
        </w:tc>
        <w:tc>
          <w:tcPr>
            <w:tcW w:w="740" w:type="pct"/>
          </w:tcPr>
          <w:p w14:paraId="045C4639"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2018-19</w:t>
            </w:r>
          </w:p>
        </w:tc>
      </w:tr>
      <w:tr w:rsidR="00F50B5A" w:rsidRPr="005D5694" w14:paraId="132B65B9" w14:textId="77777777" w:rsidTr="009722D9">
        <w:trPr>
          <w:trHeight w:val="214"/>
        </w:trPr>
        <w:tc>
          <w:tcPr>
            <w:cnfStyle w:val="001000000000" w:firstRow="0" w:lastRow="0" w:firstColumn="1" w:lastColumn="0" w:oddVBand="0" w:evenVBand="0" w:oddHBand="0" w:evenHBand="0" w:firstRowFirstColumn="0" w:firstRowLastColumn="0" w:lastRowFirstColumn="0" w:lastRowLastColumn="0"/>
            <w:tcW w:w="1388" w:type="pct"/>
            <w:vMerge/>
          </w:tcPr>
          <w:p w14:paraId="6139E08F" w14:textId="77777777" w:rsidR="00F50B5A" w:rsidRPr="005D5694" w:rsidRDefault="00F50B5A" w:rsidP="009722D9">
            <w:pPr>
              <w:pStyle w:val="TableTextLeft"/>
              <w:rPr>
                <w:rFonts w:ascii="Arial" w:hAnsi="Arial"/>
              </w:rPr>
            </w:pPr>
          </w:p>
        </w:tc>
        <w:tc>
          <w:tcPr>
            <w:tcW w:w="1252" w:type="pct"/>
          </w:tcPr>
          <w:p w14:paraId="0468CA56"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Hardwood plantation</w:t>
            </w:r>
          </w:p>
        </w:tc>
        <w:tc>
          <w:tcPr>
            <w:tcW w:w="879" w:type="pct"/>
          </w:tcPr>
          <w:p w14:paraId="4326E670"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$302m</w:t>
            </w:r>
          </w:p>
        </w:tc>
        <w:tc>
          <w:tcPr>
            <w:tcW w:w="740" w:type="pct"/>
          </w:tcPr>
          <w:p w14:paraId="46631C12"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$m</w:t>
            </w:r>
          </w:p>
        </w:tc>
        <w:tc>
          <w:tcPr>
            <w:tcW w:w="740" w:type="pct"/>
          </w:tcPr>
          <w:p w14:paraId="6338C005"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2018-19</w:t>
            </w:r>
          </w:p>
        </w:tc>
      </w:tr>
      <w:tr w:rsidR="00F50B5A" w:rsidRPr="005D5694" w14:paraId="5EAFFED2" w14:textId="77777777" w:rsidTr="009722D9">
        <w:trPr>
          <w:trHeight w:val="214"/>
        </w:trPr>
        <w:tc>
          <w:tcPr>
            <w:cnfStyle w:val="001000000000" w:firstRow="0" w:lastRow="0" w:firstColumn="1" w:lastColumn="0" w:oddVBand="0" w:evenVBand="0" w:oddHBand="0" w:evenHBand="0" w:firstRowFirstColumn="0" w:firstRowLastColumn="0" w:lastRowFirstColumn="0" w:lastRowLastColumn="0"/>
            <w:tcW w:w="1388" w:type="pct"/>
            <w:vMerge/>
          </w:tcPr>
          <w:p w14:paraId="02EA1EE3" w14:textId="77777777" w:rsidR="00F50B5A" w:rsidRPr="005D5694" w:rsidRDefault="00F50B5A" w:rsidP="009722D9">
            <w:pPr>
              <w:pStyle w:val="TableTextLeft"/>
              <w:rPr>
                <w:rFonts w:ascii="Arial" w:hAnsi="Arial"/>
              </w:rPr>
            </w:pPr>
          </w:p>
        </w:tc>
        <w:tc>
          <w:tcPr>
            <w:tcW w:w="1252" w:type="pct"/>
          </w:tcPr>
          <w:p w14:paraId="6AAF922D"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Softwood</w:t>
            </w:r>
          </w:p>
        </w:tc>
        <w:tc>
          <w:tcPr>
            <w:tcW w:w="879" w:type="pct"/>
          </w:tcPr>
          <w:p w14:paraId="6C87AC87"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$337m</w:t>
            </w:r>
          </w:p>
        </w:tc>
        <w:tc>
          <w:tcPr>
            <w:tcW w:w="740" w:type="pct"/>
          </w:tcPr>
          <w:p w14:paraId="2BF2A244"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$m</w:t>
            </w:r>
          </w:p>
        </w:tc>
        <w:tc>
          <w:tcPr>
            <w:tcW w:w="740" w:type="pct"/>
          </w:tcPr>
          <w:p w14:paraId="1647E1D9"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2018-19</w:t>
            </w:r>
          </w:p>
        </w:tc>
      </w:tr>
      <w:tr w:rsidR="00F50B5A" w:rsidRPr="005D5694" w14:paraId="57A88093" w14:textId="77777777" w:rsidTr="009722D9">
        <w:trPr>
          <w:trHeight w:val="214"/>
        </w:trPr>
        <w:tc>
          <w:tcPr>
            <w:cnfStyle w:val="001000000000" w:firstRow="0" w:lastRow="0" w:firstColumn="1" w:lastColumn="0" w:oddVBand="0" w:evenVBand="0" w:oddHBand="0" w:evenHBand="0" w:firstRowFirstColumn="0" w:firstRowLastColumn="0" w:lastRowFirstColumn="0" w:lastRowLastColumn="0"/>
            <w:tcW w:w="1388" w:type="pct"/>
            <w:vMerge/>
          </w:tcPr>
          <w:p w14:paraId="20CFB8F3" w14:textId="77777777" w:rsidR="00F50B5A" w:rsidRPr="005D5694" w:rsidRDefault="00F50B5A" w:rsidP="009722D9">
            <w:pPr>
              <w:pStyle w:val="TableTextLeft"/>
              <w:rPr>
                <w:rFonts w:ascii="Arial" w:hAnsi="Arial"/>
              </w:rPr>
            </w:pPr>
          </w:p>
        </w:tc>
        <w:tc>
          <w:tcPr>
            <w:tcW w:w="1252" w:type="pct"/>
          </w:tcPr>
          <w:p w14:paraId="5BF70304"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Total</w:t>
            </w:r>
          </w:p>
        </w:tc>
        <w:tc>
          <w:tcPr>
            <w:tcW w:w="879" w:type="pct"/>
          </w:tcPr>
          <w:p w14:paraId="2E3B87E5"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$734m</w:t>
            </w:r>
          </w:p>
        </w:tc>
        <w:tc>
          <w:tcPr>
            <w:tcW w:w="740" w:type="pct"/>
          </w:tcPr>
          <w:p w14:paraId="3CD9350F"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$m</w:t>
            </w:r>
          </w:p>
        </w:tc>
        <w:tc>
          <w:tcPr>
            <w:tcW w:w="740" w:type="pct"/>
          </w:tcPr>
          <w:p w14:paraId="73D54442" w14:textId="77777777" w:rsidR="00F50B5A" w:rsidRPr="005D5694" w:rsidRDefault="00F50B5A" w:rsidP="009722D9">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2018-19</w:t>
            </w:r>
          </w:p>
        </w:tc>
      </w:tr>
    </w:tbl>
    <w:p w14:paraId="613BB36E" w14:textId="77777777" w:rsidR="00F50B5A" w:rsidRPr="005D5694" w:rsidRDefault="00F50B5A" w:rsidP="000035CB">
      <w:pPr>
        <w:pStyle w:val="AlphaHeading4"/>
        <w:numPr>
          <w:ilvl w:val="0"/>
          <w:numId w:val="55"/>
        </w:numPr>
      </w:pPr>
      <w:r w:rsidRPr="005D5694">
        <w:t xml:space="preserve">Physical provision of biomass for timber from GOR ecosystem assets </w:t>
      </w:r>
    </w:p>
    <w:p w14:paraId="4B0A0D05" w14:textId="77777777" w:rsidR="00F50B5A" w:rsidRPr="005D5694" w:rsidRDefault="00F50B5A" w:rsidP="009722D9">
      <w:pPr>
        <w:pStyle w:val="BodyText"/>
        <w:rPr>
          <w:color w:val="363534"/>
        </w:rPr>
      </w:pPr>
      <w:bookmarkStart w:id="426" w:name="_Hlk63677564"/>
      <w:r w:rsidRPr="005D5694">
        <w:t xml:space="preserve">Table </w:t>
      </w:r>
      <w:r>
        <w:t>A3.4</w:t>
      </w:r>
      <w:r w:rsidRPr="005D5694">
        <w:t>.</w:t>
      </w:r>
      <w:r>
        <w:t xml:space="preserve"> </w:t>
      </w:r>
      <w:r w:rsidRPr="005D5694">
        <w:t>provides details on the data that could be used to develop a GOR specific assessment of biomass for timber and how this data is use</w:t>
      </w:r>
      <w:r>
        <w:t>d</w:t>
      </w:r>
      <w:r w:rsidRPr="005D5694">
        <w:t xml:space="preserve"> </w:t>
      </w:r>
      <w:r>
        <w:t>in the</w:t>
      </w:r>
      <w:r w:rsidRPr="005D5694">
        <w:t xml:space="preserve"> GOR </w:t>
      </w:r>
      <w:r>
        <w:t>environmental-economic account</w:t>
      </w:r>
      <w:r w:rsidRPr="005D5694">
        <w:t xml:space="preserve">. </w:t>
      </w:r>
      <w:bookmarkEnd w:id="426"/>
    </w:p>
    <w:p w14:paraId="7C4CD415" w14:textId="77777777" w:rsidR="00F50B5A" w:rsidRPr="005D5694" w:rsidRDefault="00F50B5A" w:rsidP="009722D9">
      <w:pPr>
        <w:pStyle w:val="Caption"/>
      </w:pPr>
      <w:r w:rsidRPr="00CE093F">
        <w:t xml:space="preserve">Table </w:t>
      </w:r>
      <w:r w:rsidRPr="00CE093F">
        <w:rPr>
          <w:color w:val="1A1A1A"/>
        </w:rPr>
        <w:t>A3.4.</w:t>
      </w:r>
      <w:r w:rsidRPr="00CE093F">
        <w:t xml:space="preserve"> Review of methods and data used to estimate the physical provision of biomass for timber from ecosystem assets</w:t>
      </w:r>
      <w:r w:rsidRPr="005D5694">
        <w:t xml:space="preserve"> in Victoria</w:t>
      </w:r>
    </w:p>
    <w:tbl>
      <w:tblPr>
        <w:tblStyle w:val="TableGrid"/>
        <w:tblW w:w="5000" w:type="pct"/>
        <w:tblLook w:val="04A0" w:firstRow="1" w:lastRow="0" w:firstColumn="1" w:lastColumn="0" w:noHBand="0" w:noVBand="1"/>
      </w:tblPr>
      <w:tblGrid>
        <w:gridCol w:w="1890"/>
        <w:gridCol w:w="3734"/>
        <w:gridCol w:w="571"/>
        <w:gridCol w:w="3443"/>
      </w:tblGrid>
      <w:tr w:rsidR="003D4383" w:rsidRPr="005D5694" w14:paraId="0747DD44" w14:textId="77777777" w:rsidTr="000943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1" w:type="pct"/>
          </w:tcPr>
          <w:p w14:paraId="4F28871D" w14:textId="77777777" w:rsidR="00F50B5A" w:rsidRPr="005D5694" w:rsidRDefault="00F50B5A" w:rsidP="00094357">
            <w:pPr>
              <w:pStyle w:val="TableHeadingLeft"/>
            </w:pPr>
            <w:r w:rsidRPr="005D5694">
              <w:t>Source</w:t>
            </w:r>
          </w:p>
        </w:tc>
        <w:tc>
          <w:tcPr>
            <w:tcW w:w="1937" w:type="pct"/>
          </w:tcPr>
          <w:p w14:paraId="60D43940" w14:textId="77777777" w:rsidR="00F50B5A" w:rsidRPr="005D5694" w:rsidRDefault="00F50B5A" w:rsidP="00094357">
            <w:pPr>
              <w:pStyle w:val="TableHeadingLeft"/>
              <w:cnfStyle w:val="100000000000" w:firstRow="1" w:lastRow="0" w:firstColumn="0" w:lastColumn="0" w:oddVBand="0" w:evenVBand="0" w:oddHBand="0" w:evenHBand="0" w:firstRowFirstColumn="0" w:firstRowLastColumn="0" w:lastRowFirstColumn="0" w:lastRowLastColumn="0"/>
            </w:pPr>
            <w:r w:rsidRPr="005D5694">
              <w:t>Description</w:t>
            </w:r>
          </w:p>
        </w:tc>
        <w:tc>
          <w:tcPr>
            <w:tcW w:w="2082" w:type="pct"/>
            <w:gridSpan w:val="2"/>
          </w:tcPr>
          <w:p w14:paraId="48A544A9" w14:textId="77777777" w:rsidR="00F50B5A" w:rsidRPr="005D5694" w:rsidRDefault="00F50B5A" w:rsidP="00094357">
            <w:pPr>
              <w:pStyle w:val="TableHeadingLeft"/>
              <w:cnfStyle w:val="100000000000" w:firstRow="1" w:lastRow="0" w:firstColumn="0" w:lastColumn="0" w:oddVBand="0" w:evenVBand="0" w:oddHBand="0" w:evenHBand="0" w:firstRowFirstColumn="0" w:firstRowLastColumn="0" w:lastRowFirstColumn="0" w:lastRowLastColumn="0"/>
            </w:pPr>
            <w:r>
              <w:t>U</w:t>
            </w:r>
            <w:r w:rsidRPr="005D5694">
              <w:t>se</w:t>
            </w:r>
            <w:r>
              <w:t>d</w:t>
            </w:r>
            <w:r w:rsidRPr="005D5694">
              <w:t xml:space="preserve"> in </w:t>
            </w:r>
            <w:r>
              <w:t>GORCAP EEA</w:t>
            </w:r>
            <w:r w:rsidRPr="005D5694">
              <w:t>?</w:t>
            </w:r>
          </w:p>
        </w:tc>
      </w:tr>
      <w:tr w:rsidR="00094357" w:rsidRPr="005D5694" w14:paraId="66E7E00E" w14:textId="77777777" w:rsidTr="00094357">
        <w:tc>
          <w:tcPr>
            <w:cnfStyle w:val="001000000000" w:firstRow="0" w:lastRow="0" w:firstColumn="1" w:lastColumn="0" w:oddVBand="0" w:evenVBand="0" w:oddHBand="0" w:evenHBand="0" w:firstRowFirstColumn="0" w:firstRowLastColumn="0" w:lastRowFirstColumn="0" w:lastRowLastColumn="0"/>
            <w:tcW w:w="981" w:type="pct"/>
          </w:tcPr>
          <w:p w14:paraId="6B003352" w14:textId="77777777" w:rsidR="00F50B5A" w:rsidRPr="005D5694" w:rsidRDefault="00F50B5A" w:rsidP="00094357">
            <w:pPr>
              <w:pStyle w:val="TableTextLeft"/>
              <w:rPr>
                <w:rFonts w:ascii="Arial" w:hAnsi="Arial"/>
              </w:rPr>
            </w:pPr>
            <w:r w:rsidRPr="005D5694">
              <w:rPr>
                <w:rFonts w:ascii="Arial" w:hAnsi="Arial"/>
              </w:rPr>
              <w:t>ABARES (2020) Australian forest and wood products (AFWPS) statistics</w:t>
            </w:r>
          </w:p>
        </w:tc>
        <w:tc>
          <w:tcPr>
            <w:tcW w:w="1937" w:type="pct"/>
          </w:tcPr>
          <w:p w14:paraId="01BDC4C8" w14:textId="77777777" w:rsidR="00F50B5A" w:rsidRPr="005D5694" w:rsidRDefault="00F50B5A" w:rsidP="00094357">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The AFWPS dataset includes time series data between 2008-09 and 2018-19 on state breakdowns of:</w:t>
            </w:r>
          </w:p>
          <w:p w14:paraId="03D5BE22" w14:textId="77777777" w:rsidR="00F50B5A" w:rsidRPr="005D5694" w:rsidRDefault="00F50B5A" w:rsidP="00094357">
            <w:pPr>
              <w:pStyle w:val="TableTextBullet"/>
              <w:cnfStyle w:val="000000000000" w:firstRow="0" w:lastRow="0" w:firstColumn="0" w:lastColumn="0" w:oddVBand="0" w:evenVBand="0" w:oddHBand="0" w:evenHBand="0" w:firstRowFirstColumn="0" w:firstRowLastColumn="0" w:lastRowFirstColumn="0" w:lastRowLastColumn="0"/>
            </w:pPr>
            <w:r w:rsidRPr="005D5694">
              <w:t>Plantation area by hardwood and softwood.</w:t>
            </w:r>
          </w:p>
          <w:p w14:paraId="39EBC684" w14:textId="77777777" w:rsidR="00F50B5A" w:rsidRPr="005D5694" w:rsidRDefault="00F50B5A" w:rsidP="00094357">
            <w:pPr>
              <w:pStyle w:val="TableTextBullet"/>
              <w:cnfStyle w:val="000000000000" w:firstRow="0" w:lastRow="0" w:firstColumn="0" w:lastColumn="0" w:oddVBand="0" w:evenVBand="0" w:oddHBand="0" w:evenHBand="0" w:firstRowFirstColumn="0" w:firstRowLastColumn="0" w:lastRowFirstColumn="0" w:lastRowLastColumn="0"/>
            </w:pPr>
            <w:r w:rsidRPr="005D5694">
              <w:t>Native forest area by type (species) and tenure.</w:t>
            </w:r>
          </w:p>
          <w:p w14:paraId="252B7738" w14:textId="77777777" w:rsidR="00F50B5A" w:rsidRPr="005D5694" w:rsidRDefault="00F50B5A" w:rsidP="00094357">
            <w:pPr>
              <w:pStyle w:val="TableTextBullet"/>
              <w:cnfStyle w:val="000000000000" w:firstRow="0" w:lastRow="0" w:firstColumn="0" w:lastColumn="0" w:oddVBand="0" w:evenVBand="0" w:oddHBand="0" w:evenHBand="0" w:firstRowFirstColumn="0" w:firstRowLastColumn="0" w:lastRowFirstColumn="0" w:lastRowLastColumn="0"/>
            </w:pPr>
            <w:r w:rsidRPr="005D5694">
              <w:t>Volume of logs by hardwood (native and plantation) and softwood.</w:t>
            </w:r>
          </w:p>
        </w:tc>
        <w:tc>
          <w:tcPr>
            <w:tcW w:w="296" w:type="pct"/>
            <w:shd w:val="clear" w:color="auto" w:fill="92D050"/>
          </w:tcPr>
          <w:p w14:paraId="0F895AD7" w14:textId="77777777" w:rsidR="00F50B5A" w:rsidRPr="005D5694" w:rsidRDefault="00F50B5A" w:rsidP="00094357">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Yes</w:t>
            </w:r>
          </w:p>
        </w:tc>
        <w:tc>
          <w:tcPr>
            <w:tcW w:w="1786" w:type="pct"/>
          </w:tcPr>
          <w:p w14:paraId="236EA620" w14:textId="77777777" w:rsidR="00F50B5A" w:rsidRPr="005D5694" w:rsidRDefault="00F50B5A" w:rsidP="00094357">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 xml:space="preserve">An average volume of timber produced per hectare of forest in Victoria will be estimated using the ABARES data for 2018-19. </w:t>
            </w:r>
            <w:r>
              <w:rPr>
                <w:rFonts w:ascii="Arial" w:hAnsi="Arial"/>
              </w:rPr>
              <w:t>P</w:t>
            </w:r>
            <w:r w:rsidRPr="005D5694">
              <w:rPr>
                <w:rFonts w:ascii="Arial" w:hAnsi="Arial"/>
              </w:rPr>
              <w:t xml:space="preserve">er hectare values will be estimated for hardwood and softwood production from plantation forest (native forest logging only occurs on state forest and this practice currently does not exist within the </w:t>
            </w:r>
            <w:r>
              <w:rPr>
                <w:rFonts w:ascii="Arial" w:hAnsi="Arial"/>
              </w:rPr>
              <w:t>GORCAP EEA</w:t>
            </w:r>
            <w:r w:rsidRPr="005D5694">
              <w:rPr>
                <w:rFonts w:ascii="Arial" w:hAnsi="Arial"/>
              </w:rPr>
              <w:t xml:space="preserve"> region. Pers. comm. Andrew Standish, DELWP).  </w:t>
            </w:r>
          </w:p>
        </w:tc>
      </w:tr>
    </w:tbl>
    <w:p w14:paraId="483D6EA0" w14:textId="373ED5C8" w:rsidR="00F50B5A" w:rsidRPr="005D5694" w:rsidRDefault="00094357" w:rsidP="009722D9">
      <w:pPr>
        <w:pStyle w:val="BodyText12ptBefore"/>
      </w:pPr>
      <w:bookmarkStart w:id="427" w:name="_Hlk63677678"/>
      <w:r>
        <w:br w:type="column"/>
      </w:r>
      <w:r w:rsidR="00F50B5A" w:rsidRPr="005D5694">
        <w:lastRenderedPageBreak/>
        <w:t xml:space="preserve">Table </w:t>
      </w:r>
      <w:r w:rsidR="00F50B5A">
        <w:t>A3.4.</w:t>
      </w:r>
      <w:r w:rsidR="00F50B5A" w:rsidRPr="005D5694">
        <w:t xml:space="preserve"> shows that based on the literature review, there is existing data from ABARES’s (2020) Australian forest and wood products) statistics on the total area of forest within Victoria and the volume of logs harvested across that area. This information is broken down by plantation and native forest areas and by volume of hardwood and softwood logs. </w:t>
      </w:r>
      <w:bookmarkEnd w:id="427"/>
    </w:p>
    <w:p w14:paraId="144D0F49" w14:textId="77777777" w:rsidR="00F50B5A" w:rsidRPr="005D5694" w:rsidRDefault="00F50B5A" w:rsidP="00A2745D">
      <w:pPr>
        <w:pStyle w:val="AlphaHeading4"/>
      </w:pPr>
      <w:r w:rsidRPr="005D5694">
        <w:t xml:space="preserve">Monetary value of biomass for timber from ecosystem assets within </w:t>
      </w:r>
      <w:r>
        <w:t>GORCAP region</w:t>
      </w:r>
    </w:p>
    <w:p w14:paraId="791F16DC" w14:textId="77777777" w:rsidR="00F50B5A" w:rsidRPr="005D5694" w:rsidRDefault="00F50B5A" w:rsidP="009722D9">
      <w:pPr>
        <w:pStyle w:val="BodyText"/>
      </w:pPr>
      <w:r w:rsidRPr="005D5694">
        <w:t xml:space="preserve">Table </w:t>
      </w:r>
      <w:r>
        <w:t>A3.5</w:t>
      </w:r>
      <w:r w:rsidRPr="005D5694">
        <w:t xml:space="preserve"> provides details on the data that could be used to develop a monetary valuation of biomass for food provided by GOR ecosystem assets and how this data is use</w:t>
      </w:r>
      <w:r>
        <w:t>d</w:t>
      </w:r>
      <w:r w:rsidRPr="005D5694">
        <w:t xml:space="preserve"> </w:t>
      </w:r>
      <w:r>
        <w:t>in the</w:t>
      </w:r>
      <w:r w:rsidRPr="005D5694">
        <w:t xml:space="preserve"> GOR </w:t>
      </w:r>
      <w:r>
        <w:t>environmental-economic account</w:t>
      </w:r>
      <w:r w:rsidRPr="005D5694">
        <w:t xml:space="preserve">. </w:t>
      </w:r>
    </w:p>
    <w:p w14:paraId="42B9CCB4" w14:textId="77777777" w:rsidR="00F50B5A" w:rsidRPr="005D5694" w:rsidRDefault="00F50B5A" w:rsidP="00094357">
      <w:pPr>
        <w:pStyle w:val="Caption"/>
      </w:pPr>
      <w:r w:rsidRPr="005D5694">
        <w:t>Table</w:t>
      </w:r>
      <w:r w:rsidRPr="00CE093F">
        <w:t xml:space="preserve"> A3.</w:t>
      </w:r>
      <w:r>
        <w:t>5</w:t>
      </w:r>
      <w:r w:rsidRPr="005D5694">
        <w:t>. Review of methods and data used to estimate the monetary value of biomass for timber from ecosystem assets in Victoria</w:t>
      </w:r>
    </w:p>
    <w:tbl>
      <w:tblPr>
        <w:tblStyle w:val="TableGrid"/>
        <w:tblW w:w="5000" w:type="pct"/>
        <w:tblLook w:val="04A0" w:firstRow="1" w:lastRow="0" w:firstColumn="1" w:lastColumn="0" w:noHBand="0" w:noVBand="1"/>
      </w:tblPr>
      <w:tblGrid>
        <w:gridCol w:w="1892"/>
        <w:gridCol w:w="3605"/>
        <w:gridCol w:w="571"/>
        <w:gridCol w:w="3570"/>
      </w:tblGrid>
      <w:tr w:rsidR="00094357" w:rsidRPr="005D5694" w14:paraId="66B12978" w14:textId="77777777" w:rsidTr="000943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2" w:type="pct"/>
          </w:tcPr>
          <w:p w14:paraId="22DB78F2" w14:textId="77777777" w:rsidR="00F50B5A" w:rsidRPr="005D5694" w:rsidRDefault="00F50B5A" w:rsidP="00094357">
            <w:pPr>
              <w:pStyle w:val="TableHeadingLeft"/>
            </w:pPr>
            <w:r w:rsidRPr="005D5694">
              <w:t>Source</w:t>
            </w:r>
          </w:p>
        </w:tc>
        <w:tc>
          <w:tcPr>
            <w:tcW w:w="1870" w:type="pct"/>
          </w:tcPr>
          <w:p w14:paraId="58BBB3A7" w14:textId="77777777" w:rsidR="00F50B5A" w:rsidRPr="005D5694" w:rsidRDefault="00F50B5A" w:rsidP="00094357">
            <w:pPr>
              <w:pStyle w:val="TableHeadingLeft"/>
              <w:cnfStyle w:val="100000000000" w:firstRow="1" w:lastRow="0" w:firstColumn="0" w:lastColumn="0" w:oddVBand="0" w:evenVBand="0" w:oddHBand="0" w:evenHBand="0" w:firstRowFirstColumn="0" w:firstRowLastColumn="0" w:lastRowFirstColumn="0" w:lastRowLastColumn="0"/>
            </w:pPr>
            <w:r w:rsidRPr="005D5694">
              <w:t>Description</w:t>
            </w:r>
          </w:p>
        </w:tc>
        <w:tc>
          <w:tcPr>
            <w:tcW w:w="2148" w:type="pct"/>
            <w:gridSpan w:val="2"/>
          </w:tcPr>
          <w:p w14:paraId="33E80268" w14:textId="77777777" w:rsidR="00F50B5A" w:rsidRPr="005D5694" w:rsidRDefault="00F50B5A" w:rsidP="00094357">
            <w:pPr>
              <w:pStyle w:val="TableHeadingLeft"/>
              <w:cnfStyle w:val="100000000000" w:firstRow="1" w:lastRow="0" w:firstColumn="0" w:lastColumn="0" w:oddVBand="0" w:evenVBand="0" w:oddHBand="0" w:evenHBand="0" w:firstRowFirstColumn="0" w:firstRowLastColumn="0" w:lastRowFirstColumn="0" w:lastRowLastColumn="0"/>
            </w:pPr>
            <w:r>
              <w:t>U</w:t>
            </w:r>
            <w:r w:rsidRPr="005D5694">
              <w:t>se</w:t>
            </w:r>
            <w:r>
              <w:t>d</w:t>
            </w:r>
            <w:r w:rsidRPr="005D5694">
              <w:t xml:space="preserve"> in </w:t>
            </w:r>
            <w:r>
              <w:t>GORCAP EEA</w:t>
            </w:r>
            <w:r w:rsidRPr="005D5694">
              <w:t>?</w:t>
            </w:r>
          </w:p>
        </w:tc>
      </w:tr>
      <w:tr w:rsidR="00094357" w:rsidRPr="005D5694" w14:paraId="2A5464BC" w14:textId="77777777" w:rsidTr="00094357">
        <w:tc>
          <w:tcPr>
            <w:cnfStyle w:val="001000000000" w:firstRow="0" w:lastRow="0" w:firstColumn="1" w:lastColumn="0" w:oddVBand="0" w:evenVBand="0" w:oddHBand="0" w:evenHBand="0" w:firstRowFirstColumn="0" w:firstRowLastColumn="0" w:lastRowFirstColumn="0" w:lastRowLastColumn="0"/>
            <w:tcW w:w="982" w:type="pct"/>
          </w:tcPr>
          <w:p w14:paraId="3590CAB1" w14:textId="77777777" w:rsidR="00F50B5A" w:rsidRPr="005D5694" w:rsidRDefault="00F50B5A" w:rsidP="00094357">
            <w:pPr>
              <w:pStyle w:val="TableTextLeft"/>
              <w:rPr>
                <w:rFonts w:ascii="Arial" w:hAnsi="Arial"/>
              </w:rPr>
            </w:pPr>
            <w:r w:rsidRPr="005D5694">
              <w:rPr>
                <w:rFonts w:ascii="Arial" w:hAnsi="Arial"/>
              </w:rPr>
              <w:t>ABARES (2020) Australian forest and wood products (AFWPS) statistics</w:t>
            </w:r>
          </w:p>
        </w:tc>
        <w:tc>
          <w:tcPr>
            <w:tcW w:w="1870" w:type="pct"/>
          </w:tcPr>
          <w:p w14:paraId="0EBCC9F0" w14:textId="77777777" w:rsidR="00F50B5A" w:rsidRPr="005D5694" w:rsidRDefault="00F50B5A" w:rsidP="00094357">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5D5694">
              <w:rPr>
                <w:rFonts w:ascii="Arial" w:hAnsi="Arial"/>
              </w:rPr>
              <w:t>The AFWPS dataset includes time series data between 2008-09 and 2018-19 on state breakdowns of:</w:t>
            </w:r>
          </w:p>
          <w:p w14:paraId="1CD493C5" w14:textId="77777777" w:rsidR="00F50B5A" w:rsidRPr="005D5694" w:rsidRDefault="00F50B5A" w:rsidP="00094357">
            <w:pPr>
              <w:pStyle w:val="TableTextBullet"/>
              <w:cnfStyle w:val="000000000000" w:firstRow="0" w:lastRow="0" w:firstColumn="0" w:lastColumn="0" w:oddVBand="0" w:evenVBand="0" w:oddHBand="0" w:evenHBand="0" w:firstRowFirstColumn="0" w:firstRowLastColumn="0" w:lastRowFirstColumn="0" w:lastRowLastColumn="0"/>
            </w:pPr>
            <w:r w:rsidRPr="005D5694">
              <w:t>Plantation area by hardwood and softwood.</w:t>
            </w:r>
          </w:p>
          <w:p w14:paraId="2235BB78" w14:textId="77777777" w:rsidR="00F50B5A" w:rsidRPr="005D5694" w:rsidRDefault="00F50B5A" w:rsidP="00094357">
            <w:pPr>
              <w:pStyle w:val="TableTextBullet"/>
              <w:cnfStyle w:val="000000000000" w:firstRow="0" w:lastRow="0" w:firstColumn="0" w:lastColumn="0" w:oddVBand="0" w:evenVBand="0" w:oddHBand="0" w:evenHBand="0" w:firstRowFirstColumn="0" w:firstRowLastColumn="0" w:lastRowFirstColumn="0" w:lastRowLastColumn="0"/>
            </w:pPr>
            <w:r w:rsidRPr="005D5694">
              <w:t>Native forest area by type (species) and tenure.</w:t>
            </w:r>
          </w:p>
          <w:p w14:paraId="0265A857" w14:textId="77777777" w:rsidR="00F50B5A" w:rsidRPr="005D5694" w:rsidRDefault="00F50B5A" w:rsidP="00094357">
            <w:pPr>
              <w:pStyle w:val="TableTextBullet"/>
              <w:cnfStyle w:val="000000000000" w:firstRow="0" w:lastRow="0" w:firstColumn="0" w:lastColumn="0" w:oddVBand="0" w:evenVBand="0" w:oddHBand="0" w:evenHBand="0" w:firstRowFirstColumn="0" w:firstRowLastColumn="0" w:lastRowFirstColumn="0" w:lastRowLastColumn="0"/>
            </w:pPr>
            <w:r w:rsidRPr="005D5694">
              <w:t>Value of logs by hardwood (native and plantation) and softwood.</w:t>
            </w:r>
          </w:p>
        </w:tc>
        <w:tc>
          <w:tcPr>
            <w:tcW w:w="296" w:type="pct"/>
            <w:shd w:val="clear" w:color="auto" w:fill="92D050"/>
          </w:tcPr>
          <w:p w14:paraId="10F7B87F" w14:textId="77777777" w:rsidR="00F50B5A" w:rsidRPr="005D5694" w:rsidRDefault="00F50B5A" w:rsidP="00094357">
            <w:pPr>
              <w:pStyle w:val="TableTextLeft"/>
              <w:cnfStyle w:val="000000000000" w:firstRow="0" w:lastRow="0" w:firstColumn="0" w:lastColumn="0" w:oddVBand="0" w:evenVBand="0" w:oddHBand="0" w:evenHBand="0" w:firstRowFirstColumn="0" w:firstRowLastColumn="0" w:lastRowFirstColumn="0" w:lastRowLastColumn="0"/>
              <w:rPr>
                <w:rFonts w:ascii="Arial" w:hAnsi="Arial"/>
                <w:highlight w:val="yellow"/>
              </w:rPr>
            </w:pPr>
            <w:r w:rsidRPr="005D5694">
              <w:rPr>
                <w:rFonts w:ascii="Arial" w:hAnsi="Arial"/>
              </w:rPr>
              <w:t>Yes</w:t>
            </w:r>
          </w:p>
        </w:tc>
        <w:tc>
          <w:tcPr>
            <w:tcW w:w="1852" w:type="pct"/>
          </w:tcPr>
          <w:p w14:paraId="0A6D9E09" w14:textId="77777777" w:rsidR="00F50B5A" w:rsidRPr="005D5694" w:rsidRDefault="00F50B5A" w:rsidP="00094357">
            <w:pPr>
              <w:pStyle w:val="TableTextLeft"/>
              <w:cnfStyle w:val="000000000000" w:firstRow="0" w:lastRow="0" w:firstColumn="0" w:lastColumn="0" w:oddVBand="0" w:evenVBand="0" w:oddHBand="0" w:evenHBand="0" w:firstRowFirstColumn="0" w:firstRowLastColumn="0" w:lastRowFirstColumn="0" w:lastRowLastColumn="0"/>
              <w:rPr>
                <w:rFonts w:ascii="Arial" w:hAnsi="Arial"/>
                <w:highlight w:val="yellow"/>
              </w:rPr>
            </w:pPr>
            <w:r w:rsidRPr="005D5694">
              <w:rPr>
                <w:rFonts w:ascii="Arial" w:hAnsi="Arial"/>
              </w:rPr>
              <w:t xml:space="preserve">An average value of timber produced per hectare of forest in Victoria will be estimated using the ABARES data for 2018-19. </w:t>
            </w:r>
            <w:r>
              <w:rPr>
                <w:rFonts w:ascii="Arial" w:hAnsi="Arial"/>
              </w:rPr>
              <w:t>P</w:t>
            </w:r>
            <w:r w:rsidRPr="005D5694">
              <w:rPr>
                <w:rFonts w:ascii="Arial" w:hAnsi="Arial"/>
              </w:rPr>
              <w:t xml:space="preserve">er hectare values will be estimated for hardwood and softwood production from plantation forest (native forest logging only occurs on state forest and this practice currently does not exist within the </w:t>
            </w:r>
            <w:r>
              <w:rPr>
                <w:rFonts w:ascii="Arial" w:hAnsi="Arial"/>
              </w:rPr>
              <w:t>GORCAP EEA</w:t>
            </w:r>
            <w:r w:rsidRPr="005D5694">
              <w:rPr>
                <w:rFonts w:ascii="Arial" w:hAnsi="Arial"/>
              </w:rPr>
              <w:t xml:space="preserve"> region. Pers. comm. Andrew Standish, DELWP).  </w:t>
            </w:r>
          </w:p>
        </w:tc>
      </w:tr>
    </w:tbl>
    <w:p w14:paraId="34EB4E49" w14:textId="77777777" w:rsidR="00F50B5A" w:rsidRPr="005D5694" w:rsidRDefault="00F50B5A" w:rsidP="009722D9">
      <w:pPr>
        <w:pStyle w:val="BodyText12ptBefore"/>
      </w:pPr>
      <w:r w:rsidRPr="005D5694">
        <w:t xml:space="preserve">Table </w:t>
      </w:r>
      <w:r>
        <w:t>A3.5.</w:t>
      </w:r>
      <w:r w:rsidRPr="005D5694">
        <w:t xml:space="preserve"> shows that based on the literature review, there is existing data from ABARES’s (2020) Australian forest and wood products) statistics on the total area of forest within Victoria and the value of logs harvested across that area. This information is broken down by plantation and native forest areas and by value of hardwood and softwood logs.</w:t>
      </w:r>
    </w:p>
    <w:p w14:paraId="71539AA1" w14:textId="4583517E" w:rsidR="00F50B5A" w:rsidRPr="008C7964" w:rsidRDefault="00F50B5A" w:rsidP="009722D9">
      <w:pPr>
        <w:pStyle w:val="Heading2"/>
        <w:numPr>
          <w:ilvl w:val="0"/>
          <w:numId w:val="0"/>
        </w:numPr>
      </w:pPr>
      <w:bookmarkStart w:id="428" w:name="_Toc163547104"/>
      <w:r w:rsidRPr="008C7964">
        <w:t>A3.2. Coastal protection</w:t>
      </w:r>
      <w:bookmarkEnd w:id="428"/>
    </w:p>
    <w:p w14:paraId="12D10C73" w14:textId="77777777" w:rsidR="00F50B5A" w:rsidRPr="005D5694" w:rsidRDefault="00F50B5A" w:rsidP="000035CB">
      <w:pPr>
        <w:pStyle w:val="AlphaHeading4"/>
        <w:numPr>
          <w:ilvl w:val="0"/>
          <w:numId w:val="56"/>
        </w:numPr>
      </w:pPr>
      <w:r w:rsidRPr="005D5694">
        <w:t xml:space="preserve">Physical provision of </w:t>
      </w:r>
      <w:r>
        <w:t>coastal protection</w:t>
      </w:r>
      <w:r w:rsidRPr="005D5694">
        <w:t xml:space="preserve"> from GOR ecosystem assets </w:t>
      </w:r>
    </w:p>
    <w:p w14:paraId="7A6580A1" w14:textId="77777777" w:rsidR="00F50B5A" w:rsidRPr="00591439" w:rsidRDefault="00F50B5A" w:rsidP="00094357">
      <w:pPr>
        <w:pStyle w:val="BodyText"/>
      </w:pPr>
      <w:r w:rsidRPr="00591439">
        <w:t xml:space="preserve">Table </w:t>
      </w:r>
      <w:r>
        <w:t>A3.6.</w:t>
      </w:r>
      <w:r w:rsidRPr="00591439">
        <w:t xml:space="preserve"> provides details on the studies that could be used to develop a GOR specific assessment of coastal protection (hazard regulation) and how the approaches and data from these studies are </w:t>
      </w:r>
      <w:r w:rsidRPr="005D5694">
        <w:t>use</w:t>
      </w:r>
      <w:r>
        <w:t>d</w:t>
      </w:r>
      <w:r w:rsidRPr="005D5694">
        <w:t xml:space="preserve"> </w:t>
      </w:r>
      <w:r>
        <w:t xml:space="preserve">in </w:t>
      </w:r>
      <w:r w:rsidRPr="00591439">
        <w:t xml:space="preserve">the GOR </w:t>
      </w:r>
      <w:r>
        <w:t>environmental-economic account</w:t>
      </w:r>
      <w:r w:rsidRPr="00591439">
        <w:t xml:space="preserve">. </w:t>
      </w:r>
    </w:p>
    <w:p w14:paraId="4F2E6D8B" w14:textId="5A5772E1" w:rsidR="00F50B5A" w:rsidRPr="00591439" w:rsidRDefault="00F50B5A" w:rsidP="009722D9">
      <w:pPr>
        <w:pStyle w:val="Caption"/>
      </w:pPr>
      <w:r w:rsidRPr="00591439">
        <w:t xml:space="preserve">Table </w:t>
      </w:r>
      <w:r w:rsidRPr="00CE093F">
        <w:t>A3.</w:t>
      </w:r>
      <w:r>
        <w:t>6</w:t>
      </w:r>
      <w:r w:rsidRPr="00591439">
        <w:t>. Review of methods and data used to estimate the physical provision of coastal protection (hazard regulation) from ecosystem assets in Victoria</w:t>
      </w:r>
    </w:p>
    <w:tbl>
      <w:tblPr>
        <w:tblStyle w:val="TableGrid"/>
        <w:tblW w:w="0" w:type="auto"/>
        <w:tblLook w:val="04A0" w:firstRow="1" w:lastRow="0" w:firstColumn="1" w:lastColumn="0" w:noHBand="0" w:noVBand="1"/>
      </w:tblPr>
      <w:tblGrid>
        <w:gridCol w:w="1917"/>
        <w:gridCol w:w="3637"/>
        <w:gridCol w:w="571"/>
        <w:gridCol w:w="3513"/>
      </w:tblGrid>
      <w:tr w:rsidR="00094357" w:rsidRPr="00591439" w14:paraId="517D4EBB" w14:textId="77777777" w:rsidTr="00B954AC">
        <w:trPr>
          <w:cnfStyle w:val="100000000000" w:firstRow="1" w:lastRow="0" w:firstColumn="0" w:lastColumn="0" w:oddVBand="0" w:evenVBand="0" w:oddHBand="0" w:evenHBand="0" w:firstRowFirstColumn="0" w:firstRowLastColumn="0" w:lastRowFirstColumn="0" w:lastRowLastColumn="0"/>
          <w:trHeight w:val="464"/>
        </w:trPr>
        <w:tc>
          <w:tcPr>
            <w:cnfStyle w:val="001000000000" w:firstRow="0" w:lastRow="0" w:firstColumn="1" w:lastColumn="0" w:oddVBand="0" w:evenVBand="0" w:oddHBand="0" w:evenHBand="0" w:firstRowFirstColumn="0" w:firstRowLastColumn="0" w:lastRowFirstColumn="0" w:lastRowLastColumn="0"/>
            <w:tcW w:w="0" w:type="auto"/>
          </w:tcPr>
          <w:p w14:paraId="432D5E6A" w14:textId="77777777" w:rsidR="00F50B5A" w:rsidRPr="00591439" w:rsidRDefault="00F50B5A" w:rsidP="00B954AC">
            <w:pPr>
              <w:pStyle w:val="TableHeadingLeft"/>
            </w:pPr>
            <w:r w:rsidRPr="00591439">
              <w:t>Source</w:t>
            </w:r>
          </w:p>
        </w:tc>
        <w:tc>
          <w:tcPr>
            <w:tcW w:w="0" w:type="auto"/>
          </w:tcPr>
          <w:p w14:paraId="3E8BD815" w14:textId="77777777" w:rsidR="00F50B5A" w:rsidRPr="00591439" w:rsidRDefault="00F50B5A" w:rsidP="00B954AC">
            <w:pPr>
              <w:pStyle w:val="TableHeadingLeft"/>
              <w:cnfStyle w:val="100000000000" w:firstRow="1" w:lastRow="0" w:firstColumn="0" w:lastColumn="0" w:oddVBand="0" w:evenVBand="0" w:oddHBand="0" w:evenHBand="0" w:firstRowFirstColumn="0" w:firstRowLastColumn="0" w:lastRowFirstColumn="0" w:lastRowLastColumn="0"/>
            </w:pPr>
            <w:r w:rsidRPr="00591439">
              <w:t>Description</w:t>
            </w:r>
          </w:p>
        </w:tc>
        <w:tc>
          <w:tcPr>
            <w:tcW w:w="0" w:type="auto"/>
            <w:gridSpan w:val="2"/>
          </w:tcPr>
          <w:p w14:paraId="15ED73B9" w14:textId="77777777" w:rsidR="00F50B5A" w:rsidRPr="00591439" w:rsidRDefault="00F50B5A" w:rsidP="00B954AC">
            <w:pPr>
              <w:pStyle w:val="TableHeadingLeft"/>
              <w:cnfStyle w:val="100000000000" w:firstRow="1" w:lastRow="0" w:firstColumn="0" w:lastColumn="0" w:oddVBand="0" w:evenVBand="0" w:oddHBand="0" w:evenHBand="0" w:firstRowFirstColumn="0" w:firstRowLastColumn="0" w:lastRowFirstColumn="0" w:lastRowLastColumn="0"/>
            </w:pPr>
            <w:r>
              <w:t>U</w:t>
            </w:r>
            <w:r w:rsidRPr="00591439">
              <w:t>se</w:t>
            </w:r>
            <w:r>
              <w:t>d</w:t>
            </w:r>
            <w:r w:rsidRPr="00591439">
              <w:t xml:space="preserve"> in </w:t>
            </w:r>
            <w:r>
              <w:t>GORCAP EEA</w:t>
            </w:r>
            <w:r w:rsidRPr="00591439">
              <w:t>?</w:t>
            </w:r>
          </w:p>
        </w:tc>
      </w:tr>
      <w:tr w:rsidR="00094357" w:rsidRPr="00591439" w14:paraId="52A8D0BF" w14:textId="77777777" w:rsidTr="00B954AC">
        <w:trPr>
          <w:trHeight w:val="560"/>
        </w:trPr>
        <w:tc>
          <w:tcPr>
            <w:cnfStyle w:val="001000000000" w:firstRow="0" w:lastRow="0" w:firstColumn="1" w:lastColumn="0" w:oddVBand="0" w:evenVBand="0" w:oddHBand="0" w:evenHBand="0" w:firstRowFirstColumn="0" w:firstRowLastColumn="0" w:lastRowFirstColumn="0" w:lastRowLastColumn="0"/>
            <w:tcW w:w="0" w:type="auto"/>
          </w:tcPr>
          <w:p w14:paraId="4F42438F" w14:textId="77777777" w:rsidR="00F50B5A" w:rsidRPr="00591439" w:rsidRDefault="00F50B5A" w:rsidP="00B954AC">
            <w:pPr>
              <w:pStyle w:val="TableTextLeft"/>
              <w:rPr>
                <w:rFonts w:ascii="Arial" w:hAnsi="Arial"/>
                <w:color w:val="1A1A1A"/>
                <w:highlight w:val="yellow"/>
              </w:rPr>
            </w:pPr>
            <w:r w:rsidRPr="00591439">
              <w:rPr>
                <w:rFonts w:ascii="Arial" w:hAnsi="Arial"/>
                <w:color w:val="1A1A1A"/>
              </w:rPr>
              <w:t>Carnell et al (2019) Mapping Ocean Wealth Australia</w:t>
            </w:r>
          </w:p>
        </w:tc>
        <w:tc>
          <w:tcPr>
            <w:tcW w:w="0" w:type="auto"/>
          </w:tcPr>
          <w:p w14:paraId="3C26A6CE" w14:textId="77777777" w:rsidR="00F50B5A" w:rsidRPr="00591439" w:rsidRDefault="00F50B5A" w:rsidP="00B954AC">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A1A1A"/>
              </w:rPr>
            </w:pPr>
            <w:r w:rsidRPr="00591439">
              <w:rPr>
                <w:rFonts w:ascii="Arial" w:hAnsi="Arial"/>
                <w:color w:val="1A1A1A"/>
              </w:rPr>
              <w:t>This study estimates the role of wetlands in reducing storm surges and sea-level rise using qualitative (i.e. lowest to highest avoided impact) scoring (i.e. there would be impacts from waves or sea-level rise if coastal wetlands were not present). This was produced using the Integrated Valuation of Ecosystem Services and Trade-offs (</w:t>
            </w:r>
            <w:proofErr w:type="spellStart"/>
            <w:r w:rsidRPr="00591439">
              <w:rPr>
                <w:rFonts w:ascii="Arial" w:hAnsi="Arial"/>
                <w:color w:val="1A1A1A"/>
              </w:rPr>
              <w:t>InVEST</w:t>
            </w:r>
            <w:proofErr w:type="spellEnd"/>
            <w:r w:rsidRPr="00591439">
              <w:rPr>
                <w:rFonts w:ascii="Arial" w:hAnsi="Arial"/>
                <w:color w:val="1A1A1A"/>
              </w:rPr>
              <w:t>) Coastal protection toolbox (Natural Capital Project, n.d.).</w:t>
            </w:r>
          </w:p>
          <w:p w14:paraId="31DA0F38" w14:textId="77777777" w:rsidR="00F50B5A" w:rsidRPr="00591439" w:rsidRDefault="00F50B5A" w:rsidP="00B954AC">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A1A1A"/>
              </w:rPr>
            </w:pPr>
          </w:p>
          <w:p w14:paraId="685FAB3D" w14:textId="309D1B36" w:rsidR="00F50B5A" w:rsidRPr="00591439" w:rsidRDefault="00F50B5A" w:rsidP="00B954AC">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A1A1A"/>
              </w:rPr>
            </w:pPr>
            <w:r w:rsidRPr="00591439">
              <w:rPr>
                <w:rFonts w:ascii="Arial" w:hAnsi="Arial"/>
                <w:color w:val="1A1A1A"/>
              </w:rPr>
              <w:t>The study also estimates that coastal wetlands</w:t>
            </w:r>
            <w:r w:rsidRPr="00591439">
              <w:rPr>
                <w:rFonts w:ascii="Arial" w:hAnsi="Arial"/>
              </w:rPr>
              <w:t xml:space="preserve"> </w:t>
            </w:r>
            <w:r w:rsidRPr="00591439">
              <w:rPr>
                <w:rFonts w:ascii="Arial" w:hAnsi="Arial"/>
                <w:color w:val="1A1A1A"/>
              </w:rPr>
              <w:t>reduce wave energy by 37-71</w:t>
            </w:r>
            <w:r>
              <w:rPr>
                <w:rFonts w:ascii="Arial" w:hAnsi="Arial"/>
                <w:color w:val="1A1A1A"/>
              </w:rPr>
              <w:t xml:space="preserve"> per cent</w:t>
            </w:r>
            <w:r w:rsidRPr="00591439">
              <w:rPr>
                <w:rFonts w:ascii="Arial" w:hAnsi="Arial"/>
                <w:color w:val="1A1A1A"/>
              </w:rPr>
              <w:t xml:space="preserve"> in Victoria based on field data using pressure sensors in front and behind coastal wetlands to measure the wave reduction achieved by these ecosystems in Port Phillip and Western port in Victoria. </w:t>
            </w:r>
          </w:p>
        </w:tc>
        <w:tc>
          <w:tcPr>
            <w:tcW w:w="0" w:type="auto"/>
            <w:shd w:val="clear" w:color="auto" w:fill="92D050"/>
          </w:tcPr>
          <w:p w14:paraId="39393C18" w14:textId="77777777" w:rsidR="00F50B5A" w:rsidRPr="00591439" w:rsidRDefault="00F50B5A" w:rsidP="00B954AC">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A1A1A"/>
              </w:rPr>
            </w:pPr>
            <w:r w:rsidRPr="00591439">
              <w:rPr>
                <w:rFonts w:ascii="Arial" w:hAnsi="Arial"/>
                <w:color w:val="1A1A1A"/>
              </w:rPr>
              <w:lastRenderedPageBreak/>
              <w:t xml:space="preserve">Yes </w:t>
            </w:r>
          </w:p>
        </w:tc>
        <w:tc>
          <w:tcPr>
            <w:tcW w:w="0" w:type="auto"/>
          </w:tcPr>
          <w:p w14:paraId="63C34500" w14:textId="77777777" w:rsidR="00F50B5A" w:rsidRPr="00591439" w:rsidRDefault="00F50B5A" w:rsidP="00B954AC">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A1A1A"/>
              </w:rPr>
            </w:pPr>
            <w:r w:rsidRPr="00591439">
              <w:rPr>
                <w:rFonts w:ascii="Arial" w:hAnsi="Arial"/>
                <w:bCs/>
                <w:color w:val="1A1A1A"/>
              </w:rPr>
              <w:t>The study team obtain</w:t>
            </w:r>
            <w:r>
              <w:rPr>
                <w:rFonts w:ascii="Arial" w:hAnsi="Arial"/>
                <w:bCs/>
                <w:color w:val="1A1A1A"/>
              </w:rPr>
              <w:t>ed</w:t>
            </w:r>
            <w:r w:rsidRPr="00591439">
              <w:rPr>
                <w:rFonts w:ascii="Arial" w:hAnsi="Arial"/>
                <w:bCs/>
                <w:color w:val="1A1A1A"/>
              </w:rPr>
              <w:t xml:space="preserve"> the qualitative (i.e. lowest to highest)</w:t>
            </w:r>
            <w:r>
              <w:rPr>
                <w:rFonts w:ascii="Arial" w:hAnsi="Arial"/>
                <w:bCs/>
                <w:color w:val="1A1A1A"/>
              </w:rPr>
              <w:t xml:space="preserve"> and quantitative (reduction in exposure) mapping</w:t>
            </w:r>
            <w:r w:rsidRPr="00591439">
              <w:rPr>
                <w:rFonts w:ascii="Arial" w:hAnsi="Arial"/>
                <w:bCs/>
                <w:color w:val="1A1A1A"/>
              </w:rPr>
              <w:t xml:space="preserve"> of </w:t>
            </w:r>
            <w:r w:rsidRPr="00591439">
              <w:rPr>
                <w:rFonts w:ascii="Arial" w:hAnsi="Arial"/>
                <w:color w:val="1A1A1A"/>
              </w:rPr>
              <w:t xml:space="preserve">the extent of reduction in storm surges or sea-level rise if coastal wetlands were not present using </w:t>
            </w:r>
            <w:proofErr w:type="spellStart"/>
            <w:r w:rsidRPr="00591439">
              <w:rPr>
                <w:rFonts w:ascii="Arial" w:hAnsi="Arial"/>
                <w:color w:val="1A1A1A"/>
              </w:rPr>
              <w:t>InVEST</w:t>
            </w:r>
            <w:proofErr w:type="spellEnd"/>
            <w:r w:rsidRPr="00591439">
              <w:rPr>
                <w:rFonts w:ascii="Arial" w:hAnsi="Arial"/>
                <w:color w:val="1A1A1A"/>
              </w:rPr>
              <w:t xml:space="preserve"> in GIS format and cut this to the assessment boundary. </w:t>
            </w:r>
          </w:p>
          <w:p w14:paraId="553AFA80" w14:textId="77777777" w:rsidR="00F50B5A" w:rsidRPr="00591439" w:rsidRDefault="00F50B5A" w:rsidP="00B954AC">
            <w:pPr>
              <w:pStyle w:val="TableTextLeft"/>
              <w:cnfStyle w:val="000000000000" w:firstRow="0" w:lastRow="0" w:firstColumn="0" w:lastColumn="0" w:oddVBand="0" w:evenVBand="0" w:oddHBand="0" w:evenHBand="0" w:firstRowFirstColumn="0" w:firstRowLastColumn="0" w:lastRowFirstColumn="0" w:lastRowLastColumn="0"/>
              <w:rPr>
                <w:rFonts w:ascii="Arial" w:hAnsi="Arial"/>
                <w:bCs/>
                <w:color w:val="1A1A1A"/>
              </w:rPr>
            </w:pPr>
          </w:p>
        </w:tc>
      </w:tr>
      <w:tr w:rsidR="00094357" w:rsidRPr="00591439" w14:paraId="4FD47962" w14:textId="77777777" w:rsidTr="00B954AC">
        <w:trPr>
          <w:trHeight w:val="1791"/>
        </w:trPr>
        <w:tc>
          <w:tcPr>
            <w:cnfStyle w:val="001000000000" w:firstRow="0" w:lastRow="0" w:firstColumn="1" w:lastColumn="0" w:oddVBand="0" w:evenVBand="0" w:oddHBand="0" w:evenHBand="0" w:firstRowFirstColumn="0" w:firstRowLastColumn="0" w:lastRowFirstColumn="0" w:lastRowLastColumn="0"/>
            <w:tcW w:w="0" w:type="auto"/>
          </w:tcPr>
          <w:p w14:paraId="315D1DD5" w14:textId="77777777" w:rsidR="00F50B5A" w:rsidRPr="00591439" w:rsidRDefault="00F50B5A" w:rsidP="00B954AC">
            <w:pPr>
              <w:pStyle w:val="TableTextLeft"/>
              <w:rPr>
                <w:rFonts w:ascii="Arial" w:hAnsi="Arial"/>
                <w:color w:val="1A1A1A"/>
                <w:highlight w:val="yellow"/>
              </w:rPr>
            </w:pPr>
            <w:r w:rsidRPr="00591439">
              <w:rPr>
                <w:rFonts w:ascii="Arial" w:hAnsi="Arial"/>
                <w:color w:val="1A1A1A"/>
              </w:rPr>
              <w:t>DELWP and Parks Victoria (2015) Valuing Victoria’s Parks: Accounting for ecosystems and valuing their benefits</w:t>
            </w:r>
          </w:p>
        </w:tc>
        <w:tc>
          <w:tcPr>
            <w:tcW w:w="0" w:type="auto"/>
          </w:tcPr>
          <w:p w14:paraId="5C4E442D" w14:textId="77777777" w:rsidR="00F50B5A" w:rsidRPr="00591439" w:rsidRDefault="00F50B5A" w:rsidP="00B954AC">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A1A1A"/>
              </w:rPr>
            </w:pPr>
            <w:r w:rsidRPr="00591439">
              <w:rPr>
                <w:rFonts w:ascii="Arial" w:hAnsi="Arial"/>
                <w:color w:val="1A1A1A"/>
              </w:rPr>
              <w:t>This study estimates the role of coastal wetlands in protecting</w:t>
            </w:r>
            <w:r w:rsidRPr="00591439">
              <w:rPr>
                <w:rFonts w:ascii="Arial" w:hAnsi="Arial"/>
              </w:rPr>
              <w:t xml:space="preserve"> </w:t>
            </w:r>
            <w:r w:rsidRPr="00591439">
              <w:rPr>
                <w:rFonts w:ascii="Arial" w:hAnsi="Arial"/>
                <w:color w:val="1A1A1A"/>
              </w:rPr>
              <w:t>coastal townships and communities against storm surge events, sea inundation or coastal erosion using the length of coastal beach and wetland systems that are specifically</w:t>
            </w:r>
            <w:r w:rsidRPr="00591439">
              <w:rPr>
                <w:rFonts w:ascii="Arial" w:hAnsi="Arial"/>
              </w:rPr>
              <w:t xml:space="preserve"> </w:t>
            </w:r>
            <w:r w:rsidRPr="00591439">
              <w:rPr>
                <w:rFonts w:ascii="Arial" w:hAnsi="Arial"/>
                <w:color w:val="1A1A1A"/>
              </w:rPr>
              <w:t xml:space="preserve">located around coastal townships and communities. The counterfactual is the deterioration of coastal ecosystems to a point where they would not be able to provide protection. </w:t>
            </w:r>
          </w:p>
          <w:p w14:paraId="419A5D58" w14:textId="77777777" w:rsidR="00F50B5A" w:rsidRPr="00591439" w:rsidRDefault="00F50B5A" w:rsidP="00B954AC">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A1A1A"/>
              </w:rPr>
            </w:pPr>
          </w:p>
          <w:p w14:paraId="59FBE17E" w14:textId="77777777" w:rsidR="00F50B5A" w:rsidRPr="00591439" w:rsidRDefault="00F50B5A" w:rsidP="00B954AC">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A1A1A"/>
              </w:rPr>
            </w:pPr>
            <w:bookmarkStart w:id="429" w:name="_Hlk63679209"/>
            <w:r w:rsidRPr="00591439">
              <w:rPr>
                <w:rFonts w:ascii="Arial" w:hAnsi="Arial"/>
                <w:color w:val="1A1A1A"/>
              </w:rPr>
              <w:t>This is the same approach as that taken in the UK</w:t>
            </w:r>
            <w:r w:rsidRPr="00591439">
              <w:rPr>
                <w:rFonts w:ascii="Arial" w:hAnsi="Arial"/>
              </w:rPr>
              <w:t xml:space="preserve"> </w:t>
            </w:r>
            <w:r w:rsidRPr="00591439">
              <w:rPr>
                <w:rFonts w:ascii="Arial" w:hAnsi="Arial"/>
                <w:color w:val="1A1A1A"/>
              </w:rPr>
              <w:t>coastal margin account (ONS, 2016) which noted that this is likely to be an overestimate because it assumes that all coastal wetlands provide this coastal protection service. In reality, the level of coastal protection could be negligible / non-existent and / or there might not be a demand for this coastal protection service. This latter point is limited to some extent by focusing on those coastal areas that are located around coastal townships and communities</w:t>
            </w:r>
            <w:bookmarkEnd w:id="429"/>
            <w:r w:rsidRPr="00591439">
              <w:rPr>
                <w:rFonts w:ascii="Arial" w:hAnsi="Arial"/>
                <w:color w:val="1A1A1A"/>
              </w:rPr>
              <w:t xml:space="preserve">, but it could be (for example) that other risk management measures mean that local communities would not value the loss of these coastal wetlands for their coastal protection service at all or as highly as would be the case without such measures. </w:t>
            </w:r>
          </w:p>
        </w:tc>
        <w:tc>
          <w:tcPr>
            <w:tcW w:w="0" w:type="auto"/>
            <w:shd w:val="clear" w:color="auto" w:fill="92D050"/>
          </w:tcPr>
          <w:p w14:paraId="2F068786" w14:textId="77777777" w:rsidR="00F50B5A" w:rsidRPr="00591439" w:rsidRDefault="00F50B5A" w:rsidP="00B954AC">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A1A1A"/>
              </w:rPr>
            </w:pPr>
            <w:r w:rsidRPr="00591439">
              <w:rPr>
                <w:rFonts w:ascii="Arial" w:hAnsi="Arial"/>
                <w:color w:val="1A1A1A"/>
              </w:rPr>
              <w:t>Yes</w:t>
            </w:r>
          </w:p>
        </w:tc>
        <w:tc>
          <w:tcPr>
            <w:tcW w:w="0" w:type="auto"/>
          </w:tcPr>
          <w:p w14:paraId="2889F6F9" w14:textId="77777777" w:rsidR="00F50B5A" w:rsidRPr="00591439" w:rsidRDefault="00F50B5A" w:rsidP="00B954AC">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A1A1A"/>
              </w:rPr>
            </w:pPr>
            <w:r w:rsidRPr="00591439">
              <w:rPr>
                <w:rFonts w:ascii="Arial" w:hAnsi="Arial"/>
                <w:color w:val="1A1A1A"/>
              </w:rPr>
              <w:t xml:space="preserve">The approach of estimating the length of coast within GOR boundary that is providing a coastal protection service </w:t>
            </w:r>
            <w:r>
              <w:rPr>
                <w:rFonts w:ascii="Arial" w:hAnsi="Arial"/>
                <w:color w:val="1A1A1A"/>
              </w:rPr>
              <w:t>is</w:t>
            </w:r>
            <w:r w:rsidRPr="00591439">
              <w:rPr>
                <w:rFonts w:ascii="Arial" w:hAnsi="Arial"/>
                <w:color w:val="1A1A1A"/>
              </w:rPr>
              <w:t xml:space="preserve"> adopted. It</w:t>
            </w:r>
            <w:r>
              <w:rPr>
                <w:rFonts w:ascii="Arial" w:hAnsi="Arial"/>
                <w:color w:val="1A1A1A"/>
              </w:rPr>
              <w:t xml:space="preserve"> is assumed that there is demand for this service along the entire length of the coastline. Future work could </w:t>
            </w:r>
            <w:r w:rsidRPr="00591439">
              <w:rPr>
                <w:rFonts w:ascii="Arial" w:hAnsi="Arial"/>
                <w:color w:val="1A1A1A"/>
              </w:rPr>
              <w:t xml:space="preserve"> estimat</w:t>
            </w:r>
            <w:r>
              <w:rPr>
                <w:rFonts w:ascii="Arial" w:hAnsi="Arial"/>
                <w:color w:val="1A1A1A"/>
              </w:rPr>
              <w:t xml:space="preserve">e </w:t>
            </w:r>
            <w:r w:rsidRPr="00591439">
              <w:rPr>
                <w:rFonts w:ascii="Arial" w:hAnsi="Arial"/>
                <w:color w:val="1A1A1A"/>
              </w:rPr>
              <w:t xml:space="preserve">the length of coastal wetlands in a given proximity to coastal townships and communities within the assessment boundary. This could also enable an estimate of the number of residential buildings / households that are protected by coastal wetlands. </w:t>
            </w:r>
          </w:p>
        </w:tc>
      </w:tr>
    </w:tbl>
    <w:p w14:paraId="7826BE50" w14:textId="77777777" w:rsidR="00F50B5A" w:rsidRPr="005D5694" w:rsidRDefault="00F50B5A" w:rsidP="00A2745D">
      <w:pPr>
        <w:pStyle w:val="AlphaHeading4"/>
      </w:pPr>
      <w:r>
        <w:t xml:space="preserve">Monetary value </w:t>
      </w:r>
      <w:r w:rsidRPr="005D5694">
        <w:t xml:space="preserve">of </w:t>
      </w:r>
      <w:r>
        <w:t>coastal protection</w:t>
      </w:r>
      <w:r w:rsidRPr="005D5694">
        <w:t xml:space="preserve"> from GOR ecosystem assets </w:t>
      </w:r>
    </w:p>
    <w:p w14:paraId="58ACB901" w14:textId="77777777" w:rsidR="00F50B5A" w:rsidRPr="00B555FE" w:rsidRDefault="00F50B5A" w:rsidP="00094357">
      <w:pPr>
        <w:pStyle w:val="BodyText"/>
      </w:pPr>
      <w:r w:rsidRPr="00B555FE">
        <w:t xml:space="preserve">Table </w:t>
      </w:r>
      <w:r>
        <w:rPr>
          <w:color w:val="1A1A1A"/>
        </w:rPr>
        <w:t>A3.7</w:t>
      </w:r>
      <w:r w:rsidRPr="005D5694">
        <w:rPr>
          <w:color w:val="1A1A1A"/>
        </w:rPr>
        <w:t>.</w:t>
      </w:r>
      <w:r w:rsidRPr="00B555FE">
        <w:t xml:space="preserve"> provide</w:t>
      </w:r>
      <w:r>
        <w:t>s</w:t>
      </w:r>
      <w:r w:rsidRPr="00B555FE">
        <w:t xml:space="preserve"> details on the studies that could be used to develop a</w:t>
      </w:r>
      <w:r>
        <w:t xml:space="preserve"> monetary valuation of</w:t>
      </w:r>
      <w:r w:rsidRPr="00B555FE">
        <w:t xml:space="preserve"> coastal protection (hazard regulation)</w:t>
      </w:r>
      <w:r>
        <w:t xml:space="preserve"> service provided by GOR ecosystem assets</w:t>
      </w:r>
      <w:r w:rsidRPr="00B555FE">
        <w:t xml:space="preserve"> and how the approaches and data from these studies are </w:t>
      </w:r>
      <w:r w:rsidRPr="005D5694">
        <w:rPr>
          <w:color w:val="1A1A1A"/>
        </w:rPr>
        <w:t>use</w:t>
      </w:r>
      <w:r>
        <w:rPr>
          <w:color w:val="1A1A1A"/>
        </w:rPr>
        <w:t>d</w:t>
      </w:r>
      <w:r w:rsidRPr="005D5694">
        <w:rPr>
          <w:color w:val="1A1A1A"/>
        </w:rPr>
        <w:t xml:space="preserve"> </w:t>
      </w:r>
      <w:r>
        <w:rPr>
          <w:color w:val="1A1A1A"/>
        </w:rPr>
        <w:t xml:space="preserve">in </w:t>
      </w:r>
      <w:r w:rsidRPr="00B555FE">
        <w:t xml:space="preserve">the GOR </w:t>
      </w:r>
      <w:r>
        <w:t>environmental-economic account</w:t>
      </w:r>
      <w:r w:rsidRPr="00B555FE">
        <w:t xml:space="preserve">. </w:t>
      </w:r>
    </w:p>
    <w:p w14:paraId="0A306FD0" w14:textId="009C21F7" w:rsidR="00F50B5A" w:rsidRDefault="00094357" w:rsidP="00094357">
      <w:pPr>
        <w:pStyle w:val="Caption"/>
      </w:pPr>
      <w:r>
        <w:br w:type="column"/>
      </w:r>
      <w:r w:rsidR="00F50B5A" w:rsidRPr="00906F06">
        <w:lastRenderedPageBreak/>
        <w:t xml:space="preserve">Table </w:t>
      </w:r>
      <w:r w:rsidR="00F50B5A" w:rsidRPr="00CE093F">
        <w:t>A3.</w:t>
      </w:r>
      <w:r w:rsidR="00F50B5A">
        <w:t>7</w:t>
      </w:r>
      <w:r w:rsidR="00F50B5A" w:rsidRPr="00CE093F">
        <w:t>.</w:t>
      </w:r>
      <w:r w:rsidR="00F50B5A">
        <w:t xml:space="preserve"> </w:t>
      </w:r>
      <w:r w:rsidR="00F50B5A" w:rsidRPr="00906F06">
        <w:t xml:space="preserve">Review of methods and data used to estimate the </w:t>
      </w:r>
      <w:r w:rsidR="00F50B5A">
        <w:t>monetary value</w:t>
      </w:r>
      <w:r w:rsidR="00F50B5A" w:rsidRPr="00906F06">
        <w:t xml:space="preserve"> of coastal protection (hazard regulation) from ecosystem assets in Victoria</w:t>
      </w:r>
    </w:p>
    <w:tbl>
      <w:tblPr>
        <w:tblStyle w:val="TableGrid"/>
        <w:tblpPr w:leftFromText="180" w:rightFromText="180" w:vertAnchor="text" w:horzAnchor="page" w:tblpX="792" w:tblpY="172"/>
        <w:tblW w:w="10269" w:type="dxa"/>
        <w:tblLayout w:type="fixed"/>
        <w:tblLook w:val="04A0" w:firstRow="1" w:lastRow="0" w:firstColumn="1" w:lastColumn="0" w:noHBand="0" w:noVBand="1"/>
      </w:tblPr>
      <w:tblGrid>
        <w:gridCol w:w="1843"/>
        <w:gridCol w:w="3402"/>
        <w:gridCol w:w="709"/>
        <w:gridCol w:w="4315"/>
      </w:tblGrid>
      <w:tr w:rsidR="00F50B5A" w:rsidRPr="00515E4C" w14:paraId="0474D522" w14:textId="77777777" w:rsidTr="00094357">
        <w:trPr>
          <w:cnfStyle w:val="100000000000" w:firstRow="1" w:lastRow="0" w:firstColumn="0" w:lastColumn="0" w:oddVBand="0" w:evenVBand="0" w:oddHBand="0"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1843" w:type="dxa"/>
          </w:tcPr>
          <w:p w14:paraId="0F1B466E" w14:textId="77777777" w:rsidR="00F50B5A" w:rsidRPr="00094357" w:rsidRDefault="00F50B5A" w:rsidP="00094357">
            <w:pPr>
              <w:pStyle w:val="TableHeadingLeft"/>
            </w:pPr>
            <w:r w:rsidRPr="00094357">
              <w:t>Source</w:t>
            </w:r>
          </w:p>
        </w:tc>
        <w:tc>
          <w:tcPr>
            <w:tcW w:w="3402" w:type="dxa"/>
          </w:tcPr>
          <w:p w14:paraId="2469A621" w14:textId="77777777" w:rsidR="00F50B5A" w:rsidRPr="00094357" w:rsidRDefault="00F50B5A" w:rsidP="00094357">
            <w:pPr>
              <w:pStyle w:val="TableHeadingLeft"/>
              <w:cnfStyle w:val="100000000000" w:firstRow="1" w:lastRow="0" w:firstColumn="0" w:lastColumn="0" w:oddVBand="0" w:evenVBand="0" w:oddHBand="0" w:evenHBand="0" w:firstRowFirstColumn="0" w:firstRowLastColumn="0" w:lastRowFirstColumn="0" w:lastRowLastColumn="0"/>
            </w:pPr>
            <w:r w:rsidRPr="00094357">
              <w:t>Description</w:t>
            </w:r>
          </w:p>
        </w:tc>
        <w:tc>
          <w:tcPr>
            <w:tcW w:w="5024" w:type="dxa"/>
            <w:gridSpan w:val="2"/>
          </w:tcPr>
          <w:p w14:paraId="0417145D" w14:textId="77777777" w:rsidR="00F50B5A" w:rsidRPr="00094357" w:rsidRDefault="00F50B5A" w:rsidP="00094357">
            <w:pPr>
              <w:pStyle w:val="TableHeadingLeft"/>
              <w:cnfStyle w:val="100000000000" w:firstRow="1" w:lastRow="0" w:firstColumn="0" w:lastColumn="0" w:oddVBand="0" w:evenVBand="0" w:oddHBand="0" w:evenHBand="0" w:firstRowFirstColumn="0" w:firstRowLastColumn="0" w:lastRowFirstColumn="0" w:lastRowLastColumn="0"/>
            </w:pPr>
            <w:r w:rsidRPr="00094357">
              <w:t>Used in GORCAP EEA?</w:t>
            </w:r>
          </w:p>
        </w:tc>
      </w:tr>
      <w:tr w:rsidR="00F50B5A" w:rsidRPr="00515E4C" w14:paraId="32935B83" w14:textId="77777777" w:rsidTr="00094357">
        <w:trPr>
          <w:trHeight w:val="419"/>
        </w:trPr>
        <w:tc>
          <w:tcPr>
            <w:cnfStyle w:val="001000000000" w:firstRow="0" w:lastRow="0" w:firstColumn="1" w:lastColumn="0" w:oddVBand="0" w:evenVBand="0" w:oddHBand="0" w:evenHBand="0" w:firstRowFirstColumn="0" w:firstRowLastColumn="0" w:lastRowFirstColumn="0" w:lastRowLastColumn="0"/>
            <w:tcW w:w="1843" w:type="dxa"/>
          </w:tcPr>
          <w:p w14:paraId="11212650" w14:textId="77777777" w:rsidR="00F50B5A" w:rsidRPr="00515E4C" w:rsidRDefault="00F50B5A" w:rsidP="00094357">
            <w:pPr>
              <w:pStyle w:val="TableTextLeft"/>
              <w:rPr>
                <w:rFonts w:ascii="Arial" w:hAnsi="Arial"/>
                <w:color w:val="111111" w:themeColor="text1" w:themeShade="80"/>
                <w:highlight w:val="yellow"/>
              </w:rPr>
            </w:pPr>
            <w:r w:rsidRPr="00EF7EB7">
              <w:rPr>
                <w:rFonts w:ascii="Arial" w:hAnsi="Arial"/>
                <w:color w:val="111111" w:themeColor="text1" w:themeShade="80"/>
              </w:rPr>
              <w:t>Carnell et al (2019) Mapping Ocean Wealth Australia</w:t>
            </w:r>
          </w:p>
        </w:tc>
        <w:tc>
          <w:tcPr>
            <w:tcW w:w="3402" w:type="dxa"/>
          </w:tcPr>
          <w:p w14:paraId="633746D6" w14:textId="7F6EC15B" w:rsidR="00F50B5A" w:rsidRPr="00FB0A43" w:rsidRDefault="00F50B5A" w:rsidP="00094357">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Pr>
                <w:rFonts w:ascii="Arial" w:hAnsi="Arial"/>
                <w:color w:val="111111" w:themeColor="text1" w:themeShade="80"/>
              </w:rPr>
              <w:t xml:space="preserve">This study estimates the change in the total value of </w:t>
            </w:r>
            <w:bookmarkStart w:id="430" w:name="_Hlk63676369"/>
            <w:r>
              <w:rPr>
                <w:rFonts w:ascii="Arial" w:hAnsi="Arial"/>
                <w:color w:val="111111" w:themeColor="text1" w:themeShade="80"/>
              </w:rPr>
              <w:t>property that is protected by coastal wetlands</w:t>
            </w:r>
            <w:bookmarkEnd w:id="430"/>
            <w:r>
              <w:rPr>
                <w:rFonts w:ascii="Arial" w:hAnsi="Arial"/>
                <w:color w:val="111111" w:themeColor="text1" w:themeShade="80"/>
              </w:rPr>
              <w:t xml:space="preserve"> based on the value of property within 1km of the </w:t>
            </w:r>
            <w:r w:rsidRPr="00EA7A89">
              <w:rPr>
                <w:rFonts w:ascii="Arial" w:hAnsi="Arial"/>
                <w:color w:val="111111" w:themeColor="text1" w:themeShade="80"/>
              </w:rPr>
              <w:t>coastline where the presence of coastal wetlands</w:t>
            </w:r>
            <w:r>
              <w:rPr>
                <w:rFonts w:ascii="Arial" w:hAnsi="Arial"/>
                <w:color w:val="111111" w:themeColor="text1" w:themeShade="80"/>
              </w:rPr>
              <w:t xml:space="preserve"> </w:t>
            </w:r>
            <w:r w:rsidRPr="00EA7A89">
              <w:rPr>
                <w:rFonts w:ascii="Arial" w:hAnsi="Arial"/>
                <w:color w:val="111111" w:themeColor="text1" w:themeShade="80"/>
              </w:rPr>
              <w:t>reduces the impacts of inundation from storms.</w:t>
            </w:r>
            <w:r>
              <w:rPr>
                <w:rFonts w:ascii="Arial" w:hAnsi="Arial"/>
                <w:color w:val="111111" w:themeColor="text1" w:themeShade="80"/>
              </w:rPr>
              <w:t xml:space="preserve"> The study also estimates a reduction in damages of 11 per cent in 2090 associated with current distribution of coastal wetland under a sea-level rise scenario. This could be useful for estimating asset values (e.g. over 100 years, rather than annual flows).</w:t>
            </w:r>
          </w:p>
        </w:tc>
        <w:tc>
          <w:tcPr>
            <w:tcW w:w="709" w:type="dxa"/>
            <w:shd w:val="clear" w:color="auto" w:fill="FF0000"/>
          </w:tcPr>
          <w:p w14:paraId="5AA57A19" w14:textId="77777777" w:rsidR="00F50B5A" w:rsidRPr="009859A4" w:rsidRDefault="00F50B5A" w:rsidP="00094357">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Pr>
                <w:rFonts w:ascii="Arial" w:hAnsi="Arial"/>
                <w:color w:val="111111" w:themeColor="text1" w:themeShade="80"/>
              </w:rPr>
              <w:t>No</w:t>
            </w:r>
          </w:p>
        </w:tc>
        <w:tc>
          <w:tcPr>
            <w:tcW w:w="4315" w:type="dxa"/>
          </w:tcPr>
          <w:p w14:paraId="194A02AD" w14:textId="77777777" w:rsidR="00F50B5A" w:rsidRPr="00D87A99" w:rsidRDefault="00F50B5A" w:rsidP="00094357">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Pr>
                <w:rFonts w:ascii="Arial" w:hAnsi="Arial"/>
                <w:color w:val="111111" w:themeColor="text1" w:themeShade="80"/>
              </w:rPr>
              <w:t>N</w:t>
            </w:r>
            <w:r w:rsidRPr="00BA0BB8">
              <w:rPr>
                <w:rFonts w:ascii="Arial" w:hAnsi="Arial"/>
                <w:color w:val="111111" w:themeColor="text1" w:themeShade="80"/>
              </w:rPr>
              <w:t xml:space="preserve">ot deemed to be an accurate reflection of the value of the ecosystem service provided by coastal wetlands within the </w:t>
            </w:r>
            <w:r>
              <w:rPr>
                <w:rFonts w:ascii="Arial" w:hAnsi="Arial"/>
                <w:color w:val="111111" w:themeColor="text1" w:themeShade="80"/>
              </w:rPr>
              <w:t>GORCAP region. See analysis below this table for further detail.</w:t>
            </w:r>
          </w:p>
          <w:p w14:paraId="47556869" w14:textId="77777777" w:rsidR="00F50B5A" w:rsidRPr="007B69BB" w:rsidRDefault="00F50B5A" w:rsidP="00094357">
            <w:pPr>
              <w:pStyle w:val="TableTextLeft"/>
              <w:cnfStyle w:val="000000000000" w:firstRow="0" w:lastRow="0" w:firstColumn="0" w:lastColumn="0" w:oddVBand="0" w:evenVBand="0" w:oddHBand="0" w:evenHBand="0" w:firstRowFirstColumn="0" w:firstRowLastColumn="0" w:lastRowFirstColumn="0" w:lastRowLastColumn="0"/>
              <w:rPr>
                <w:rFonts w:ascii="Arial" w:hAnsi="Arial"/>
                <w:bCs/>
                <w:color w:val="111111" w:themeColor="text1" w:themeShade="80"/>
              </w:rPr>
            </w:pPr>
          </w:p>
        </w:tc>
      </w:tr>
      <w:tr w:rsidR="00F50B5A" w:rsidRPr="00515E4C" w14:paraId="70E86763" w14:textId="77777777" w:rsidTr="00094357">
        <w:trPr>
          <w:trHeight w:val="1019"/>
        </w:trPr>
        <w:tc>
          <w:tcPr>
            <w:cnfStyle w:val="001000000000" w:firstRow="0" w:lastRow="0" w:firstColumn="1" w:lastColumn="0" w:oddVBand="0" w:evenVBand="0" w:oddHBand="0" w:evenHBand="0" w:firstRowFirstColumn="0" w:firstRowLastColumn="0" w:lastRowFirstColumn="0" w:lastRowLastColumn="0"/>
            <w:tcW w:w="1843" w:type="dxa"/>
          </w:tcPr>
          <w:p w14:paraId="5A2A827C" w14:textId="77777777" w:rsidR="00F50B5A" w:rsidRPr="00515E4C" w:rsidRDefault="00F50B5A" w:rsidP="00094357">
            <w:pPr>
              <w:pStyle w:val="TableTextLeft"/>
              <w:rPr>
                <w:rFonts w:ascii="Arial" w:hAnsi="Arial"/>
                <w:color w:val="111111" w:themeColor="text1" w:themeShade="80"/>
                <w:highlight w:val="yellow"/>
              </w:rPr>
            </w:pPr>
            <w:bookmarkStart w:id="431" w:name="_Hlk63676103"/>
            <w:bookmarkStart w:id="432" w:name="_Hlk63678556"/>
            <w:r w:rsidRPr="0045652B">
              <w:rPr>
                <w:rFonts w:ascii="Arial" w:hAnsi="Arial"/>
                <w:color w:val="111111" w:themeColor="text1" w:themeShade="80"/>
              </w:rPr>
              <w:t xml:space="preserve">DELWP and Parks Victoria </w:t>
            </w:r>
            <w:bookmarkEnd w:id="431"/>
            <w:r w:rsidRPr="0045652B">
              <w:rPr>
                <w:rFonts w:ascii="Arial" w:hAnsi="Arial"/>
                <w:color w:val="111111" w:themeColor="text1" w:themeShade="80"/>
              </w:rPr>
              <w:t xml:space="preserve">(2015) </w:t>
            </w:r>
            <w:bookmarkEnd w:id="432"/>
            <w:r w:rsidRPr="0045652B">
              <w:rPr>
                <w:rFonts w:ascii="Arial" w:hAnsi="Arial"/>
                <w:color w:val="111111" w:themeColor="text1" w:themeShade="80"/>
              </w:rPr>
              <w:t>Valuing Victoria’s Parks: Accounting for ecosystems and valuing their benefits</w:t>
            </w:r>
          </w:p>
        </w:tc>
        <w:tc>
          <w:tcPr>
            <w:tcW w:w="3402" w:type="dxa"/>
          </w:tcPr>
          <w:p w14:paraId="2BDCBD58" w14:textId="77777777" w:rsidR="00F50B5A" w:rsidRPr="00720627" w:rsidRDefault="00F50B5A" w:rsidP="00094357">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Pr>
                <w:rFonts w:ascii="Arial" w:hAnsi="Arial"/>
                <w:color w:val="111111" w:themeColor="text1" w:themeShade="80"/>
              </w:rPr>
              <w:t xml:space="preserve">This study develops </w:t>
            </w:r>
            <w:r w:rsidRPr="001B39AE">
              <w:rPr>
                <w:rFonts w:ascii="Arial" w:hAnsi="Arial"/>
                <w:color w:val="111111" w:themeColor="text1" w:themeShade="80"/>
              </w:rPr>
              <w:t>high-level estimate of the replacement cost of protection</w:t>
            </w:r>
            <w:r>
              <w:rPr>
                <w:rFonts w:ascii="Arial" w:hAnsi="Arial"/>
                <w:color w:val="111111" w:themeColor="text1" w:themeShade="80"/>
              </w:rPr>
              <w:t xml:space="preserve"> </w:t>
            </w:r>
            <w:r w:rsidRPr="001B39AE">
              <w:rPr>
                <w:rFonts w:ascii="Arial" w:hAnsi="Arial"/>
                <w:color w:val="111111" w:themeColor="text1" w:themeShade="80"/>
              </w:rPr>
              <w:t xml:space="preserve">services for coastal communities through either </w:t>
            </w:r>
            <w:r>
              <w:rPr>
                <w:rFonts w:ascii="Arial" w:hAnsi="Arial"/>
                <w:color w:val="111111" w:themeColor="text1" w:themeShade="80"/>
              </w:rPr>
              <w:t xml:space="preserve">entirely through </w:t>
            </w:r>
            <w:r w:rsidRPr="001B39AE">
              <w:rPr>
                <w:rFonts w:ascii="Arial" w:hAnsi="Arial"/>
                <w:color w:val="111111" w:themeColor="text1" w:themeShade="80"/>
              </w:rPr>
              <w:t>hard engineering infrastructure (e.g. seawalls) or a</w:t>
            </w:r>
            <w:r>
              <w:rPr>
                <w:rFonts w:ascii="Arial" w:hAnsi="Arial"/>
                <w:color w:val="111111" w:themeColor="text1" w:themeShade="80"/>
              </w:rPr>
              <w:t xml:space="preserve"> </w:t>
            </w:r>
            <w:r w:rsidRPr="001B39AE">
              <w:rPr>
                <w:rFonts w:ascii="Arial" w:hAnsi="Arial"/>
                <w:color w:val="111111" w:themeColor="text1" w:themeShade="80"/>
              </w:rPr>
              <w:t xml:space="preserve">combination of hard engineering and restoration of </w:t>
            </w:r>
            <w:r>
              <w:rPr>
                <w:rFonts w:ascii="Arial" w:hAnsi="Arial"/>
                <w:color w:val="111111" w:themeColor="text1" w:themeShade="80"/>
              </w:rPr>
              <w:t>ecosystem assets</w:t>
            </w:r>
            <w:r w:rsidRPr="001B39AE">
              <w:rPr>
                <w:rFonts w:ascii="Arial" w:hAnsi="Arial"/>
                <w:color w:val="111111" w:themeColor="text1" w:themeShade="80"/>
              </w:rPr>
              <w:t xml:space="preserve"> (through revegetation</w:t>
            </w:r>
            <w:r>
              <w:rPr>
                <w:rFonts w:ascii="Arial" w:hAnsi="Arial"/>
                <w:color w:val="111111" w:themeColor="text1" w:themeShade="80"/>
              </w:rPr>
              <w:t xml:space="preserve"> </w:t>
            </w:r>
            <w:r w:rsidRPr="001B39AE">
              <w:rPr>
                <w:rFonts w:ascii="Arial" w:hAnsi="Arial"/>
                <w:color w:val="111111" w:themeColor="text1" w:themeShade="80"/>
              </w:rPr>
              <w:t>projects)</w:t>
            </w:r>
            <w:r>
              <w:rPr>
                <w:rFonts w:ascii="Arial" w:hAnsi="Arial"/>
                <w:color w:val="111111" w:themeColor="text1" w:themeShade="80"/>
              </w:rPr>
              <w:t xml:space="preserve"> based on a targeted strategy with seawalls used for protection of main towns. The estimated cost per kilometre of seawall is $3million / km, i</w:t>
            </w:r>
            <w:r w:rsidRPr="008E3B1E">
              <w:rPr>
                <w:rFonts w:ascii="Arial" w:hAnsi="Arial"/>
                <w:color w:val="111111" w:themeColor="text1" w:themeShade="80"/>
              </w:rPr>
              <w:t>ntertidal restoration (mangrove</w:t>
            </w:r>
            <w:r>
              <w:rPr>
                <w:rFonts w:ascii="Arial" w:hAnsi="Arial"/>
                <w:color w:val="111111" w:themeColor="text1" w:themeShade="80"/>
              </w:rPr>
              <w:t xml:space="preserve">, </w:t>
            </w:r>
            <w:r w:rsidRPr="008E3B1E">
              <w:rPr>
                <w:rFonts w:ascii="Arial" w:hAnsi="Arial"/>
                <w:color w:val="111111" w:themeColor="text1" w:themeShade="80"/>
              </w:rPr>
              <w:t>saltmarsh) restora</w:t>
            </w:r>
            <w:r>
              <w:rPr>
                <w:rFonts w:ascii="Arial" w:hAnsi="Arial"/>
                <w:color w:val="111111" w:themeColor="text1" w:themeShade="80"/>
              </w:rPr>
              <w:t xml:space="preserve">tion is $600,000/km or $60,000/ha and </w:t>
            </w:r>
            <w:r w:rsidRPr="006B7A77">
              <w:rPr>
                <w:rFonts w:ascii="Arial" w:hAnsi="Arial"/>
                <w:color w:val="111111" w:themeColor="text1" w:themeShade="80"/>
              </w:rPr>
              <w:t>coastal dune</w:t>
            </w:r>
            <w:r>
              <w:rPr>
                <w:rFonts w:ascii="Arial" w:hAnsi="Arial"/>
                <w:color w:val="111111" w:themeColor="text1" w:themeShade="80"/>
              </w:rPr>
              <w:t xml:space="preserve"> </w:t>
            </w:r>
            <w:r w:rsidRPr="008E3B1E">
              <w:rPr>
                <w:rFonts w:ascii="Arial" w:hAnsi="Arial"/>
                <w:color w:val="111111" w:themeColor="text1" w:themeShade="80"/>
              </w:rPr>
              <w:t>restora</w:t>
            </w:r>
            <w:r>
              <w:rPr>
                <w:rFonts w:ascii="Arial" w:hAnsi="Arial"/>
                <w:color w:val="111111" w:themeColor="text1" w:themeShade="80"/>
              </w:rPr>
              <w:t>tion is $400,000/km or $40,000/ha.</w:t>
            </w:r>
          </w:p>
        </w:tc>
        <w:tc>
          <w:tcPr>
            <w:tcW w:w="709" w:type="dxa"/>
            <w:shd w:val="clear" w:color="auto" w:fill="92D050"/>
          </w:tcPr>
          <w:p w14:paraId="4E589AD5" w14:textId="77777777" w:rsidR="00F50B5A" w:rsidRPr="00A525A9" w:rsidRDefault="00F50B5A" w:rsidP="00094357">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Pr>
                <w:rFonts w:ascii="Arial" w:hAnsi="Arial"/>
                <w:color w:val="111111" w:themeColor="text1" w:themeShade="80"/>
              </w:rPr>
              <w:t>Yes</w:t>
            </w:r>
          </w:p>
        </w:tc>
        <w:tc>
          <w:tcPr>
            <w:tcW w:w="4315" w:type="dxa"/>
          </w:tcPr>
          <w:p w14:paraId="3838AA42" w14:textId="77777777" w:rsidR="00F50B5A" w:rsidRPr="00A525A9" w:rsidRDefault="00F50B5A" w:rsidP="00094357">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bookmarkStart w:id="433" w:name="_Hlk63677392"/>
            <w:r>
              <w:rPr>
                <w:rFonts w:ascii="Arial" w:hAnsi="Arial"/>
                <w:color w:val="111111" w:themeColor="text1" w:themeShade="80"/>
              </w:rPr>
              <w:t xml:space="preserve">The marginal (per km / ha) </w:t>
            </w:r>
            <w:bookmarkStart w:id="434" w:name="_Hlk63677766"/>
            <w:r>
              <w:rPr>
                <w:rFonts w:ascii="Arial" w:hAnsi="Arial"/>
                <w:color w:val="111111" w:themeColor="text1" w:themeShade="80"/>
              </w:rPr>
              <w:t xml:space="preserve">cost of replacement built infrastructure is used in the GORCAP EEA.  </w:t>
            </w:r>
            <w:bookmarkEnd w:id="433"/>
            <w:r>
              <w:rPr>
                <w:rFonts w:ascii="Arial" w:hAnsi="Arial"/>
                <w:color w:val="111111" w:themeColor="text1" w:themeShade="80"/>
              </w:rPr>
              <w:t>The cost of restoring ecosystems is not considered to be an appropriate replacement cost under a measurement baseline of no ecosystem assets (i.e. the replacement cost should relate to an alternative, substitute asset that provides an equivalent benefit to the ecosystem service provided by the ecosystem).</w:t>
            </w:r>
            <w:bookmarkEnd w:id="434"/>
            <w:r>
              <w:rPr>
                <w:rFonts w:ascii="Arial" w:hAnsi="Arial"/>
                <w:color w:val="111111" w:themeColor="text1" w:themeShade="80"/>
              </w:rPr>
              <w:t xml:space="preserve"> In order to address this the percentage reduction in exposure can be used to estimate the value of wetlands as a proportion of the value of built infrastructure, assuming built infrastructure reduces exposure by 75 per cent (for example).</w:t>
            </w:r>
          </w:p>
        </w:tc>
      </w:tr>
    </w:tbl>
    <w:p w14:paraId="27025C9E" w14:textId="3F55EB08" w:rsidR="00094357" w:rsidRDefault="00F50B5A" w:rsidP="00094357">
      <w:pPr>
        <w:pStyle w:val="BodyText12ptBefore"/>
      </w:pPr>
      <w:r>
        <w:t xml:space="preserve">The study team considered using the </w:t>
      </w:r>
      <w:r w:rsidRPr="005D0945">
        <w:t xml:space="preserve">change in total value of property protected estimates from Carnell et al (2019) to estimate the monetary value of coastal protection services from wetlands in the </w:t>
      </w:r>
      <w:r>
        <w:t>GORCAP region</w:t>
      </w:r>
      <w:r w:rsidRPr="005D0945">
        <w:t>. It</w:t>
      </w:r>
      <w:r>
        <w:t xml:space="preserve"> is understood based on the </w:t>
      </w:r>
      <w:r w:rsidRPr="007A7C3F">
        <w:t>Carnell et al (2019)</w:t>
      </w:r>
      <w:r>
        <w:t xml:space="preserve"> report that the method adopted follows that in </w:t>
      </w:r>
      <w:r w:rsidRPr="007A7C3F">
        <w:t>Arkema et al (2013)</w:t>
      </w:r>
      <w:r>
        <w:t>. On this basis, the</w:t>
      </w:r>
      <w:r w:rsidRPr="007A7C3F">
        <w:t xml:space="preserve"> study estimates the</w:t>
      </w:r>
      <w:r>
        <w:t xml:space="preserve"> </w:t>
      </w:r>
      <w:r w:rsidRPr="007A7C3F">
        <w:t xml:space="preserve">difference in the total value of </w:t>
      </w:r>
      <w:r>
        <w:t xml:space="preserve">residential </w:t>
      </w:r>
      <w:r w:rsidRPr="007A7C3F">
        <w:t>property</w:t>
      </w:r>
      <w:r w:rsidRPr="00911536">
        <w:t xml:space="preserve"> </w:t>
      </w:r>
      <w:r>
        <w:t>within 1km of the coastline</w:t>
      </w:r>
      <w:r w:rsidRPr="007A7C3F">
        <w:t xml:space="preserve"> that would be exposed to hazards</w:t>
      </w:r>
      <w:r>
        <w:t xml:space="preserve"> (inundation from storms)</w:t>
      </w:r>
      <w:r w:rsidRPr="007A7C3F">
        <w:t xml:space="preserve"> under a with and without coastal wetland </w:t>
      </w:r>
      <w:r w:rsidRPr="008C74B3">
        <w:t>(saltmarsh, mangrove and seagrass</w:t>
      </w:r>
      <w:r>
        <w:t xml:space="preserve">) </w:t>
      </w:r>
      <w:r w:rsidRPr="007A7C3F">
        <w:t>scenario</w:t>
      </w:r>
      <w:r>
        <w:t xml:space="preserve">, </w:t>
      </w:r>
      <w:r w:rsidRPr="009314D1">
        <w:t>by Local Government Area</w:t>
      </w:r>
      <w:r>
        <w:t xml:space="preserve">, see Figure </w:t>
      </w:r>
      <w:r>
        <w:rPr>
          <w:color w:val="1A1A1A"/>
        </w:rPr>
        <w:t>A3.3</w:t>
      </w:r>
      <w:r w:rsidRPr="005D5694">
        <w:rPr>
          <w:color w:val="1A1A1A"/>
        </w:rPr>
        <w:t>.</w:t>
      </w:r>
      <w:r>
        <w:t xml:space="preserve"> </w:t>
      </w:r>
      <w:r w:rsidR="00094357">
        <w:br w:type="page"/>
      </w:r>
    </w:p>
    <w:p w14:paraId="635F7D08" w14:textId="77777777" w:rsidR="00F50B5A" w:rsidRPr="008C74B3" w:rsidRDefault="00F50B5A" w:rsidP="00094357">
      <w:pPr>
        <w:pStyle w:val="Caption"/>
      </w:pPr>
      <w:r w:rsidRPr="008C74B3">
        <w:lastRenderedPageBreak/>
        <w:t xml:space="preserve">Figure </w:t>
      </w:r>
      <w:r w:rsidRPr="00CE093F">
        <w:t>A3.3.</w:t>
      </w:r>
      <w:r>
        <w:t xml:space="preserve"> </w:t>
      </w:r>
      <w:r w:rsidRPr="008C74B3">
        <w:t>Estimated monetary value of coastal protection from coastal wetlands in SE Australia by LGA</w:t>
      </w:r>
    </w:p>
    <w:p w14:paraId="5189A14D" w14:textId="77777777" w:rsidR="00F50B5A" w:rsidRPr="008C74B3" w:rsidRDefault="00F50B5A" w:rsidP="00094357">
      <w:pPr>
        <w:pStyle w:val="BodyText"/>
      </w:pPr>
      <w:r>
        <w:rPr>
          <w:noProof/>
        </w:rPr>
        <w:drawing>
          <wp:inline distT="0" distB="0" distL="0" distR="0" wp14:anchorId="017195BD" wp14:editId="3D18D333">
            <wp:extent cx="5687916" cy="4244197"/>
            <wp:effectExtent l="0" t="0" r="8255" b="4445"/>
            <wp:docPr id="263" name="Picture 263" descr="A map of the coast of new south wa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map of the coast of new south wales&#10;&#10;Description automatically generated"/>
                    <pic:cNvPicPr/>
                  </pic:nvPicPr>
                  <pic:blipFill>
                    <a:blip r:embed="rId364" cstate="email">
                      <a:extLst>
                        <a:ext uri="{28A0092B-C50C-407E-A947-70E740481C1C}">
                          <a14:useLocalDpi xmlns:a14="http://schemas.microsoft.com/office/drawing/2010/main"/>
                        </a:ext>
                      </a:extLst>
                    </a:blip>
                    <a:stretch>
                      <a:fillRect/>
                    </a:stretch>
                  </pic:blipFill>
                  <pic:spPr>
                    <a:xfrm>
                      <a:off x="0" y="0"/>
                      <a:ext cx="5687916" cy="4244197"/>
                    </a:xfrm>
                    <a:prstGeom prst="rect">
                      <a:avLst/>
                    </a:prstGeom>
                  </pic:spPr>
                </pic:pic>
              </a:graphicData>
            </a:graphic>
          </wp:inline>
        </w:drawing>
      </w:r>
    </w:p>
    <w:p w14:paraId="5477DCC6" w14:textId="77777777" w:rsidR="00F50B5A" w:rsidRDefault="00F50B5A" w:rsidP="00094357">
      <w:pPr>
        <w:pStyle w:val="BodyText"/>
        <w:rPr>
          <w:color w:val="1A1A1A"/>
        </w:rPr>
      </w:pPr>
      <w:r>
        <w:rPr>
          <w:color w:val="1A1A1A"/>
        </w:rPr>
        <w:t>U</w:t>
      </w:r>
      <w:r w:rsidRPr="00E56D76">
        <w:rPr>
          <w:color w:val="1A1A1A"/>
        </w:rPr>
        <w:t>sing Carnell et al (2019) estimates</w:t>
      </w:r>
      <w:r>
        <w:rPr>
          <w:color w:val="1A1A1A"/>
        </w:rPr>
        <w:t xml:space="preserve"> and the Arkema et al (2013) method, t</w:t>
      </w:r>
      <w:r w:rsidRPr="00E56D76">
        <w:rPr>
          <w:color w:val="1A1A1A"/>
        </w:rPr>
        <w:t>he monetary valuation of coastal protection as an ecosystem service from coastal wetland (saltmarsh, mangrove and seagrass), measured in terms of the</w:t>
      </w:r>
      <w:r>
        <w:rPr>
          <w:color w:val="1A1A1A"/>
        </w:rPr>
        <w:t xml:space="preserve"> change in the total</w:t>
      </w:r>
      <w:r w:rsidRPr="00E56D76">
        <w:rPr>
          <w:color w:val="1A1A1A"/>
        </w:rPr>
        <w:t xml:space="preserve"> value of property within 1km of the coastline across the </w:t>
      </w:r>
      <w:r>
        <w:rPr>
          <w:color w:val="1A1A1A"/>
        </w:rPr>
        <w:t>GORCAP region</w:t>
      </w:r>
      <w:r w:rsidRPr="00E56D76">
        <w:rPr>
          <w:color w:val="1A1A1A"/>
        </w:rPr>
        <w:t xml:space="preserve"> </w:t>
      </w:r>
      <w:r>
        <w:rPr>
          <w:color w:val="1A1A1A"/>
        </w:rPr>
        <w:t xml:space="preserve">that is protected from exposure to </w:t>
      </w:r>
      <w:r w:rsidRPr="00E56D76">
        <w:rPr>
          <w:color w:val="1A1A1A"/>
        </w:rPr>
        <w:t>inundation from storms, is estimated at around $7.5 million</w:t>
      </w:r>
      <w:r>
        <w:rPr>
          <w:color w:val="1A1A1A"/>
        </w:rPr>
        <w:t>.</w:t>
      </w:r>
      <w:r w:rsidRPr="00E56D76">
        <w:rPr>
          <w:color w:val="1A1A1A"/>
        </w:rPr>
        <w:t xml:space="preserve"> </w:t>
      </w:r>
    </w:p>
    <w:p w14:paraId="3D07C28F" w14:textId="77777777" w:rsidR="00F50B5A" w:rsidRPr="00E56D76" w:rsidRDefault="00F50B5A" w:rsidP="00094357">
      <w:pPr>
        <w:pStyle w:val="BodyText"/>
        <w:rPr>
          <w:color w:val="1A1A1A"/>
        </w:rPr>
      </w:pPr>
      <w:r w:rsidRPr="00E56D76">
        <w:rPr>
          <w:color w:val="1A1A1A"/>
        </w:rPr>
        <w:t xml:space="preserve">This estimate includes proportional data from two LGA’s that are partially situated in the </w:t>
      </w:r>
      <w:r>
        <w:rPr>
          <w:color w:val="1A1A1A"/>
        </w:rPr>
        <w:t>GORCAP region</w:t>
      </w:r>
      <w:r w:rsidRPr="00E56D76">
        <w:rPr>
          <w:color w:val="1A1A1A"/>
        </w:rPr>
        <w:t xml:space="preserve"> – Warrnambool City and Moyne Shire. The estimates for these areas are based on the proportion of properties located within the </w:t>
      </w:r>
      <w:r>
        <w:rPr>
          <w:color w:val="1A1A1A"/>
        </w:rPr>
        <w:t>GORCAP region</w:t>
      </w:r>
      <w:r w:rsidRPr="00E56D76">
        <w:rPr>
          <w:color w:val="1A1A1A"/>
        </w:rPr>
        <w:t xml:space="preserve"> boundary and within 1 kilometre from the coastline, which has been assessed with the Cadastral Area Boundary spatial dataset.</w:t>
      </w:r>
      <w:r>
        <w:rPr>
          <w:color w:val="1A1A1A"/>
        </w:rPr>
        <w:t xml:space="preserve"> </w:t>
      </w:r>
      <w:r w:rsidRPr="00E56D76">
        <w:rPr>
          <w:color w:val="1A1A1A"/>
        </w:rPr>
        <w:t xml:space="preserve">Table </w:t>
      </w:r>
      <w:r>
        <w:rPr>
          <w:color w:val="1A1A1A"/>
        </w:rPr>
        <w:t>A3.8.</w:t>
      </w:r>
      <w:r w:rsidRPr="00E56D76">
        <w:rPr>
          <w:color w:val="1A1A1A"/>
        </w:rPr>
        <w:t xml:space="preserve"> details the proportional protected value due to coastal protection service provided by coastal wetlands for each coastal LGA (within 1 kilometre from the coastline) in the </w:t>
      </w:r>
      <w:r>
        <w:rPr>
          <w:color w:val="1A1A1A"/>
        </w:rPr>
        <w:t>GORCAP region</w:t>
      </w:r>
      <w:r w:rsidRPr="00E56D76">
        <w:rPr>
          <w:color w:val="1A1A1A"/>
        </w:rPr>
        <w:t>, based on Carnell et al (2019) estimates and cadastral analysis.</w:t>
      </w:r>
    </w:p>
    <w:p w14:paraId="4DB63631" w14:textId="77777777" w:rsidR="00F50B5A" w:rsidRPr="00E56D76" w:rsidRDefault="00F50B5A" w:rsidP="00094357">
      <w:pPr>
        <w:pStyle w:val="Caption"/>
      </w:pPr>
      <w:r w:rsidRPr="00BA0BB8">
        <w:t xml:space="preserve">Table A3.8. Estimated protected value due to coastal protection service provided by coastal wetlands within the </w:t>
      </w:r>
      <w:r>
        <w:t>GORCAP region</w:t>
      </w:r>
      <w:r w:rsidRPr="00BA0BB8">
        <w:t xml:space="preserve"> (Carnell et al, 2019)</w:t>
      </w:r>
    </w:p>
    <w:tbl>
      <w:tblPr>
        <w:tblStyle w:val="TableGrid"/>
        <w:tblW w:w="5000" w:type="pct"/>
        <w:tblLook w:val="04A0" w:firstRow="1" w:lastRow="0" w:firstColumn="1" w:lastColumn="0" w:noHBand="0" w:noVBand="1"/>
      </w:tblPr>
      <w:tblGrid>
        <w:gridCol w:w="2426"/>
        <w:gridCol w:w="2402"/>
        <w:gridCol w:w="2410"/>
        <w:gridCol w:w="2400"/>
      </w:tblGrid>
      <w:tr w:rsidR="00094357" w:rsidRPr="00E56D76" w14:paraId="7B167653" w14:textId="77777777" w:rsidTr="000943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9" w:type="pct"/>
          </w:tcPr>
          <w:p w14:paraId="47FCB23A" w14:textId="77777777" w:rsidR="00F50B5A" w:rsidRPr="00E56D76" w:rsidRDefault="00F50B5A" w:rsidP="008224BE">
            <w:pPr>
              <w:pStyle w:val="TableHeadingLeft"/>
            </w:pPr>
            <w:r w:rsidRPr="00E56D76">
              <w:t>LGA</w:t>
            </w:r>
          </w:p>
        </w:tc>
        <w:tc>
          <w:tcPr>
            <w:tcW w:w="1246" w:type="pct"/>
          </w:tcPr>
          <w:p w14:paraId="444E447F" w14:textId="77777777" w:rsidR="00F50B5A" w:rsidRPr="00E56D76" w:rsidRDefault="00F50B5A" w:rsidP="008224BE">
            <w:pPr>
              <w:pStyle w:val="TableHeadingLeft"/>
              <w:cnfStyle w:val="100000000000" w:firstRow="1" w:lastRow="0" w:firstColumn="0" w:lastColumn="0" w:oddVBand="0" w:evenVBand="0" w:oddHBand="0" w:evenHBand="0" w:firstRowFirstColumn="0" w:firstRowLastColumn="0" w:lastRowFirstColumn="0" w:lastRowLastColumn="0"/>
            </w:pPr>
            <w:r w:rsidRPr="00E56D76">
              <w:t>Protected</w:t>
            </w:r>
            <w:r>
              <w:t xml:space="preserve"> asset</w:t>
            </w:r>
            <w:r w:rsidRPr="00E56D76">
              <w:t xml:space="preserve"> value ($M)</w:t>
            </w:r>
          </w:p>
        </w:tc>
        <w:tc>
          <w:tcPr>
            <w:tcW w:w="1250" w:type="pct"/>
          </w:tcPr>
          <w:p w14:paraId="09A6856C" w14:textId="77777777" w:rsidR="00F50B5A" w:rsidRPr="00E56D76" w:rsidRDefault="00F50B5A" w:rsidP="008224BE">
            <w:pPr>
              <w:pStyle w:val="TableHeadingLeft"/>
              <w:cnfStyle w:val="100000000000" w:firstRow="1" w:lastRow="0" w:firstColumn="0" w:lastColumn="0" w:oddVBand="0" w:evenVBand="0" w:oddHBand="0" w:evenHBand="0" w:firstRowFirstColumn="0" w:firstRowLastColumn="0" w:lastRowFirstColumn="0" w:lastRowLastColumn="0"/>
            </w:pPr>
            <w:r w:rsidRPr="00E56D76">
              <w:t xml:space="preserve">Proportion of LGA properties located in </w:t>
            </w:r>
            <w:r>
              <w:t>GORCAP region</w:t>
            </w:r>
            <w:r w:rsidRPr="00E56D76">
              <w:rPr>
                <w:vertAlign w:val="superscript"/>
              </w:rPr>
              <w:footnoteReference w:id="89"/>
            </w:r>
          </w:p>
        </w:tc>
        <w:tc>
          <w:tcPr>
            <w:tcW w:w="1246" w:type="pct"/>
          </w:tcPr>
          <w:p w14:paraId="54592612" w14:textId="77777777" w:rsidR="00F50B5A" w:rsidRPr="00E56D76" w:rsidRDefault="00F50B5A" w:rsidP="008224BE">
            <w:pPr>
              <w:pStyle w:val="TableHeadingLeft"/>
              <w:cnfStyle w:val="100000000000" w:firstRow="1" w:lastRow="0" w:firstColumn="0" w:lastColumn="0" w:oddVBand="0" w:evenVBand="0" w:oddHBand="0" w:evenHBand="0" w:firstRowFirstColumn="0" w:firstRowLastColumn="0" w:lastRowFirstColumn="0" w:lastRowLastColumn="0"/>
            </w:pPr>
            <w:r w:rsidRPr="00E56D76">
              <w:t xml:space="preserve">Protected value attributed to </w:t>
            </w:r>
            <w:r>
              <w:t>GORCAP region</w:t>
            </w:r>
            <w:r w:rsidRPr="00E56D76">
              <w:t xml:space="preserve"> ($M)</w:t>
            </w:r>
          </w:p>
        </w:tc>
      </w:tr>
      <w:tr w:rsidR="00F50B5A" w:rsidRPr="00E56D76" w14:paraId="4AA6A91C" w14:textId="77777777" w:rsidTr="00094357">
        <w:tc>
          <w:tcPr>
            <w:cnfStyle w:val="001000000000" w:firstRow="0" w:lastRow="0" w:firstColumn="1" w:lastColumn="0" w:oddVBand="0" w:evenVBand="0" w:oddHBand="0" w:evenHBand="0" w:firstRowFirstColumn="0" w:firstRowLastColumn="0" w:lastRowFirstColumn="0" w:lastRowLastColumn="0"/>
            <w:tcW w:w="1259" w:type="pct"/>
          </w:tcPr>
          <w:p w14:paraId="27C63CAC" w14:textId="77777777" w:rsidR="00F50B5A" w:rsidRPr="00E56D76" w:rsidRDefault="00F50B5A" w:rsidP="00094357">
            <w:pPr>
              <w:pStyle w:val="TableTextLeft"/>
              <w:rPr>
                <w:rFonts w:ascii="Arial" w:hAnsi="Arial"/>
                <w:color w:val="1A1A1A"/>
              </w:rPr>
            </w:pPr>
            <w:r w:rsidRPr="00E56D76">
              <w:rPr>
                <w:rFonts w:ascii="Arial" w:hAnsi="Arial"/>
                <w:color w:val="1A1A1A"/>
              </w:rPr>
              <w:t>Surf Coast (East)</w:t>
            </w:r>
          </w:p>
        </w:tc>
        <w:tc>
          <w:tcPr>
            <w:tcW w:w="1246" w:type="pct"/>
          </w:tcPr>
          <w:p w14:paraId="7B126953" w14:textId="77777777" w:rsidR="00F50B5A" w:rsidRPr="00E56D76" w:rsidRDefault="00F50B5A" w:rsidP="00094357">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A1A1A"/>
              </w:rPr>
            </w:pPr>
            <w:r w:rsidRPr="00E56D76">
              <w:rPr>
                <w:rFonts w:ascii="Arial" w:hAnsi="Arial"/>
                <w:color w:val="1A1A1A"/>
              </w:rPr>
              <w:t>4.27</w:t>
            </w:r>
          </w:p>
        </w:tc>
        <w:tc>
          <w:tcPr>
            <w:tcW w:w="1250" w:type="pct"/>
          </w:tcPr>
          <w:p w14:paraId="0C5F8300" w14:textId="77777777" w:rsidR="00F50B5A" w:rsidRPr="00E56D76" w:rsidRDefault="00F50B5A" w:rsidP="00094357">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A1A1A"/>
              </w:rPr>
            </w:pPr>
            <w:r w:rsidRPr="00E56D76">
              <w:rPr>
                <w:rFonts w:ascii="Arial" w:hAnsi="Arial"/>
                <w:color w:val="1A1A1A"/>
              </w:rPr>
              <w:t>100%</w:t>
            </w:r>
          </w:p>
        </w:tc>
        <w:tc>
          <w:tcPr>
            <w:tcW w:w="1246" w:type="pct"/>
          </w:tcPr>
          <w:p w14:paraId="4731556A" w14:textId="77777777" w:rsidR="00F50B5A" w:rsidRPr="00E56D76" w:rsidRDefault="00F50B5A" w:rsidP="00094357">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A1A1A"/>
              </w:rPr>
            </w:pPr>
            <w:r w:rsidRPr="00E56D76">
              <w:rPr>
                <w:rFonts w:ascii="Arial" w:hAnsi="Arial"/>
                <w:color w:val="1A1A1A"/>
              </w:rPr>
              <w:t>4.27</w:t>
            </w:r>
          </w:p>
        </w:tc>
      </w:tr>
      <w:tr w:rsidR="00F50B5A" w:rsidRPr="00E56D76" w14:paraId="475E04B6" w14:textId="77777777" w:rsidTr="00094357">
        <w:tc>
          <w:tcPr>
            <w:cnfStyle w:val="001000000000" w:firstRow="0" w:lastRow="0" w:firstColumn="1" w:lastColumn="0" w:oddVBand="0" w:evenVBand="0" w:oddHBand="0" w:evenHBand="0" w:firstRowFirstColumn="0" w:firstRowLastColumn="0" w:lastRowFirstColumn="0" w:lastRowLastColumn="0"/>
            <w:tcW w:w="1259" w:type="pct"/>
          </w:tcPr>
          <w:p w14:paraId="76B27CB2" w14:textId="77777777" w:rsidR="00F50B5A" w:rsidRPr="00E56D76" w:rsidRDefault="00F50B5A" w:rsidP="00094357">
            <w:pPr>
              <w:pStyle w:val="TableTextLeft"/>
              <w:rPr>
                <w:rFonts w:ascii="Arial" w:hAnsi="Arial"/>
                <w:color w:val="1A1A1A"/>
              </w:rPr>
            </w:pPr>
            <w:r w:rsidRPr="00E56D76">
              <w:rPr>
                <w:rFonts w:ascii="Arial" w:hAnsi="Arial"/>
                <w:color w:val="1A1A1A"/>
              </w:rPr>
              <w:t>Surf Coast (West)</w:t>
            </w:r>
          </w:p>
        </w:tc>
        <w:tc>
          <w:tcPr>
            <w:tcW w:w="1246" w:type="pct"/>
          </w:tcPr>
          <w:p w14:paraId="3866BD96" w14:textId="77777777" w:rsidR="00F50B5A" w:rsidRPr="00E56D76" w:rsidRDefault="00F50B5A" w:rsidP="00094357">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A1A1A"/>
              </w:rPr>
            </w:pPr>
            <w:r w:rsidRPr="00E56D76">
              <w:rPr>
                <w:rFonts w:ascii="Arial" w:hAnsi="Arial"/>
                <w:color w:val="1A1A1A"/>
              </w:rPr>
              <w:t>0.96</w:t>
            </w:r>
          </w:p>
        </w:tc>
        <w:tc>
          <w:tcPr>
            <w:tcW w:w="1250" w:type="pct"/>
          </w:tcPr>
          <w:p w14:paraId="5884062C" w14:textId="77777777" w:rsidR="00F50B5A" w:rsidRPr="00E56D76" w:rsidRDefault="00F50B5A" w:rsidP="00094357">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A1A1A"/>
              </w:rPr>
            </w:pPr>
            <w:r w:rsidRPr="00E56D76">
              <w:rPr>
                <w:rFonts w:ascii="Arial" w:hAnsi="Arial"/>
                <w:color w:val="1A1A1A"/>
              </w:rPr>
              <w:t>100%</w:t>
            </w:r>
          </w:p>
        </w:tc>
        <w:tc>
          <w:tcPr>
            <w:tcW w:w="1246" w:type="pct"/>
          </w:tcPr>
          <w:p w14:paraId="5BEDA84A" w14:textId="77777777" w:rsidR="00F50B5A" w:rsidRPr="00E56D76" w:rsidRDefault="00F50B5A" w:rsidP="00094357">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A1A1A"/>
              </w:rPr>
            </w:pPr>
            <w:r w:rsidRPr="00E56D76">
              <w:rPr>
                <w:rFonts w:ascii="Arial" w:hAnsi="Arial"/>
                <w:color w:val="1A1A1A"/>
              </w:rPr>
              <w:t>0.96</w:t>
            </w:r>
          </w:p>
        </w:tc>
      </w:tr>
      <w:tr w:rsidR="00F50B5A" w:rsidRPr="00E56D76" w14:paraId="26F14F32" w14:textId="77777777" w:rsidTr="00094357">
        <w:tc>
          <w:tcPr>
            <w:cnfStyle w:val="001000000000" w:firstRow="0" w:lastRow="0" w:firstColumn="1" w:lastColumn="0" w:oddVBand="0" w:evenVBand="0" w:oddHBand="0" w:evenHBand="0" w:firstRowFirstColumn="0" w:firstRowLastColumn="0" w:lastRowFirstColumn="0" w:lastRowLastColumn="0"/>
            <w:tcW w:w="1259" w:type="pct"/>
          </w:tcPr>
          <w:p w14:paraId="7CE78E2F" w14:textId="77777777" w:rsidR="00F50B5A" w:rsidRPr="00E56D76" w:rsidRDefault="00F50B5A" w:rsidP="00094357">
            <w:pPr>
              <w:pStyle w:val="TableTextLeft"/>
              <w:rPr>
                <w:rFonts w:ascii="Arial" w:hAnsi="Arial"/>
                <w:color w:val="1A1A1A"/>
              </w:rPr>
            </w:pPr>
            <w:r w:rsidRPr="00E56D76">
              <w:rPr>
                <w:rFonts w:ascii="Arial" w:hAnsi="Arial"/>
                <w:color w:val="1A1A1A"/>
              </w:rPr>
              <w:t>Colac-Otway</w:t>
            </w:r>
          </w:p>
        </w:tc>
        <w:tc>
          <w:tcPr>
            <w:tcW w:w="1246" w:type="pct"/>
          </w:tcPr>
          <w:p w14:paraId="5A4699A2" w14:textId="77777777" w:rsidR="00F50B5A" w:rsidRPr="00E56D76" w:rsidRDefault="00F50B5A" w:rsidP="00094357">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A1A1A"/>
              </w:rPr>
            </w:pPr>
            <w:r w:rsidRPr="00E56D76">
              <w:rPr>
                <w:rFonts w:ascii="Arial" w:hAnsi="Arial"/>
                <w:color w:val="1A1A1A"/>
              </w:rPr>
              <w:t>0.03</w:t>
            </w:r>
          </w:p>
        </w:tc>
        <w:tc>
          <w:tcPr>
            <w:tcW w:w="1250" w:type="pct"/>
          </w:tcPr>
          <w:p w14:paraId="6180BFBB" w14:textId="77777777" w:rsidR="00F50B5A" w:rsidRPr="00E56D76" w:rsidRDefault="00F50B5A" w:rsidP="00094357">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A1A1A"/>
              </w:rPr>
            </w:pPr>
            <w:r w:rsidRPr="00E56D76">
              <w:rPr>
                <w:rFonts w:ascii="Arial" w:hAnsi="Arial"/>
                <w:color w:val="1A1A1A"/>
              </w:rPr>
              <w:t>100%</w:t>
            </w:r>
          </w:p>
        </w:tc>
        <w:tc>
          <w:tcPr>
            <w:tcW w:w="1246" w:type="pct"/>
          </w:tcPr>
          <w:p w14:paraId="234847A5" w14:textId="77777777" w:rsidR="00F50B5A" w:rsidRPr="00E56D76" w:rsidRDefault="00F50B5A" w:rsidP="00094357">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A1A1A"/>
              </w:rPr>
            </w:pPr>
            <w:r w:rsidRPr="00E56D76">
              <w:rPr>
                <w:rFonts w:ascii="Arial" w:hAnsi="Arial"/>
                <w:color w:val="1A1A1A"/>
              </w:rPr>
              <w:t>0.03</w:t>
            </w:r>
          </w:p>
        </w:tc>
      </w:tr>
      <w:tr w:rsidR="00F50B5A" w:rsidRPr="00E56D76" w14:paraId="0D4537B3" w14:textId="77777777" w:rsidTr="00094357">
        <w:tc>
          <w:tcPr>
            <w:cnfStyle w:val="001000000000" w:firstRow="0" w:lastRow="0" w:firstColumn="1" w:lastColumn="0" w:oddVBand="0" w:evenVBand="0" w:oddHBand="0" w:evenHBand="0" w:firstRowFirstColumn="0" w:firstRowLastColumn="0" w:lastRowFirstColumn="0" w:lastRowLastColumn="0"/>
            <w:tcW w:w="1259" w:type="pct"/>
          </w:tcPr>
          <w:p w14:paraId="12780B3B" w14:textId="77777777" w:rsidR="00F50B5A" w:rsidRPr="00E56D76" w:rsidRDefault="00F50B5A" w:rsidP="00094357">
            <w:pPr>
              <w:pStyle w:val="TableTextLeft"/>
              <w:rPr>
                <w:rFonts w:ascii="Arial" w:hAnsi="Arial"/>
                <w:color w:val="1A1A1A"/>
              </w:rPr>
            </w:pPr>
            <w:r w:rsidRPr="00E56D76">
              <w:rPr>
                <w:rFonts w:ascii="Arial" w:hAnsi="Arial"/>
                <w:color w:val="1A1A1A"/>
              </w:rPr>
              <w:t>Corangamite</w:t>
            </w:r>
          </w:p>
        </w:tc>
        <w:tc>
          <w:tcPr>
            <w:tcW w:w="1246" w:type="pct"/>
          </w:tcPr>
          <w:p w14:paraId="225396A6" w14:textId="77777777" w:rsidR="00F50B5A" w:rsidRPr="00E56D76" w:rsidRDefault="00F50B5A" w:rsidP="00094357">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A1A1A"/>
              </w:rPr>
            </w:pPr>
            <w:r w:rsidRPr="00E56D76">
              <w:rPr>
                <w:rFonts w:ascii="Arial" w:hAnsi="Arial"/>
                <w:color w:val="1A1A1A"/>
              </w:rPr>
              <w:t>0.07</w:t>
            </w:r>
          </w:p>
        </w:tc>
        <w:tc>
          <w:tcPr>
            <w:tcW w:w="1250" w:type="pct"/>
          </w:tcPr>
          <w:p w14:paraId="7BC72B54" w14:textId="77777777" w:rsidR="00F50B5A" w:rsidRPr="00E56D76" w:rsidRDefault="00F50B5A" w:rsidP="00094357">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A1A1A"/>
              </w:rPr>
            </w:pPr>
            <w:r w:rsidRPr="00E56D76">
              <w:rPr>
                <w:rFonts w:ascii="Arial" w:hAnsi="Arial"/>
                <w:color w:val="1A1A1A"/>
              </w:rPr>
              <w:t>100%</w:t>
            </w:r>
          </w:p>
        </w:tc>
        <w:tc>
          <w:tcPr>
            <w:tcW w:w="1246" w:type="pct"/>
          </w:tcPr>
          <w:p w14:paraId="22D62B3B" w14:textId="77777777" w:rsidR="00F50B5A" w:rsidRPr="00E56D76" w:rsidRDefault="00F50B5A" w:rsidP="00094357">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A1A1A"/>
              </w:rPr>
            </w:pPr>
            <w:r w:rsidRPr="00E56D76">
              <w:rPr>
                <w:rFonts w:ascii="Arial" w:hAnsi="Arial"/>
                <w:color w:val="1A1A1A"/>
              </w:rPr>
              <w:t>0.07</w:t>
            </w:r>
          </w:p>
        </w:tc>
      </w:tr>
      <w:tr w:rsidR="00F50B5A" w:rsidRPr="00E56D76" w14:paraId="2008F493" w14:textId="77777777" w:rsidTr="00094357">
        <w:tc>
          <w:tcPr>
            <w:cnfStyle w:val="001000000000" w:firstRow="0" w:lastRow="0" w:firstColumn="1" w:lastColumn="0" w:oddVBand="0" w:evenVBand="0" w:oddHBand="0" w:evenHBand="0" w:firstRowFirstColumn="0" w:firstRowLastColumn="0" w:lastRowFirstColumn="0" w:lastRowLastColumn="0"/>
            <w:tcW w:w="1259" w:type="pct"/>
          </w:tcPr>
          <w:p w14:paraId="33768986" w14:textId="77777777" w:rsidR="00F50B5A" w:rsidRPr="00E56D76" w:rsidRDefault="00F50B5A" w:rsidP="00094357">
            <w:pPr>
              <w:pStyle w:val="TableTextLeft"/>
              <w:rPr>
                <w:rFonts w:ascii="Arial" w:hAnsi="Arial"/>
                <w:color w:val="1A1A1A"/>
              </w:rPr>
            </w:pPr>
            <w:r w:rsidRPr="00E56D76">
              <w:rPr>
                <w:rFonts w:ascii="Arial" w:hAnsi="Arial"/>
                <w:color w:val="1A1A1A"/>
              </w:rPr>
              <w:t>Moyne</w:t>
            </w:r>
          </w:p>
        </w:tc>
        <w:tc>
          <w:tcPr>
            <w:tcW w:w="1246" w:type="pct"/>
          </w:tcPr>
          <w:p w14:paraId="658695B2" w14:textId="77777777" w:rsidR="00F50B5A" w:rsidRPr="00E56D76" w:rsidRDefault="00F50B5A" w:rsidP="00094357">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A1A1A"/>
              </w:rPr>
            </w:pPr>
            <w:r w:rsidRPr="00E56D76">
              <w:rPr>
                <w:rFonts w:ascii="Arial" w:hAnsi="Arial"/>
                <w:color w:val="1A1A1A"/>
              </w:rPr>
              <w:t>0.06</w:t>
            </w:r>
          </w:p>
        </w:tc>
        <w:tc>
          <w:tcPr>
            <w:tcW w:w="1250" w:type="pct"/>
          </w:tcPr>
          <w:p w14:paraId="7729BA75" w14:textId="77777777" w:rsidR="00F50B5A" w:rsidRPr="00E56D76" w:rsidRDefault="00F50B5A" w:rsidP="00094357">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A1A1A"/>
              </w:rPr>
            </w:pPr>
            <w:r w:rsidRPr="00E56D76">
              <w:rPr>
                <w:rFonts w:ascii="Arial" w:hAnsi="Arial"/>
                <w:color w:val="1A1A1A"/>
              </w:rPr>
              <w:t>17%</w:t>
            </w:r>
          </w:p>
        </w:tc>
        <w:tc>
          <w:tcPr>
            <w:tcW w:w="1246" w:type="pct"/>
          </w:tcPr>
          <w:p w14:paraId="16E310D2" w14:textId="77777777" w:rsidR="00F50B5A" w:rsidRPr="00E56D76" w:rsidRDefault="00F50B5A" w:rsidP="00094357">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A1A1A"/>
              </w:rPr>
            </w:pPr>
            <w:r w:rsidRPr="00E56D76">
              <w:rPr>
                <w:rFonts w:ascii="Arial" w:hAnsi="Arial"/>
                <w:color w:val="1A1A1A"/>
              </w:rPr>
              <w:t>0.01</w:t>
            </w:r>
          </w:p>
        </w:tc>
      </w:tr>
      <w:tr w:rsidR="00F50B5A" w:rsidRPr="00E56D76" w14:paraId="5B6FE283" w14:textId="77777777" w:rsidTr="00094357">
        <w:tc>
          <w:tcPr>
            <w:cnfStyle w:val="001000000000" w:firstRow="0" w:lastRow="0" w:firstColumn="1" w:lastColumn="0" w:oddVBand="0" w:evenVBand="0" w:oddHBand="0" w:evenHBand="0" w:firstRowFirstColumn="0" w:firstRowLastColumn="0" w:lastRowFirstColumn="0" w:lastRowLastColumn="0"/>
            <w:tcW w:w="1259" w:type="pct"/>
          </w:tcPr>
          <w:p w14:paraId="129B6C4B" w14:textId="77777777" w:rsidR="00F50B5A" w:rsidRPr="00E56D76" w:rsidRDefault="00F50B5A" w:rsidP="00094357">
            <w:pPr>
              <w:pStyle w:val="TableTextLeft"/>
              <w:rPr>
                <w:rFonts w:ascii="Arial" w:hAnsi="Arial"/>
                <w:color w:val="1A1A1A"/>
              </w:rPr>
            </w:pPr>
            <w:r w:rsidRPr="00E56D76">
              <w:rPr>
                <w:rFonts w:ascii="Arial" w:hAnsi="Arial"/>
                <w:color w:val="1A1A1A"/>
              </w:rPr>
              <w:t>Warrnambool</w:t>
            </w:r>
          </w:p>
        </w:tc>
        <w:tc>
          <w:tcPr>
            <w:tcW w:w="1246" w:type="pct"/>
          </w:tcPr>
          <w:p w14:paraId="6F963842" w14:textId="77777777" w:rsidR="00F50B5A" w:rsidRPr="00E56D76" w:rsidRDefault="00F50B5A" w:rsidP="00094357">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A1A1A"/>
              </w:rPr>
            </w:pPr>
            <w:r w:rsidRPr="00E56D76">
              <w:rPr>
                <w:rFonts w:ascii="Arial" w:hAnsi="Arial"/>
                <w:color w:val="1A1A1A"/>
              </w:rPr>
              <w:t>14.77</w:t>
            </w:r>
          </w:p>
        </w:tc>
        <w:tc>
          <w:tcPr>
            <w:tcW w:w="1250" w:type="pct"/>
          </w:tcPr>
          <w:p w14:paraId="70F932F6" w14:textId="77777777" w:rsidR="00F50B5A" w:rsidRPr="00E56D76" w:rsidRDefault="00F50B5A" w:rsidP="00094357">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A1A1A"/>
              </w:rPr>
            </w:pPr>
            <w:r w:rsidRPr="00E56D76">
              <w:rPr>
                <w:rFonts w:ascii="Arial" w:hAnsi="Arial"/>
                <w:color w:val="1A1A1A"/>
              </w:rPr>
              <w:t>15%</w:t>
            </w:r>
          </w:p>
        </w:tc>
        <w:tc>
          <w:tcPr>
            <w:tcW w:w="1246" w:type="pct"/>
          </w:tcPr>
          <w:p w14:paraId="2324F24B" w14:textId="77777777" w:rsidR="00F50B5A" w:rsidRPr="00E56D76" w:rsidRDefault="00F50B5A" w:rsidP="00094357">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A1A1A"/>
              </w:rPr>
            </w:pPr>
            <w:r w:rsidRPr="00E56D76">
              <w:rPr>
                <w:rFonts w:ascii="Arial" w:hAnsi="Arial"/>
                <w:color w:val="1A1A1A"/>
              </w:rPr>
              <w:t>2.20</w:t>
            </w:r>
          </w:p>
        </w:tc>
      </w:tr>
      <w:tr w:rsidR="00F50B5A" w:rsidRPr="00E56D76" w14:paraId="2318E670" w14:textId="77777777" w:rsidTr="00094357">
        <w:tc>
          <w:tcPr>
            <w:cnfStyle w:val="001000000000" w:firstRow="0" w:lastRow="0" w:firstColumn="1" w:lastColumn="0" w:oddVBand="0" w:evenVBand="0" w:oddHBand="0" w:evenHBand="0" w:firstRowFirstColumn="0" w:firstRowLastColumn="0" w:lastRowFirstColumn="0" w:lastRowLastColumn="0"/>
            <w:tcW w:w="1259" w:type="pct"/>
          </w:tcPr>
          <w:p w14:paraId="6E51AF6D" w14:textId="77777777" w:rsidR="00F50B5A" w:rsidRPr="00E56D76" w:rsidRDefault="00F50B5A" w:rsidP="00094357">
            <w:pPr>
              <w:pStyle w:val="TableTextLeft"/>
              <w:rPr>
                <w:rFonts w:ascii="Arial" w:hAnsi="Arial"/>
                <w:color w:val="1A1A1A"/>
              </w:rPr>
            </w:pPr>
            <w:r w:rsidRPr="00E56D76">
              <w:rPr>
                <w:rFonts w:ascii="Arial" w:hAnsi="Arial"/>
                <w:color w:val="1A1A1A"/>
              </w:rPr>
              <w:lastRenderedPageBreak/>
              <w:t>Total</w:t>
            </w:r>
          </w:p>
        </w:tc>
        <w:tc>
          <w:tcPr>
            <w:tcW w:w="1246" w:type="pct"/>
          </w:tcPr>
          <w:p w14:paraId="4EC3E1C2" w14:textId="77777777" w:rsidR="00F50B5A" w:rsidRPr="00E56D76" w:rsidRDefault="00F50B5A" w:rsidP="00094357">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A1A1A"/>
              </w:rPr>
            </w:pPr>
          </w:p>
        </w:tc>
        <w:tc>
          <w:tcPr>
            <w:tcW w:w="1250" w:type="pct"/>
          </w:tcPr>
          <w:p w14:paraId="4BB89E60" w14:textId="77777777" w:rsidR="00F50B5A" w:rsidRPr="00E56D76" w:rsidRDefault="00F50B5A" w:rsidP="00094357">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A1A1A"/>
              </w:rPr>
            </w:pPr>
          </w:p>
        </w:tc>
        <w:tc>
          <w:tcPr>
            <w:tcW w:w="1246" w:type="pct"/>
          </w:tcPr>
          <w:p w14:paraId="04A0ACFC" w14:textId="77777777" w:rsidR="00F50B5A" w:rsidRPr="00E56D76" w:rsidRDefault="00F50B5A" w:rsidP="00094357">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A1A1A"/>
              </w:rPr>
            </w:pPr>
            <w:r w:rsidRPr="00E56D76">
              <w:rPr>
                <w:rFonts w:ascii="Arial" w:hAnsi="Arial"/>
                <w:color w:val="1A1A1A"/>
              </w:rPr>
              <w:t>7.54</w:t>
            </w:r>
          </w:p>
        </w:tc>
      </w:tr>
    </w:tbl>
    <w:p w14:paraId="611B4CF4" w14:textId="77777777" w:rsidR="00F50B5A" w:rsidRPr="00E53922" w:rsidRDefault="00F50B5A" w:rsidP="00F50B5A">
      <w:pPr>
        <w:pStyle w:val="BodyText"/>
        <w:rPr>
          <w:rFonts w:ascii="Arial" w:hAnsi="Arial"/>
          <w:color w:val="111111" w:themeColor="text1" w:themeShade="80"/>
        </w:rPr>
      </w:pPr>
      <w:r w:rsidRPr="00E53922">
        <w:rPr>
          <w:color w:val="111111" w:themeColor="text1" w:themeShade="80"/>
        </w:rPr>
        <w:t xml:space="preserve">The Carnell et al (2019) estimates </w:t>
      </w:r>
      <w:r w:rsidRPr="00E53922">
        <w:rPr>
          <w:rFonts w:ascii="Arial" w:hAnsi="Arial"/>
          <w:color w:val="111111" w:themeColor="text1" w:themeShade="80"/>
        </w:rPr>
        <w:t>represent the additional total value of property that becomes exposed to coastal hazards</w:t>
      </w:r>
      <w:r>
        <w:rPr>
          <w:rFonts w:ascii="Arial" w:hAnsi="Arial"/>
          <w:color w:val="111111" w:themeColor="text1" w:themeShade="80"/>
        </w:rPr>
        <w:t xml:space="preserve"> (inundation from storms)</w:t>
      </w:r>
      <w:r w:rsidRPr="00E53922">
        <w:rPr>
          <w:rFonts w:ascii="Arial" w:hAnsi="Arial"/>
          <w:color w:val="111111" w:themeColor="text1" w:themeShade="80"/>
        </w:rPr>
        <w:t xml:space="preserve"> if wetlands did not exist. The Carnell et al (2019) report labels the estimates in Table </w:t>
      </w:r>
      <w:r>
        <w:rPr>
          <w:rFonts w:ascii="Arial" w:hAnsi="Arial"/>
          <w:color w:val="111111" w:themeColor="text1" w:themeShade="80"/>
        </w:rPr>
        <w:t>A3.8.</w:t>
      </w:r>
      <w:r w:rsidRPr="00E53922">
        <w:rPr>
          <w:rFonts w:ascii="Arial" w:hAnsi="Arial"/>
          <w:color w:val="111111" w:themeColor="text1" w:themeShade="80"/>
        </w:rPr>
        <w:t xml:space="preserve"> as “replacement cost” and “cost savings”, on the basis that these figures relate to the cost of replacing the property at risk. However, this assumes that the change in total value of property that is exposed to hazards would need to be replaced due to inundation under a “no coastal wetland” scenario, which is unlikely to be the case (i.e. inundation will more likely require fixing of property damages rather than replacing an entire property). Whilst coastal erosion could require relocation (and rebuilding) of residences inland, the </w:t>
      </w:r>
      <w:r>
        <w:rPr>
          <w:rFonts w:ascii="Arial" w:hAnsi="Arial"/>
          <w:color w:val="111111" w:themeColor="text1" w:themeShade="80"/>
        </w:rPr>
        <w:t>Carnell et al (2019)</w:t>
      </w:r>
      <w:r w:rsidRPr="00E53922">
        <w:rPr>
          <w:rFonts w:ascii="Arial" w:hAnsi="Arial"/>
          <w:color w:val="111111" w:themeColor="text1" w:themeShade="80"/>
        </w:rPr>
        <w:t xml:space="preserve"> analysis focus</w:t>
      </w:r>
      <w:r>
        <w:rPr>
          <w:rFonts w:ascii="Arial" w:hAnsi="Arial"/>
          <w:color w:val="111111" w:themeColor="text1" w:themeShade="80"/>
        </w:rPr>
        <w:t>es</w:t>
      </w:r>
      <w:r w:rsidRPr="00E53922">
        <w:rPr>
          <w:rFonts w:ascii="Arial" w:hAnsi="Arial"/>
          <w:color w:val="111111" w:themeColor="text1" w:themeShade="80"/>
        </w:rPr>
        <w:t xml:space="preserve"> on</w:t>
      </w:r>
      <w:r>
        <w:rPr>
          <w:rFonts w:ascii="Arial" w:hAnsi="Arial"/>
          <w:color w:val="111111" w:themeColor="text1" w:themeShade="80"/>
        </w:rPr>
        <w:t xml:space="preserve"> the change in property exposed to</w:t>
      </w:r>
      <w:r w:rsidRPr="00E53922">
        <w:rPr>
          <w:rFonts w:ascii="Arial" w:hAnsi="Arial"/>
          <w:color w:val="111111" w:themeColor="text1" w:themeShade="80"/>
        </w:rPr>
        <w:t xml:space="preserve"> inundation. </w:t>
      </w:r>
    </w:p>
    <w:p w14:paraId="6BACCA9A" w14:textId="77777777" w:rsidR="00F50B5A" w:rsidRPr="00E53922" w:rsidRDefault="00F50B5A" w:rsidP="00F50B5A">
      <w:pPr>
        <w:pStyle w:val="BodyText"/>
        <w:rPr>
          <w:rFonts w:ascii="Arial" w:hAnsi="Arial"/>
          <w:color w:val="111111" w:themeColor="text1" w:themeShade="80"/>
        </w:rPr>
      </w:pPr>
      <w:r w:rsidRPr="00E53922">
        <w:rPr>
          <w:rFonts w:ascii="Arial" w:hAnsi="Arial"/>
          <w:color w:val="111111" w:themeColor="text1" w:themeShade="80"/>
        </w:rPr>
        <w:t xml:space="preserve">The results of the Carnell et al (2019) </w:t>
      </w:r>
      <w:r w:rsidRPr="00E53922">
        <w:rPr>
          <w:color w:val="111111" w:themeColor="text1" w:themeShade="80"/>
        </w:rPr>
        <w:t xml:space="preserve">analysis are not used for the </w:t>
      </w:r>
      <w:r>
        <w:rPr>
          <w:color w:val="111111" w:themeColor="text1" w:themeShade="80"/>
        </w:rPr>
        <w:t>GORCAP EEA</w:t>
      </w:r>
      <w:r w:rsidRPr="00E53922">
        <w:rPr>
          <w:color w:val="111111" w:themeColor="text1" w:themeShade="80"/>
        </w:rPr>
        <w:t xml:space="preserve"> as it is not deemed to be an accurate reflection of the value of the ecosystem service provided by coastal wetlands within the </w:t>
      </w:r>
      <w:r>
        <w:rPr>
          <w:color w:val="111111" w:themeColor="text1" w:themeShade="80"/>
        </w:rPr>
        <w:t>GORCAP region</w:t>
      </w:r>
      <w:r w:rsidRPr="00E53922">
        <w:rPr>
          <w:color w:val="111111" w:themeColor="text1" w:themeShade="80"/>
        </w:rPr>
        <w:t xml:space="preserve">. </w:t>
      </w:r>
    </w:p>
    <w:p w14:paraId="233A69D5" w14:textId="0E7DBB30" w:rsidR="00F50B5A" w:rsidRPr="00E53922" w:rsidRDefault="00F50B5A" w:rsidP="00F50B5A">
      <w:pPr>
        <w:pStyle w:val="BodyText"/>
        <w:rPr>
          <w:color w:val="111111" w:themeColor="text1" w:themeShade="80"/>
        </w:rPr>
      </w:pPr>
      <w:r w:rsidRPr="00E53922">
        <w:rPr>
          <w:rFonts w:ascii="Arial" w:hAnsi="Arial"/>
          <w:color w:val="111111" w:themeColor="text1" w:themeShade="80"/>
        </w:rPr>
        <w:t>A more accurate reflection of the value of the coastal protection service provided by wetlands within the region would be to estimate the (marginal)</w:t>
      </w:r>
      <w:r w:rsidRPr="00D87A99">
        <w:rPr>
          <w:rFonts w:ascii="Arial" w:hAnsi="Arial"/>
          <w:color w:val="111111" w:themeColor="text1" w:themeShade="80"/>
        </w:rPr>
        <w:t xml:space="preserve"> value to </w:t>
      </w:r>
      <w:r w:rsidRPr="00D87A99">
        <w:rPr>
          <w:rFonts w:ascii="Arial" w:hAnsi="Arial"/>
          <w:i/>
          <w:iCs/>
          <w:color w:val="111111" w:themeColor="text1" w:themeShade="80"/>
        </w:rPr>
        <w:t xml:space="preserve">all </w:t>
      </w:r>
      <w:r w:rsidRPr="00D87A99">
        <w:rPr>
          <w:rFonts w:ascii="Arial" w:hAnsi="Arial"/>
          <w:color w:val="111111" w:themeColor="text1" w:themeShade="80"/>
        </w:rPr>
        <w:t>re</w:t>
      </w:r>
      <w:r w:rsidRPr="00E53922">
        <w:rPr>
          <w:rFonts w:ascii="Arial" w:hAnsi="Arial"/>
          <w:color w:val="111111" w:themeColor="text1" w:themeShade="80"/>
        </w:rPr>
        <w:t>levant re</w:t>
      </w:r>
      <w:r w:rsidRPr="00D87A99">
        <w:rPr>
          <w:rFonts w:ascii="Arial" w:hAnsi="Arial"/>
          <w:color w:val="111111" w:themeColor="text1" w:themeShade="80"/>
        </w:rPr>
        <w:t>sidences</w:t>
      </w:r>
      <w:r>
        <w:rPr>
          <w:rFonts w:ascii="Arial" w:hAnsi="Arial"/>
          <w:color w:val="111111" w:themeColor="text1" w:themeShade="80"/>
        </w:rPr>
        <w:t xml:space="preserve"> </w:t>
      </w:r>
      <w:r>
        <w:rPr>
          <w:rFonts w:ascii="Arial" w:hAnsi="Arial"/>
          <w:color w:val="111111" w:themeColor="text1" w:themeShade="80"/>
          <w:shd w:val="clear" w:color="auto" w:fill="FFFFFF"/>
        </w:rPr>
        <w:t xml:space="preserve">(i.e. including those who are currently exposed to coastal hazards but to a lesser degree than if wetlands did not exist) </w:t>
      </w:r>
      <w:r w:rsidRPr="00E53922">
        <w:rPr>
          <w:rFonts w:ascii="Arial" w:hAnsi="Arial"/>
          <w:color w:val="111111" w:themeColor="text1" w:themeShade="80"/>
        </w:rPr>
        <w:t xml:space="preserve">associated with </w:t>
      </w:r>
      <w:r w:rsidRPr="00D87A99">
        <w:rPr>
          <w:rFonts w:ascii="Arial" w:hAnsi="Arial"/>
          <w:color w:val="111111" w:themeColor="text1" w:themeShade="80"/>
        </w:rPr>
        <w:t>avoided damage costs to property</w:t>
      </w:r>
      <w:r w:rsidRPr="00E53922">
        <w:rPr>
          <w:rFonts w:ascii="Arial" w:hAnsi="Arial"/>
          <w:color w:val="111111" w:themeColor="text1" w:themeShade="80"/>
        </w:rPr>
        <w:t xml:space="preserve"> due to</w:t>
      </w:r>
      <w:r>
        <w:rPr>
          <w:rFonts w:ascii="Arial" w:hAnsi="Arial"/>
          <w:color w:val="111111" w:themeColor="text1" w:themeShade="80"/>
        </w:rPr>
        <w:t xml:space="preserve"> avoided</w:t>
      </w:r>
      <w:r w:rsidRPr="00E53922">
        <w:rPr>
          <w:rFonts w:ascii="Arial" w:hAnsi="Arial"/>
          <w:color w:val="111111" w:themeColor="text1" w:themeShade="80"/>
        </w:rPr>
        <w:t xml:space="preserve"> inundation. </w:t>
      </w:r>
    </w:p>
    <w:p w14:paraId="397A9742" w14:textId="34B7FD37" w:rsidR="00F50B5A" w:rsidRPr="008C7964" w:rsidRDefault="00F50B5A" w:rsidP="008224BE">
      <w:pPr>
        <w:pStyle w:val="Heading2"/>
        <w:numPr>
          <w:ilvl w:val="0"/>
          <w:numId w:val="0"/>
        </w:numPr>
      </w:pPr>
      <w:bookmarkStart w:id="435" w:name="_Toc163547105"/>
      <w:r w:rsidRPr="008C7964">
        <w:t>A3.3. Education and research</w:t>
      </w:r>
      <w:bookmarkEnd w:id="435"/>
      <w:r w:rsidRPr="008C7964">
        <w:t xml:space="preserve"> </w:t>
      </w:r>
    </w:p>
    <w:p w14:paraId="1B725B8B" w14:textId="77777777" w:rsidR="00F50B5A" w:rsidRPr="00FA0548" w:rsidRDefault="00F50B5A" w:rsidP="008224BE">
      <w:pPr>
        <w:pStyle w:val="BodyText12ptBefore"/>
      </w:pPr>
      <w:r w:rsidRPr="00FA0548">
        <w:t>MJA (2016) estimate there were 2.5 million nature-based educational participation days by Victorian schoolchildren in 2014, consisting of approximately 1.5 million daytrips and 1 million overnight trips. School trip expenditure in Victoria was estimated to be $225 million (adjusting for expenditure “leakage” on goods and services outside of Victoria) with $108 million in gross-value-added to the Victorian economy</w:t>
      </w:r>
      <w:r w:rsidRPr="00FA0548">
        <w:rPr>
          <w:vertAlign w:val="superscript"/>
        </w:rPr>
        <w:footnoteReference w:id="90"/>
      </w:r>
      <w:r w:rsidRPr="00FA0548">
        <w:t>. Whilst these figures do not represent the value of these educational trips (</w:t>
      </w:r>
      <w:r>
        <w:t>see Section 3.2.3</w:t>
      </w:r>
      <w:r w:rsidRPr="00FA0548">
        <w:t xml:space="preserve">), it provides an indication of the value of nature-based education in supporting the Victorian economy.   </w:t>
      </w:r>
    </w:p>
    <w:p w14:paraId="09DB5C9B" w14:textId="77777777" w:rsidR="00F50B5A" w:rsidRDefault="00F50B5A" w:rsidP="000035CB">
      <w:pPr>
        <w:pStyle w:val="AlphaHeading4"/>
        <w:numPr>
          <w:ilvl w:val="0"/>
          <w:numId w:val="57"/>
        </w:numPr>
      </w:pPr>
      <w:r w:rsidRPr="005D5694">
        <w:t xml:space="preserve">Physical provision of </w:t>
      </w:r>
      <w:r>
        <w:t>e</w:t>
      </w:r>
      <w:r w:rsidRPr="00BD7A5E">
        <w:t>ducation and research</w:t>
      </w:r>
    </w:p>
    <w:p w14:paraId="21425D8C" w14:textId="77777777" w:rsidR="00F50B5A" w:rsidRPr="00FA0548" w:rsidRDefault="00F50B5A" w:rsidP="008224BE">
      <w:pPr>
        <w:pStyle w:val="BodyText"/>
      </w:pPr>
      <w:r w:rsidRPr="00FA0548">
        <w:t xml:space="preserve">The physical provision of education from ecosystem assets can be measured in environmental-economic accounts through the number of educational visits and research permits to GOR ecosystems. Table </w:t>
      </w:r>
      <w:r>
        <w:t>A3.9</w:t>
      </w:r>
      <w:r w:rsidRPr="005D5694">
        <w:t>.</w:t>
      </w:r>
      <w:r w:rsidRPr="00FA0548">
        <w:t xml:space="preserve"> provides details on the studies that could be used to develop a GOR specific assessment of the education provided by its ecosystem assets and how the approaches and data from these studies are </w:t>
      </w:r>
      <w:r w:rsidRPr="005D5694">
        <w:t>use</w:t>
      </w:r>
      <w:r>
        <w:t>d</w:t>
      </w:r>
      <w:r w:rsidRPr="005D5694">
        <w:t xml:space="preserve"> </w:t>
      </w:r>
      <w:r>
        <w:t xml:space="preserve">in </w:t>
      </w:r>
      <w:r w:rsidRPr="00FA0548">
        <w:t xml:space="preserve">the </w:t>
      </w:r>
      <w:r>
        <w:t>GORCAP EEA</w:t>
      </w:r>
      <w:r w:rsidRPr="00FA0548">
        <w:t xml:space="preserve">.  </w:t>
      </w:r>
    </w:p>
    <w:p w14:paraId="142E7B0C" w14:textId="11827FBE" w:rsidR="00F50B5A" w:rsidRPr="00CF5F1D" w:rsidRDefault="00F50B5A" w:rsidP="00CF5F1D">
      <w:pPr>
        <w:pStyle w:val="Caption"/>
      </w:pPr>
      <w:r w:rsidRPr="00FA0548">
        <w:t>Table</w:t>
      </w:r>
      <w:r w:rsidRPr="00CE093F">
        <w:t xml:space="preserve"> A3.</w:t>
      </w:r>
      <w:r>
        <w:t>9</w:t>
      </w:r>
      <w:r w:rsidRPr="00FA0548">
        <w:t>. Review of methods used to estimate the physical provision of education from ecosystem assets within Victoria</w:t>
      </w:r>
    </w:p>
    <w:tbl>
      <w:tblPr>
        <w:tblStyle w:val="TableGrid"/>
        <w:tblW w:w="0" w:type="auto"/>
        <w:tblLook w:val="04A0" w:firstRow="1" w:lastRow="0" w:firstColumn="1" w:lastColumn="0" w:noHBand="0" w:noVBand="1"/>
      </w:tblPr>
      <w:tblGrid>
        <w:gridCol w:w="2053"/>
        <w:gridCol w:w="4101"/>
        <w:gridCol w:w="571"/>
        <w:gridCol w:w="2913"/>
      </w:tblGrid>
      <w:tr w:rsidR="00CB66D8" w:rsidRPr="00FA0548" w14:paraId="53BE6119" w14:textId="77777777" w:rsidTr="00CB66D8">
        <w:trPr>
          <w:cnfStyle w:val="100000000000" w:firstRow="1" w:lastRow="0" w:firstColumn="0" w:lastColumn="0" w:oddVBand="0" w:evenVBand="0" w:oddHBand="0" w:evenHBand="0" w:firstRowFirstColumn="0" w:firstRowLastColumn="0" w:lastRowFirstColumn="0" w:lastRowLastColumn="0"/>
          <w:trHeight w:val="193"/>
          <w:tblHeader/>
        </w:trPr>
        <w:tc>
          <w:tcPr>
            <w:cnfStyle w:val="001000000000" w:firstRow="0" w:lastRow="0" w:firstColumn="1" w:lastColumn="0" w:oddVBand="0" w:evenVBand="0" w:oddHBand="0" w:evenHBand="0" w:firstRowFirstColumn="0" w:firstRowLastColumn="0" w:lastRowFirstColumn="0" w:lastRowLastColumn="0"/>
            <w:tcW w:w="0" w:type="auto"/>
          </w:tcPr>
          <w:p w14:paraId="56332731" w14:textId="77777777" w:rsidR="00F50B5A" w:rsidRPr="00FA0548" w:rsidRDefault="00F50B5A" w:rsidP="00CB66D8">
            <w:pPr>
              <w:pStyle w:val="TableHeadingLeft"/>
            </w:pPr>
            <w:r w:rsidRPr="00FA0548">
              <w:t>Source</w:t>
            </w:r>
          </w:p>
        </w:tc>
        <w:tc>
          <w:tcPr>
            <w:tcW w:w="0" w:type="auto"/>
          </w:tcPr>
          <w:p w14:paraId="0373669C" w14:textId="77777777" w:rsidR="00F50B5A" w:rsidRPr="00FA0548" w:rsidRDefault="00F50B5A" w:rsidP="00CB66D8">
            <w:pPr>
              <w:pStyle w:val="TableHeadingLeft"/>
              <w:cnfStyle w:val="100000000000" w:firstRow="1" w:lastRow="0" w:firstColumn="0" w:lastColumn="0" w:oddVBand="0" w:evenVBand="0" w:oddHBand="0" w:evenHBand="0" w:firstRowFirstColumn="0" w:firstRowLastColumn="0" w:lastRowFirstColumn="0" w:lastRowLastColumn="0"/>
            </w:pPr>
            <w:r w:rsidRPr="00FA0548">
              <w:t>Description</w:t>
            </w:r>
          </w:p>
        </w:tc>
        <w:tc>
          <w:tcPr>
            <w:tcW w:w="0" w:type="auto"/>
            <w:gridSpan w:val="2"/>
          </w:tcPr>
          <w:p w14:paraId="7D34200C" w14:textId="77777777" w:rsidR="00F50B5A" w:rsidRPr="00FA0548" w:rsidRDefault="00F50B5A" w:rsidP="00CB66D8">
            <w:pPr>
              <w:pStyle w:val="TableHeadingLeft"/>
              <w:cnfStyle w:val="100000000000" w:firstRow="1" w:lastRow="0" w:firstColumn="0" w:lastColumn="0" w:oddVBand="0" w:evenVBand="0" w:oddHBand="0" w:evenHBand="0" w:firstRowFirstColumn="0" w:firstRowLastColumn="0" w:lastRowFirstColumn="0" w:lastRowLastColumn="0"/>
            </w:pPr>
            <w:r>
              <w:t>U</w:t>
            </w:r>
            <w:r w:rsidRPr="00FA0548">
              <w:t>se</w:t>
            </w:r>
            <w:r>
              <w:t>d</w:t>
            </w:r>
            <w:r w:rsidRPr="00FA0548">
              <w:t xml:space="preserve"> in </w:t>
            </w:r>
            <w:r>
              <w:t>GORCAP EEA</w:t>
            </w:r>
            <w:r w:rsidRPr="00FA0548">
              <w:t>?</w:t>
            </w:r>
          </w:p>
        </w:tc>
      </w:tr>
      <w:tr w:rsidR="00CB66D8" w:rsidRPr="00FA0548" w14:paraId="0F310D43" w14:textId="77777777" w:rsidTr="00CB66D8">
        <w:trPr>
          <w:trHeight w:val="745"/>
        </w:trPr>
        <w:tc>
          <w:tcPr>
            <w:cnfStyle w:val="001000000000" w:firstRow="0" w:lastRow="0" w:firstColumn="1" w:lastColumn="0" w:oddVBand="0" w:evenVBand="0" w:oddHBand="0" w:evenHBand="0" w:firstRowFirstColumn="0" w:firstRowLastColumn="0" w:lastRowFirstColumn="0" w:lastRowLastColumn="0"/>
            <w:tcW w:w="0" w:type="auto"/>
          </w:tcPr>
          <w:p w14:paraId="499FD5C5" w14:textId="77777777" w:rsidR="00F50B5A" w:rsidRPr="00FA0548" w:rsidRDefault="00F50B5A" w:rsidP="00CB66D8">
            <w:pPr>
              <w:pStyle w:val="TableTextLeft"/>
              <w:rPr>
                <w:rFonts w:ascii="Arial" w:hAnsi="Arial"/>
                <w:color w:val="1A1A1A"/>
              </w:rPr>
            </w:pPr>
            <w:r w:rsidRPr="00FA0548">
              <w:rPr>
                <w:rFonts w:ascii="Arial" w:hAnsi="Arial"/>
                <w:color w:val="1A1A1A"/>
              </w:rPr>
              <w:t>Marsden Jacob (2016), Victoria’s nature-based outdoor economy</w:t>
            </w:r>
          </w:p>
        </w:tc>
        <w:tc>
          <w:tcPr>
            <w:tcW w:w="0" w:type="auto"/>
          </w:tcPr>
          <w:p w14:paraId="13D8D0AB" w14:textId="77777777" w:rsidR="00F50B5A" w:rsidRPr="00FA0548" w:rsidRDefault="00F50B5A" w:rsidP="00CB66D8">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A1A1A"/>
              </w:rPr>
            </w:pPr>
            <w:r w:rsidRPr="00FA0548">
              <w:rPr>
                <w:rFonts w:ascii="Arial" w:hAnsi="Arial"/>
                <w:color w:val="1A1A1A"/>
              </w:rPr>
              <w:t>This study estimated 2.5 million nature-based educational participation days by Victorian schoolchildren in 2014, consisting of approximately 1.5 million daytrips and 1 million overnight trips. These figures were calculated using:</w:t>
            </w:r>
          </w:p>
          <w:p w14:paraId="7FC9EB63" w14:textId="77777777" w:rsidR="00F50B5A" w:rsidRPr="00FA0548" w:rsidRDefault="00F50B5A" w:rsidP="00CB66D8">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A1A1A"/>
              </w:rPr>
            </w:pPr>
          </w:p>
          <w:p w14:paraId="005828CF" w14:textId="77777777" w:rsidR="00F50B5A" w:rsidRPr="00FA0548" w:rsidRDefault="00F50B5A" w:rsidP="00CB66D8">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A1A1A"/>
              </w:rPr>
            </w:pPr>
            <w:r w:rsidRPr="00FA0548">
              <w:rPr>
                <w:rFonts w:ascii="Arial" w:hAnsi="Arial"/>
                <w:color w:val="1A1A1A"/>
              </w:rPr>
              <w:t xml:space="preserve">The “Student Activity Locator” database of school excursions for both catholic and public schools. This was used to estimate of the number of school days that students spent in nature-based outdoor activities and where these days were spent. These participation rates were scaled up to include other private schools in proportion </w:t>
            </w:r>
            <w:r w:rsidRPr="00FA0548">
              <w:rPr>
                <w:rFonts w:ascii="Arial" w:hAnsi="Arial"/>
                <w:color w:val="1A1A1A"/>
              </w:rPr>
              <w:lastRenderedPageBreak/>
              <w:t>to school student numbers reported by the Victorian Department of Education and Training Number of Enrolments 2015. The analysis only included that participation that were identifiably associated with nature based activities.</w:t>
            </w:r>
          </w:p>
          <w:p w14:paraId="512239A2" w14:textId="77777777" w:rsidR="00F50B5A" w:rsidRPr="00FA0548" w:rsidRDefault="00F50B5A" w:rsidP="00CB66D8">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A1A1A"/>
              </w:rPr>
            </w:pPr>
          </w:p>
          <w:p w14:paraId="2909CAAE" w14:textId="77777777" w:rsidR="00F50B5A" w:rsidRPr="00FA0548" w:rsidRDefault="00F50B5A" w:rsidP="00CB66D8">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A1A1A"/>
              </w:rPr>
            </w:pPr>
            <w:r w:rsidRPr="00FA0548">
              <w:rPr>
                <w:rFonts w:ascii="Arial" w:hAnsi="Arial"/>
                <w:color w:val="1A1A1A"/>
              </w:rPr>
              <w:t>The Australian Camps Association’s “Prices and Occupancy Report 2012”. This was used as a top-down estimate of the number of Victorian public and catholic school student days spent on camp.</w:t>
            </w:r>
          </w:p>
        </w:tc>
        <w:tc>
          <w:tcPr>
            <w:tcW w:w="0" w:type="auto"/>
            <w:shd w:val="clear" w:color="auto" w:fill="92D050"/>
          </w:tcPr>
          <w:p w14:paraId="77B13A5E" w14:textId="77777777" w:rsidR="00F50B5A" w:rsidRPr="00FA0548" w:rsidRDefault="00F50B5A" w:rsidP="00CB66D8">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A1A1A"/>
              </w:rPr>
            </w:pPr>
            <w:r w:rsidRPr="00FA0548">
              <w:rPr>
                <w:rFonts w:ascii="Arial" w:hAnsi="Arial"/>
                <w:color w:val="1A1A1A"/>
              </w:rPr>
              <w:lastRenderedPageBreak/>
              <w:t>Yes</w:t>
            </w:r>
          </w:p>
        </w:tc>
        <w:tc>
          <w:tcPr>
            <w:tcW w:w="0" w:type="auto"/>
          </w:tcPr>
          <w:p w14:paraId="65191B16" w14:textId="77777777" w:rsidR="00F50B5A" w:rsidRPr="00FA0548" w:rsidRDefault="00F50B5A" w:rsidP="00CB66D8">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A1A1A"/>
              </w:rPr>
            </w:pPr>
            <w:r w:rsidRPr="00FA0548">
              <w:rPr>
                <w:rFonts w:ascii="Arial" w:hAnsi="Arial"/>
                <w:color w:val="1A1A1A"/>
              </w:rPr>
              <w:t xml:space="preserve">The Victorian Department for Education and Training (DET) Student Activity Locator database will be </w:t>
            </w:r>
            <w:r>
              <w:rPr>
                <w:rFonts w:ascii="Arial" w:hAnsi="Arial"/>
                <w:color w:val="1A1A1A"/>
              </w:rPr>
              <w:t>used to</w:t>
            </w:r>
            <w:r w:rsidRPr="00FA0548">
              <w:rPr>
                <w:rFonts w:ascii="Arial" w:hAnsi="Arial"/>
                <w:color w:val="1A1A1A"/>
              </w:rPr>
              <w:t xml:space="preserve"> est</w:t>
            </w:r>
            <w:r>
              <w:rPr>
                <w:rFonts w:ascii="Arial" w:hAnsi="Arial"/>
                <w:color w:val="1A1A1A"/>
              </w:rPr>
              <w:t>imate</w:t>
            </w:r>
            <w:r w:rsidRPr="00FA0548">
              <w:rPr>
                <w:rFonts w:ascii="Arial" w:hAnsi="Arial"/>
                <w:color w:val="1A1A1A"/>
              </w:rPr>
              <w:t xml:space="preserve"> the number of school visits to the natural environment within the area of the </w:t>
            </w:r>
            <w:r>
              <w:rPr>
                <w:rFonts w:ascii="Arial" w:hAnsi="Arial"/>
                <w:color w:val="1A1A1A"/>
              </w:rPr>
              <w:t xml:space="preserve">GORCAP EEA </w:t>
            </w:r>
            <w:r w:rsidRPr="00FA0548">
              <w:rPr>
                <w:rFonts w:ascii="Arial" w:hAnsi="Arial"/>
                <w:color w:val="1A1A1A"/>
              </w:rPr>
              <w:t xml:space="preserve"> boundar</w:t>
            </w:r>
            <w:r>
              <w:rPr>
                <w:rFonts w:ascii="Arial" w:hAnsi="Arial"/>
                <w:color w:val="1A1A1A"/>
              </w:rPr>
              <w:t>y.</w:t>
            </w:r>
          </w:p>
        </w:tc>
      </w:tr>
      <w:tr w:rsidR="00CB66D8" w:rsidRPr="00FA0548" w14:paraId="117A3DB3" w14:textId="77777777" w:rsidTr="00CB66D8">
        <w:trPr>
          <w:trHeight w:val="2233"/>
        </w:trPr>
        <w:tc>
          <w:tcPr>
            <w:cnfStyle w:val="001000000000" w:firstRow="0" w:lastRow="0" w:firstColumn="1" w:lastColumn="0" w:oddVBand="0" w:evenVBand="0" w:oddHBand="0" w:evenHBand="0" w:firstRowFirstColumn="0" w:firstRowLastColumn="0" w:lastRowFirstColumn="0" w:lastRowLastColumn="0"/>
            <w:tcW w:w="0" w:type="auto"/>
          </w:tcPr>
          <w:p w14:paraId="67D676E3" w14:textId="77777777" w:rsidR="00F50B5A" w:rsidRPr="00FA0548" w:rsidRDefault="00F50B5A" w:rsidP="00CB66D8">
            <w:pPr>
              <w:pStyle w:val="TableTextLeft"/>
              <w:rPr>
                <w:rFonts w:ascii="Arial" w:hAnsi="Arial"/>
                <w:color w:val="1A1A1A"/>
              </w:rPr>
            </w:pPr>
            <w:r w:rsidRPr="00FA0548">
              <w:rPr>
                <w:rFonts w:ascii="Arial" w:hAnsi="Arial"/>
                <w:color w:val="1A1A1A"/>
              </w:rPr>
              <w:t>DELWP and Parks Victoria (2015), Valuing Victoria’s Parks: Accounting for ecosystems and valuing their benefits</w:t>
            </w:r>
          </w:p>
        </w:tc>
        <w:tc>
          <w:tcPr>
            <w:tcW w:w="0" w:type="auto"/>
          </w:tcPr>
          <w:p w14:paraId="299BE178" w14:textId="77777777" w:rsidR="00F50B5A" w:rsidRPr="00FA0548" w:rsidRDefault="00F50B5A" w:rsidP="00CB66D8">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A1A1A"/>
              </w:rPr>
            </w:pPr>
            <w:r w:rsidRPr="00FA0548">
              <w:rPr>
                <w:rFonts w:ascii="Arial" w:hAnsi="Arial"/>
                <w:color w:val="1A1A1A"/>
              </w:rPr>
              <w:t xml:space="preserve">The study states that ‘on average 215 research permits are issued in parks every year and 183,000 people participate in parks related education programs every year’ using Parks Victoria data. </w:t>
            </w:r>
          </w:p>
        </w:tc>
        <w:tc>
          <w:tcPr>
            <w:tcW w:w="0" w:type="auto"/>
            <w:shd w:val="clear" w:color="auto" w:fill="FF0000"/>
          </w:tcPr>
          <w:p w14:paraId="5C258DDC" w14:textId="77777777" w:rsidR="00F50B5A" w:rsidRPr="00FA0548" w:rsidRDefault="00F50B5A" w:rsidP="00CB66D8">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A1A1A"/>
              </w:rPr>
            </w:pPr>
            <w:r>
              <w:rPr>
                <w:rFonts w:ascii="Arial" w:hAnsi="Arial"/>
                <w:color w:val="1A1A1A"/>
              </w:rPr>
              <w:t>No</w:t>
            </w:r>
          </w:p>
        </w:tc>
        <w:tc>
          <w:tcPr>
            <w:tcW w:w="0" w:type="auto"/>
          </w:tcPr>
          <w:p w14:paraId="27C025E3" w14:textId="77777777" w:rsidR="00F50B5A" w:rsidRPr="00FA0548" w:rsidRDefault="00F50B5A" w:rsidP="00CB66D8">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A1A1A"/>
              </w:rPr>
            </w:pPr>
            <w:r>
              <w:rPr>
                <w:rFonts w:ascii="Arial" w:hAnsi="Arial"/>
                <w:color w:val="1A1A1A"/>
              </w:rPr>
              <w:t>Educational visit data to specific parks within the boundary does not exist. D</w:t>
            </w:r>
            <w:r w:rsidRPr="00FA0548">
              <w:rPr>
                <w:rFonts w:ascii="Arial" w:hAnsi="Arial"/>
                <w:color w:val="1A1A1A"/>
              </w:rPr>
              <w:t>ata on</w:t>
            </w:r>
            <w:r w:rsidRPr="00F719F4">
              <w:rPr>
                <w:rFonts w:ascii="Arial" w:hAnsi="Arial"/>
                <w:color w:val="1A1A1A"/>
              </w:rPr>
              <w:t xml:space="preserve"> the number of research permits w</w:t>
            </w:r>
            <w:r>
              <w:rPr>
                <w:rFonts w:ascii="Arial" w:hAnsi="Arial"/>
                <w:color w:val="1A1A1A"/>
              </w:rPr>
              <w:t>as acquired from Parks Victoria and is noted as an area for</w:t>
            </w:r>
            <w:r w:rsidRPr="00F719F4">
              <w:rPr>
                <w:rFonts w:ascii="Arial" w:hAnsi="Arial"/>
                <w:color w:val="1A1A1A"/>
              </w:rPr>
              <w:t xml:space="preserve"> future work.</w:t>
            </w:r>
          </w:p>
        </w:tc>
      </w:tr>
    </w:tbl>
    <w:p w14:paraId="51F832CF" w14:textId="77777777" w:rsidR="00F50B5A" w:rsidRPr="005D5694" w:rsidRDefault="00F50B5A" w:rsidP="00A2745D">
      <w:pPr>
        <w:pStyle w:val="AlphaHeading4"/>
      </w:pPr>
      <w:r>
        <w:t>Monetary value</w:t>
      </w:r>
      <w:r w:rsidRPr="005D5694">
        <w:t xml:space="preserve"> of </w:t>
      </w:r>
      <w:r>
        <w:t>e</w:t>
      </w:r>
      <w:r w:rsidRPr="00BD7A5E">
        <w:t>ducation and research</w:t>
      </w:r>
    </w:p>
    <w:p w14:paraId="6631BBA9" w14:textId="77777777" w:rsidR="00F50B5A" w:rsidRPr="00417294" w:rsidRDefault="00F50B5A" w:rsidP="00CF5F1D">
      <w:pPr>
        <w:pStyle w:val="BodyText"/>
      </w:pPr>
      <w:r w:rsidRPr="00417294">
        <w:t xml:space="preserve">Table </w:t>
      </w:r>
      <w:r>
        <w:t>A3.10.</w:t>
      </w:r>
      <w:r w:rsidRPr="00417294">
        <w:t xml:space="preserve"> provides details on the studies that could be used to develop a </w:t>
      </w:r>
      <w:r>
        <w:t xml:space="preserve">GOR </w:t>
      </w:r>
      <w:r w:rsidRPr="00417294">
        <w:t>specific assessment of the value of educational visits to the natural environment.</w:t>
      </w:r>
    </w:p>
    <w:p w14:paraId="1CF93D34" w14:textId="77777777" w:rsidR="00F50B5A" w:rsidRPr="00417294" w:rsidRDefault="00F50B5A" w:rsidP="00CB66D8">
      <w:pPr>
        <w:pStyle w:val="Caption"/>
        <w:tabs>
          <w:tab w:val="clear" w:pos="1191"/>
        </w:tabs>
      </w:pPr>
      <w:r w:rsidRPr="00CE093F">
        <w:t xml:space="preserve">Table </w:t>
      </w:r>
      <w:r w:rsidRPr="00CE093F">
        <w:rPr>
          <w:color w:val="1A1A1A"/>
        </w:rPr>
        <w:t>A3.10</w:t>
      </w:r>
      <w:r w:rsidRPr="00CE093F">
        <w:t>. Review</w:t>
      </w:r>
      <w:r w:rsidRPr="00417294">
        <w:t xml:space="preserve"> of methods used to estimate the monetary value of education from ecosystem assets </w:t>
      </w:r>
    </w:p>
    <w:tbl>
      <w:tblPr>
        <w:tblStyle w:val="TableGrid"/>
        <w:tblW w:w="9639" w:type="dxa"/>
        <w:tblLook w:val="04A0" w:firstRow="1" w:lastRow="0" w:firstColumn="1" w:lastColumn="0" w:noHBand="0" w:noVBand="1"/>
      </w:tblPr>
      <w:tblGrid>
        <w:gridCol w:w="2052"/>
        <w:gridCol w:w="4099"/>
        <w:gridCol w:w="571"/>
        <w:gridCol w:w="2917"/>
      </w:tblGrid>
      <w:tr w:rsidR="00CF5F1D" w:rsidRPr="00417294" w14:paraId="2C02AA0B" w14:textId="77777777" w:rsidTr="00A459D5">
        <w:trPr>
          <w:cnfStyle w:val="100000000000" w:firstRow="1" w:lastRow="0" w:firstColumn="0" w:lastColumn="0" w:oddVBand="0" w:evenVBand="0" w:oddHBand="0"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2052" w:type="dxa"/>
          </w:tcPr>
          <w:p w14:paraId="20ADC291" w14:textId="77777777" w:rsidR="00F50B5A" w:rsidRPr="00417294" w:rsidRDefault="00F50B5A" w:rsidP="00CB66D8">
            <w:pPr>
              <w:pStyle w:val="TableHeadingLeft"/>
            </w:pPr>
            <w:r w:rsidRPr="00417294">
              <w:t>Source</w:t>
            </w:r>
          </w:p>
        </w:tc>
        <w:tc>
          <w:tcPr>
            <w:tcW w:w="4099" w:type="dxa"/>
          </w:tcPr>
          <w:p w14:paraId="450E03E0" w14:textId="77777777" w:rsidR="00F50B5A" w:rsidRPr="00417294" w:rsidRDefault="00F50B5A" w:rsidP="00CB66D8">
            <w:pPr>
              <w:pStyle w:val="TableHeadingLeft"/>
              <w:cnfStyle w:val="100000000000" w:firstRow="1" w:lastRow="0" w:firstColumn="0" w:lastColumn="0" w:oddVBand="0" w:evenVBand="0" w:oddHBand="0" w:evenHBand="0" w:firstRowFirstColumn="0" w:firstRowLastColumn="0" w:lastRowFirstColumn="0" w:lastRowLastColumn="0"/>
            </w:pPr>
            <w:r w:rsidRPr="00417294">
              <w:t>Description</w:t>
            </w:r>
          </w:p>
        </w:tc>
        <w:tc>
          <w:tcPr>
            <w:tcW w:w="3488" w:type="dxa"/>
            <w:gridSpan w:val="2"/>
          </w:tcPr>
          <w:p w14:paraId="45B781FD" w14:textId="77777777" w:rsidR="00F50B5A" w:rsidRPr="00417294" w:rsidRDefault="00F50B5A" w:rsidP="00CB66D8">
            <w:pPr>
              <w:pStyle w:val="TableHeadingLeft"/>
              <w:cnfStyle w:val="100000000000" w:firstRow="1" w:lastRow="0" w:firstColumn="0" w:lastColumn="0" w:oddVBand="0" w:evenVBand="0" w:oddHBand="0" w:evenHBand="0" w:firstRowFirstColumn="0" w:firstRowLastColumn="0" w:lastRowFirstColumn="0" w:lastRowLastColumn="0"/>
            </w:pPr>
            <w:r>
              <w:t>Used</w:t>
            </w:r>
            <w:r w:rsidRPr="00417294">
              <w:t xml:space="preserve"> in </w:t>
            </w:r>
            <w:r>
              <w:t>GORCAP EEA</w:t>
            </w:r>
            <w:r w:rsidRPr="00417294">
              <w:t>?</w:t>
            </w:r>
          </w:p>
        </w:tc>
      </w:tr>
      <w:tr w:rsidR="00CF5F1D" w:rsidRPr="00417294" w14:paraId="4B478731" w14:textId="77777777" w:rsidTr="00A459D5">
        <w:trPr>
          <w:trHeight w:val="211"/>
        </w:trPr>
        <w:tc>
          <w:tcPr>
            <w:cnfStyle w:val="001000000000" w:firstRow="0" w:lastRow="0" w:firstColumn="1" w:lastColumn="0" w:oddVBand="0" w:evenVBand="0" w:oddHBand="0" w:evenHBand="0" w:firstRowFirstColumn="0" w:firstRowLastColumn="0" w:lastRowFirstColumn="0" w:lastRowLastColumn="0"/>
            <w:tcW w:w="2052" w:type="dxa"/>
          </w:tcPr>
          <w:p w14:paraId="7D422762" w14:textId="77777777" w:rsidR="00F50B5A" w:rsidRPr="00417294" w:rsidRDefault="00F50B5A" w:rsidP="00CB66D8">
            <w:pPr>
              <w:pStyle w:val="TableTextLeft"/>
            </w:pPr>
            <w:r w:rsidRPr="00417294">
              <w:t>Marsden Jacob (2016), Victoria’s nature-based outdoor economy</w:t>
            </w:r>
          </w:p>
        </w:tc>
        <w:tc>
          <w:tcPr>
            <w:tcW w:w="4099" w:type="dxa"/>
          </w:tcPr>
          <w:p w14:paraId="6DEDCE10" w14:textId="77777777" w:rsidR="00F50B5A" w:rsidRPr="00ED11DB" w:rsidRDefault="00F50B5A" w:rsidP="00CB66D8">
            <w:pPr>
              <w:pStyle w:val="TableTextLeft"/>
              <w:cnfStyle w:val="000000000000" w:firstRow="0" w:lastRow="0" w:firstColumn="0" w:lastColumn="0" w:oddVBand="0" w:evenVBand="0" w:oddHBand="0" w:evenHBand="0" w:firstRowFirstColumn="0" w:firstRowLastColumn="0" w:lastRowFirstColumn="0" w:lastRowLastColumn="0"/>
              <w:rPr>
                <w:color w:val="111111" w:themeColor="text1" w:themeShade="80"/>
              </w:rPr>
            </w:pPr>
            <w:r w:rsidRPr="00ED11DB">
              <w:rPr>
                <w:color w:val="111111" w:themeColor="text1" w:themeShade="80"/>
              </w:rPr>
              <w:t>This study estimates of the contribution of Victoria’s nature-based outdoors sector to the Victorian economy. The contribution to Gross State Product is estimated, with an adjustment for leakage of expenditure on goods and services outside of the Victorian economy.</w:t>
            </w:r>
          </w:p>
          <w:p w14:paraId="57073891" w14:textId="77777777" w:rsidR="00F50B5A" w:rsidRPr="00ED11DB" w:rsidRDefault="00F50B5A" w:rsidP="00CB66D8">
            <w:pPr>
              <w:pStyle w:val="TableTextLeft"/>
              <w:cnfStyle w:val="000000000000" w:firstRow="0" w:lastRow="0" w:firstColumn="0" w:lastColumn="0" w:oddVBand="0" w:evenVBand="0" w:oddHBand="0" w:evenHBand="0" w:firstRowFirstColumn="0" w:firstRowLastColumn="0" w:lastRowFirstColumn="0" w:lastRowLastColumn="0"/>
              <w:rPr>
                <w:color w:val="111111" w:themeColor="text1" w:themeShade="80"/>
              </w:rPr>
            </w:pPr>
          </w:p>
          <w:p w14:paraId="4B11FD26" w14:textId="77777777" w:rsidR="00F50B5A" w:rsidRPr="00ED11DB" w:rsidRDefault="00F50B5A" w:rsidP="00CB66D8">
            <w:pPr>
              <w:pStyle w:val="TableTextLeft"/>
              <w:cnfStyle w:val="000000000000" w:firstRow="0" w:lastRow="0" w:firstColumn="0" w:lastColumn="0" w:oddVBand="0" w:evenVBand="0" w:oddHBand="0" w:evenHBand="0" w:firstRowFirstColumn="0" w:firstRowLastColumn="0" w:lastRowFirstColumn="0" w:lastRowLastColumn="0"/>
              <w:rPr>
                <w:color w:val="111111" w:themeColor="text1" w:themeShade="80"/>
              </w:rPr>
            </w:pPr>
            <w:r w:rsidRPr="00ED11DB">
              <w:rPr>
                <w:color w:val="111111" w:themeColor="text1" w:themeShade="80"/>
              </w:rPr>
              <w:t>Day and multi-night school excursion expenditure was estimated using the average cost for day trip and overnight activities from the Australian Camping Association’s Prices and Occupancy Survey Report 2012 (inflated to 2014/15). Because the respondents are overwhelmingly Victorian, the average figures were expected to be representative.</w:t>
            </w:r>
          </w:p>
        </w:tc>
        <w:tc>
          <w:tcPr>
            <w:tcW w:w="0" w:type="auto"/>
            <w:shd w:val="clear" w:color="auto" w:fill="92D050"/>
          </w:tcPr>
          <w:p w14:paraId="0C2978EB" w14:textId="77777777" w:rsidR="00F50B5A" w:rsidRPr="00ED11DB" w:rsidRDefault="00F50B5A" w:rsidP="00CB66D8">
            <w:pPr>
              <w:pStyle w:val="TableTextLeft"/>
              <w:cnfStyle w:val="000000000000" w:firstRow="0" w:lastRow="0" w:firstColumn="0" w:lastColumn="0" w:oddVBand="0" w:evenVBand="0" w:oddHBand="0" w:evenHBand="0" w:firstRowFirstColumn="0" w:firstRowLastColumn="0" w:lastRowFirstColumn="0" w:lastRowLastColumn="0"/>
              <w:rPr>
                <w:color w:val="111111" w:themeColor="text1" w:themeShade="80"/>
              </w:rPr>
            </w:pPr>
            <w:r w:rsidRPr="00ED11DB">
              <w:rPr>
                <w:color w:val="111111" w:themeColor="text1" w:themeShade="80"/>
              </w:rPr>
              <w:t>Yes</w:t>
            </w:r>
          </w:p>
        </w:tc>
        <w:tc>
          <w:tcPr>
            <w:tcW w:w="2917" w:type="dxa"/>
          </w:tcPr>
          <w:p w14:paraId="2E10883E" w14:textId="77777777" w:rsidR="00F50B5A" w:rsidRPr="00ED11DB" w:rsidRDefault="00F50B5A" w:rsidP="00CB66D8">
            <w:pPr>
              <w:pStyle w:val="TableTextLeft"/>
              <w:cnfStyle w:val="000000000000" w:firstRow="0" w:lastRow="0" w:firstColumn="0" w:lastColumn="0" w:oddVBand="0" w:evenVBand="0" w:oddHBand="0" w:evenHBand="0" w:firstRowFirstColumn="0" w:firstRowLastColumn="0" w:lastRowFirstColumn="0" w:lastRowLastColumn="0"/>
              <w:rPr>
                <w:color w:val="111111" w:themeColor="text1" w:themeShade="80"/>
              </w:rPr>
            </w:pPr>
            <w:r w:rsidRPr="00ED11DB">
              <w:rPr>
                <w:color w:val="111111" w:themeColor="text1" w:themeShade="80"/>
              </w:rPr>
              <w:t xml:space="preserve">The focus of the </w:t>
            </w:r>
            <w:r>
              <w:rPr>
                <w:color w:val="111111" w:themeColor="text1" w:themeShade="80"/>
              </w:rPr>
              <w:t>GORCAP EEA</w:t>
            </w:r>
            <w:r w:rsidRPr="00ED11DB">
              <w:rPr>
                <w:color w:val="111111" w:themeColor="text1" w:themeShade="80"/>
              </w:rPr>
              <w:t xml:space="preserve"> is on the societal value of education rather than the contribution to economic output.  Therefore, whilst the method to estimate GSP will not be considered, the excursion expenditure on school trips from the latest Australian Camping Association’s Prices and Occupancy Survey Report will be used as a representative figure for the “value” (lower bound) of educational visits.</w:t>
            </w:r>
          </w:p>
        </w:tc>
      </w:tr>
      <w:tr w:rsidR="00CF5F1D" w:rsidRPr="00417294" w14:paraId="22C392DD" w14:textId="77777777" w:rsidTr="00A459D5">
        <w:trPr>
          <w:trHeight w:val="243"/>
        </w:trPr>
        <w:tc>
          <w:tcPr>
            <w:cnfStyle w:val="001000000000" w:firstRow="0" w:lastRow="0" w:firstColumn="1" w:lastColumn="0" w:oddVBand="0" w:evenVBand="0" w:oddHBand="0" w:evenHBand="0" w:firstRowFirstColumn="0" w:firstRowLastColumn="0" w:lastRowFirstColumn="0" w:lastRowLastColumn="0"/>
            <w:tcW w:w="2052" w:type="dxa"/>
          </w:tcPr>
          <w:p w14:paraId="121A4662" w14:textId="77777777" w:rsidR="00F50B5A" w:rsidRPr="00417294" w:rsidRDefault="00F50B5A" w:rsidP="00CB66D8">
            <w:pPr>
              <w:pStyle w:val="TableTextLeft"/>
            </w:pPr>
            <w:r w:rsidRPr="00417294">
              <w:t xml:space="preserve">Mourato et al. (2011) UK National Economic Assessment: Assessment of Ecosystem Related </w:t>
            </w:r>
            <w:r w:rsidRPr="00417294">
              <w:lastRenderedPageBreak/>
              <w:t>UK Cultural Services</w:t>
            </w:r>
          </w:p>
        </w:tc>
        <w:tc>
          <w:tcPr>
            <w:tcW w:w="4099" w:type="dxa"/>
          </w:tcPr>
          <w:p w14:paraId="150AE071" w14:textId="77777777" w:rsidR="00F50B5A" w:rsidRPr="00417294" w:rsidRDefault="00F50B5A" w:rsidP="00CB66D8">
            <w:pPr>
              <w:pStyle w:val="TableTextLeft"/>
              <w:cnfStyle w:val="000000000000" w:firstRow="0" w:lastRow="0" w:firstColumn="0" w:lastColumn="0" w:oddVBand="0" w:evenVBand="0" w:oddHBand="0" w:evenHBand="0" w:firstRowFirstColumn="0" w:firstRowLastColumn="0" w:lastRowFirstColumn="0" w:lastRowLastColumn="0"/>
            </w:pPr>
            <w:r w:rsidRPr="00417294">
              <w:lastRenderedPageBreak/>
              <w:t>This study values educational</w:t>
            </w:r>
            <w:r>
              <w:t xml:space="preserve"> (day)</w:t>
            </w:r>
            <w:r w:rsidRPr="00417294">
              <w:t xml:space="preserve"> trips made by schools in 2009 to the London Wetland Centre of £19 per child and the </w:t>
            </w:r>
            <w:proofErr w:type="spellStart"/>
            <w:r w:rsidRPr="00417294">
              <w:t>Hanningfield</w:t>
            </w:r>
            <w:proofErr w:type="spellEnd"/>
            <w:r w:rsidRPr="00417294">
              <w:t xml:space="preserve"> Reservoir of £30 per child. The value of educational trips is estimated as the sum of:</w:t>
            </w:r>
          </w:p>
          <w:p w14:paraId="5D51036D" w14:textId="3690D16C" w:rsidR="00F50B5A" w:rsidRDefault="00F50B5A" w:rsidP="00CB66D8">
            <w:pPr>
              <w:pStyle w:val="TableTextBullet"/>
              <w:cnfStyle w:val="000000000000" w:firstRow="0" w:lastRow="0" w:firstColumn="0" w:lastColumn="0" w:oddVBand="0" w:evenVBand="0" w:oddHBand="0" w:evenHBand="0" w:firstRowFirstColumn="0" w:firstRowLastColumn="0" w:lastRowFirstColumn="0" w:lastRowLastColumn="0"/>
            </w:pPr>
            <w:r w:rsidRPr="00417294">
              <w:lastRenderedPageBreak/>
              <w:t>Transport costs: The average cost to parents of a primary and secondary school day trip in the UK was used to value transport costs = between £7.75 and £16.18 per child per trip.</w:t>
            </w:r>
          </w:p>
          <w:p w14:paraId="07FD452B" w14:textId="4534A091" w:rsidR="00F50B5A" w:rsidRPr="00DA175F" w:rsidRDefault="00F50B5A" w:rsidP="00CB66D8">
            <w:pPr>
              <w:pStyle w:val="TableTextBullet"/>
              <w:cnfStyle w:val="000000000000" w:firstRow="0" w:lastRow="0" w:firstColumn="0" w:lastColumn="0" w:oddVBand="0" w:evenVBand="0" w:oddHBand="0" w:evenHBand="0" w:firstRowFirstColumn="0" w:firstRowLastColumn="0" w:lastRowFirstColumn="0" w:lastRowLastColumn="0"/>
            </w:pPr>
            <w:r w:rsidRPr="00DA175F">
              <w:t>Value of teachers in-vehicle travel time was valued using 125 per cent of their wage (estimated at £35,000 per annum, to reflect the cost of their time and labour overheads).</w:t>
            </w:r>
          </w:p>
          <w:p w14:paraId="1A532A8F" w14:textId="376FFF64" w:rsidR="00F50B5A" w:rsidRPr="00417294" w:rsidRDefault="00F50B5A" w:rsidP="00CB66D8">
            <w:pPr>
              <w:pStyle w:val="TableTextBullet"/>
              <w:cnfStyle w:val="000000000000" w:firstRow="0" w:lastRow="0" w:firstColumn="0" w:lastColumn="0" w:oddVBand="0" w:evenVBand="0" w:oddHBand="0" w:evenHBand="0" w:firstRowFirstColumn="0" w:firstRowLastColumn="0" w:lastRowFirstColumn="0" w:lastRowLastColumn="0"/>
            </w:pPr>
            <w:r w:rsidRPr="00417294">
              <w:t>Value of student time: based on the cost to government of keeping students in education (about £5,140 per student per year).</w:t>
            </w:r>
          </w:p>
        </w:tc>
        <w:tc>
          <w:tcPr>
            <w:tcW w:w="0" w:type="auto"/>
            <w:shd w:val="clear" w:color="auto" w:fill="FF0000"/>
          </w:tcPr>
          <w:p w14:paraId="039482AD" w14:textId="77777777" w:rsidR="00F50B5A" w:rsidRPr="00417294" w:rsidRDefault="00F50B5A" w:rsidP="00CB66D8">
            <w:pPr>
              <w:pStyle w:val="TableTextLeft"/>
              <w:cnfStyle w:val="000000000000" w:firstRow="0" w:lastRow="0" w:firstColumn="0" w:lastColumn="0" w:oddVBand="0" w:evenVBand="0" w:oddHBand="0" w:evenHBand="0" w:firstRowFirstColumn="0" w:firstRowLastColumn="0" w:lastRowFirstColumn="0" w:lastRowLastColumn="0"/>
            </w:pPr>
            <w:r>
              <w:lastRenderedPageBreak/>
              <w:t>No</w:t>
            </w:r>
          </w:p>
        </w:tc>
        <w:tc>
          <w:tcPr>
            <w:tcW w:w="2917" w:type="dxa"/>
          </w:tcPr>
          <w:p w14:paraId="7365C856" w14:textId="77777777" w:rsidR="00F50B5A" w:rsidRPr="00417294" w:rsidRDefault="00F50B5A" w:rsidP="00CB66D8">
            <w:pPr>
              <w:pStyle w:val="TableTextLeft"/>
              <w:cnfStyle w:val="000000000000" w:firstRow="0" w:lastRow="0" w:firstColumn="0" w:lastColumn="0" w:oddVBand="0" w:evenVBand="0" w:oddHBand="0" w:evenHBand="0" w:firstRowFirstColumn="0" w:firstRowLastColumn="0" w:lastRowFirstColumn="0" w:lastRowLastColumn="0"/>
            </w:pPr>
            <w:r>
              <w:t xml:space="preserve">These are UK specific estimated of </w:t>
            </w:r>
            <w:r w:rsidRPr="00417294">
              <w:t xml:space="preserve">educational activities </w:t>
            </w:r>
            <w:r>
              <w:t>and so are not deemed to be the most appropriate to use for this GORCAP EEA</w:t>
            </w:r>
            <w:r w:rsidRPr="00417294">
              <w:t>.</w:t>
            </w:r>
            <w:r>
              <w:t xml:space="preserve"> However, the method adopted will be used to inform areas for future </w:t>
            </w:r>
            <w:r>
              <w:lastRenderedPageBreak/>
              <w:t xml:space="preserve">research to refine the valuation of educational visits to the natural environment within the GORCAP EEA boundary. </w:t>
            </w:r>
            <w:r w:rsidRPr="00417294">
              <w:t xml:space="preserve"> </w:t>
            </w:r>
          </w:p>
        </w:tc>
      </w:tr>
      <w:tr w:rsidR="00CF5F1D" w:rsidRPr="00417294" w14:paraId="0E12AB26" w14:textId="77777777" w:rsidTr="00A459D5">
        <w:trPr>
          <w:trHeight w:val="243"/>
        </w:trPr>
        <w:tc>
          <w:tcPr>
            <w:cnfStyle w:val="001000000000" w:firstRow="0" w:lastRow="0" w:firstColumn="1" w:lastColumn="0" w:oddVBand="0" w:evenVBand="0" w:oddHBand="0" w:evenHBand="0" w:firstRowFirstColumn="0" w:firstRowLastColumn="0" w:lastRowFirstColumn="0" w:lastRowLastColumn="0"/>
            <w:tcW w:w="2052" w:type="dxa"/>
          </w:tcPr>
          <w:p w14:paraId="43E5F948" w14:textId="77777777" w:rsidR="00F50B5A" w:rsidRPr="00417294" w:rsidRDefault="00F50B5A" w:rsidP="00CB66D8">
            <w:pPr>
              <w:pStyle w:val="TableTextLeft"/>
            </w:pPr>
            <w:r w:rsidRPr="00066BC7">
              <w:lastRenderedPageBreak/>
              <w:t>Tourism Research Australia</w:t>
            </w:r>
            <w:r>
              <w:t xml:space="preserve"> (2021) </w:t>
            </w:r>
            <w:r w:rsidRPr="009D2AED">
              <w:t>R</w:t>
            </w:r>
            <w:r>
              <w:t xml:space="preserve">egional Tourism Satellite Account </w:t>
            </w:r>
            <w:r w:rsidRPr="009D2AED">
              <w:t>2018–19</w:t>
            </w:r>
          </w:p>
        </w:tc>
        <w:tc>
          <w:tcPr>
            <w:tcW w:w="4099" w:type="dxa"/>
          </w:tcPr>
          <w:p w14:paraId="16874E4D" w14:textId="44479C49" w:rsidR="00F50B5A" w:rsidRPr="00417294" w:rsidRDefault="00F50B5A" w:rsidP="00CB66D8">
            <w:pPr>
              <w:pStyle w:val="TableTextLeft"/>
              <w:cnfStyle w:val="000000000000" w:firstRow="0" w:lastRow="0" w:firstColumn="0" w:lastColumn="0" w:oddVBand="0" w:evenVBand="0" w:oddHBand="0" w:evenHBand="0" w:firstRowFirstColumn="0" w:firstRowLastColumn="0" w:lastRowFirstColumn="0" w:lastRowLastColumn="0"/>
            </w:pPr>
            <w:r>
              <w:t>This account provides</w:t>
            </w:r>
            <w:r w:rsidRPr="006542B0">
              <w:t xml:space="preserve"> estimates for the Great Ocean Road tourism region </w:t>
            </w:r>
            <w:r>
              <w:t xml:space="preserve">for </w:t>
            </w:r>
            <w:r w:rsidRPr="006542B0">
              <w:t xml:space="preserve">direct and indirect Gross Regional Product and Gross Value Added </w:t>
            </w:r>
            <w:r>
              <w:t>for</w:t>
            </w:r>
            <w:r w:rsidRPr="006542B0">
              <w:t xml:space="preserve"> 2018</w:t>
            </w:r>
            <w:r>
              <w:t>-19</w:t>
            </w:r>
            <w:r w:rsidRPr="006542B0">
              <w:t xml:space="preserve">. </w:t>
            </w:r>
            <w:r>
              <w:t xml:space="preserve">It has a breakdown by tourism industry including education and training. It is used by </w:t>
            </w:r>
            <w:r w:rsidRPr="006542B0">
              <w:t>DJPR (2020)</w:t>
            </w:r>
            <w:r>
              <w:t xml:space="preserve"> to estimate th</w:t>
            </w:r>
            <w:r w:rsidRPr="006542B0">
              <w:t>e economic contribution of tourism to Victoria’s regions 2018-19</w:t>
            </w:r>
            <w:r>
              <w:t xml:space="preserve">. </w:t>
            </w:r>
          </w:p>
        </w:tc>
        <w:tc>
          <w:tcPr>
            <w:tcW w:w="0" w:type="auto"/>
            <w:shd w:val="clear" w:color="auto" w:fill="92D050"/>
          </w:tcPr>
          <w:p w14:paraId="5FD3A548" w14:textId="77777777" w:rsidR="00F50B5A" w:rsidRPr="00417294" w:rsidRDefault="00F50B5A" w:rsidP="00CB66D8">
            <w:pPr>
              <w:pStyle w:val="TableTextLeft"/>
              <w:cnfStyle w:val="000000000000" w:firstRow="0" w:lastRow="0" w:firstColumn="0" w:lastColumn="0" w:oddVBand="0" w:evenVBand="0" w:oddHBand="0" w:evenHBand="0" w:firstRowFirstColumn="0" w:firstRowLastColumn="0" w:lastRowFirstColumn="0" w:lastRowLastColumn="0"/>
            </w:pPr>
            <w:r w:rsidRPr="002A1B0D">
              <w:t>Yes</w:t>
            </w:r>
          </w:p>
        </w:tc>
        <w:tc>
          <w:tcPr>
            <w:tcW w:w="2917" w:type="dxa"/>
          </w:tcPr>
          <w:p w14:paraId="557895AB" w14:textId="77777777" w:rsidR="00F50B5A" w:rsidRPr="009C0C26" w:rsidRDefault="00F50B5A" w:rsidP="00CB66D8">
            <w:pPr>
              <w:pStyle w:val="TableTextLeft"/>
              <w:cnfStyle w:val="000000000000" w:firstRow="0" w:lastRow="0" w:firstColumn="0" w:lastColumn="0" w:oddVBand="0" w:evenVBand="0" w:oddHBand="0" w:evenHBand="0" w:firstRowFirstColumn="0" w:firstRowLastColumn="0" w:lastRowFirstColumn="0" w:lastRowLastColumn="0"/>
            </w:pPr>
            <w:r w:rsidRPr="002A1B0D">
              <w:rPr>
                <w:b/>
                <w:bCs/>
              </w:rPr>
              <w:t xml:space="preserve">GVA: </w:t>
            </w:r>
            <w:r w:rsidRPr="002A1B0D">
              <w:t xml:space="preserve"> These estimates are the most comprehensive available on GVA for the Great Ocean Road and provide a breakdown by tourism industry</w:t>
            </w:r>
            <w:r>
              <w:t xml:space="preserve"> including education and training</w:t>
            </w:r>
            <w:r w:rsidRPr="002A1B0D">
              <w:t xml:space="preserve">. </w:t>
            </w:r>
          </w:p>
        </w:tc>
      </w:tr>
    </w:tbl>
    <w:p w14:paraId="10287BD6" w14:textId="781D7A77" w:rsidR="00F50B5A" w:rsidRPr="008C7964" w:rsidRDefault="00F50B5A" w:rsidP="00CF5F1D">
      <w:pPr>
        <w:pStyle w:val="Heading2"/>
        <w:numPr>
          <w:ilvl w:val="0"/>
          <w:numId w:val="0"/>
        </w:numPr>
      </w:pPr>
      <w:bookmarkStart w:id="436" w:name="_Toc163547106"/>
      <w:r w:rsidRPr="008C7964">
        <w:t>A3.4. Biomass - Food</w:t>
      </w:r>
      <w:bookmarkEnd w:id="436"/>
    </w:p>
    <w:p w14:paraId="7ACBF05F" w14:textId="77777777" w:rsidR="00F50B5A" w:rsidRPr="00FE5531" w:rsidRDefault="00F50B5A" w:rsidP="00CF5F1D">
      <w:pPr>
        <w:pStyle w:val="BodyText"/>
        <w:rPr>
          <w:highlight w:val="yellow"/>
        </w:rPr>
      </w:pPr>
      <w:r w:rsidRPr="00FE5531">
        <w:t>Agricultural statistics for Victoria estimate the total gross value of production to be $15.9 billion in 2018-19 (ABARES, 2020)</w:t>
      </w:r>
      <w:r>
        <w:t xml:space="preserve">, see Table A3.11. </w:t>
      </w:r>
      <w:r w:rsidRPr="00FE5531">
        <w:t>The most important commodities in Victoria based on the gross value of agricultural production in 2018-19 were milk ($2.7 billion), followed by cattle and calves ($2.4 billion), sheep and lambs ($1.9 billion), wool ($1.4bn) and cereal ($1.3bn) (ABS, 2020a)</w:t>
      </w:r>
    </w:p>
    <w:p w14:paraId="05CF2210" w14:textId="77777777" w:rsidR="00F50B5A" w:rsidRPr="00FE5531" w:rsidRDefault="00F50B5A" w:rsidP="00CF5F1D">
      <w:pPr>
        <w:pStyle w:val="Caption"/>
      </w:pPr>
      <w:r w:rsidRPr="00CE093F">
        <w:t>Table A3.11. Agricultural production</w:t>
      </w:r>
      <w:r w:rsidRPr="00FE5531">
        <w:t xml:space="preserve"> in Victoria by high volume output and value, 2018-19 (ABS, 2020a, 2020b)</w:t>
      </w:r>
    </w:p>
    <w:tbl>
      <w:tblPr>
        <w:tblStyle w:val="TableGrid"/>
        <w:tblW w:w="5000" w:type="pct"/>
        <w:tblLook w:val="04A0" w:firstRow="1" w:lastRow="0" w:firstColumn="1" w:lastColumn="0" w:noHBand="0" w:noVBand="1"/>
      </w:tblPr>
      <w:tblGrid>
        <w:gridCol w:w="1760"/>
        <w:gridCol w:w="3568"/>
        <w:gridCol w:w="1746"/>
        <w:gridCol w:w="1101"/>
        <w:gridCol w:w="1463"/>
      </w:tblGrid>
      <w:tr w:rsidR="00CF5F1D" w:rsidRPr="00FE5531" w14:paraId="0C798A5E" w14:textId="77777777" w:rsidTr="00CF5F1D">
        <w:trPr>
          <w:cnfStyle w:val="100000000000" w:firstRow="1" w:lastRow="0" w:firstColumn="0" w:lastColumn="0" w:oddVBand="0" w:evenVBand="0" w:oddHBand="0"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913" w:type="pct"/>
          </w:tcPr>
          <w:p w14:paraId="08811E7D" w14:textId="77777777" w:rsidR="00F50B5A" w:rsidRPr="00FE5531" w:rsidRDefault="00F50B5A" w:rsidP="00CF5F1D">
            <w:pPr>
              <w:pStyle w:val="TableHeadingLeft"/>
            </w:pPr>
          </w:p>
        </w:tc>
        <w:tc>
          <w:tcPr>
            <w:tcW w:w="1850" w:type="pct"/>
          </w:tcPr>
          <w:p w14:paraId="5C7B4D8B" w14:textId="77777777" w:rsidR="00F50B5A" w:rsidRPr="00FE5531" w:rsidRDefault="00F50B5A" w:rsidP="00CF5F1D">
            <w:pPr>
              <w:pStyle w:val="TableHeadingLeft"/>
              <w:cnfStyle w:val="100000000000" w:firstRow="1" w:lastRow="0" w:firstColumn="0" w:lastColumn="0" w:oddVBand="0" w:evenVBand="0" w:oddHBand="0" w:evenHBand="0" w:firstRowFirstColumn="0" w:firstRowLastColumn="0" w:lastRowFirstColumn="0" w:lastRowLastColumn="0"/>
            </w:pPr>
          </w:p>
        </w:tc>
        <w:tc>
          <w:tcPr>
            <w:tcW w:w="906" w:type="pct"/>
          </w:tcPr>
          <w:p w14:paraId="015AA6D1" w14:textId="77777777" w:rsidR="00F50B5A" w:rsidRPr="00FE5531" w:rsidRDefault="00F50B5A" w:rsidP="00CF5F1D">
            <w:pPr>
              <w:pStyle w:val="TableHeadingLeft"/>
              <w:cnfStyle w:val="100000000000" w:firstRow="1" w:lastRow="0" w:firstColumn="0" w:lastColumn="0" w:oddVBand="0" w:evenVBand="0" w:oddHBand="0" w:evenHBand="0" w:firstRowFirstColumn="0" w:firstRowLastColumn="0" w:lastRowFirstColumn="0" w:lastRowLastColumn="0"/>
              <w:rPr>
                <w:bCs/>
              </w:rPr>
            </w:pPr>
            <w:r w:rsidRPr="00FE5531">
              <w:rPr>
                <w:bCs/>
              </w:rPr>
              <w:t>Volume (tonnes)</w:t>
            </w:r>
          </w:p>
        </w:tc>
        <w:tc>
          <w:tcPr>
            <w:tcW w:w="571" w:type="pct"/>
          </w:tcPr>
          <w:p w14:paraId="0DBE40D3" w14:textId="77777777" w:rsidR="00F50B5A" w:rsidRPr="00FE5531" w:rsidRDefault="00F50B5A" w:rsidP="00CF5F1D">
            <w:pPr>
              <w:pStyle w:val="TableHeadingLeft"/>
              <w:cnfStyle w:val="100000000000" w:firstRow="1" w:lastRow="0" w:firstColumn="0" w:lastColumn="0" w:oddVBand="0" w:evenVBand="0" w:oddHBand="0" w:evenHBand="0" w:firstRowFirstColumn="0" w:firstRowLastColumn="0" w:lastRowFirstColumn="0" w:lastRowLastColumn="0"/>
              <w:rPr>
                <w:bCs/>
              </w:rPr>
            </w:pPr>
            <w:r w:rsidRPr="00FE5531">
              <w:rPr>
                <w:bCs/>
              </w:rPr>
              <w:t>Number</w:t>
            </w:r>
          </w:p>
        </w:tc>
        <w:tc>
          <w:tcPr>
            <w:tcW w:w="760" w:type="pct"/>
          </w:tcPr>
          <w:p w14:paraId="56C9882A" w14:textId="77777777" w:rsidR="00F50B5A" w:rsidRPr="00FE5531" w:rsidRDefault="00F50B5A" w:rsidP="00CF5F1D">
            <w:pPr>
              <w:pStyle w:val="TableHeadingLeft"/>
              <w:cnfStyle w:val="100000000000" w:firstRow="1" w:lastRow="0" w:firstColumn="0" w:lastColumn="0" w:oddVBand="0" w:evenVBand="0" w:oddHBand="0" w:evenHBand="0" w:firstRowFirstColumn="0" w:firstRowLastColumn="0" w:lastRowFirstColumn="0" w:lastRowLastColumn="0"/>
              <w:rPr>
                <w:bCs/>
              </w:rPr>
            </w:pPr>
            <w:r w:rsidRPr="00FE5531">
              <w:rPr>
                <w:bCs/>
              </w:rPr>
              <w:t>Value ($bn)</w:t>
            </w:r>
          </w:p>
        </w:tc>
      </w:tr>
      <w:tr w:rsidR="00F50B5A" w:rsidRPr="00FE5531" w14:paraId="7810E700" w14:textId="77777777" w:rsidTr="00CF5F1D">
        <w:trPr>
          <w:trHeight w:val="290"/>
        </w:trPr>
        <w:tc>
          <w:tcPr>
            <w:cnfStyle w:val="001000000000" w:firstRow="0" w:lastRow="0" w:firstColumn="1" w:lastColumn="0" w:oddVBand="0" w:evenVBand="0" w:oddHBand="0" w:evenHBand="0" w:firstRowFirstColumn="0" w:firstRowLastColumn="0" w:lastRowFirstColumn="0" w:lastRowLastColumn="0"/>
            <w:tcW w:w="913" w:type="pct"/>
            <w:vMerge w:val="restart"/>
          </w:tcPr>
          <w:p w14:paraId="2DBDDE83" w14:textId="77777777" w:rsidR="00F50B5A" w:rsidRPr="00FE5531" w:rsidRDefault="00F50B5A" w:rsidP="00CF5F1D">
            <w:pPr>
              <w:pStyle w:val="TableTextLeft"/>
            </w:pPr>
            <w:r w:rsidRPr="00FE5531">
              <w:t>Crops</w:t>
            </w:r>
          </w:p>
        </w:tc>
        <w:tc>
          <w:tcPr>
            <w:tcW w:w="1850" w:type="pct"/>
          </w:tcPr>
          <w:p w14:paraId="680E216D"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Cereal (wheat, oats, barley)</w:t>
            </w:r>
          </w:p>
        </w:tc>
        <w:tc>
          <w:tcPr>
            <w:tcW w:w="906" w:type="pct"/>
          </w:tcPr>
          <w:p w14:paraId="01254AA3"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3.8m</w:t>
            </w:r>
          </w:p>
        </w:tc>
        <w:tc>
          <w:tcPr>
            <w:tcW w:w="571" w:type="pct"/>
          </w:tcPr>
          <w:p w14:paraId="0EAD023F"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w:t>
            </w:r>
          </w:p>
        </w:tc>
        <w:tc>
          <w:tcPr>
            <w:tcW w:w="760" w:type="pct"/>
          </w:tcPr>
          <w:p w14:paraId="1E3BD2C1"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$1.3bn</w:t>
            </w:r>
          </w:p>
        </w:tc>
      </w:tr>
      <w:tr w:rsidR="00F50B5A" w:rsidRPr="00FE5531" w14:paraId="3FBC0E59" w14:textId="77777777" w:rsidTr="00CF5F1D">
        <w:trPr>
          <w:trHeight w:val="279"/>
        </w:trPr>
        <w:tc>
          <w:tcPr>
            <w:cnfStyle w:val="001000000000" w:firstRow="0" w:lastRow="0" w:firstColumn="1" w:lastColumn="0" w:oddVBand="0" w:evenVBand="0" w:oddHBand="0" w:evenHBand="0" w:firstRowFirstColumn="0" w:firstRowLastColumn="0" w:lastRowFirstColumn="0" w:lastRowLastColumn="0"/>
            <w:tcW w:w="913" w:type="pct"/>
            <w:vMerge/>
          </w:tcPr>
          <w:p w14:paraId="3B7AEBFD" w14:textId="77777777" w:rsidR="00F50B5A" w:rsidRPr="00FE5531" w:rsidRDefault="00F50B5A" w:rsidP="00CF5F1D">
            <w:pPr>
              <w:pStyle w:val="TableTextLeft"/>
            </w:pPr>
          </w:p>
        </w:tc>
        <w:tc>
          <w:tcPr>
            <w:tcW w:w="1850" w:type="pct"/>
          </w:tcPr>
          <w:p w14:paraId="75BC2A3D"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Non-cereal (oilseed, other pulses)</w:t>
            </w:r>
          </w:p>
        </w:tc>
        <w:tc>
          <w:tcPr>
            <w:tcW w:w="906" w:type="pct"/>
          </w:tcPr>
          <w:p w14:paraId="4EAD647D"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0.8m</w:t>
            </w:r>
          </w:p>
        </w:tc>
        <w:tc>
          <w:tcPr>
            <w:tcW w:w="571" w:type="pct"/>
          </w:tcPr>
          <w:p w14:paraId="6CF4F2B0"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w:t>
            </w:r>
          </w:p>
        </w:tc>
        <w:tc>
          <w:tcPr>
            <w:tcW w:w="760" w:type="pct"/>
          </w:tcPr>
          <w:p w14:paraId="0C0F3DA1"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$0.5bn</w:t>
            </w:r>
          </w:p>
        </w:tc>
      </w:tr>
      <w:tr w:rsidR="00F50B5A" w:rsidRPr="00FE5531" w14:paraId="2FB92BF8" w14:textId="77777777" w:rsidTr="00CF5F1D">
        <w:trPr>
          <w:trHeight w:val="290"/>
        </w:trPr>
        <w:tc>
          <w:tcPr>
            <w:cnfStyle w:val="001000000000" w:firstRow="0" w:lastRow="0" w:firstColumn="1" w:lastColumn="0" w:oddVBand="0" w:evenVBand="0" w:oddHBand="0" w:evenHBand="0" w:firstRowFirstColumn="0" w:firstRowLastColumn="0" w:lastRowFirstColumn="0" w:lastRowLastColumn="0"/>
            <w:tcW w:w="2764" w:type="pct"/>
            <w:gridSpan w:val="2"/>
          </w:tcPr>
          <w:p w14:paraId="2C7F4366" w14:textId="77777777" w:rsidR="00F50B5A" w:rsidRPr="00FE5531" w:rsidRDefault="00F50B5A" w:rsidP="00CF5F1D">
            <w:pPr>
              <w:pStyle w:val="TableTextLeft"/>
            </w:pPr>
            <w:r w:rsidRPr="00FE5531">
              <w:t>Hay and silage</w:t>
            </w:r>
          </w:p>
        </w:tc>
        <w:tc>
          <w:tcPr>
            <w:tcW w:w="906" w:type="pct"/>
          </w:tcPr>
          <w:p w14:paraId="29497C71"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3.5m</w:t>
            </w:r>
          </w:p>
        </w:tc>
        <w:tc>
          <w:tcPr>
            <w:tcW w:w="571" w:type="pct"/>
          </w:tcPr>
          <w:p w14:paraId="0337D378"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w:t>
            </w:r>
          </w:p>
        </w:tc>
        <w:tc>
          <w:tcPr>
            <w:tcW w:w="760" w:type="pct"/>
          </w:tcPr>
          <w:p w14:paraId="0FB862F6"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$0.8bn</w:t>
            </w:r>
          </w:p>
        </w:tc>
      </w:tr>
      <w:tr w:rsidR="00F50B5A" w:rsidRPr="00FE5531" w14:paraId="1D35DABF" w14:textId="77777777" w:rsidTr="00CF5F1D">
        <w:trPr>
          <w:trHeight w:val="290"/>
        </w:trPr>
        <w:tc>
          <w:tcPr>
            <w:cnfStyle w:val="001000000000" w:firstRow="0" w:lastRow="0" w:firstColumn="1" w:lastColumn="0" w:oddVBand="0" w:evenVBand="0" w:oddHBand="0" w:evenHBand="0" w:firstRowFirstColumn="0" w:firstRowLastColumn="0" w:lastRowFirstColumn="0" w:lastRowLastColumn="0"/>
            <w:tcW w:w="2764" w:type="pct"/>
            <w:gridSpan w:val="2"/>
          </w:tcPr>
          <w:p w14:paraId="6DD8A734" w14:textId="77777777" w:rsidR="00F50B5A" w:rsidRPr="00FE5531" w:rsidRDefault="00F50B5A" w:rsidP="00CF5F1D">
            <w:pPr>
              <w:pStyle w:val="TableTextLeft"/>
            </w:pPr>
            <w:r w:rsidRPr="00FE5531">
              <w:t>Nurseries, flowers, turf</w:t>
            </w:r>
          </w:p>
        </w:tc>
        <w:tc>
          <w:tcPr>
            <w:tcW w:w="906" w:type="pct"/>
          </w:tcPr>
          <w:p w14:paraId="2B935520"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w:t>
            </w:r>
          </w:p>
        </w:tc>
        <w:tc>
          <w:tcPr>
            <w:tcW w:w="571" w:type="pct"/>
          </w:tcPr>
          <w:p w14:paraId="4E35815E"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w:t>
            </w:r>
          </w:p>
        </w:tc>
        <w:tc>
          <w:tcPr>
            <w:tcW w:w="760" w:type="pct"/>
          </w:tcPr>
          <w:p w14:paraId="75B0DDB2"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$0.6bn</w:t>
            </w:r>
          </w:p>
        </w:tc>
      </w:tr>
      <w:tr w:rsidR="00F50B5A" w:rsidRPr="00FE5531" w14:paraId="2D875FCF" w14:textId="77777777" w:rsidTr="00CF5F1D">
        <w:trPr>
          <w:trHeight w:val="290"/>
        </w:trPr>
        <w:tc>
          <w:tcPr>
            <w:cnfStyle w:val="001000000000" w:firstRow="0" w:lastRow="0" w:firstColumn="1" w:lastColumn="0" w:oddVBand="0" w:evenVBand="0" w:oddHBand="0" w:evenHBand="0" w:firstRowFirstColumn="0" w:firstRowLastColumn="0" w:lastRowFirstColumn="0" w:lastRowLastColumn="0"/>
            <w:tcW w:w="913" w:type="pct"/>
            <w:vMerge w:val="restart"/>
          </w:tcPr>
          <w:p w14:paraId="36158636" w14:textId="77777777" w:rsidR="00F50B5A" w:rsidRPr="00FE5531" w:rsidRDefault="00F50B5A" w:rsidP="00CF5F1D">
            <w:pPr>
              <w:pStyle w:val="TableTextLeft"/>
            </w:pPr>
            <w:r w:rsidRPr="00FE5531">
              <w:t>Fruit and nuts</w:t>
            </w:r>
          </w:p>
        </w:tc>
        <w:tc>
          <w:tcPr>
            <w:tcW w:w="1850" w:type="pct"/>
          </w:tcPr>
          <w:p w14:paraId="72CAA1A0"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Apples</w:t>
            </w:r>
          </w:p>
        </w:tc>
        <w:tc>
          <w:tcPr>
            <w:tcW w:w="906" w:type="pct"/>
          </w:tcPr>
          <w:p w14:paraId="62A7796C"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0.1m</w:t>
            </w:r>
          </w:p>
        </w:tc>
        <w:tc>
          <w:tcPr>
            <w:tcW w:w="571" w:type="pct"/>
          </w:tcPr>
          <w:p w14:paraId="4DEA1FA4"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w:t>
            </w:r>
          </w:p>
        </w:tc>
        <w:tc>
          <w:tcPr>
            <w:tcW w:w="760" w:type="pct"/>
          </w:tcPr>
          <w:p w14:paraId="29CCB6A3"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$0.2bn</w:t>
            </w:r>
          </w:p>
        </w:tc>
      </w:tr>
      <w:tr w:rsidR="00F50B5A" w:rsidRPr="00FE5531" w14:paraId="20C0BBCE" w14:textId="77777777" w:rsidTr="00CF5F1D">
        <w:trPr>
          <w:trHeight w:val="290"/>
        </w:trPr>
        <w:tc>
          <w:tcPr>
            <w:cnfStyle w:val="001000000000" w:firstRow="0" w:lastRow="0" w:firstColumn="1" w:lastColumn="0" w:oddVBand="0" w:evenVBand="0" w:oddHBand="0" w:evenHBand="0" w:firstRowFirstColumn="0" w:firstRowLastColumn="0" w:lastRowFirstColumn="0" w:lastRowLastColumn="0"/>
            <w:tcW w:w="913" w:type="pct"/>
            <w:vMerge/>
          </w:tcPr>
          <w:p w14:paraId="3D7364D0" w14:textId="77777777" w:rsidR="00F50B5A" w:rsidRPr="00FE5531" w:rsidRDefault="00F50B5A" w:rsidP="00CF5F1D">
            <w:pPr>
              <w:pStyle w:val="TableTextLeft"/>
            </w:pPr>
          </w:p>
        </w:tc>
        <w:tc>
          <w:tcPr>
            <w:tcW w:w="1850" w:type="pct"/>
          </w:tcPr>
          <w:p w14:paraId="0EEF4686"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Almonds</w:t>
            </w:r>
          </w:p>
        </w:tc>
        <w:tc>
          <w:tcPr>
            <w:tcW w:w="906" w:type="pct"/>
          </w:tcPr>
          <w:p w14:paraId="0C7136AF"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0.07m</w:t>
            </w:r>
          </w:p>
        </w:tc>
        <w:tc>
          <w:tcPr>
            <w:tcW w:w="571" w:type="pct"/>
          </w:tcPr>
          <w:p w14:paraId="6E4B8D4C"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p>
        </w:tc>
        <w:tc>
          <w:tcPr>
            <w:tcW w:w="760" w:type="pct"/>
          </w:tcPr>
          <w:p w14:paraId="63787F83"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$0.5bn</w:t>
            </w:r>
          </w:p>
        </w:tc>
      </w:tr>
      <w:tr w:rsidR="00F50B5A" w:rsidRPr="00FE5531" w14:paraId="4E481D89" w14:textId="77777777" w:rsidTr="00CF5F1D">
        <w:trPr>
          <w:trHeight w:val="290"/>
        </w:trPr>
        <w:tc>
          <w:tcPr>
            <w:cnfStyle w:val="001000000000" w:firstRow="0" w:lastRow="0" w:firstColumn="1" w:lastColumn="0" w:oddVBand="0" w:evenVBand="0" w:oddHBand="0" w:evenHBand="0" w:firstRowFirstColumn="0" w:firstRowLastColumn="0" w:lastRowFirstColumn="0" w:lastRowLastColumn="0"/>
            <w:tcW w:w="913" w:type="pct"/>
            <w:vMerge/>
          </w:tcPr>
          <w:p w14:paraId="1CF180F1" w14:textId="77777777" w:rsidR="00F50B5A" w:rsidRPr="00FE5531" w:rsidRDefault="00F50B5A" w:rsidP="00CF5F1D">
            <w:pPr>
              <w:pStyle w:val="TableTextLeft"/>
            </w:pPr>
          </w:p>
        </w:tc>
        <w:tc>
          <w:tcPr>
            <w:tcW w:w="1850" w:type="pct"/>
          </w:tcPr>
          <w:p w14:paraId="77EC4C61"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Grapes</w:t>
            </w:r>
          </w:p>
        </w:tc>
        <w:tc>
          <w:tcPr>
            <w:tcW w:w="906" w:type="pct"/>
          </w:tcPr>
          <w:p w14:paraId="3F3B133C"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0.3m</w:t>
            </w:r>
          </w:p>
        </w:tc>
        <w:tc>
          <w:tcPr>
            <w:tcW w:w="571" w:type="pct"/>
          </w:tcPr>
          <w:p w14:paraId="585DB126"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w:t>
            </w:r>
          </w:p>
        </w:tc>
        <w:tc>
          <w:tcPr>
            <w:tcW w:w="760" w:type="pct"/>
          </w:tcPr>
          <w:p w14:paraId="1D61DC2B"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$0.5bn</w:t>
            </w:r>
          </w:p>
        </w:tc>
      </w:tr>
      <w:tr w:rsidR="00CF5F1D" w:rsidRPr="00FE5531" w14:paraId="7C329D53" w14:textId="77777777" w:rsidTr="00CF5F1D">
        <w:trPr>
          <w:trHeight w:val="290"/>
        </w:trPr>
        <w:tc>
          <w:tcPr>
            <w:cnfStyle w:val="001000000000" w:firstRow="0" w:lastRow="0" w:firstColumn="1" w:lastColumn="0" w:oddVBand="0" w:evenVBand="0" w:oddHBand="0" w:evenHBand="0" w:firstRowFirstColumn="0" w:firstRowLastColumn="0" w:lastRowFirstColumn="0" w:lastRowLastColumn="0"/>
            <w:tcW w:w="913" w:type="pct"/>
            <w:vMerge w:val="restart"/>
          </w:tcPr>
          <w:p w14:paraId="3FA1E849" w14:textId="77777777" w:rsidR="00F50B5A" w:rsidRPr="00FE5531" w:rsidRDefault="00F50B5A" w:rsidP="00CF5F1D">
            <w:pPr>
              <w:pStyle w:val="TableTextLeft"/>
            </w:pPr>
            <w:r w:rsidRPr="00FE5531">
              <w:t>Vegetables for humans</w:t>
            </w:r>
          </w:p>
        </w:tc>
        <w:tc>
          <w:tcPr>
            <w:tcW w:w="1850" w:type="pct"/>
          </w:tcPr>
          <w:p w14:paraId="4159185A"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Mushrooms</w:t>
            </w:r>
          </w:p>
        </w:tc>
        <w:tc>
          <w:tcPr>
            <w:tcW w:w="906" w:type="pct"/>
          </w:tcPr>
          <w:p w14:paraId="12081AC0"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0.02m</w:t>
            </w:r>
          </w:p>
        </w:tc>
        <w:tc>
          <w:tcPr>
            <w:tcW w:w="571" w:type="pct"/>
          </w:tcPr>
          <w:p w14:paraId="5BF6FA5C"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p>
        </w:tc>
        <w:tc>
          <w:tcPr>
            <w:tcW w:w="760" w:type="pct"/>
          </w:tcPr>
          <w:p w14:paraId="2CEF879F"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$0.1bn</w:t>
            </w:r>
          </w:p>
        </w:tc>
      </w:tr>
      <w:tr w:rsidR="00F50B5A" w:rsidRPr="00FE5531" w14:paraId="2144F710" w14:textId="77777777" w:rsidTr="00CF5F1D">
        <w:trPr>
          <w:trHeight w:val="290"/>
        </w:trPr>
        <w:tc>
          <w:tcPr>
            <w:cnfStyle w:val="001000000000" w:firstRow="0" w:lastRow="0" w:firstColumn="1" w:lastColumn="0" w:oddVBand="0" w:evenVBand="0" w:oddHBand="0" w:evenHBand="0" w:firstRowFirstColumn="0" w:firstRowLastColumn="0" w:lastRowFirstColumn="0" w:lastRowLastColumn="0"/>
            <w:tcW w:w="913" w:type="pct"/>
            <w:vMerge/>
          </w:tcPr>
          <w:p w14:paraId="3CCA6CB1" w14:textId="77777777" w:rsidR="00F50B5A" w:rsidRPr="00FE5531" w:rsidRDefault="00F50B5A" w:rsidP="00CF5F1D">
            <w:pPr>
              <w:pStyle w:val="TableTextLeft"/>
            </w:pPr>
          </w:p>
        </w:tc>
        <w:tc>
          <w:tcPr>
            <w:tcW w:w="1850" w:type="pct"/>
          </w:tcPr>
          <w:p w14:paraId="3CB89F96"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Potatoes</w:t>
            </w:r>
          </w:p>
        </w:tc>
        <w:tc>
          <w:tcPr>
            <w:tcW w:w="906" w:type="pct"/>
          </w:tcPr>
          <w:p w14:paraId="11CF1CCE"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0.3m</w:t>
            </w:r>
          </w:p>
        </w:tc>
        <w:tc>
          <w:tcPr>
            <w:tcW w:w="571" w:type="pct"/>
          </w:tcPr>
          <w:p w14:paraId="5190C01C"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w:t>
            </w:r>
          </w:p>
        </w:tc>
        <w:tc>
          <w:tcPr>
            <w:tcW w:w="760" w:type="pct"/>
          </w:tcPr>
          <w:p w14:paraId="3926D1A2"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$0.1bn</w:t>
            </w:r>
          </w:p>
        </w:tc>
      </w:tr>
      <w:tr w:rsidR="00CF5F1D" w:rsidRPr="00FE5531" w14:paraId="0077D017" w14:textId="77777777" w:rsidTr="00CF5F1D">
        <w:trPr>
          <w:trHeight w:val="290"/>
        </w:trPr>
        <w:tc>
          <w:tcPr>
            <w:cnfStyle w:val="001000000000" w:firstRow="0" w:lastRow="0" w:firstColumn="1" w:lastColumn="0" w:oddVBand="0" w:evenVBand="0" w:oddHBand="0" w:evenHBand="0" w:firstRowFirstColumn="0" w:firstRowLastColumn="0" w:lastRowFirstColumn="0" w:lastRowLastColumn="0"/>
            <w:tcW w:w="913" w:type="pct"/>
            <w:vMerge/>
          </w:tcPr>
          <w:p w14:paraId="6DC6F807" w14:textId="77777777" w:rsidR="00F50B5A" w:rsidRPr="00FE5531" w:rsidRDefault="00F50B5A" w:rsidP="00CF5F1D">
            <w:pPr>
              <w:pStyle w:val="TableTextLeft"/>
            </w:pPr>
          </w:p>
        </w:tc>
        <w:tc>
          <w:tcPr>
            <w:tcW w:w="1850" w:type="pct"/>
          </w:tcPr>
          <w:p w14:paraId="05260EDF"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Tomatoes</w:t>
            </w:r>
          </w:p>
        </w:tc>
        <w:tc>
          <w:tcPr>
            <w:tcW w:w="906" w:type="pct"/>
          </w:tcPr>
          <w:p w14:paraId="20152AE6"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0.2m</w:t>
            </w:r>
          </w:p>
        </w:tc>
        <w:tc>
          <w:tcPr>
            <w:tcW w:w="571" w:type="pct"/>
          </w:tcPr>
          <w:p w14:paraId="671B81A2"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w:t>
            </w:r>
          </w:p>
        </w:tc>
        <w:tc>
          <w:tcPr>
            <w:tcW w:w="760" w:type="pct"/>
          </w:tcPr>
          <w:p w14:paraId="25491A04"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p>
        </w:tc>
      </w:tr>
      <w:tr w:rsidR="00F50B5A" w:rsidRPr="00FE5531" w14:paraId="67413CED" w14:textId="77777777" w:rsidTr="00CF5F1D">
        <w:trPr>
          <w:trHeight w:val="301"/>
        </w:trPr>
        <w:tc>
          <w:tcPr>
            <w:cnfStyle w:val="001000000000" w:firstRow="0" w:lastRow="0" w:firstColumn="1" w:lastColumn="0" w:oddVBand="0" w:evenVBand="0" w:oddHBand="0" w:evenHBand="0" w:firstRowFirstColumn="0" w:firstRowLastColumn="0" w:lastRowFirstColumn="0" w:lastRowLastColumn="0"/>
            <w:tcW w:w="913" w:type="pct"/>
            <w:vMerge w:val="restart"/>
          </w:tcPr>
          <w:p w14:paraId="0F76C485" w14:textId="77777777" w:rsidR="00F50B5A" w:rsidRPr="00FE5531" w:rsidRDefault="00F50B5A" w:rsidP="00CF5F1D">
            <w:pPr>
              <w:pStyle w:val="TableTextLeft"/>
            </w:pPr>
            <w:r w:rsidRPr="00FE5531">
              <w:t>Livestock</w:t>
            </w:r>
          </w:p>
        </w:tc>
        <w:tc>
          <w:tcPr>
            <w:tcW w:w="1850" w:type="pct"/>
          </w:tcPr>
          <w:p w14:paraId="5A5DE4B4"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Sheep and lambs (total)</w:t>
            </w:r>
          </w:p>
        </w:tc>
        <w:tc>
          <w:tcPr>
            <w:tcW w:w="906" w:type="pct"/>
          </w:tcPr>
          <w:p w14:paraId="5F1BB02F"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w:t>
            </w:r>
          </w:p>
        </w:tc>
        <w:tc>
          <w:tcPr>
            <w:tcW w:w="571" w:type="pct"/>
          </w:tcPr>
          <w:p w14:paraId="4442D4B0"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14m</w:t>
            </w:r>
          </w:p>
        </w:tc>
        <w:tc>
          <w:tcPr>
            <w:tcW w:w="760" w:type="pct"/>
          </w:tcPr>
          <w:p w14:paraId="52E64711"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w:t>
            </w:r>
          </w:p>
        </w:tc>
      </w:tr>
      <w:tr w:rsidR="00F50B5A" w:rsidRPr="00FE5531" w14:paraId="51FB6A32" w14:textId="77777777" w:rsidTr="00CF5F1D">
        <w:trPr>
          <w:trHeight w:val="301"/>
        </w:trPr>
        <w:tc>
          <w:tcPr>
            <w:cnfStyle w:val="001000000000" w:firstRow="0" w:lastRow="0" w:firstColumn="1" w:lastColumn="0" w:oddVBand="0" w:evenVBand="0" w:oddHBand="0" w:evenHBand="0" w:firstRowFirstColumn="0" w:firstRowLastColumn="0" w:lastRowFirstColumn="0" w:lastRowLastColumn="0"/>
            <w:tcW w:w="913" w:type="pct"/>
            <w:vMerge/>
          </w:tcPr>
          <w:p w14:paraId="4CCB4390" w14:textId="77777777" w:rsidR="00F50B5A" w:rsidRPr="00FE5531" w:rsidRDefault="00F50B5A" w:rsidP="00CF5F1D">
            <w:pPr>
              <w:pStyle w:val="TableTextLeft"/>
            </w:pPr>
          </w:p>
        </w:tc>
        <w:tc>
          <w:tcPr>
            <w:tcW w:w="1850" w:type="pct"/>
          </w:tcPr>
          <w:p w14:paraId="2CEBC1A2"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Sheep and lambs (meat)</w:t>
            </w:r>
          </w:p>
        </w:tc>
        <w:tc>
          <w:tcPr>
            <w:tcW w:w="906" w:type="pct"/>
          </w:tcPr>
          <w:p w14:paraId="6B7020EA"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w:t>
            </w:r>
          </w:p>
        </w:tc>
        <w:tc>
          <w:tcPr>
            <w:tcW w:w="571" w:type="pct"/>
          </w:tcPr>
          <w:p w14:paraId="47ABB2A2"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w:t>
            </w:r>
          </w:p>
        </w:tc>
        <w:tc>
          <w:tcPr>
            <w:tcW w:w="760" w:type="pct"/>
          </w:tcPr>
          <w:p w14:paraId="20F0D3D6"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$1.9bn</w:t>
            </w:r>
          </w:p>
        </w:tc>
      </w:tr>
      <w:tr w:rsidR="00F50B5A" w:rsidRPr="00FE5531" w14:paraId="5335D58B" w14:textId="77777777" w:rsidTr="00CF5F1D">
        <w:trPr>
          <w:trHeight w:val="301"/>
        </w:trPr>
        <w:tc>
          <w:tcPr>
            <w:cnfStyle w:val="001000000000" w:firstRow="0" w:lastRow="0" w:firstColumn="1" w:lastColumn="0" w:oddVBand="0" w:evenVBand="0" w:oddHBand="0" w:evenHBand="0" w:firstRowFirstColumn="0" w:firstRowLastColumn="0" w:lastRowFirstColumn="0" w:lastRowLastColumn="0"/>
            <w:tcW w:w="913" w:type="pct"/>
            <w:vMerge/>
          </w:tcPr>
          <w:p w14:paraId="3525D582" w14:textId="77777777" w:rsidR="00F50B5A" w:rsidRPr="00FE5531" w:rsidRDefault="00F50B5A" w:rsidP="00CF5F1D">
            <w:pPr>
              <w:pStyle w:val="TableTextLeft"/>
            </w:pPr>
          </w:p>
        </w:tc>
        <w:tc>
          <w:tcPr>
            <w:tcW w:w="1850" w:type="pct"/>
          </w:tcPr>
          <w:p w14:paraId="077CB1CC"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rPr>
                <w:i/>
                <w:iCs/>
              </w:rPr>
            </w:pPr>
            <w:r w:rsidRPr="00FE5531">
              <w:rPr>
                <w:i/>
                <w:iCs/>
              </w:rPr>
              <w:t xml:space="preserve">Wool </w:t>
            </w:r>
            <w:r w:rsidRPr="00FE5531">
              <w:rPr>
                <w:i/>
                <w:iCs/>
                <w:vertAlign w:val="superscript"/>
              </w:rPr>
              <w:t>a</w:t>
            </w:r>
          </w:p>
        </w:tc>
        <w:tc>
          <w:tcPr>
            <w:tcW w:w="906" w:type="pct"/>
          </w:tcPr>
          <w:p w14:paraId="55BDA338"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w:t>
            </w:r>
          </w:p>
        </w:tc>
        <w:tc>
          <w:tcPr>
            <w:tcW w:w="571" w:type="pct"/>
          </w:tcPr>
          <w:p w14:paraId="672B7974"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w:t>
            </w:r>
          </w:p>
        </w:tc>
        <w:tc>
          <w:tcPr>
            <w:tcW w:w="760" w:type="pct"/>
          </w:tcPr>
          <w:p w14:paraId="09DF3661"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rPr>
                <w:vertAlign w:val="superscript"/>
              </w:rPr>
            </w:pPr>
            <w:r w:rsidRPr="00FE5531">
              <w:t>$1.4bn</w:t>
            </w:r>
          </w:p>
        </w:tc>
      </w:tr>
      <w:tr w:rsidR="00F50B5A" w:rsidRPr="00FE5531" w14:paraId="448E9338" w14:textId="77777777" w:rsidTr="00CF5F1D">
        <w:trPr>
          <w:trHeight w:val="301"/>
        </w:trPr>
        <w:tc>
          <w:tcPr>
            <w:cnfStyle w:val="001000000000" w:firstRow="0" w:lastRow="0" w:firstColumn="1" w:lastColumn="0" w:oddVBand="0" w:evenVBand="0" w:oddHBand="0" w:evenHBand="0" w:firstRowFirstColumn="0" w:firstRowLastColumn="0" w:lastRowFirstColumn="0" w:lastRowLastColumn="0"/>
            <w:tcW w:w="913" w:type="pct"/>
            <w:vMerge/>
          </w:tcPr>
          <w:p w14:paraId="534E1913" w14:textId="77777777" w:rsidR="00F50B5A" w:rsidRPr="00FE5531" w:rsidRDefault="00F50B5A" w:rsidP="00CF5F1D">
            <w:pPr>
              <w:pStyle w:val="TableTextLeft"/>
            </w:pPr>
          </w:p>
        </w:tc>
        <w:tc>
          <w:tcPr>
            <w:tcW w:w="1850" w:type="pct"/>
          </w:tcPr>
          <w:p w14:paraId="7624D719"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Cattle and calves (meat)</w:t>
            </w:r>
          </w:p>
        </w:tc>
        <w:tc>
          <w:tcPr>
            <w:tcW w:w="906" w:type="pct"/>
          </w:tcPr>
          <w:p w14:paraId="7E5CDB2E"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w:t>
            </w:r>
          </w:p>
        </w:tc>
        <w:tc>
          <w:tcPr>
            <w:tcW w:w="571" w:type="pct"/>
          </w:tcPr>
          <w:p w14:paraId="4B5172B7"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2.1m</w:t>
            </w:r>
          </w:p>
        </w:tc>
        <w:tc>
          <w:tcPr>
            <w:tcW w:w="760" w:type="pct"/>
          </w:tcPr>
          <w:p w14:paraId="0EAAABD4"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$2.4bn</w:t>
            </w:r>
          </w:p>
        </w:tc>
      </w:tr>
      <w:tr w:rsidR="00F50B5A" w:rsidRPr="00FE5531" w14:paraId="6DAD6AD2" w14:textId="77777777" w:rsidTr="00CF5F1D">
        <w:trPr>
          <w:trHeight w:val="301"/>
        </w:trPr>
        <w:tc>
          <w:tcPr>
            <w:cnfStyle w:val="001000000000" w:firstRow="0" w:lastRow="0" w:firstColumn="1" w:lastColumn="0" w:oddVBand="0" w:evenVBand="0" w:oddHBand="0" w:evenHBand="0" w:firstRowFirstColumn="0" w:firstRowLastColumn="0" w:lastRowFirstColumn="0" w:lastRowLastColumn="0"/>
            <w:tcW w:w="913" w:type="pct"/>
            <w:vMerge/>
          </w:tcPr>
          <w:p w14:paraId="2CB2B5D1" w14:textId="77777777" w:rsidR="00F50B5A" w:rsidRPr="00FE5531" w:rsidRDefault="00F50B5A" w:rsidP="00CF5F1D">
            <w:pPr>
              <w:pStyle w:val="TableTextLeft"/>
            </w:pPr>
          </w:p>
        </w:tc>
        <w:tc>
          <w:tcPr>
            <w:tcW w:w="1850" w:type="pct"/>
          </w:tcPr>
          <w:p w14:paraId="5EF5F109"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Cattle (dairy)</w:t>
            </w:r>
          </w:p>
        </w:tc>
        <w:tc>
          <w:tcPr>
            <w:tcW w:w="906" w:type="pct"/>
          </w:tcPr>
          <w:p w14:paraId="1C2CC582"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w:t>
            </w:r>
          </w:p>
        </w:tc>
        <w:tc>
          <w:tcPr>
            <w:tcW w:w="571" w:type="pct"/>
          </w:tcPr>
          <w:p w14:paraId="7CA1BA87"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1.5m</w:t>
            </w:r>
          </w:p>
        </w:tc>
        <w:tc>
          <w:tcPr>
            <w:tcW w:w="760" w:type="pct"/>
          </w:tcPr>
          <w:p w14:paraId="637DD6FC"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w:t>
            </w:r>
          </w:p>
        </w:tc>
      </w:tr>
      <w:tr w:rsidR="00F50B5A" w:rsidRPr="00FE5531" w14:paraId="252304BC" w14:textId="77777777" w:rsidTr="00CF5F1D">
        <w:trPr>
          <w:trHeight w:val="301"/>
        </w:trPr>
        <w:tc>
          <w:tcPr>
            <w:cnfStyle w:val="001000000000" w:firstRow="0" w:lastRow="0" w:firstColumn="1" w:lastColumn="0" w:oddVBand="0" w:evenVBand="0" w:oddHBand="0" w:evenHBand="0" w:firstRowFirstColumn="0" w:firstRowLastColumn="0" w:lastRowFirstColumn="0" w:lastRowLastColumn="0"/>
            <w:tcW w:w="913" w:type="pct"/>
            <w:vMerge/>
          </w:tcPr>
          <w:p w14:paraId="30E7DBFF" w14:textId="77777777" w:rsidR="00F50B5A" w:rsidRPr="00FE5531" w:rsidRDefault="00F50B5A" w:rsidP="00CF5F1D">
            <w:pPr>
              <w:pStyle w:val="TableTextLeft"/>
            </w:pPr>
          </w:p>
        </w:tc>
        <w:tc>
          <w:tcPr>
            <w:tcW w:w="1850" w:type="pct"/>
          </w:tcPr>
          <w:p w14:paraId="49EF9A15"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rPr>
                <w:i/>
                <w:iCs/>
              </w:rPr>
            </w:pPr>
            <w:r w:rsidRPr="00FE5531">
              <w:rPr>
                <w:i/>
                <w:iCs/>
              </w:rPr>
              <w:t xml:space="preserve">Milk </w:t>
            </w:r>
            <w:r w:rsidRPr="00FE5531">
              <w:rPr>
                <w:i/>
                <w:iCs/>
                <w:vertAlign w:val="superscript"/>
              </w:rPr>
              <w:t>b</w:t>
            </w:r>
          </w:p>
        </w:tc>
        <w:tc>
          <w:tcPr>
            <w:tcW w:w="906" w:type="pct"/>
          </w:tcPr>
          <w:p w14:paraId="07F6E64F"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w:t>
            </w:r>
          </w:p>
        </w:tc>
        <w:tc>
          <w:tcPr>
            <w:tcW w:w="571" w:type="pct"/>
          </w:tcPr>
          <w:p w14:paraId="25EE0D89"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w:t>
            </w:r>
          </w:p>
        </w:tc>
        <w:tc>
          <w:tcPr>
            <w:tcW w:w="760" w:type="pct"/>
          </w:tcPr>
          <w:p w14:paraId="388A1A62"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rPr>
                <w:vertAlign w:val="superscript"/>
              </w:rPr>
            </w:pPr>
            <w:r w:rsidRPr="00FE5531">
              <w:t>$2.7bn</w:t>
            </w:r>
          </w:p>
        </w:tc>
      </w:tr>
      <w:tr w:rsidR="00F50B5A" w:rsidRPr="00FE5531" w14:paraId="044B7970" w14:textId="77777777" w:rsidTr="00CF5F1D">
        <w:trPr>
          <w:trHeight w:val="301"/>
        </w:trPr>
        <w:tc>
          <w:tcPr>
            <w:cnfStyle w:val="001000000000" w:firstRow="0" w:lastRow="0" w:firstColumn="1" w:lastColumn="0" w:oddVBand="0" w:evenVBand="0" w:oddHBand="0" w:evenHBand="0" w:firstRowFirstColumn="0" w:firstRowLastColumn="0" w:lastRowFirstColumn="0" w:lastRowLastColumn="0"/>
            <w:tcW w:w="913" w:type="pct"/>
            <w:vMerge/>
          </w:tcPr>
          <w:p w14:paraId="4B795FB0" w14:textId="77777777" w:rsidR="00F50B5A" w:rsidRPr="00FE5531" w:rsidRDefault="00F50B5A" w:rsidP="00CF5F1D">
            <w:pPr>
              <w:pStyle w:val="TableTextLeft"/>
            </w:pPr>
          </w:p>
        </w:tc>
        <w:tc>
          <w:tcPr>
            <w:tcW w:w="1850" w:type="pct"/>
          </w:tcPr>
          <w:p w14:paraId="0A58B00B"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Pigs</w:t>
            </w:r>
          </w:p>
        </w:tc>
        <w:tc>
          <w:tcPr>
            <w:tcW w:w="906" w:type="pct"/>
          </w:tcPr>
          <w:p w14:paraId="076645F4"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w:t>
            </w:r>
          </w:p>
        </w:tc>
        <w:tc>
          <w:tcPr>
            <w:tcW w:w="571" w:type="pct"/>
          </w:tcPr>
          <w:p w14:paraId="79965EB4"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0.5m</w:t>
            </w:r>
          </w:p>
        </w:tc>
        <w:tc>
          <w:tcPr>
            <w:tcW w:w="760" w:type="pct"/>
          </w:tcPr>
          <w:p w14:paraId="18BC2105"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$0.3bn</w:t>
            </w:r>
          </w:p>
        </w:tc>
      </w:tr>
      <w:tr w:rsidR="00F50B5A" w:rsidRPr="00FE5531" w14:paraId="254B6249" w14:textId="77777777" w:rsidTr="00CF5F1D">
        <w:trPr>
          <w:trHeight w:val="301"/>
        </w:trPr>
        <w:tc>
          <w:tcPr>
            <w:cnfStyle w:val="001000000000" w:firstRow="0" w:lastRow="0" w:firstColumn="1" w:lastColumn="0" w:oddVBand="0" w:evenVBand="0" w:oddHBand="0" w:evenHBand="0" w:firstRowFirstColumn="0" w:firstRowLastColumn="0" w:lastRowFirstColumn="0" w:lastRowLastColumn="0"/>
            <w:tcW w:w="913" w:type="pct"/>
            <w:vMerge/>
          </w:tcPr>
          <w:p w14:paraId="5E7E6F23" w14:textId="77777777" w:rsidR="00F50B5A" w:rsidRPr="00FE5531" w:rsidRDefault="00F50B5A" w:rsidP="00CF5F1D">
            <w:pPr>
              <w:pStyle w:val="TableTextLeft"/>
            </w:pPr>
          </w:p>
        </w:tc>
        <w:tc>
          <w:tcPr>
            <w:tcW w:w="1850" w:type="pct"/>
          </w:tcPr>
          <w:p w14:paraId="337A8D6C"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Poultry (meat)</w:t>
            </w:r>
          </w:p>
        </w:tc>
        <w:tc>
          <w:tcPr>
            <w:tcW w:w="906" w:type="pct"/>
          </w:tcPr>
          <w:p w14:paraId="7F903DCD"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w:t>
            </w:r>
          </w:p>
        </w:tc>
        <w:tc>
          <w:tcPr>
            <w:tcW w:w="571" w:type="pct"/>
          </w:tcPr>
          <w:p w14:paraId="5B9FCBF2"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25.5m</w:t>
            </w:r>
          </w:p>
        </w:tc>
        <w:tc>
          <w:tcPr>
            <w:tcW w:w="760" w:type="pct"/>
          </w:tcPr>
          <w:p w14:paraId="1C5FE11A"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$0.6bn</w:t>
            </w:r>
          </w:p>
        </w:tc>
      </w:tr>
      <w:tr w:rsidR="00F50B5A" w:rsidRPr="00FE5531" w14:paraId="0DFA05DB" w14:textId="77777777" w:rsidTr="00CF5F1D">
        <w:trPr>
          <w:trHeight w:val="301"/>
        </w:trPr>
        <w:tc>
          <w:tcPr>
            <w:cnfStyle w:val="001000000000" w:firstRow="0" w:lastRow="0" w:firstColumn="1" w:lastColumn="0" w:oddVBand="0" w:evenVBand="0" w:oddHBand="0" w:evenHBand="0" w:firstRowFirstColumn="0" w:firstRowLastColumn="0" w:lastRowFirstColumn="0" w:lastRowLastColumn="0"/>
            <w:tcW w:w="913" w:type="pct"/>
            <w:vMerge/>
          </w:tcPr>
          <w:p w14:paraId="58065B11" w14:textId="77777777" w:rsidR="00F50B5A" w:rsidRPr="00FE5531" w:rsidRDefault="00F50B5A" w:rsidP="00CF5F1D">
            <w:pPr>
              <w:pStyle w:val="TableTextLeft"/>
            </w:pPr>
          </w:p>
        </w:tc>
        <w:tc>
          <w:tcPr>
            <w:tcW w:w="1850" w:type="pct"/>
          </w:tcPr>
          <w:p w14:paraId="06E07F22"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Poultry (eggs)</w:t>
            </w:r>
          </w:p>
        </w:tc>
        <w:tc>
          <w:tcPr>
            <w:tcW w:w="906" w:type="pct"/>
          </w:tcPr>
          <w:p w14:paraId="6D79FAAA"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p>
        </w:tc>
        <w:tc>
          <w:tcPr>
            <w:tcW w:w="571" w:type="pct"/>
          </w:tcPr>
          <w:p w14:paraId="7B923840"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90m</w:t>
            </w:r>
          </w:p>
        </w:tc>
        <w:tc>
          <w:tcPr>
            <w:tcW w:w="760" w:type="pct"/>
          </w:tcPr>
          <w:p w14:paraId="3384F00E"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pPr>
            <w:r w:rsidRPr="00FE5531">
              <w:t>$0.2bn</w:t>
            </w:r>
          </w:p>
        </w:tc>
      </w:tr>
    </w:tbl>
    <w:p w14:paraId="0E5414E2" w14:textId="77777777" w:rsidR="00CF5F1D" w:rsidRDefault="00F50B5A" w:rsidP="00CF5F1D">
      <w:pPr>
        <w:pStyle w:val="NoteHeading"/>
      </w:pPr>
      <w:proofErr w:type="spellStart"/>
      <w:r w:rsidRPr="00FE5531">
        <w:rPr>
          <w:vertAlign w:val="superscript"/>
        </w:rPr>
        <w:t>a</w:t>
      </w:r>
      <w:proofErr w:type="spellEnd"/>
      <w:r w:rsidRPr="00FE5531">
        <w:rPr>
          <w:vertAlign w:val="superscript"/>
        </w:rPr>
        <w:t xml:space="preserve">  </w:t>
      </w:r>
      <w:r w:rsidRPr="00FE5531">
        <w:t xml:space="preserve">This production may be from sheep and lambs but also other sources (e.g. goats). </w:t>
      </w:r>
    </w:p>
    <w:p w14:paraId="4BBF61F3" w14:textId="7475D38C" w:rsidR="00F50B5A" w:rsidRPr="00FE5531" w:rsidRDefault="00CF5F1D" w:rsidP="00CF5F1D">
      <w:pPr>
        <w:pStyle w:val="NoteHeading"/>
      </w:pPr>
      <w:r>
        <w:rPr>
          <w:vertAlign w:val="superscript"/>
        </w:rPr>
        <w:t>b</w:t>
      </w:r>
      <w:r w:rsidR="00F50B5A" w:rsidRPr="00FE5531">
        <w:rPr>
          <w:vertAlign w:val="superscript"/>
        </w:rPr>
        <w:t xml:space="preserve">  </w:t>
      </w:r>
      <w:r w:rsidR="00F50B5A" w:rsidRPr="00FE5531">
        <w:t>This production may be from dairy cattle but also other sources (e.g. goats).</w:t>
      </w:r>
    </w:p>
    <w:p w14:paraId="6D06838E" w14:textId="1CF5FED3" w:rsidR="00F50B5A" w:rsidRPr="00FE5531" w:rsidRDefault="00F50B5A" w:rsidP="00CF5F1D">
      <w:pPr>
        <w:pStyle w:val="BodyText12ptBefore"/>
      </w:pPr>
      <w:r w:rsidRPr="00FE5531">
        <w:t>Fisheries statistics for 2010–11 (ABARES, 2012) estimate the total volume of fish produced from wild-catch fisheries in Victoria to be 5,557 tonnes with a value of $50.7m</w:t>
      </w:r>
      <w:r w:rsidRPr="00FE5531">
        <w:rPr>
          <w:vertAlign w:val="superscript"/>
        </w:rPr>
        <w:footnoteReference w:id="91"/>
      </w:r>
      <w:r w:rsidRPr="00FE5531">
        <w:t xml:space="preserve">. </w:t>
      </w:r>
      <w:r>
        <w:t xml:space="preserve">This information was used, despite being outdated because VFA (2019) information does not include the value of most species (apart from abalone, octopus, rock lobster, sardine, salmon and eels), due to data from Melbourne Fish Market ceasing in 2011. </w:t>
      </w:r>
      <w:r w:rsidRPr="00FE5531">
        <w:t xml:space="preserve">Key wild catch fisheries species by volume and value in 2010-11 are set out in Table </w:t>
      </w:r>
      <w:r>
        <w:t>A3.12</w:t>
      </w:r>
      <w:r w:rsidRPr="00FE5531">
        <w:t xml:space="preserve">. The highest valued species in total are abalone (molluscs) with 828 tonnes valued at nearly $24m/year and rock-lobster (crustacean) with 300 tonnes being valued at $15m/year. The highest valued fish species are King George Whiting with 173 tonnes caught being valued at $2.7m/year and Australian sardine with over 2,600 tonnes caught in 2010-11 being valued at $1.6m/year. </w:t>
      </w:r>
    </w:p>
    <w:p w14:paraId="2EACEECB" w14:textId="77777777" w:rsidR="00F50B5A" w:rsidRPr="00FE5531" w:rsidRDefault="00F50B5A" w:rsidP="00CF5F1D">
      <w:pPr>
        <w:pStyle w:val="Caption"/>
      </w:pPr>
      <w:r w:rsidRPr="00313BB2">
        <w:t>Table A3.12. Wild catch fisheries</w:t>
      </w:r>
      <w:r w:rsidRPr="00FE5531">
        <w:t xml:space="preserve"> production in Victoria by high volume / value species (ABARES, 2012)</w:t>
      </w:r>
    </w:p>
    <w:tbl>
      <w:tblPr>
        <w:tblStyle w:val="TableGrid"/>
        <w:tblW w:w="5000" w:type="pct"/>
        <w:tblLook w:val="04A0" w:firstRow="1" w:lastRow="0" w:firstColumn="1" w:lastColumn="0" w:noHBand="0" w:noVBand="1"/>
      </w:tblPr>
      <w:tblGrid>
        <w:gridCol w:w="2037"/>
        <w:gridCol w:w="2556"/>
        <w:gridCol w:w="2402"/>
        <w:gridCol w:w="2643"/>
      </w:tblGrid>
      <w:tr w:rsidR="0039131F" w:rsidRPr="00FE5531" w14:paraId="0DADF192" w14:textId="77777777" w:rsidTr="0039131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3" w:type="pct"/>
            <w:gridSpan w:val="2"/>
          </w:tcPr>
          <w:p w14:paraId="46408193" w14:textId="77777777" w:rsidR="00F50B5A" w:rsidRPr="008F04CA" w:rsidRDefault="00F50B5A" w:rsidP="0039131F">
            <w:pPr>
              <w:pStyle w:val="TableHeadingLeft"/>
              <w:rPr>
                <w:color w:val="1A1A1A"/>
              </w:rPr>
            </w:pPr>
            <w:r w:rsidRPr="008F04CA">
              <w:t>Type of catch</w:t>
            </w:r>
          </w:p>
        </w:tc>
        <w:tc>
          <w:tcPr>
            <w:tcW w:w="1246" w:type="pct"/>
          </w:tcPr>
          <w:p w14:paraId="33B7BA1F" w14:textId="77777777" w:rsidR="00F50B5A" w:rsidRPr="00FE5531" w:rsidRDefault="00F50B5A" w:rsidP="0039131F">
            <w:pPr>
              <w:pStyle w:val="TableHeadingLeft"/>
              <w:cnfStyle w:val="100000000000" w:firstRow="1" w:lastRow="0" w:firstColumn="0" w:lastColumn="0" w:oddVBand="0" w:evenVBand="0" w:oddHBand="0" w:evenHBand="0" w:firstRowFirstColumn="0" w:firstRowLastColumn="0" w:lastRowFirstColumn="0" w:lastRowLastColumn="0"/>
            </w:pPr>
            <w:r w:rsidRPr="00FE5531">
              <w:t>Volume (tonnes)</w:t>
            </w:r>
          </w:p>
        </w:tc>
        <w:tc>
          <w:tcPr>
            <w:tcW w:w="1371" w:type="pct"/>
          </w:tcPr>
          <w:p w14:paraId="2A6C094F" w14:textId="77777777" w:rsidR="00F50B5A" w:rsidRPr="00FE5531" w:rsidRDefault="00F50B5A" w:rsidP="0039131F">
            <w:pPr>
              <w:pStyle w:val="TableHeadingLeft"/>
              <w:cnfStyle w:val="100000000000" w:firstRow="1" w:lastRow="0" w:firstColumn="0" w:lastColumn="0" w:oddVBand="0" w:evenVBand="0" w:oddHBand="0" w:evenHBand="0" w:firstRowFirstColumn="0" w:firstRowLastColumn="0" w:lastRowFirstColumn="0" w:lastRowLastColumn="0"/>
            </w:pPr>
            <w:r w:rsidRPr="00FE5531">
              <w:t>Value ($m)</w:t>
            </w:r>
          </w:p>
        </w:tc>
      </w:tr>
      <w:tr w:rsidR="0039131F" w:rsidRPr="00FE5531" w14:paraId="3859C3B9" w14:textId="77777777" w:rsidTr="0039131F">
        <w:tc>
          <w:tcPr>
            <w:cnfStyle w:val="001000000000" w:firstRow="0" w:lastRow="0" w:firstColumn="1" w:lastColumn="0" w:oddVBand="0" w:evenVBand="0" w:oddHBand="0" w:evenHBand="0" w:firstRowFirstColumn="0" w:firstRowLastColumn="0" w:lastRowFirstColumn="0" w:lastRowLastColumn="0"/>
            <w:tcW w:w="1057" w:type="pct"/>
            <w:vMerge w:val="restart"/>
          </w:tcPr>
          <w:p w14:paraId="651927A8" w14:textId="77777777" w:rsidR="00F50B5A" w:rsidRPr="00FE5531" w:rsidRDefault="00F50B5A" w:rsidP="00CF5F1D">
            <w:pPr>
              <w:pStyle w:val="TableTextLeft"/>
              <w:rPr>
                <w:color w:val="1A1A1A"/>
              </w:rPr>
            </w:pPr>
            <w:r w:rsidRPr="00FE5531">
              <w:rPr>
                <w:color w:val="1A1A1A"/>
              </w:rPr>
              <w:t>Crustaceans</w:t>
            </w:r>
          </w:p>
        </w:tc>
        <w:tc>
          <w:tcPr>
            <w:tcW w:w="1326" w:type="pct"/>
          </w:tcPr>
          <w:p w14:paraId="11134C06"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rPr>
                <w:color w:val="1A1A1A"/>
              </w:rPr>
            </w:pPr>
            <w:proofErr w:type="spellStart"/>
            <w:r w:rsidRPr="00FE5531">
              <w:rPr>
                <w:color w:val="1A1A1A"/>
              </w:rPr>
              <w:t>Rocklobster</w:t>
            </w:r>
            <w:proofErr w:type="spellEnd"/>
          </w:p>
        </w:tc>
        <w:tc>
          <w:tcPr>
            <w:tcW w:w="1246" w:type="pct"/>
          </w:tcPr>
          <w:p w14:paraId="2C583C8D"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rPr>
                <w:color w:val="1A1A1A"/>
              </w:rPr>
            </w:pPr>
            <w:r w:rsidRPr="00FE5531">
              <w:rPr>
                <w:color w:val="1A1A1A"/>
              </w:rPr>
              <w:t>300</w:t>
            </w:r>
          </w:p>
        </w:tc>
        <w:tc>
          <w:tcPr>
            <w:tcW w:w="1371" w:type="pct"/>
          </w:tcPr>
          <w:p w14:paraId="5017B3CE"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rPr>
                <w:color w:val="1A1A1A"/>
              </w:rPr>
            </w:pPr>
            <w:r w:rsidRPr="00FE5531">
              <w:rPr>
                <w:color w:val="1A1A1A"/>
              </w:rPr>
              <w:t>$15.4m</w:t>
            </w:r>
          </w:p>
        </w:tc>
      </w:tr>
      <w:tr w:rsidR="0039131F" w:rsidRPr="00FE5531" w14:paraId="6B5D911C" w14:textId="77777777" w:rsidTr="0039131F">
        <w:tc>
          <w:tcPr>
            <w:cnfStyle w:val="001000000000" w:firstRow="0" w:lastRow="0" w:firstColumn="1" w:lastColumn="0" w:oddVBand="0" w:evenVBand="0" w:oddHBand="0" w:evenHBand="0" w:firstRowFirstColumn="0" w:firstRowLastColumn="0" w:lastRowFirstColumn="0" w:lastRowLastColumn="0"/>
            <w:tcW w:w="1057" w:type="pct"/>
            <w:vMerge/>
          </w:tcPr>
          <w:p w14:paraId="66B65A89" w14:textId="77777777" w:rsidR="00F50B5A" w:rsidRPr="00FE5531" w:rsidRDefault="00F50B5A" w:rsidP="00CF5F1D">
            <w:pPr>
              <w:pStyle w:val="TableTextLeft"/>
              <w:rPr>
                <w:color w:val="1A1A1A"/>
              </w:rPr>
            </w:pPr>
          </w:p>
        </w:tc>
        <w:tc>
          <w:tcPr>
            <w:tcW w:w="1326" w:type="pct"/>
          </w:tcPr>
          <w:p w14:paraId="7CBC1ACC"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rPr>
                <w:color w:val="1A1A1A"/>
              </w:rPr>
            </w:pPr>
            <w:r w:rsidRPr="00FE5531">
              <w:rPr>
                <w:color w:val="1A1A1A"/>
              </w:rPr>
              <w:t>Prawns</w:t>
            </w:r>
          </w:p>
        </w:tc>
        <w:tc>
          <w:tcPr>
            <w:tcW w:w="1246" w:type="pct"/>
          </w:tcPr>
          <w:p w14:paraId="575D0CED"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rPr>
                <w:color w:val="1A1A1A"/>
              </w:rPr>
            </w:pPr>
            <w:r w:rsidRPr="00FE5531">
              <w:rPr>
                <w:color w:val="1A1A1A"/>
              </w:rPr>
              <w:t>92</w:t>
            </w:r>
          </w:p>
        </w:tc>
        <w:tc>
          <w:tcPr>
            <w:tcW w:w="1371" w:type="pct"/>
          </w:tcPr>
          <w:p w14:paraId="27C5D3DD"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rPr>
                <w:color w:val="1A1A1A"/>
              </w:rPr>
            </w:pPr>
            <w:r w:rsidRPr="00FE5531">
              <w:rPr>
                <w:color w:val="1A1A1A"/>
              </w:rPr>
              <w:t>$0.9m</w:t>
            </w:r>
          </w:p>
        </w:tc>
      </w:tr>
      <w:tr w:rsidR="0039131F" w:rsidRPr="00FE5531" w14:paraId="5A83A038" w14:textId="77777777" w:rsidTr="0039131F">
        <w:tc>
          <w:tcPr>
            <w:cnfStyle w:val="001000000000" w:firstRow="0" w:lastRow="0" w:firstColumn="1" w:lastColumn="0" w:oddVBand="0" w:evenVBand="0" w:oddHBand="0" w:evenHBand="0" w:firstRowFirstColumn="0" w:firstRowLastColumn="0" w:lastRowFirstColumn="0" w:lastRowLastColumn="0"/>
            <w:tcW w:w="1057" w:type="pct"/>
            <w:vMerge/>
          </w:tcPr>
          <w:p w14:paraId="7F94D87A" w14:textId="77777777" w:rsidR="00F50B5A" w:rsidRPr="00FE5531" w:rsidRDefault="00F50B5A" w:rsidP="00CF5F1D">
            <w:pPr>
              <w:pStyle w:val="TableTextLeft"/>
              <w:rPr>
                <w:color w:val="1A1A1A"/>
              </w:rPr>
            </w:pPr>
          </w:p>
        </w:tc>
        <w:tc>
          <w:tcPr>
            <w:tcW w:w="1326" w:type="pct"/>
          </w:tcPr>
          <w:p w14:paraId="0C41C386"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rPr>
                <w:color w:val="1A1A1A"/>
              </w:rPr>
            </w:pPr>
            <w:r w:rsidRPr="00FE5531">
              <w:rPr>
                <w:color w:val="1A1A1A"/>
              </w:rPr>
              <w:t>Crab</w:t>
            </w:r>
          </w:p>
        </w:tc>
        <w:tc>
          <w:tcPr>
            <w:tcW w:w="1246" w:type="pct"/>
          </w:tcPr>
          <w:p w14:paraId="51F6A141"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rPr>
                <w:color w:val="1A1A1A"/>
              </w:rPr>
            </w:pPr>
            <w:r w:rsidRPr="00FE5531">
              <w:rPr>
                <w:color w:val="1A1A1A"/>
              </w:rPr>
              <w:t>12</w:t>
            </w:r>
          </w:p>
        </w:tc>
        <w:tc>
          <w:tcPr>
            <w:tcW w:w="1371" w:type="pct"/>
          </w:tcPr>
          <w:p w14:paraId="7D950F94"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rPr>
                <w:color w:val="1A1A1A"/>
              </w:rPr>
            </w:pPr>
            <w:r w:rsidRPr="00FE5531">
              <w:rPr>
                <w:color w:val="1A1A1A"/>
              </w:rPr>
              <w:t>$0.6m</w:t>
            </w:r>
          </w:p>
        </w:tc>
      </w:tr>
      <w:tr w:rsidR="0039131F" w:rsidRPr="00FE5531" w14:paraId="66A054E7" w14:textId="77777777" w:rsidTr="0039131F">
        <w:tc>
          <w:tcPr>
            <w:cnfStyle w:val="001000000000" w:firstRow="0" w:lastRow="0" w:firstColumn="1" w:lastColumn="0" w:oddVBand="0" w:evenVBand="0" w:oddHBand="0" w:evenHBand="0" w:firstRowFirstColumn="0" w:firstRowLastColumn="0" w:lastRowFirstColumn="0" w:lastRowLastColumn="0"/>
            <w:tcW w:w="1057" w:type="pct"/>
            <w:vMerge w:val="restart"/>
          </w:tcPr>
          <w:p w14:paraId="06A65D23" w14:textId="77777777" w:rsidR="00F50B5A" w:rsidRPr="00FE5531" w:rsidRDefault="00F50B5A" w:rsidP="00CF5F1D">
            <w:pPr>
              <w:pStyle w:val="TableTextLeft"/>
              <w:rPr>
                <w:color w:val="1A1A1A"/>
              </w:rPr>
            </w:pPr>
            <w:r w:rsidRPr="00FE5531">
              <w:rPr>
                <w:color w:val="1A1A1A"/>
              </w:rPr>
              <w:t>Molluscs</w:t>
            </w:r>
          </w:p>
        </w:tc>
        <w:tc>
          <w:tcPr>
            <w:tcW w:w="1326" w:type="pct"/>
          </w:tcPr>
          <w:p w14:paraId="374FC48F"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rPr>
                <w:color w:val="1A1A1A"/>
              </w:rPr>
            </w:pPr>
            <w:r w:rsidRPr="00FE5531">
              <w:rPr>
                <w:color w:val="1A1A1A"/>
              </w:rPr>
              <w:t>Abalone</w:t>
            </w:r>
          </w:p>
        </w:tc>
        <w:tc>
          <w:tcPr>
            <w:tcW w:w="1246" w:type="pct"/>
          </w:tcPr>
          <w:p w14:paraId="0A34684F"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rPr>
                <w:color w:val="1A1A1A"/>
              </w:rPr>
            </w:pPr>
            <w:r w:rsidRPr="00FE5531">
              <w:rPr>
                <w:color w:val="1A1A1A"/>
              </w:rPr>
              <w:t>828</w:t>
            </w:r>
          </w:p>
        </w:tc>
        <w:tc>
          <w:tcPr>
            <w:tcW w:w="1371" w:type="pct"/>
          </w:tcPr>
          <w:p w14:paraId="179267AF"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rPr>
                <w:color w:val="1A1A1A"/>
              </w:rPr>
            </w:pPr>
            <w:r w:rsidRPr="00FE5531">
              <w:rPr>
                <w:color w:val="1A1A1A"/>
              </w:rPr>
              <w:t>$23.9m</w:t>
            </w:r>
          </w:p>
        </w:tc>
      </w:tr>
      <w:tr w:rsidR="0039131F" w:rsidRPr="00FE5531" w14:paraId="65860AF8" w14:textId="77777777" w:rsidTr="0039131F">
        <w:tc>
          <w:tcPr>
            <w:cnfStyle w:val="001000000000" w:firstRow="0" w:lastRow="0" w:firstColumn="1" w:lastColumn="0" w:oddVBand="0" w:evenVBand="0" w:oddHBand="0" w:evenHBand="0" w:firstRowFirstColumn="0" w:firstRowLastColumn="0" w:lastRowFirstColumn="0" w:lastRowLastColumn="0"/>
            <w:tcW w:w="1057" w:type="pct"/>
            <w:vMerge/>
          </w:tcPr>
          <w:p w14:paraId="2FE601D4" w14:textId="77777777" w:rsidR="00F50B5A" w:rsidRPr="00FE5531" w:rsidRDefault="00F50B5A" w:rsidP="00CF5F1D">
            <w:pPr>
              <w:pStyle w:val="TableTextLeft"/>
              <w:rPr>
                <w:color w:val="1A1A1A"/>
              </w:rPr>
            </w:pPr>
          </w:p>
        </w:tc>
        <w:tc>
          <w:tcPr>
            <w:tcW w:w="1326" w:type="pct"/>
          </w:tcPr>
          <w:p w14:paraId="25E0E8AD"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rPr>
                <w:color w:val="1A1A1A"/>
              </w:rPr>
            </w:pPr>
            <w:r w:rsidRPr="00FE5531">
              <w:rPr>
                <w:color w:val="1A1A1A"/>
              </w:rPr>
              <w:t>Squid</w:t>
            </w:r>
          </w:p>
        </w:tc>
        <w:tc>
          <w:tcPr>
            <w:tcW w:w="1246" w:type="pct"/>
          </w:tcPr>
          <w:p w14:paraId="404AF357"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rPr>
                <w:color w:val="1A1A1A"/>
              </w:rPr>
            </w:pPr>
            <w:r w:rsidRPr="00FE5531">
              <w:rPr>
                <w:color w:val="1A1A1A"/>
              </w:rPr>
              <w:t>75</w:t>
            </w:r>
          </w:p>
        </w:tc>
        <w:tc>
          <w:tcPr>
            <w:tcW w:w="1371" w:type="pct"/>
          </w:tcPr>
          <w:p w14:paraId="166616D1"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rPr>
                <w:color w:val="1A1A1A"/>
              </w:rPr>
            </w:pPr>
            <w:r w:rsidRPr="00FE5531">
              <w:rPr>
                <w:color w:val="1A1A1A"/>
              </w:rPr>
              <w:t>$0.8m</w:t>
            </w:r>
          </w:p>
        </w:tc>
      </w:tr>
      <w:tr w:rsidR="0039131F" w:rsidRPr="00FE5531" w14:paraId="4C4724E9" w14:textId="77777777" w:rsidTr="0039131F">
        <w:tc>
          <w:tcPr>
            <w:cnfStyle w:val="001000000000" w:firstRow="0" w:lastRow="0" w:firstColumn="1" w:lastColumn="0" w:oddVBand="0" w:evenVBand="0" w:oddHBand="0" w:evenHBand="0" w:firstRowFirstColumn="0" w:firstRowLastColumn="0" w:lastRowFirstColumn="0" w:lastRowLastColumn="0"/>
            <w:tcW w:w="1057" w:type="pct"/>
            <w:vMerge w:val="restart"/>
          </w:tcPr>
          <w:p w14:paraId="625FAB07" w14:textId="77777777" w:rsidR="00F50B5A" w:rsidRPr="00FE5531" w:rsidRDefault="00F50B5A" w:rsidP="00CF5F1D">
            <w:pPr>
              <w:pStyle w:val="TableTextLeft"/>
              <w:rPr>
                <w:color w:val="1A1A1A"/>
              </w:rPr>
            </w:pPr>
            <w:r w:rsidRPr="00FE5531">
              <w:rPr>
                <w:color w:val="1A1A1A"/>
              </w:rPr>
              <w:t>Fish</w:t>
            </w:r>
          </w:p>
        </w:tc>
        <w:tc>
          <w:tcPr>
            <w:tcW w:w="1326" w:type="pct"/>
          </w:tcPr>
          <w:p w14:paraId="0B310AB5"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rPr>
                <w:color w:val="1A1A1A"/>
              </w:rPr>
            </w:pPr>
            <w:r w:rsidRPr="00FE5531">
              <w:rPr>
                <w:color w:val="1A1A1A"/>
              </w:rPr>
              <w:t>Australian sardine</w:t>
            </w:r>
          </w:p>
        </w:tc>
        <w:tc>
          <w:tcPr>
            <w:tcW w:w="1246" w:type="pct"/>
          </w:tcPr>
          <w:p w14:paraId="73746917"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rPr>
                <w:color w:val="1A1A1A"/>
              </w:rPr>
            </w:pPr>
            <w:r w:rsidRPr="00FE5531">
              <w:rPr>
                <w:color w:val="1A1A1A"/>
              </w:rPr>
              <w:t>2,628</w:t>
            </w:r>
          </w:p>
        </w:tc>
        <w:tc>
          <w:tcPr>
            <w:tcW w:w="1371" w:type="pct"/>
          </w:tcPr>
          <w:p w14:paraId="53F07F0E"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rPr>
                <w:color w:val="1A1A1A"/>
              </w:rPr>
            </w:pPr>
            <w:r w:rsidRPr="00FE5531">
              <w:rPr>
                <w:color w:val="1A1A1A"/>
              </w:rPr>
              <w:t>$1.6m</w:t>
            </w:r>
          </w:p>
        </w:tc>
      </w:tr>
      <w:tr w:rsidR="0039131F" w:rsidRPr="00FE5531" w14:paraId="533F92B4" w14:textId="77777777" w:rsidTr="0039131F">
        <w:tc>
          <w:tcPr>
            <w:cnfStyle w:val="001000000000" w:firstRow="0" w:lastRow="0" w:firstColumn="1" w:lastColumn="0" w:oddVBand="0" w:evenVBand="0" w:oddHBand="0" w:evenHBand="0" w:firstRowFirstColumn="0" w:firstRowLastColumn="0" w:lastRowFirstColumn="0" w:lastRowLastColumn="0"/>
            <w:tcW w:w="1057" w:type="pct"/>
            <w:vMerge/>
          </w:tcPr>
          <w:p w14:paraId="605FDCE7" w14:textId="77777777" w:rsidR="00F50B5A" w:rsidRPr="00FE5531" w:rsidRDefault="00F50B5A" w:rsidP="00CF5F1D">
            <w:pPr>
              <w:pStyle w:val="TableTextLeft"/>
              <w:rPr>
                <w:color w:val="1A1A1A"/>
              </w:rPr>
            </w:pPr>
          </w:p>
        </w:tc>
        <w:tc>
          <w:tcPr>
            <w:tcW w:w="1326" w:type="pct"/>
          </w:tcPr>
          <w:p w14:paraId="58AA7716"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rPr>
                <w:color w:val="1A1A1A"/>
              </w:rPr>
            </w:pPr>
            <w:r w:rsidRPr="00FE5531">
              <w:rPr>
                <w:color w:val="1A1A1A"/>
              </w:rPr>
              <w:t>King George Whiting</w:t>
            </w:r>
          </w:p>
        </w:tc>
        <w:tc>
          <w:tcPr>
            <w:tcW w:w="1246" w:type="pct"/>
          </w:tcPr>
          <w:p w14:paraId="1EA779C9"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rPr>
                <w:color w:val="1A1A1A"/>
              </w:rPr>
            </w:pPr>
            <w:r w:rsidRPr="00FE5531">
              <w:rPr>
                <w:color w:val="1A1A1A"/>
              </w:rPr>
              <w:t>173</w:t>
            </w:r>
          </w:p>
        </w:tc>
        <w:tc>
          <w:tcPr>
            <w:tcW w:w="1371" w:type="pct"/>
          </w:tcPr>
          <w:p w14:paraId="19F7D1FD"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rPr>
                <w:color w:val="1A1A1A"/>
              </w:rPr>
            </w:pPr>
            <w:r w:rsidRPr="00FE5531">
              <w:rPr>
                <w:color w:val="1A1A1A"/>
              </w:rPr>
              <w:t>$2.7m</w:t>
            </w:r>
          </w:p>
        </w:tc>
      </w:tr>
      <w:tr w:rsidR="0039131F" w:rsidRPr="00FE5531" w14:paraId="2F70C946" w14:textId="77777777" w:rsidTr="0039131F">
        <w:tc>
          <w:tcPr>
            <w:cnfStyle w:val="001000000000" w:firstRow="0" w:lastRow="0" w:firstColumn="1" w:lastColumn="0" w:oddVBand="0" w:evenVBand="0" w:oddHBand="0" w:evenHBand="0" w:firstRowFirstColumn="0" w:firstRowLastColumn="0" w:lastRowFirstColumn="0" w:lastRowLastColumn="0"/>
            <w:tcW w:w="1057" w:type="pct"/>
            <w:vMerge/>
          </w:tcPr>
          <w:p w14:paraId="48EBDB48" w14:textId="77777777" w:rsidR="00F50B5A" w:rsidRPr="00FE5531" w:rsidRDefault="00F50B5A" w:rsidP="00CF5F1D">
            <w:pPr>
              <w:pStyle w:val="TableTextLeft"/>
              <w:rPr>
                <w:color w:val="1A1A1A"/>
              </w:rPr>
            </w:pPr>
          </w:p>
        </w:tc>
        <w:tc>
          <w:tcPr>
            <w:tcW w:w="1326" w:type="pct"/>
          </w:tcPr>
          <w:p w14:paraId="1B483578"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rPr>
                <w:color w:val="1A1A1A"/>
              </w:rPr>
            </w:pPr>
            <w:r w:rsidRPr="00FE5531">
              <w:rPr>
                <w:color w:val="1A1A1A"/>
              </w:rPr>
              <w:t>Snapper</w:t>
            </w:r>
          </w:p>
        </w:tc>
        <w:tc>
          <w:tcPr>
            <w:tcW w:w="1246" w:type="pct"/>
          </w:tcPr>
          <w:p w14:paraId="3C380E0B"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rPr>
                <w:color w:val="1A1A1A"/>
              </w:rPr>
            </w:pPr>
            <w:r w:rsidRPr="00FE5531">
              <w:rPr>
                <w:color w:val="1A1A1A"/>
              </w:rPr>
              <w:t>120</w:t>
            </w:r>
          </w:p>
        </w:tc>
        <w:tc>
          <w:tcPr>
            <w:tcW w:w="1371" w:type="pct"/>
          </w:tcPr>
          <w:p w14:paraId="4D7F807B"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rPr>
                <w:color w:val="1A1A1A"/>
              </w:rPr>
            </w:pPr>
            <w:r w:rsidRPr="00FE5531">
              <w:rPr>
                <w:color w:val="1A1A1A"/>
              </w:rPr>
              <w:t>$0.8m</w:t>
            </w:r>
          </w:p>
        </w:tc>
      </w:tr>
      <w:tr w:rsidR="0039131F" w:rsidRPr="00FE5531" w14:paraId="411A9E20" w14:textId="77777777" w:rsidTr="0039131F">
        <w:tc>
          <w:tcPr>
            <w:cnfStyle w:val="001000000000" w:firstRow="0" w:lastRow="0" w:firstColumn="1" w:lastColumn="0" w:oddVBand="0" w:evenVBand="0" w:oddHBand="0" w:evenHBand="0" w:firstRowFirstColumn="0" w:firstRowLastColumn="0" w:lastRowFirstColumn="0" w:lastRowLastColumn="0"/>
            <w:tcW w:w="1057" w:type="pct"/>
            <w:vMerge/>
          </w:tcPr>
          <w:p w14:paraId="14E64D10" w14:textId="77777777" w:rsidR="00F50B5A" w:rsidRPr="00FE5531" w:rsidRDefault="00F50B5A" w:rsidP="00CF5F1D">
            <w:pPr>
              <w:pStyle w:val="TableTextLeft"/>
              <w:rPr>
                <w:color w:val="1A1A1A"/>
              </w:rPr>
            </w:pPr>
          </w:p>
        </w:tc>
        <w:tc>
          <w:tcPr>
            <w:tcW w:w="1326" w:type="pct"/>
          </w:tcPr>
          <w:p w14:paraId="62270EFD"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rPr>
                <w:color w:val="1A1A1A"/>
              </w:rPr>
            </w:pPr>
            <w:r w:rsidRPr="00FE5531">
              <w:rPr>
                <w:color w:val="1A1A1A"/>
              </w:rPr>
              <w:t>Black bream</w:t>
            </w:r>
          </w:p>
        </w:tc>
        <w:tc>
          <w:tcPr>
            <w:tcW w:w="1246" w:type="pct"/>
          </w:tcPr>
          <w:p w14:paraId="0F76F840"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rPr>
                <w:color w:val="1A1A1A"/>
              </w:rPr>
            </w:pPr>
            <w:r w:rsidRPr="00FE5531">
              <w:rPr>
                <w:color w:val="1A1A1A"/>
              </w:rPr>
              <w:t>68</w:t>
            </w:r>
          </w:p>
        </w:tc>
        <w:tc>
          <w:tcPr>
            <w:tcW w:w="1371" w:type="pct"/>
          </w:tcPr>
          <w:p w14:paraId="621E57C9"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rPr>
                <w:color w:val="1A1A1A"/>
              </w:rPr>
            </w:pPr>
            <w:r w:rsidRPr="00FE5531">
              <w:rPr>
                <w:color w:val="1A1A1A"/>
              </w:rPr>
              <w:t>$0.4m</w:t>
            </w:r>
          </w:p>
        </w:tc>
      </w:tr>
      <w:tr w:rsidR="0039131F" w:rsidRPr="00FE5531" w14:paraId="41CE35DC" w14:textId="77777777" w:rsidTr="0039131F">
        <w:tc>
          <w:tcPr>
            <w:cnfStyle w:val="001000000000" w:firstRow="0" w:lastRow="0" w:firstColumn="1" w:lastColumn="0" w:oddVBand="0" w:evenVBand="0" w:oddHBand="0" w:evenHBand="0" w:firstRowFirstColumn="0" w:firstRowLastColumn="0" w:lastRowFirstColumn="0" w:lastRowLastColumn="0"/>
            <w:tcW w:w="1057" w:type="pct"/>
            <w:vMerge/>
          </w:tcPr>
          <w:p w14:paraId="3530FEE1" w14:textId="77777777" w:rsidR="00F50B5A" w:rsidRPr="00FE5531" w:rsidRDefault="00F50B5A" w:rsidP="00CF5F1D">
            <w:pPr>
              <w:pStyle w:val="TableTextLeft"/>
              <w:rPr>
                <w:color w:val="1A1A1A"/>
              </w:rPr>
            </w:pPr>
          </w:p>
        </w:tc>
        <w:tc>
          <w:tcPr>
            <w:tcW w:w="1326" w:type="pct"/>
          </w:tcPr>
          <w:p w14:paraId="33AEBBA1"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rPr>
                <w:color w:val="1A1A1A"/>
              </w:rPr>
            </w:pPr>
            <w:r w:rsidRPr="00FE5531">
              <w:rPr>
                <w:color w:val="1A1A1A"/>
              </w:rPr>
              <w:t>Australian salmon</w:t>
            </w:r>
          </w:p>
        </w:tc>
        <w:tc>
          <w:tcPr>
            <w:tcW w:w="1246" w:type="pct"/>
          </w:tcPr>
          <w:p w14:paraId="5160EAAD"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rPr>
                <w:color w:val="1A1A1A"/>
              </w:rPr>
            </w:pPr>
            <w:r w:rsidRPr="00FE5531">
              <w:rPr>
                <w:color w:val="1A1A1A"/>
              </w:rPr>
              <w:t>415</w:t>
            </w:r>
          </w:p>
        </w:tc>
        <w:tc>
          <w:tcPr>
            <w:tcW w:w="1371" w:type="pct"/>
          </w:tcPr>
          <w:p w14:paraId="0E17CADD"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rPr>
                <w:color w:val="1A1A1A"/>
              </w:rPr>
            </w:pPr>
            <w:r w:rsidRPr="00FE5531">
              <w:rPr>
                <w:color w:val="1A1A1A"/>
              </w:rPr>
              <w:t>$0.4m</w:t>
            </w:r>
          </w:p>
        </w:tc>
      </w:tr>
      <w:tr w:rsidR="0039131F" w:rsidRPr="00FE5531" w14:paraId="53FE65E9" w14:textId="77777777" w:rsidTr="0039131F">
        <w:tc>
          <w:tcPr>
            <w:cnfStyle w:val="001000000000" w:firstRow="0" w:lastRow="0" w:firstColumn="1" w:lastColumn="0" w:oddVBand="0" w:evenVBand="0" w:oddHBand="0" w:evenHBand="0" w:firstRowFirstColumn="0" w:firstRowLastColumn="0" w:lastRowFirstColumn="0" w:lastRowLastColumn="0"/>
            <w:tcW w:w="1057" w:type="pct"/>
            <w:vMerge/>
          </w:tcPr>
          <w:p w14:paraId="1EF50DE5" w14:textId="77777777" w:rsidR="00F50B5A" w:rsidRPr="00FE5531" w:rsidRDefault="00F50B5A" w:rsidP="00CF5F1D">
            <w:pPr>
              <w:pStyle w:val="TableTextLeft"/>
              <w:rPr>
                <w:color w:val="1A1A1A"/>
              </w:rPr>
            </w:pPr>
          </w:p>
        </w:tc>
        <w:tc>
          <w:tcPr>
            <w:tcW w:w="1326" w:type="pct"/>
          </w:tcPr>
          <w:p w14:paraId="3A22BCEB"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rPr>
                <w:color w:val="1A1A1A"/>
              </w:rPr>
            </w:pPr>
            <w:r w:rsidRPr="00FE5531">
              <w:rPr>
                <w:color w:val="1A1A1A"/>
              </w:rPr>
              <w:t>Southern garfish</w:t>
            </w:r>
          </w:p>
        </w:tc>
        <w:tc>
          <w:tcPr>
            <w:tcW w:w="1246" w:type="pct"/>
          </w:tcPr>
          <w:p w14:paraId="61B65C16"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rPr>
                <w:color w:val="1A1A1A"/>
              </w:rPr>
            </w:pPr>
            <w:r w:rsidRPr="00FE5531">
              <w:rPr>
                <w:color w:val="1A1A1A"/>
              </w:rPr>
              <w:t>70</w:t>
            </w:r>
          </w:p>
        </w:tc>
        <w:tc>
          <w:tcPr>
            <w:tcW w:w="1371" w:type="pct"/>
          </w:tcPr>
          <w:p w14:paraId="2BF7943B" w14:textId="77777777" w:rsidR="00F50B5A" w:rsidRPr="00FE5531" w:rsidRDefault="00F50B5A" w:rsidP="00CF5F1D">
            <w:pPr>
              <w:pStyle w:val="TableTextLeft"/>
              <w:cnfStyle w:val="000000000000" w:firstRow="0" w:lastRow="0" w:firstColumn="0" w:lastColumn="0" w:oddVBand="0" w:evenVBand="0" w:oddHBand="0" w:evenHBand="0" w:firstRowFirstColumn="0" w:firstRowLastColumn="0" w:lastRowFirstColumn="0" w:lastRowLastColumn="0"/>
              <w:rPr>
                <w:color w:val="1A1A1A"/>
              </w:rPr>
            </w:pPr>
            <w:r w:rsidRPr="00FE5531">
              <w:rPr>
                <w:color w:val="1A1A1A"/>
              </w:rPr>
              <w:t>$0.3m</w:t>
            </w:r>
          </w:p>
        </w:tc>
      </w:tr>
    </w:tbl>
    <w:p w14:paraId="340A8340" w14:textId="77777777" w:rsidR="00F50B5A" w:rsidRPr="00221AB3" w:rsidRDefault="00F50B5A" w:rsidP="000035CB">
      <w:pPr>
        <w:pStyle w:val="AlphaHeading4"/>
        <w:numPr>
          <w:ilvl w:val="0"/>
          <w:numId w:val="58"/>
        </w:numPr>
      </w:pPr>
      <w:r w:rsidRPr="00221AB3">
        <w:t>Physical provision of biomass for food</w:t>
      </w:r>
    </w:p>
    <w:p w14:paraId="2134C034" w14:textId="77777777" w:rsidR="00F50B5A" w:rsidRDefault="00F50B5A" w:rsidP="006C5481">
      <w:pPr>
        <w:pStyle w:val="BodyText"/>
      </w:pPr>
      <w:r w:rsidRPr="00221AB3">
        <w:t xml:space="preserve">Table </w:t>
      </w:r>
      <w:r>
        <w:rPr>
          <w:color w:val="1A1A1A"/>
        </w:rPr>
        <w:t>A3.13</w:t>
      </w:r>
      <w:r w:rsidRPr="005D5694">
        <w:rPr>
          <w:color w:val="1A1A1A"/>
        </w:rPr>
        <w:t>.</w:t>
      </w:r>
      <w:r w:rsidRPr="00221AB3">
        <w:t xml:space="preserve"> provides details on the studies that could be used to develop a GOR specific assessment of biomass for food and how the approaches and data from these studies are </w:t>
      </w:r>
      <w:r w:rsidRPr="005D5694">
        <w:rPr>
          <w:color w:val="1A1A1A"/>
        </w:rPr>
        <w:t>use</w:t>
      </w:r>
      <w:r>
        <w:rPr>
          <w:color w:val="1A1A1A"/>
        </w:rPr>
        <w:t>d</w:t>
      </w:r>
      <w:r w:rsidRPr="005D5694">
        <w:rPr>
          <w:color w:val="1A1A1A"/>
        </w:rPr>
        <w:t xml:space="preserve"> </w:t>
      </w:r>
      <w:r>
        <w:rPr>
          <w:color w:val="1A1A1A"/>
        </w:rPr>
        <w:t xml:space="preserve">in </w:t>
      </w:r>
      <w:r w:rsidRPr="00221AB3">
        <w:t xml:space="preserve">the GOR </w:t>
      </w:r>
      <w:r>
        <w:t>environmental-economic account</w:t>
      </w:r>
      <w:r w:rsidRPr="00221AB3">
        <w:t>.</w:t>
      </w:r>
    </w:p>
    <w:p w14:paraId="4D6E6AB3" w14:textId="77777777" w:rsidR="00205F19" w:rsidRPr="00403A68" w:rsidRDefault="00205F19" w:rsidP="00205F19">
      <w:pPr>
        <w:pStyle w:val="Heading2"/>
        <w:sectPr w:rsidR="00205F19" w:rsidRPr="00403A68" w:rsidSect="00E52A9A">
          <w:pgSz w:w="11906" w:h="16838" w:code="9"/>
          <w:pgMar w:top="1134" w:right="1134" w:bottom="1134" w:left="1134" w:header="283" w:footer="283" w:gutter="0"/>
          <w:cols w:space="284"/>
          <w:docGrid w:linePitch="360"/>
        </w:sectPr>
      </w:pPr>
    </w:p>
    <w:p w14:paraId="3217CAD0" w14:textId="77777777" w:rsidR="00B55451" w:rsidRPr="000C412E" w:rsidRDefault="00B55451" w:rsidP="00B55451">
      <w:pPr>
        <w:pStyle w:val="Caption"/>
        <w:tabs>
          <w:tab w:val="clear" w:pos="1191"/>
        </w:tabs>
      </w:pPr>
      <w:r w:rsidRPr="000C412E">
        <w:lastRenderedPageBreak/>
        <w:t xml:space="preserve">Table </w:t>
      </w:r>
      <w:r w:rsidRPr="00313BB2">
        <w:t>A3.</w:t>
      </w:r>
      <w:r>
        <w:t>1</w:t>
      </w:r>
      <w:r w:rsidRPr="00313BB2">
        <w:t>3</w:t>
      </w:r>
      <w:r w:rsidRPr="000C412E">
        <w:t xml:space="preserve">. Review of methods and data used to estimate the physical provision of </w:t>
      </w:r>
      <w:r>
        <w:t>biomass for food</w:t>
      </w:r>
      <w:r w:rsidRPr="000C412E">
        <w:t xml:space="preserve"> from ecosystem assets in Victoria </w:t>
      </w:r>
    </w:p>
    <w:tbl>
      <w:tblPr>
        <w:tblStyle w:val="TableGrid"/>
        <w:tblW w:w="0" w:type="auto"/>
        <w:tblLayout w:type="fixed"/>
        <w:tblLook w:val="04A0" w:firstRow="1" w:lastRow="0" w:firstColumn="1" w:lastColumn="0" w:noHBand="0" w:noVBand="1"/>
      </w:tblPr>
      <w:tblGrid>
        <w:gridCol w:w="2834"/>
        <w:gridCol w:w="9809"/>
        <w:gridCol w:w="737"/>
        <w:gridCol w:w="7935"/>
        <w:gridCol w:w="224"/>
      </w:tblGrid>
      <w:tr w:rsidR="00CF04CB" w:rsidRPr="000C412E" w14:paraId="3F8311A5" w14:textId="77777777" w:rsidTr="00A459D5">
        <w:trPr>
          <w:cnfStyle w:val="100000000000" w:firstRow="1" w:lastRow="0" w:firstColumn="0" w:lastColumn="0" w:oddVBand="0" w:evenVBand="0" w:oddHBand="0"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2834" w:type="dxa"/>
          </w:tcPr>
          <w:p w14:paraId="55CC4D2D" w14:textId="77777777" w:rsidR="00B55451" w:rsidRPr="000C412E" w:rsidRDefault="00B55451" w:rsidP="00A459D5">
            <w:pPr>
              <w:pStyle w:val="TableHeadingLeft"/>
            </w:pPr>
            <w:r w:rsidRPr="000C412E">
              <w:t>Source</w:t>
            </w:r>
          </w:p>
        </w:tc>
        <w:tc>
          <w:tcPr>
            <w:tcW w:w="9809" w:type="dxa"/>
          </w:tcPr>
          <w:p w14:paraId="19B9995B" w14:textId="77777777" w:rsidR="00B55451" w:rsidRPr="000C412E" w:rsidRDefault="00B55451" w:rsidP="00A459D5">
            <w:pPr>
              <w:pStyle w:val="TableHeadingLeft"/>
              <w:cnfStyle w:val="100000000000" w:firstRow="1" w:lastRow="0" w:firstColumn="0" w:lastColumn="0" w:oddVBand="0" w:evenVBand="0" w:oddHBand="0" w:evenHBand="0" w:firstRowFirstColumn="0" w:firstRowLastColumn="0" w:lastRowFirstColumn="0" w:lastRowLastColumn="0"/>
            </w:pPr>
            <w:r w:rsidRPr="000C412E">
              <w:t>Description</w:t>
            </w:r>
          </w:p>
        </w:tc>
        <w:tc>
          <w:tcPr>
            <w:tcW w:w="8896" w:type="dxa"/>
            <w:gridSpan w:val="3"/>
          </w:tcPr>
          <w:p w14:paraId="003D0204" w14:textId="77777777" w:rsidR="00B55451" w:rsidRPr="000C412E" w:rsidRDefault="00B55451" w:rsidP="00A459D5">
            <w:pPr>
              <w:pStyle w:val="TableHeadingLeft"/>
              <w:cnfStyle w:val="100000000000" w:firstRow="1" w:lastRow="0" w:firstColumn="0" w:lastColumn="0" w:oddVBand="0" w:evenVBand="0" w:oddHBand="0" w:evenHBand="0" w:firstRowFirstColumn="0" w:firstRowLastColumn="0" w:lastRowFirstColumn="0" w:lastRowLastColumn="0"/>
            </w:pPr>
            <w:r>
              <w:t>U</w:t>
            </w:r>
            <w:r w:rsidRPr="000C412E">
              <w:t>se</w:t>
            </w:r>
            <w:r>
              <w:t>d</w:t>
            </w:r>
            <w:r w:rsidRPr="000C412E">
              <w:t xml:space="preserve"> in </w:t>
            </w:r>
            <w:r>
              <w:t>GORCAP EEA</w:t>
            </w:r>
            <w:r w:rsidRPr="000C412E">
              <w:t>?</w:t>
            </w:r>
          </w:p>
        </w:tc>
      </w:tr>
      <w:tr w:rsidR="00CF04CB" w:rsidRPr="000C412E" w14:paraId="70DFADE4" w14:textId="77777777" w:rsidTr="00A459D5">
        <w:trPr>
          <w:gridAfter w:val="1"/>
          <w:wAfter w:w="224" w:type="dxa"/>
          <w:trHeight w:val="253"/>
        </w:trPr>
        <w:tc>
          <w:tcPr>
            <w:cnfStyle w:val="001000000000" w:firstRow="0" w:lastRow="0" w:firstColumn="1" w:lastColumn="0" w:oddVBand="0" w:evenVBand="0" w:oddHBand="0" w:evenHBand="0" w:firstRowFirstColumn="0" w:firstRowLastColumn="0" w:lastRowFirstColumn="0" w:lastRowLastColumn="0"/>
            <w:tcW w:w="2834" w:type="dxa"/>
          </w:tcPr>
          <w:p w14:paraId="2248B7A5" w14:textId="77777777" w:rsidR="00B55451" w:rsidRPr="00EF7053" w:rsidRDefault="00B55451" w:rsidP="00A459D5">
            <w:pPr>
              <w:pStyle w:val="TableTextLeft"/>
              <w:rPr>
                <w:rFonts w:ascii="Arial" w:hAnsi="Arial"/>
                <w:bCs/>
                <w:color w:val="111111" w:themeColor="text1" w:themeShade="80"/>
              </w:rPr>
            </w:pPr>
            <w:r w:rsidRPr="00EF7053">
              <w:rPr>
                <w:rFonts w:ascii="Arial" w:hAnsi="Arial"/>
                <w:bCs/>
                <w:color w:val="111111" w:themeColor="text1" w:themeShade="80"/>
              </w:rPr>
              <w:t>ABARES (2016) Australian honey-bee industry: 2014-15 survey results</w:t>
            </w:r>
          </w:p>
        </w:tc>
        <w:tc>
          <w:tcPr>
            <w:tcW w:w="9809" w:type="dxa"/>
          </w:tcPr>
          <w:p w14:paraId="5AB9E87E" w14:textId="77777777" w:rsidR="00B55451" w:rsidRPr="00EF7053"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bCs/>
              </w:rPr>
            </w:pPr>
            <w:r w:rsidRPr="00EF7053">
              <w:rPr>
                <w:rFonts w:ascii="Arial" w:hAnsi="Arial"/>
                <w:color w:val="111111" w:themeColor="text1" w:themeShade="80"/>
              </w:rPr>
              <w:t>This study was used in the DELWP (2016) study of ecosystem services from forests in Victoria to provide information on honey provision within Victoria. The survey results suggest</w:t>
            </w:r>
            <w:r w:rsidRPr="00EF7053">
              <w:rPr>
                <w:rFonts w:ascii="Arial" w:hAnsi="Arial"/>
              </w:rPr>
              <w:t xml:space="preserve"> </w:t>
            </w:r>
            <w:r w:rsidRPr="00EF7053">
              <w:rPr>
                <w:rFonts w:ascii="Arial" w:hAnsi="Arial"/>
                <w:color w:val="111111" w:themeColor="text1" w:themeShade="80"/>
              </w:rPr>
              <w:t>58 per cent of honey produced in Victoria was derived from public land, with 40 per cent from state forests and 11 per cent from national parks.</w:t>
            </w:r>
            <w:r w:rsidRPr="00EF7053">
              <w:rPr>
                <w:rFonts w:ascii="Arial" w:hAnsi="Arial"/>
              </w:rPr>
              <w:t xml:space="preserve"> </w:t>
            </w:r>
            <w:r w:rsidRPr="00EF7053">
              <w:rPr>
                <w:rFonts w:ascii="Arial" w:hAnsi="Arial"/>
                <w:color w:val="111111" w:themeColor="text1" w:themeShade="80"/>
              </w:rPr>
              <w:t>Eight per cent was</w:t>
            </w:r>
            <w:r w:rsidRPr="00EF7053">
              <w:rPr>
                <w:rFonts w:ascii="Arial" w:hAnsi="Arial"/>
              </w:rPr>
              <w:t xml:space="preserve"> </w:t>
            </w:r>
            <w:r w:rsidRPr="00EF7053">
              <w:rPr>
                <w:rFonts w:ascii="Arial" w:hAnsi="Arial"/>
                <w:color w:val="111111" w:themeColor="text1" w:themeShade="80"/>
              </w:rPr>
              <w:t>derived from other public land, 19 per cent from crops and 23 per cent from other private land. The survey found that there were 68,200 registered hives in Victoria and estimated an average annual honey production of 59.4 kilograms per hive.</w:t>
            </w:r>
            <w:r w:rsidRPr="00EF7053">
              <w:rPr>
                <w:rFonts w:ascii="Arial" w:hAnsi="Arial"/>
              </w:rPr>
              <w:t xml:space="preserve"> </w:t>
            </w:r>
            <w:r w:rsidRPr="00EF7053">
              <w:rPr>
                <w:rFonts w:ascii="Arial" w:hAnsi="Arial"/>
                <w:color w:val="111111" w:themeColor="text1" w:themeShade="80"/>
              </w:rPr>
              <w:t xml:space="preserve">In 2015 it was estimated that Victoria produces around 4,250 tonnes of honey per year. </w:t>
            </w:r>
          </w:p>
        </w:tc>
        <w:tc>
          <w:tcPr>
            <w:tcW w:w="737" w:type="dxa"/>
            <w:shd w:val="clear" w:color="auto" w:fill="FF0000"/>
          </w:tcPr>
          <w:p w14:paraId="2919026A" w14:textId="77777777" w:rsidR="00B55451" w:rsidRPr="00EF7053"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bCs/>
              </w:rPr>
            </w:pPr>
            <w:r w:rsidRPr="00EF7053">
              <w:rPr>
                <w:rFonts w:ascii="Arial" w:hAnsi="Arial"/>
                <w:bCs/>
              </w:rPr>
              <w:t>No</w:t>
            </w:r>
          </w:p>
        </w:tc>
        <w:tc>
          <w:tcPr>
            <w:tcW w:w="7935" w:type="dxa"/>
          </w:tcPr>
          <w:p w14:paraId="3F7E71C7" w14:textId="77777777" w:rsidR="00B55451" w:rsidRPr="00EF7053"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bCs/>
              </w:rPr>
            </w:pPr>
            <w:r w:rsidRPr="00EF7053">
              <w:rPr>
                <w:rFonts w:ascii="Arial" w:hAnsi="Arial"/>
                <w:bCs/>
              </w:rPr>
              <w:t>Apiaries are not considered to be a high value output from</w:t>
            </w:r>
            <w:r>
              <w:rPr>
                <w:rFonts w:ascii="Arial" w:hAnsi="Arial"/>
                <w:bCs/>
              </w:rPr>
              <w:t xml:space="preserve"> Victoria or</w:t>
            </w:r>
            <w:r w:rsidRPr="00EF7053">
              <w:rPr>
                <w:rFonts w:ascii="Arial" w:hAnsi="Arial"/>
                <w:bCs/>
              </w:rPr>
              <w:t xml:space="preserve"> the </w:t>
            </w:r>
            <w:r>
              <w:rPr>
                <w:rFonts w:ascii="Arial" w:hAnsi="Arial"/>
                <w:bCs/>
              </w:rPr>
              <w:t>GORCAP region</w:t>
            </w:r>
            <w:r w:rsidRPr="00EF7053">
              <w:rPr>
                <w:rFonts w:ascii="Arial" w:hAnsi="Arial"/>
                <w:bCs/>
              </w:rPr>
              <w:t xml:space="preserve"> </w:t>
            </w:r>
            <w:r>
              <w:rPr>
                <w:rFonts w:ascii="Arial" w:hAnsi="Arial"/>
                <w:bCs/>
              </w:rPr>
              <w:t xml:space="preserve">(see Table 1) </w:t>
            </w:r>
            <w:r w:rsidRPr="00EF7053">
              <w:rPr>
                <w:rFonts w:ascii="Arial" w:hAnsi="Arial"/>
                <w:bCs/>
              </w:rPr>
              <w:t xml:space="preserve">and so are not a priority for this initial </w:t>
            </w:r>
            <w:r>
              <w:rPr>
                <w:rFonts w:ascii="Arial" w:hAnsi="Arial"/>
                <w:bCs/>
              </w:rPr>
              <w:t>GORCAP EEA</w:t>
            </w:r>
            <w:r w:rsidRPr="00EF7053">
              <w:rPr>
                <w:rFonts w:ascii="Arial" w:hAnsi="Arial"/>
                <w:bCs/>
              </w:rPr>
              <w:t xml:space="preserve"> but could be included in future iterations. </w:t>
            </w:r>
            <w:r w:rsidRPr="00EF7053">
              <w:rPr>
                <w:rFonts w:ascii="Arial" w:hAnsi="Arial"/>
                <w:color w:val="111111" w:themeColor="text1" w:themeShade="80"/>
              </w:rPr>
              <w:t xml:space="preserve">The information from this survey could be combined with data on the number and distribution of apiary sites (DELWP has data on apiary rights and bee farm and range licences on public land as used in DELWP (2019) which states that there are 4,485 apiary sites on public land (DELWP, n.d.)) to estimate honey provision within the </w:t>
            </w:r>
            <w:r>
              <w:rPr>
                <w:rFonts w:ascii="Arial" w:hAnsi="Arial"/>
                <w:color w:val="111111" w:themeColor="text1" w:themeShade="80"/>
              </w:rPr>
              <w:t>GORCAP region</w:t>
            </w:r>
            <w:r w:rsidRPr="00EF7053">
              <w:rPr>
                <w:rFonts w:ascii="Arial" w:hAnsi="Arial"/>
                <w:color w:val="111111" w:themeColor="text1" w:themeShade="80"/>
              </w:rPr>
              <w:t>.</w:t>
            </w:r>
          </w:p>
        </w:tc>
      </w:tr>
      <w:tr w:rsidR="00CF04CB" w:rsidRPr="000C412E" w14:paraId="33A01D84" w14:textId="77777777" w:rsidTr="00A459D5">
        <w:trPr>
          <w:gridAfter w:val="1"/>
          <w:wAfter w:w="224" w:type="dxa"/>
          <w:trHeight w:val="253"/>
        </w:trPr>
        <w:tc>
          <w:tcPr>
            <w:cnfStyle w:val="001000000000" w:firstRow="0" w:lastRow="0" w:firstColumn="1" w:lastColumn="0" w:oddVBand="0" w:evenVBand="0" w:oddHBand="0" w:evenHBand="0" w:firstRowFirstColumn="0" w:firstRowLastColumn="0" w:lastRowFirstColumn="0" w:lastRowLastColumn="0"/>
            <w:tcW w:w="2834" w:type="dxa"/>
          </w:tcPr>
          <w:p w14:paraId="501EF26C" w14:textId="77777777" w:rsidR="00B55451" w:rsidRPr="00EF7053" w:rsidRDefault="00B55451" w:rsidP="00A459D5">
            <w:pPr>
              <w:pStyle w:val="TableTextLeft"/>
              <w:rPr>
                <w:rFonts w:ascii="Arial" w:hAnsi="Arial"/>
                <w:bCs/>
                <w:color w:val="111111" w:themeColor="text1" w:themeShade="80"/>
              </w:rPr>
            </w:pPr>
            <w:r w:rsidRPr="00EF7053">
              <w:rPr>
                <w:rFonts w:ascii="Arial" w:hAnsi="Arial"/>
                <w:bCs/>
                <w:color w:val="111111" w:themeColor="text1" w:themeShade="80"/>
              </w:rPr>
              <w:t xml:space="preserve">ABS Agricultural Commodities data </w:t>
            </w:r>
          </w:p>
        </w:tc>
        <w:tc>
          <w:tcPr>
            <w:tcW w:w="9809" w:type="dxa"/>
          </w:tcPr>
          <w:p w14:paraId="4E46F6F8" w14:textId="77777777" w:rsidR="00B55451" w:rsidRPr="00EF7053"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bCs/>
              </w:rPr>
            </w:pPr>
            <w:r w:rsidRPr="00EF7053">
              <w:rPr>
                <w:rFonts w:ascii="Arial" w:hAnsi="Arial"/>
                <w:bCs/>
              </w:rPr>
              <w:t xml:space="preserve">This ABS data captures the volume of agricultural produce in tonnes per year for farmland within Victoria. </w:t>
            </w:r>
          </w:p>
        </w:tc>
        <w:tc>
          <w:tcPr>
            <w:tcW w:w="737" w:type="dxa"/>
            <w:shd w:val="clear" w:color="auto" w:fill="92D050"/>
          </w:tcPr>
          <w:p w14:paraId="137D6ADA" w14:textId="77777777" w:rsidR="00B55451" w:rsidRPr="00EF7053"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bCs/>
              </w:rPr>
            </w:pPr>
            <w:r w:rsidRPr="00EF7053">
              <w:rPr>
                <w:rFonts w:ascii="Arial" w:hAnsi="Arial"/>
                <w:bCs/>
              </w:rPr>
              <w:t>Yes</w:t>
            </w:r>
          </w:p>
        </w:tc>
        <w:tc>
          <w:tcPr>
            <w:tcW w:w="7935" w:type="dxa"/>
          </w:tcPr>
          <w:p w14:paraId="4D78F01B" w14:textId="77777777" w:rsidR="00B55451" w:rsidRPr="00EF7053"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bCs/>
              </w:rPr>
            </w:pPr>
            <w:r w:rsidRPr="00EF7053">
              <w:rPr>
                <w:rFonts w:ascii="Arial" w:hAnsi="Arial"/>
                <w:bCs/>
              </w:rPr>
              <w:t xml:space="preserve">The study team </w:t>
            </w:r>
            <w:r>
              <w:rPr>
                <w:rFonts w:ascii="Arial" w:hAnsi="Arial"/>
                <w:bCs/>
              </w:rPr>
              <w:t>used the i</w:t>
            </w:r>
            <w:r w:rsidRPr="00EF7053">
              <w:rPr>
                <w:rFonts w:ascii="Arial" w:hAnsi="Arial"/>
                <w:bCs/>
              </w:rPr>
              <w:t>nformation</w:t>
            </w:r>
            <w:r>
              <w:rPr>
                <w:rFonts w:ascii="Arial" w:hAnsi="Arial"/>
                <w:bCs/>
              </w:rPr>
              <w:t xml:space="preserve"> on tonnes of agricultural production per year</w:t>
            </w:r>
            <w:r w:rsidRPr="00EF7053">
              <w:rPr>
                <w:rFonts w:ascii="Arial" w:hAnsi="Arial"/>
                <w:bCs/>
              </w:rPr>
              <w:t xml:space="preserve"> at data at SA4 level for Geelong and Warrnambool and South</w:t>
            </w:r>
            <w:r>
              <w:rPr>
                <w:rFonts w:ascii="Arial" w:hAnsi="Arial"/>
                <w:bCs/>
              </w:rPr>
              <w:t>-</w:t>
            </w:r>
            <w:r w:rsidRPr="00EF7053">
              <w:rPr>
                <w:rFonts w:ascii="Arial" w:hAnsi="Arial"/>
                <w:bCs/>
              </w:rPr>
              <w:t>West with average per hectare v</w:t>
            </w:r>
            <w:r>
              <w:rPr>
                <w:rFonts w:ascii="Arial" w:hAnsi="Arial"/>
                <w:bCs/>
              </w:rPr>
              <w:t>olumes</w:t>
            </w:r>
            <w:r w:rsidRPr="00EF7053">
              <w:rPr>
                <w:rFonts w:ascii="Arial" w:hAnsi="Arial"/>
                <w:bCs/>
              </w:rPr>
              <w:t xml:space="preserve"> for agriculture estimated and applied to enclosed farmland within each SA4 area of the </w:t>
            </w:r>
            <w:r>
              <w:rPr>
                <w:rFonts w:ascii="Arial" w:hAnsi="Arial"/>
                <w:bCs/>
              </w:rPr>
              <w:t>GORCAP region</w:t>
            </w:r>
            <w:r w:rsidRPr="00EF7053">
              <w:rPr>
                <w:rFonts w:ascii="Arial" w:hAnsi="Arial"/>
                <w:bCs/>
              </w:rPr>
              <w:t>.</w:t>
            </w:r>
          </w:p>
        </w:tc>
      </w:tr>
      <w:tr w:rsidR="00CF04CB" w:rsidRPr="000C412E" w14:paraId="1D1916F0" w14:textId="77777777" w:rsidTr="00A459D5">
        <w:trPr>
          <w:gridAfter w:val="1"/>
          <w:wAfter w:w="224" w:type="dxa"/>
          <w:trHeight w:val="2712"/>
        </w:trPr>
        <w:tc>
          <w:tcPr>
            <w:cnfStyle w:val="001000000000" w:firstRow="0" w:lastRow="0" w:firstColumn="1" w:lastColumn="0" w:oddVBand="0" w:evenVBand="0" w:oddHBand="0" w:evenHBand="0" w:firstRowFirstColumn="0" w:firstRowLastColumn="0" w:lastRowFirstColumn="0" w:lastRowLastColumn="0"/>
            <w:tcW w:w="2834" w:type="dxa"/>
          </w:tcPr>
          <w:p w14:paraId="20992566" w14:textId="77777777" w:rsidR="00B55451" w:rsidRPr="00EF7053" w:rsidRDefault="00B55451" w:rsidP="00A459D5">
            <w:pPr>
              <w:pStyle w:val="TableTextLeft"/>
              <w:rPr>
                <w:rFonts w:ascii="Arial" w:hAnsi="Arial"/>
                <w:color w:val="111111" w:themeColor="text1" w:themeShade="80"/>
              </w:rPr>
            </w:pPr>
            <w:r w:rsidRPr="00EF7053">
              <w:rPr>
                <w:rFonts w:ascii="Arial" w:hAnsi="Arial"/>
                <w:color w:val="111111" w:themeColor="text1" w:themeShade="80"/>
              </w:rPr>
              <w:t xml:space="preserve">Blandon and </w:t>
            </w:r>
            <w:proofErr w:type="spellStart"/>
            <w:r w:rsidRPr="00EF7053">
              <w:rPr>
                <w:rFonts w:ascii="Arial" w:hAnsi="Arial"/>
                <w:color w:val="111111" w:themeColor="text1" w:themeShade="80"/>
              </w:rPr>
              <w:t>zu</w:t>
            </w:r>
            <w:proofErr w:type="spellEnd"/>
            <w:r w:rsidRPr="00EF7053">
              <w:rPr>
                <w:rFonts w:ascii="Arial" w:hAnsi="Arial"/>
                <w:color w:val="111111" w:themeColor="text1" w:themeShade="80"/>
              </w:rPr>
              <w:t xml:space="preserve"> </w:t>
            </w:r>
            <w:proofErr w:type="spellStart"/>
            <w:r w:rsidRPr="00EF7053">
              <w:rPr>
                <w:rFonts w:ascii="Arial" w:hAnsi="Arial"/>
                <w:color w:val="111111" w:themeColor="text1" w:themeShade="80"/>
              </w:rPr>
              <w:t>Ermgassen</w:t>
            </w:r>
            <w:proofErr w:type="spellEnd"/>
            <w:r w:rsidRPr="00EF7053">
              <w:rPr>
                <w:rFonts w:ascii="Arial" w:hAnsi="Arial"/>
                <w:color w:val="111111" w:themeColor="text1" w:themeShade="80"/>
              </w:rPr>
              <w:t xml:space="preserve"> (2014) Quantitative estimate of commercial fish enhancement by seagrass habitat in Southern Australia</w:t>
            </w:r>
          </w:p>
          <w:p w14:paraId="2E3C88BB" w14:textId="77777777" w:rsidR="00B55451" w:rsidRPr="00EF7053" w:rsidRDefault="00B55451" w:rsidP="00A459D5">
            <w:pPr>
              <w:pStyle w:val="TableTextLeft"/>
              <w:rPr>
                <w:rFonts w:ascii="Arial" w:hAnsi="Arial"/>
                <w:color w:val="111111" w:themeColor="text1" w:themeShade="80"/>
              </w:rPr>
            </w:pPr>
            <w:r w:rsidRPr="00EF7053">
              <w:rPr>
                <w:rFonts w:ascii="Arial" w:hAnsi="Arial"/>
                <w:i/>
                <w:iCs/>
                <w:color w:val="111111" w:themeColor="text1" w:themeShade="80"/>
              </w:rPr>
              <w:t xml:space="preserve">and </w:t>
            </w:r>
            <w:r w:rsidRPr="00EF7053">
              <w:rPr>
                <w:rFonts w:ascii="Arial" w:hAnsi="Arial"/>
                <w:color w:val="111111" w:themeColor="text1" w:themeShade="80"/>
              </w:rPr>
              <w:t xml:space="preserve"> </w:t>
            </w:r>
          </w:p>
          <w:p w14:paraId="63563D22" w14:textId="77777777" w:rsidR="00B55451" w:rsidRPr="00EF7053" w:rsidRDefault="00B55451" w:rsidP="00A459D5">
            <w:pPr>
              <w:pStyle w:val="TableTextLeft"/>
              <w:rPr>
                <w:rFonts w:ascii="Arial" w:hAnsi="Arial"/>
                <w:color w:val="111111" w:themeColor="text1" w:themeShade="80"/>
              </w:rPr>
            </w:pPr>
            <w:r w:rsidRPr="00EF7053">
              <w:rPr>
                <w:rFonts w:ascii="Arial" w:hAnsi="Arial"/>
                <w:color w:val="111111" w:themeColor="text1" w:themeShade="80"/>
              </w:rPr>
              <w:t xml:space="preserve">Blandon and </w:t>
            </w:r>
            <w:proofErr w:type="spellStart"/>
            <w:r w:rsidRPr="00EF7053">
              <w:rPr>
                <w:rFonts w:ascii="Arial" w:hAnsi="Arial"/>
                <w:color w:val="111111" w:themeColor="text1" w:themeShade="80"/>
              </w:rPr>
              <w:t>zu</w:t>
            </w:r>
            <w:proofErr w:type="spellEnd"/>
            <w:r w:rsidRPr="00EF7053">
              <w:rPr>
                <w:rFonts w:ascii="Arial" w:hAnsi="Arial"/>
                <w:color w:val="111111" w:themeColor="text1" w:themeShade="80"/>
              </w:rPr>
              <w:t xml:space="preserve"> </w:t>
            </w:r>
            <w:proofErr w:type="spellStart"/>
            <w:r w:rsidRPr="00EF7053">
              <w:rPr>
                <w:rFonts w:ascii="Arial" w:hAnsi="Arial"/>
                <w:color w:val="111111" w:themeColor="text1" w:themeShade="80"/>
              </w:rPr>
              <w:t>Ermgassen</w:t>
            </w:r>
            <w:proofErr w:type="spellEnd"/>
            <w:r w:rsidRPr="00EF7053">
              <w:rPr>
                <w:rFonts w:ascii="Arial" w:hAnsi="Arial"/>
                <w:color w:val="111111" w:themeColor="text1" w:themeShade="80"/>
              </w:rPr>
              <w:t xml:space="preserve">  (2014) Corrigendum (to above paper)</w:t>
            </w:r>
          </w:p>
          <w:p w14:paraId="7E741AF6" w14:textId="77777777" w:rsidR="00B55451" w:rsidRPr="00EF7053" w:rsidRDefault="00B55451" w:rsidP="00A459D5">
            <w:pPr>
              <w:pStyle w:val="TableTextLeft"/>
              <w:rPr>
                <w:rFonts w:ascii="Arial" w:hAnsi="Arial"/>
                <w:color w:val="111111" w:themeColor="text1" w:themeShade="80"/>
              </w:rPr>
            </w:pPr>
          </w:p>
        </w:tc>
        <w:tc>
          <w:tcPr>
            <w:tcW w:w="9809" w:type="dxa"/>
          </w:tcPr>
          <w:p w14:paraId="473B58DC" w14:textId="77777777" w:rsidR="00B55451" w:rsidRPr="008D712D"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sidRPr="008D712D">
              <w:rPr>
                <w:rFonts w:ascii="Arial" w:hAnsi="Arial"/>
                <w:color w:val="111111" w:themeColor="text1" w:themeShade="80"/>
              </w:rPr>
              <w:t>This study was used in the DELWP (2016) study to provide information on the total annual enhancement of species in terms of grams per m</w:t>
            </w:r>
            <w:r w:rsidRPr="008D712D">
              <w:rPr>
                <w:rFonts w:ascii="Arial" w:hAnsi="Arial"/>
                <w:color w:val="111111" w:themeColor="text1" w:themeShade="80"/>
                <w:vertAlign w:val="superscript"/>
              </w:rPr>
              <w:t xml:space="preserve">2 </w:t>
            </w:r>
            <w:r w:rsidRPr="008D712D">
              <w:rPr>
                <w:rFonts w:ascii="Arial" w:hAnsi="Arial"/>
                <w:color w:val="111111" w:themeColor="text1" w:themeShade="80"/>
              </w:rPr>
              <w:t xml:space="preserve">of seagrass habitat in southern Australia. Estimates are provided for a range of commercially fished species including Australian anchovy, Luderick, Blue weed whiting, Sandy sprat, Southern sea garfish, Flat-tail mullet, Six-spined leatherjacket, Yellowfin leatherjacket, Flathead grey mullet, Six-lined trumpeter, Tarwhine, King George whiting. This information was used in DELWP (2016) to estimate the change in fish stock attributable to the seagrass habitat, as opposed to realised catch in Port Phillip Bay. </w:t>
            </w:r>
          </w:p>
          <w:p w14:paraId="4ACCD5C0" w14:textId="77777777" w:rsidR="00B55451" w:rsidRPr="008D712D"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p>
          <w:p w14:paraId="2F30FAD2" w14:textId="77777777" w:rsidR="00B55451" w:rsidRPr="006C4B08"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sidRPr="008D712D">
              <w:rPr>
                <w:rFonts w:ascii="Arial" w:hAnsi="Arial"/>
                <w:color w:val="111111" w:themeColor="text1" w:themeShade="80"/>
              </w:rPr>
              <w:t xml:space="preserve">A corrigendum was released to the original paper in 2014 correcting for errors which affect the annual enhancement of year classes and the economic enhancement estimates. The revised figures will be used in </w:t>
            </w:r>
            <w:r>
              <w:rPr>
                <w:rFonts w:ascii="Arial" w:hAnsi="Arial"/>
                <w:color w:val="111111" w:themeColor="text1" w:themeShade="80"/>
              </w:rPr>
              <w:t>GORCAP EEA</w:t>
            </w:r>
            <w:r w:rsidRPr="008D712D">
              <w:rPr>
                <w:rFonts w:ascii="Arial" w:hAnsi="Arial"/>
                <w:color w:val="111111" w:themeColor="text1" w:themeShade="80"/>
              </w:rPr>
              <w:t>.</w:t>
            </w:r>
          </w:p>
        </w:tc>
        <w:tc>
          <w:tcPr>
            <w:tcW w:w="737" w:type="dxa"/>
            <w:shd w:val="clear" w:color="auto" w:fill="FF0000"/>
          </w:tcPr>
          <w:p w14:paraId="05131C7D" w14:textId="77777777" w:rsidR="00B55451" w:rsidRPr="00EF7053"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Pr>
                <w:rFonts w:ascii="Arial" w:hAnsi="Arial"/>
                <w:color w:val="111111" w:themeColor="text1" w:themeShade="80"/>
              </w:rPr>
              <w:t>No</w:t>
            </w:r>
          </w:p>
        </w:tc>
        <w:tc>
          <w:tcPr>
            <w:tcW w:w="7935" w:type="dxa"/>
          </w:tcPr>
          <w:p w14:paraId="4938A4DA" w14:textId="77777777" w:rsidR="00B55451" w:rsidRPr="00EF7053"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sidRPr="00DB4323">
              <w:rPr>
                <w:rFonts w:ascii="Arial" w:hAnsi="Arial"/>
                <w:color w:val="111111" w:themeColor="text1" w:themeShade="80"/>
              </w:rPr>
              <w:t xml:space="preserve">This </w:t>
            </w:r>
            <w:r>
              <w:rPr>
                <w:rFonts w:ascii="Arial" w:hAnsi="Arial"/>
                <w:color w:val="111111" w:themeColor="text1" w:themeShade="80"/>
              </w:rPr>
              <w:t>study</w:t>
            </w:r>
            <w:r w:rsidRPr="00DB4323">
              <w:rPr>
                <w:rFonts w:ascii="Arial" w:hAnsi="Arial"/>
                <w:color w:val="111111" w:themeColor="text1" w:themeShade="80"/>
              </w:rPr>
              <w:t xml:space="preserve"> estimate</w:t>
            </w:r>
            <w:r>
              <w:rPr>
                <w:rFonts w:ascii="Arial" w:hAnsi="Arial"/>
                <w:color w:val="111111" w:themeColor="text1" w:themeShade="80"/>
              </w:rPr>
              <w:t>s</w:t>
            </w:r>
            <w:r w:rsidRPr="00DB4323">
              <w:rPr>
                <w:rFonts w:ascii="Arial" w:hAnsi="Arial"/>
                <w:color w:val="111111" w:themeColor="text1" w:themeShade="80"/>
              </w:rPr>
              <w:t xml:space="preserve"> the annual enhancement in fish stocks in kilograms per year that is attributable to a m</w:t>
            </w:r>
            <w:r w:rsidRPr="00DB4323">
              <w:rPr>
                <w:rFonts w:ascii="Arial" w:hAnsi="Arial"/>
                <w:color w:val="111111" w:themeColor="text1" w:themeShade="80"/>
                <w:vertAlign w:val="superscript"/>
              </w:rPr>
              <w:t>2</w:t>
            </w:r>
            <w:r w:rsidRPr="00DB4323">
              <w:rPr>
                <w:rFonts w:ascii="Arial" w:hAnsi="Arial"/>
                <w:color w:val="111111" w:themeColor="text1" w:themeShade="80"/>
              </w:rPr>
              <w:t xml:space="preserve"> of seagrass habitat</w:t>
            </w:r>
            <w:r>
              <w:rPr>
                <w:rFonts w:ascii="Arial" w:hAnsi="Arial"/>
                <w:color w:val="111111" w:themeColor="text1" w:themeShade="80"/>
              </w:rPr>
              <w:t xml:space="preserve"> (i.e. the increase in the stock)</w:t>
            </w:r>
            <w:r w:rsidRPr="00DB4323">
              <w:rPr>
                <w:rFonts w:ascii="Arial" w:hAnsi="Arial"/>
                <w:color w:val="111111" w:themeColor="text1" w:themeShade="80"/>
              </w:rPr>
              <w:t xml:space="preserve"> </w:t>
            </w:r>
            <w:r>
              <w:rPr>
                <w:rFonts w:ascii="Arial" w:hAnsi="Arial"/>
                <w:color w:val="111111" w:themeColor="text1" w:themeShade="80"/>
              </w:rPr>
              <w:t>rather than the annual enhancement in fishery catch that is</w:t>
            </w:r>
            <w:r w:rsidRPr="00DB4323">
              <w:rPr>
                <w:rFonts w:ascii="Arial" w:hAnsi="Arial"/>
                <w:color w:val="111111" w:themeColor="text1" w:themeShade="80"/>
              </w:rPr>
              <w:t xml:space="preserve"> attributable to a m</w:t>
            </w:r>
            <w:r w:rsidRPr="00DB4323">
              <w:rPr>
                <w:rFonts w:ascii="Arial" w:hAnsi="Arial"/>
                <w:color w:val="111111" w:themeColor="text1" w:themeShade="80"/>
                <w:vertAlign w:val="superscript"/>
              </w:rPr>
              <w:t>2</w:t>
            </w:r>
            <w:r w:rsidRPr="00DB4323">
              <w:rPr>
                <w:rFonts w:ascii="Arial" w:hAnsi="Arial"/>
                <w:color w:val="111111" w:themeColor="text1" w:themeShade="80"/>
              </w:rPr>
              <w:t xml:space="preserve"> of seagrass habitat</w:t>
            </w:r>
            <w:r>
              <w:rPr>
                <w:rFonts w:ascii="Arial" w:hAnsi="Arial"/>
                <w:color w:val="111111" w:themeColor="text1" w:themeShade="80"/>
              </w:rPr>
              <w:t xml:space="preserve"> (i.e. the increase in the flow).   </w:t>
            </w:r>
            <w:r w:rsidRPr="00DB4323">
              <w:rPr>
                <w:rFonts w:ascii="Arial" w:hAnsi="Arial"/>
                <w:color w:val="111111" w:themeColor="text1" w:themeShade="80"/>
              </w:rPr>
              <w:t xml:space="preserve"> </w:t>
            </w:r>
          </w:p>
        </w:tc>
      </w:tr>
      <w:tr w:rsidR="00CF04CB" w:rsidRPr="000C412E" w14:paraId="1DE97876" w14:textId="77777777" w:rsidTr="00A459D5">
        <w:trPr>
          <w:gridAfter w:val="1"/>
          <w:wAfter w:w="224" w:type="dxa"/>
          <w:trHeight w:val="976"/>
        </w:trPr>
        <w:tc>
          <w:tcPr>
            <w:cnfStyle w:val="001000000000" w:firstRow="0" w:lastRow="0" w:firstColumn="1" w:lastColumn="0" w:oddVBand="0" w:evenVBand="0" w:oddHBand="0" w:evenHBand="0" w:firstRowFirstColumn="0" w:firstRowLastColumn="0" w:lastRowFirstColumn="0" w:lastRowLastColumn="0"/>
            <w:tcW w:w="2834" w:type="dxa"/>
          </w:tcPr>
          <w:p w14:paraId="6691C38F" w14:textId="77777777" w:rsidR="00B55451" w:rsidRPr="00565D0B" w:rsidRDefault="00B55451" w:rsidP="00A459D5">
            <w:pPr>
              <w:pStyle w:val="TableTextLeft"/>
              <w:rPr>
                <w:rFonts w:ascii="Arial" w:hAnsi="Arial"/>
                <w:color w:val="111111" w:themeColor="text1" w:themeShade="80"/>
              </w:rPr>
            </w:pPr>
            <w:r w:rsidRPr="00565D0B">
              <w:rPr>
                <w:rFonts w:ascii="Arial" w:hAnsi="Arial"/>
                <w:color w:val="111111" w:themeColor="text1" w:themeShade="80"/>
              </w:rPr>
              <w:t>Carnell et al (2019) Mapping Ocean Wealth Australia</w:t>
            </w:r>
          </w:p>
        </w:tc>
        <w:tc>
          <w:tcPr>
            <w:tcW w:w="9809" w:type="dxa"/>
          </w:tcPr>
          <w:p w14:paraId="01084501" w14:textId="77777777" w:rsidR="00B55451" w:rsidRPr="000C412E"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Pr>
                <w:rFonts w:ascii="Arial" w:hAnsi="Arial"/>
                <w:color w:val="111111" w:themeColor="text1" w:themeShade="80"/>
              </w:rPr>
              <w:t xml:space="preserve">This study estimates </w:t>
            </w:r>
            <w:r w:rsidRPr="000C412E">
              <w:rPr>
                <w:rFonts w:ascii="Arial" w:hAnsi="Arial"/>
                <w:color w:val="111111" w:themeColor="text1" w:themeShade="80"/>
              </w:rPr>
              <w:t>the</w:t>
            </w:r>
            <w:r w:rsidRPr="00B60038">
              <w:rPr>
                <w:rFonts w:ascii="Arial" w:hAnsi="Arial"/>
                <w:color w:val="111111" w:themeColor="text1" w:themeShade="80"/>
              </w:rPr>
              <w:t xml:space="preserve"> </w:t>
            </w:r>
            <w:r w:rsidRPr="00B60038">
              <w:rPr>
                <w:rFonts w:ascii="Arial" w:hAnsi="Arial"/>
              </w:rPr>
              <w:t>t</w:t>
            </w:r>
            <w:r w:rsidRPr="00B60038">
              <w:rPr>
                <w:rFonts w:ascii="Arial" w:hAnsi="Arial"/>
                <w:color w:val="111111" w:themeColor="text1" w:themeShade="80"/>
              </w:rPr>
              <w:t>otal</w:t>
            </w:r>
            <w:r w:rsidRPr="00565D0B">
              <w:rPr>
                <w:rFonts w:ascii="Arial" w:hAnsi="Arial"/>
                <w:color w:val="111111" w:themeColor="text1" w:themeShade="80"/>
              </w:rPr>
              <w:t xml:space="preserve"> annual </w:t>
            </w:r>
            <w:r w:rsidRPr="002A5E06">
              <w:rPr>
                <w:rFonts w:ascii="Arial" w:hAnsi="Arial"/>
                <w:color w:val="111111" w:themeColor="text1" w:themeShade="80"/>
              </w:rPr>
              <w:t>production value</w:t>
            </w:r>
            <w:r>
              <w:rPr>
                <w:rFonts w:ascii="Arial" w:hAnsi="Arial"/>
                <w:color w:val="111111" w:themeColor="text1" w:themeShade="80"/>
              </w:rPr>
              <w:t xml:space="preserve"> of species in terms of tonnes per hectare that is</w:t>
            </w:r>
            <w:r w:rsidRPr="002A5E06">
              <w:rPr>
                <w:rFonts w:ascii="Arial" w:hAnsi="Arial"/>
                <w:color w:val="111111" w:themeColor="text1" w:themeShade="80"/>
              </w:rPr>
              <w:t xml:space="preserve"> attributable to </w:t>
            </w:r>
            <w:r>
              <w:rPr>
                <w:rFonts w:ascii="Arial" w:hAnsi="Arial"/>
                <w:color w:val="111111" w:themeColor="text1" w:themeShade="80"/>
              </w:rPr>
              <w:t xml:space="preserve">seagrass, saltmarsh and mangrove </w:t>
            </w:r>
            <w:r w:rsidRPr="002A5E06">
              <w:rPr>
                <w:rFonts w:ascii="Arial" w:hAnsi="Arial"/>
                <w:color w:val="111111" w:themeColor="text1" w:themeShade="80"/>
              </w:rPr>
              <w:t>ecosystems</w:t>
            </w:r>
            <w:r>
              <w:rPr>
                <w:rFonts w:ascii="Arial" w:hAnsi="Arial"/>
                <w:color w:val="111111" w:themeColor="text1" w:themeShade="80"/>
              </w:rPr>
              <w:t xml:space="preserve"> in south-east Australia (NSW and Victoria). Victoria specific estimates are provided for the top five species by average annual catch including King George whiting, Black bream, Rock flathead, Snapper and Southern sea garfish.  </w:t>
            </w:r>
          </w:p>
        </w:tc>
        <w:tc>
          <w:tcPr>
            <w:tcW w:w="737" w:type="dxa"/>
            <w:shd w:val="clear" w:color="auto" w:fill="92D050"/>
          </w:tcPr>
          <w:p w14:paraId="354BFB19" w14:textId="77777777" w:rsidR="00B55451" w:rsidRPr="000C412E"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sidRPr="00EF7053">
              <w:rPr>
                <w:rFonts w:ascii="Arial" w:hAnsi="Arial"/>
                <w:color w:val="111111" w:themeColor="text1" w:themeShade="80"/>
              </w:rPr>
              <w:t>Yes</w:t>
            </w:r>
          </w:p>
        </w:tc>
        <w:tc>
          <w:tcPr>
            <w:tcW w:w="7935" w:type="dxa"/>
          </w:tcPr>
          <w:p w14:paraId="3EECCFB7" w14:textId="77777777" w:rsidR="00B55451" w:rsidRPr="000C412E"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sidRPr="00DB4323">
              <w:rPr>
                <w:rFonts w:ascii="Arial" w:hAnsi="Arial"/>
                <w:color w:val="111111" w:themeColor="text1" w:themeShade="80"/>
              </w:rPr>
              <w:t xml:space="preserve">This information </w:t>
            </w:r>
            <w:r>
              <w:rPr>
                <w:rFonts w:ascii="Arial" w:hAnsi="Arial"/>
                <w:color w:val="111111" w:themeColor="text1" w:themeShade="80"/>
              </w:rPr>
              <w:t>is</w:t>
            </w:r>
            <w:r w:rsidRPr="00DB4323">
              <w:rPr>
                <w:rFonts w:ascii="Arial" w:hAnsi="Arial"/>
                <w:color w:val="111111" w:themeColor="text1" w:themeShade="80"/>
              </w:rPr>
              <w:t xml:space="preserve"> used to estimate the annual enhancement in fish stocks in </w:t>
            </w:r>
            <w:r>
              <w:rPr>
                <w:rFonts w:ascii="Arial" w:hAnsi="Arial"/>
                <w:color w:val="111111" w:themeColor="text1" w:themeShade="80"/>
              </w:rPr>
              <w:t>tonnes</w:t>
            </w:r>
            <w:r w:rsidRPr="00DB4323">
              <w:rPr>
                <w:rFonts w:ascii="Arial" w:hAnsi="Arial"/>
                <w:color w:val="111111" w:themeColor="text1" w:themeShade="80"/>
              </w:rPr>
              <w:t xml:space="preserve"> per year that is attributable to a</w:t>
            </w:r>
            <w:r>
              <w:rPr>
                <w:rFonts w:ascii="Arial" w:hAnsi="Arial"/>
                <w:color w:val="111111" w:themeColor="text1" w:themeShade="80"/>
              </w:rPr>
              <w:t xml:space="preserve"> hectare </w:t>
            </w:r>
            <w:r w:rsidRPr="00DB4323">
              <w:rPr>
                <w:rFonts w:ascii="Arial" w:hAnsi="Arial"/>
                <w:color w:val="111111" w:themeColor="text1" w:themeShade="80"/>
              </w:rPr>
              <w:t>of seagrass</w:t>
            </w:r>
            <w:r>
              <w:rPr>
                <w:rFonts w:ascii="Arial" w:hAnsi="Arial"/>
                <w:color w:val="111111" w:themeColor="text1" w:themeShade="80"/>
              </w:rPr>
              <w:t>, mangrove and saltmarsh</w:t>
            </w:r>
            <w:r w:rsidRPr="00DB4323">
              <w:rPr>
                <w:rFonts w:ascii="Arial" w:hAnsi="Arial"/>
                <w:color w:val="111111" w:themeColor="text1" w:themeShade="80"/>
              </w:rPr>
              <w:t xml:space="preserve"> habitat</w:t>
            </w:r>
            <w:r>
              <w:rPr>
                <w:rFonts w:ascii="Arial" w:hAnsi="Arial"/>
                <w:color w:val="111111" w:themeColor="text1" w:themeShade="80"/>
              </w:rPr>
              <w:t>s</w:t>
            </w:r>
            <w:r w:rsidRPr="00DB4323">
              <w:rPr>
                <w:rFonts w:ascii="Arial" w:hAnsi="Arial"/>
                <w:color w:val="111111" w:themeColor="text1" w:themeShade="80"/>
              </w:rPr>
              <w:t xml:space="preserve"> within the </w:t>
            </w:r>
            <w:r>
              <w:rPr>
                <w:rFonts w:ascii="Arial" w:hAnsi="Arial"/>
                <w:color w:val="111111" w:themeColor="text1" w:themeShade="80"/>
              </w:rPr>
              <w:t>GORCAP EEA</w:t>
            </w:r>
            <w:r w:rsidRPr="00DB4323">
              <w:rPr>
                <w:rFonts w:ascii="Arial" w:hAnsi="Arial"/>
                <w:color w:val="111111" w:themeColor="text1" w:themeShade="80"/>
              </w:rPr>
              <w:t xml:space="preserve"> boundary for those species that are known to spawn and be raised within the </w:t>
            </w:r>
            <w:r>
              <w:rPr>
                <w:rFonts w:ascii="Arial" w:hAnsi="Arial"/>
                <w:color w:val="111111" w:themeColor="text1" w:themeShade="80"/>
              </w:rPr>
              <w:t>GORCAP EEA</w:t>
            </w:r>
            <w:r w:rsidRPr="00DB4323">
              <w:rPr>
                <w:rFonts w:ascii="Arial" w:hAnsi="Arial"/>
                <w:color w:val="111111" w:themeColor="text1" w:themeShade="80"/>
              </w:rPr>
              <w:t xml:space="preserve"> boundary. </w:t>
            </w:r>
          </w:p>
        </w:tc>
      </w:tr>
      <w:tr w:rsidR="00CF04CB" w:rsidRPr="000C412E" w14:paraId="0E0DE82F" w14:textId="77777777" w:rsidTr="00A459D5">
        <w:trPr>
          <w:gridAfter w:val="1"/>
          <w:wAfter w:w="224" w:type="dxa"/>
          <w:trHeight w:val="976"/>
        </w:trPr>
        <w:tc>
          <w:tcPr>
            <w:cnfStyle w:val="001000000000" w:firstRow="0" w:lastRow="0" w:firstColumn="1" w:lastColumn="0" w:oddVBand="0" w:evenVBand="0" w:oddHBand="0" w:evenHBand="0" w:firstRowFirstColumn="0" w:firstRowLastColumn="0" w:lastRowFirstColumn="0" w:lastRowLastColumn="0"/>
            <w:tcW w:w="2834" w:type="dxa"/>
          </w:tcPr>
          <w:p w14:paraId="20BF01FD" w14:textId="77777777" w:rsidR="00B55451" w:rsidRPr="00565D0B" w:rsidRDefault="00B55451" w:rsidP="00A459D5">
            <w:pPr>
              <w:pStyle w:val="TableTextLeft"/>
              <w:rPr>
                <w:rFonts w:ascii="Arial" w:hAnsi="Arial"/>
                <w:color w:val="111111" w:themeColor="text1" w:themeShade="80"/>
              </w:rPr>
            </w:pPr>
            <w:r w:rsidRPr="00565D0B">
              <w:rPr>
                <w:rFonts w:ascii="Arial" w:hAnsi="Arial"/>
                <w:color w:val="111111" w:themeColor="text1" w:themeShade="80"/>
              </w:rPr>
              <w:t>DSE (2012) Putting the buzz back in agriculture, Background – Issues paper in DELWP and PV (2015)</w:t>
            </w:r>
          </w:p>
        </w:tc>
        <w:tc>
          <w:tcPr>
            <w:tcW w:w="9809" w:type="dxa"/>
          </w:tcPr>
          <w:p w14:paraId="5ABC0673" w14:textId="77777777" w:rsidR="00B55451" w:rsidRPr="000C412E"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Pr>
                <w:rFonts w:ascii="Arial" w:hAnsi="Arial"/>
                <w:color w:val="111111" w:themeColor="text1" w:themeShade="80"/>
              </w:rPr>
              <w:t xml:space="preserve">This study was used in DELWP and PV (2015) study on valuing Victoria’s parks, providing information on the estimated number of honeybee sites and tonnes of honey supplied by Victorian parks per year. </w:t>
            </w:r>
          </w:p>
        </w:tc>
        <w:tc>
          <w:tcPr>
            <w:tcW w:w="737" w:type="dxa"/>
            <w:shd w:val="clear" w:color="auto" w:fill="FF0000"/>
          </w:tcPr>
          <w:p w14:paraId="7A5044D0" w14:textId="77777777" w:rsidR="00B55451" w:rsidRPr="000C412E"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Pr>
                <w:rFonts w:ascii="Arial" w:hAnsi="Arial"/>
                <w:color w:val="111111" w:themeColor="text1" w:themeShade="80"/>
              </w:rPr>
              <w:t>No</w:t>
            </w:r>
          </w:p>
        </w:tc>
        <w:tc>
          <w:tcPr>
            <w:tcW w:w="7935" w:type="dxa"/>
          </w:tcPr>
          <w:p w14:paraId="746CD400" w14:textId="77777777" w:rsidR="00B55451" w:rsidRPr="000C412E"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Pr>
                <w:rFonts w:ascii="Arial" w:hAnsi="Arial"/>
                <w:bCs/>
              </w:rPr>
              <w:t xml:space="preserve">Apiaries are not considered to be a high value output from the GORCAP region and so are not a priority for this initial GORCAP EEA but could be included in future iterations.  </w:t>
            </w:r>
          </w:p>
        </w:tc>
      </w:tr>
      <w:tr w:rsidR="00CF04CB" w:rsidRPr="000C412E" w14:paraId="60B4356C" w14:textId="77777777" w:rsidTr="00A459D5">
        <w:trPr>
          <w:gridAfter w:val="1"/>
          <w:wAfter w:w="224" w:type="dxa"/>
          <w:trHeight w:val="976"/>
        </w:trPr>
        <w:tc>
          <w:tcPr>
            <w:cnfStyle w:val="001000000000" w:firstRow="0" w:lastRow="0" w:firstColumn="1" w:lastColumn="0" w:oddVBand="0" w:evenVBand="0" w:oddHBand="0" w:evenHBand="0" w:firstRowFirstColumn="0" w:firstRowLastColumn="0" w:lastRowFirstColumn="0" w:lastRowLastColumn="0"/>
            <w:tcW w:w="2834" w:type="dxa"/>
          </w:tcPr>
          <w:p w14:paraId="46910101" w14:textId="77777777" w:rsidR="00B55451" w:rsidRPr="00565D0B" w:rsidRDefault="00B55451" w:rsidP="00A459D5">
            <w:pPr>
              <w:pStyle w:val="TableTextLeft"/>
              <w:rPr>
                <w:rFonts w:ascii="Arial" w:hAnsi="Arial"/>
                <w:color w:val="111111" w:themeColor="text1" w:themeShade="80"/>
              </w:rPr>
            </w:pPr>
            <w:proofErr w:type="spellStart"/>
            <w:r w:rsidRPr="00AF007D">
              <w:rPr>
                <w:rFonts w:ascii="Arial" w:hAnsi="Arial"/>
                <w:color w:val="111111" w:themeColor="text1" w:themeShade="80"/>
              </w:rPr>
              <w:t>Ierodiaconou</w:t>
            </w:r>
            <w:proofErr w:type="spellEnd"/>
            <w:r w:rsidRPr="00AF007D">
              <w:rPr>
                <w:rFonts w:ascii="Arial" w:hAnsi="Arial"/>
                <w:color w:val="111111" w:themeColor="text1" w:themeShade="80"/>
              </w:rPr>
              <w:t xml:space="preserve"> et al (</w:t>
            </w:r>
            <w:r>
              <w:rPr>
                <w:rFonts w:ascii="Arial" w:hAnsi="Arial"/>
                <w:color w:val="111111" w:themeColor="text1" w:themeShade="80"/>
              </w:rPr>
              <w:t>2018</w:t>
            </w:r>
            <w:r w:rsidRPr="00AF007D">
              <w:rPr>
                <w:rFonts w:ascii="Arial" w:hAnsi="Arial"/>
                <w:color w:val="111111" w:themeColor="text1" w:themeShade="80"/>
              </w:rPr>
              <w:t>)</w:t>
            </w:r>
            <w:r>
              <w:rPr>
                <w:rFonts w:ascii="Arial" w:hAnsi="Arial"/>
                <w:color w:val="111111" w:themeColor="text1" w:themeShade="80"/>
              </w:rPr>
              <w:t xml:space="preserve"> </w:t>
            </w:r>
            <w:r w:rsidRPr="00AF48C5">
              <w:rPr>
                <w:rFonts w:ascii="Arial" w:hAnsi="Arial"/>
                <w:color w:val="111111" w:themeColor="text1" w:themeShade="80"/>
              </w:rPr>
              <w:t>Patterns of interaction between habitat and oceanographic variables affecting the connectivity and productivity of invertebrate fisheries</w:t>
            </w:r>
          </w:p>
        </w:tc>
        <w:tc>
          <w:tcPr>
            <w:tcW w:w="9809" w:type="dxa"/>
          </w:tcPr>
          <w:p w14:paraId="43E06A77" w14:textId="77777777" w:rsidR="00B55451"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Pr>
                <w:rFonts w:ascii="Arial" w:hAnsi="Arial"/>
                <w:color w:val="111111" w:themeColor="text1" w:themeShade="80"/>
              </w:rPr>
              <w:t>This study develops evidence to improve our</w:t>
            </w:r>
            <w:r w:rsidRPr="003F6337">
              <w:rPr>
                <w:rFonts w:ascii="Arial" w:hAnsi="Arial"/>
                <w:color w:val="111111" w:themeColor="text1" w:themeShade="80"/>
              </w:rPr>
              <w:t xml:space="preserve"> understanding of the links between benthic habitat, oceanography, and fisheries productivity </w:t>
            </w:r>
            <w:r>
              <w:rPr>
                <w:rFonts w:ascii="Arial" w:hAnsi="Arial"/>
                <w:color w:val="111111" w:themeColor="text1" w:themeShade="80"/>
              </w:rPr>
              <w:t>in the</w:t>
            </w:r>
            <w:r w:rsidRPr="003F6337">
              <w:rPr>
                <w:rFonts w:ascii="Arial" w:hAnsi="Arial"/>
                <w:color w:val="111111" w:themeColor="text1" w:themeShade="80"/>
              </w:rPr>
              <w:t xml:space="preserve"> abalone and rock lobster industries in order to improve the management of these important natural resources that sustain their fisheries.</w:t>
            </w:r>
            <w:r>
              <w:rPr>
                <w:rFonts w:ascii="Arial" w:hAnsi="Arial"/>
                <w:color w:val="111111" w:themeColor="text1" w:themeShade="80"/>
              </w:rPr>
              <w:t xml:space="preserve"> The study produces maps of predicted biomass hotspots for abalone and estimates the additional </w:t>
            </w:r>
            <w:proofErr w:type="spellStart"/>
            <w:r>
              <w:rPr>
                <w:rFonts w:ascii="Arial" w:hAnsi="Arial"/>
                <w:color w:val="111111" w:themeColor="text1" w:themeShade="80"/>
              </w:rPr>
              <w:t>rocklobster</w:t>
            </w:r>
            <w:proofErr w:type="spellEnd"/>
            <w:r>
              <w:rPr>
                <w:rFonts w:ascii="Arial" w:hAnsi="Arial"/>
                <w:color w:val="111111" w:themeColor="text1" w:themeShade="80"/>
              </w:rPr>
              <w:t xml:space="preserve"> biomass produced from within a marine park (versus outside a marine park)</w:t>
            </w:r>
          </w:p>
          <w:p w14:paraId="13612EAD" w14:textId="77777777" w:rsidR="00B55451"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p>
          <w:p w14:paraId="1248555A" w14:textId="77777777" w:rsidR="00B55451"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Pr>
                <w:rFonts w:ascii="Arial" w:hAnsi="Arial"/>
                <w:color w:val="111111" w:themeColor="text1" w:themeShade="80"/>
              </w:rPr>
              <w:t>The study i</w:t>
            </w:r>
            <w:r w:rsidRPr="007E311C">
              <w:rPr>
                <w:rFonts w:ascii="Arial" w:hAnsi="Arial"/>
                <w:color w:val="111111" w:themeColor="text1" w:themeShade="80"/>
              </w:rPr>
              <w:t>dentif</w:t>
            </w:r>
            <w:r>
              <w:rPr>
                <w:rFonts w:ascii="Arial" w:hAnsi="Arial"/>
                <w:color w:val="111111" w:themeColor="text1" w:themeShade="80"/>
              </w:rPr>
              <w:t>ies</w:t>
            </w:r>
            <w:r w:rsidRPr="007E311C">
              <w:rPr>
                <w:rFonts w:ascii="Arial" w:hAnsi="Arial"/>
                <w:color w:val="111111" w:themeColor="text1" w:themeShade="80"/>
              </w:rPr>
              <w:t xml:space="preserve"> sites which may serve as </w:t>
            </w:r>
            <w:r>
              <w:rPr>
                <w:rFonts w:ascii="Arial" w:hAnsi="Arial"/>
                <w:color w:val="111111" w:themeColor="text1" w:themeShade="80"/>
              </w:rPr>
              <w:t xml:space="preserve">biomass hotspots and primary larval </w:t>
            </w:r>
            <w:r w:rsidRPr="007E311C">
              <w:rPr>
                <w:rFonts w:ascii="Arial" w:hAnsi="Arial"/>
                <w:color w:val="111111" w:themeColor="text1" w:themeShade="80"/>
              </w:rPr>
              <w:t>sources to the broader seascape</w:t>
            </w:r>
            <w:r>
              <w:rPr>
                <w:rFonts w:ascii="Arial" w:hAnsi="Arial"/>
                <w:color w:val="111111" w:themeColor="text1" w:themeShade="80"/>
              </w:rPr>
              <w:t xml:space="preserve"> which</w:t>
            </w:r>
            <w:r w:rsidRPr="007E311C">
              <w:rPr>
                <w:rFonts w:ascii="Arial" w:hAnsi="Arial"/>
                <w:color w:val="111111" w:themeColor="text1" w:themeShade="80"/>
              </w:rPr>
              <w:t xml:space="preserve"> may help identify candidate sites for management actions</w:t>
            </w:r>
            <w:r>
              <w:rPr>
                <w:rFonts w:ascii="Arial" w:hAnsi="Arial"/>
                <w:color w:val="111111" w:themeColor="text1" w:themeShade="80"/>
              </w:rPr>
              <w:t xml:space="preserve"> (e.g. habitat restoration/conservation, restocking, disease control). For abalone, these key (reef habitat) sites fall within the GORCAP region with </w:t>
            </w:r>
            <w:r w:rsidRPr="00BC4B9C">
              <w:rPr>
                <w:rFonts w:ascii="Arial" w:hAnsi="Arial"/>
                <w:color w:val="111111" w:themeColor="text1" w:themeShade="80"/>
              </w:rPr>
              <w:t xml:space="preserve">clusters in the western zone and in the west section of the central abalone zone </w:t>
            </w:r>
            <w:r>
              <w:rPr>
                <w:rFonts w:ascii="Arial" w:hAnsi="Arial"/>
                <w:color w:val="111111" w:themeColor="text1" w:themeShade="80"/>
              </w:rPr>
              <w:t xml:space="preserve">- </w:t>
            </w:r>
            <w:r w:rsidRPr="00BC4B9C">
              <w:rPr>
                <w:rFonts w:ascii="Arial" w:hAnsi="Arial"/>
                <w:color w:val="111111" w:themeColor="text1" w:themeShade="80"/>
              </w:rPr>
              <w:t>primarily west of Port Phillip Bay</w:t>
            </w:r>
            <w:r>
              <w:rPr>
                <w:rFonts w:ascii="Arial" w:hAnsi="Arial"/>
                <w:color w:val="111111" w:themeColor="text1" w:themeShade="80"/>
              </w:rPr>
              <w:t>. T</w:t>
            </w:r>
            <w:r w:rsidRPr="005E75CE">
              <w:rPr>
                <w:rFonts w:ascii="Arial" w:hAnsi="Arial"/>
                <w:color w:val="111111" w:themeColor="text1" w:themeShade="80"/>
              </w:rPr>
              <w:t>hese large, productive abalone subpopulations may be responsible for seeding easterly reefs with potential recruits. Management strategies accommodating these strong potential source populations would help ensure a longer-term and persistent abalone fishery</w:t>
            </w:r>
            <w:r>
              <w:rPr>
                <w:rFonts w:ascii="Arial" w:hAnsi="Arial"/>
                <w:color w:val="111111" w:themeColor="text1" w:themeShade="80"/>
              </w:rPr>
              <w:t>.</w:t>
            </w:r>
          </w:p>
          <w:p w14:paraId="7BFF2181" w14:textId="77777777" w:rsidR="00B55451"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p>
          <w:p w14:paraId="05B53A78" w14:textId="77777777" w:rsidR="00B55451"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Pr>
                <w:rFonts w:ascii="Arial" w:hAnsi="Arial"/>
                <w:color w:val="111111" w:themeColor="text1" w:themeShade="80"/>
              </w:rPr>
              <w:t>The study uses i</w:t>
            </w:r>
            <w:r w:rsidRPr="00E97B6F">
              <w:rPr>
                <w:rFonts w:ascii="Arial" w:hAnsi="Arial"/>
                <w:color w:val="111111" w:themeColor="text1" w:themeShade="80"/>
              </w:rPr>
              <w:t>nformation on abalone catch</w:t>
            </w:r>
            <w:r>
              <w:rPr>
                <w:rFonts w:ascii="Arial" w:hAnsi="Arial"/>
                <w:color w:val="111111" w:themeColor="text1" w:themeShade="80"/>
              </w:rPr>
              <w:t xml:space="preserve"> (total biomass removed)</w:t>
            </w:r>
            <w:r w:rsidRPr="00E97B6F">
              <w:rPr>
                <w:rFonts w:ascii="Arial" w:hAnsi="Arial"/>
                <w:color w:val="111111" w:themeColor="text1" w:themeShade="80"/>
              </w:rPr>
              <w:t xml:space="preserve"> within fishing subzone</w:t>
            </w:r>
            <w:r>
              <w:rPr>
                <w:rFonts w:ascii="Arial" w:hAnsi="Arial"/>
                <w:color w:val="111111" w:themeColor="text1" w:themeShade="80"/>
              </w:rPr>
              <w:t>s</w:t>
            </w:r>
            <w:r w:rsidRPr="00E97B6F">
              <w:rPr>
                <w:rFonts w:ascii="Arial" w:hAnsi="Arial"/>
                <w:color w:val="111111" w:themeColor="text1" w:themeShade="80"/>
              </w:rPr>
              <w:t xml:space="preserve"> from 2003 to 2015</w:t>
            </w:r>
            <w:r>
              <w:rPr>
                <w:rFonts w:ascii="Arial" w:hAnsi="Arial"/>
                <w:color w:val="111111" w:themeColor="text1" w:themeShade="80"/>
              </w:rPr>
              <w:t xml:space="preserve">, </w:t>
            </w:r>
            <w:r w:rsidRPr="00E97B6F">
              <w:rPr>
                <w:rFonts w:ascii="Arial" w:hAnsi="Arial"/>
                <w:color w:val="111111" w:themeColor="text1" w:themeShade="80"/>
              </w:rPr>
              <w:t>provided by the Victorian Fisheries Authority</w:t>
            </w:r>
            <w:r>
              <w:rPr>
                <w:rFonts w:ascii="Arial" w:hAnsi="Arial"/>
                <w:color w:val="111111" w:themeColor="text1" w:themeShade="80"/>
              </w:rPr>
              <w:t xml:space="preserve">. This information is normalised by the percentage of suitable abalone habitat (reef area) from each fishing zone (i.e. this is how the catch is linked to the habitat within each subzone). </w:t>
            </w:r>
          </w:p>
          <w:p w14:paraId="1490B097" w14:textId="77777777" w:rsidR="00B55451"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p>
          <w:p w14:paraId="0DD33DAA" w14:textId="77777777" w:rsidR="00B55451"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sidRPr="00AE64F5">
              <w:rPr>
                <w:rFonts w:ascii="Arial" w:hAnsi="Arial"/>
                <w:color w:val="111111" w:themeColor="text1" w:themeShade="80"/>
              </w:rPr>
              <w:lastRenderedPageBreak/>
              <w:t xml:space="preserve">Source sites for </w:t>
            </w:r>
            <w:r>
              <w:rPr>
                <w:rFonts w:ascii="Arial" w:hAnsi="Arial"/>
                <w:color w:val="111111" w:themeColor="text1" w:themeShade="80"/>
              </w:rPr>
              <w:t xml:space="preserve">southern </w:t>
            </w:r>
            <w:proofErr w:type="spellStart"/>
            <w:r>
              <w:rPr>
                <w:rFonts w:ascii="Arial" w:hAnsi="Arial"/>
                <w:color w:val="111111" w:themeColor="text1" w:themeShade="80"/>
              </w:rPr>
              <w:t>rocklobster</w:t>
            </w:r>
            <w:proofErr w:type="spellEnd"/>
            <w:r>
              <w:rPr>
                <w:rFonts w:ascii="Arial" w:hAnsi="Arial"/>
                <w:color w:val="111111" w:themeColor="text1" w:themeShade="80"/>
              </w:rPr>
              <w:t>,</w:t>
            </w:r>
            <w:r w:rsidRPr="00AE64F5">
              <w:rPr>
                <w:rFonts w:ascii="Arial" w:hAnsi="Arial"/>
                <w:color w:val="111111" w:themeColor="text1" w:themeShade="80"/>
              </w:rPr>
              <w:t xml:space="preserve"> on the other hand, are more geographically distributed making strong management recommendation related to dispersal pathways more difficult</w:t>
            </w:r>
            <w:r>
              <w:rPr>
                <w:rFonts w:ascii="Arial" w:hAnsi="Arial"/>
                <w:color w:val="111111" w:themeColor="text1" w:themeShade="80"/>
              </w:rPr>
              <w:t>.</w:t>
            </w:r>
            <w:r>
              <w:t xml:space="preserve"> </w:t>
            </w:r>
            <w:r w:rsidRPr="00083030">
              <w:rPr>
                <w:rFonts w:ascii="Arial" w:hAnsi="Arial"/>
                <w:color w:val="111111" w:themeColor="text1" w:themeShade="80"/>
              </w:rPr>
              <w:t xml:space="preserve">In fact, a significant proportion of </w:t>
            </w:r>
            <w:r>
              <w:rPr>
                <w:rFonts w:ascii="Arial" w:hAnsi="Arial"/>
                <w:color w:val="111111" w:themeColor="text1" w:themeShade="80"/>
              </w:rPr>
              <w:t xml:space="preserve"> southern </w:t>
            </w:r>
            <w:proofErr w:type="spellStart"/>
            <w:r>
              <w:rPr>
                <w:rFonts w:ascii="Arial" w:hAnsi="Arial"/>
                <w:color w:val="111111" w:themeColor="text1" w:themeShade="80"/>
              </w:rPr>
              <w:t>rocklobster</w:t>
            </w:r>
            <w:proofErr w:type="spellEnd"/>
            <w:r w:rsidRPr="00083030">
              <w:rPr>
                <w:rFonts w:ascii="Arial" w:hAnsi="Arial"/>
                <w:color w:val="111111" w:themeColor="text1" w:themeShade="80"/>
              </w:rPr>
              <w:t xml:space="preserve"> recruits to Victoria are likely to have originated from outside of the state of Victoria (South Australia and Tasmania).</w:t>
            </w:r>
            <w:r>
              <w:t xml:space="preserve"> </w:t>
            </w:r>
            <w:r>
              <w:rPr>
                <w:rFonts w:ascii="Arial" w:hAnsi="Arial"/>
                <w:color w:val="111111" w:themeColor="text1" w:themeShade="80"/>
              </w:rPr>
              <w:t>The conclusion is</w:t>
            </w:r>
            <w:r w:rsidRPr="00F714A8">
              <w:rPr>
                <w:rFonts w:ascii="Arial" w:hAnsi="Arial"/>
                <w:color w:val="111111" w:themeColor="text1" w:themeShade="80"/>
              </w:rPr>
              <w:t xml:space="preserve"> that there is a need for more spatially-explicit data </w:t>
            </w:r>
            <w:proofErr w:type="gramStart"/>
            <w:r w:rsidRPr="00F714A8">
              <w:rPr>
                <w:rFonts w:ascii="Arial" w:hAnsi="Arial"/>
                <w:color w:val="111111" w:themeColor="text1" w:themeShade="80"/>
              </w:rPr>
              <w:t xml:space="preserve">on </w:t>
            </w:r>
            <w:r>
              <w:rPr>
                <w:rFonts w:ascii="Arial" w:hAnsi="Arial"/>
                <w:color w:val="111111" w:themeColor="text1" w:themeShade="80"/>
              </w:rPr>
              <w:t xml:space="preserve"> southern</w:t>
            </w:r>
            <w:proofErr w:type="gramEnd"/>
            <w:r>
              <w:rPr>
                <w:rFonts w:ascii="Arial" w:hAnsi="Arial"/>
                <w:color w:val="111111" w:themeColor="text1" w:themeShade="80"/>
              </w:rPr>
              <w:t xml:space="preserve"> </w:t>
            </w:r>
            <w:proofErr w:type="spellStart"/>
            <w:r>
              <w:rPr>
                <w:rFonts w:ascii="Arial" w:hAnsi="Arial"/>
                <w:color w:val="111111" w:themeColor="text1" w:themeShade="80"/>
              </w:rPr>
              <w:t>rocklobster</w:t>
            </w:r>
            <w:proofErr w:type="spellEnd"/>
            <w:r w:rsidRPr="00083030">
              <w:rPr>
                <w:rFonts w:ascii="Arial" w:hAnsi="Arial"/>
                <w:color w:val="111111" w:themeColor="text1" w:themeShade="80"/>
              </w:rPr>
              <w:t xml:space="preserve"> </w:t>
            </w:r>
            <w:r w:rsidRPr="00F714A8">
              <w:rPr>
                <w:rFonts w:ascii="Arial" w:hAnsi="Arial"/>
                <w:color w:val="111111" w:themeColor="text1" w:themeShade="80"/>
              </w:rPr>
              <w:t>to understand the link between oceanography, recruitment, habitat, and protection status.</w:t>
            </w:r>
          </w:p>
        </w:tc>
        <w:tc>
          <w:tcPr>
            <w:tcW w:w="737" w:type="dxa"/>
            <w:shd w:val="clear" w:color="auto" w:fill="92D050"/>
          </w:tcPr>
          <w:p w14:paraId="7BF16E0F" w14:textId="77777777" w:rsidR="00B55451"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Pr>
                <w:rFonts w:ascii="Arial" w:hAnsi="Arial"/>
                <w:color w:val="111111" w:themeColor="text1" w:themeShade="80"/>
              </w:rPr>
              <w:lastRenderedPageBreak/>
              <w:t>Yes</w:t>
            </w:r>
          </w:p>
        </w:tc>
        <w:tc>
          <w:tcPr>
            <w:tcW w:w="7935" w:type="dxa"/>
          </w:tcPr>
          <w:p w14:paraId="78182457" w14:textId="77777777" w:rsidR="00B55451"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Pr>
                <w:rFonts w:ascii="Arial" w:hAnsi="Arial"/>
                <w:color w:val="111111" w:themeColor="text1" w:themeShade="80"/>
              </w:rPr>
              <w:t xml:space="preserve">The study team obtained the spatial data from this study on biomass hotspots to attribute abalone biomass harvesting to specific reef habitats within the GORCAP region. This effectively assumes that the entire life cycle of abalone that are harvested within the GORCAP region is supported by the habitats within the region (similar to agricultural production that occurs in situ). </w:t>
            </w:r>
          </w:p>
          <w:p w14:paraId="51371737" w14:textId="77777777" w:rsidR="00B55451"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p>
          <w:p w14:paraId="49826B54" w14:textId="77777777" w:rsidR="00B55451"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Pr>
                <w:rFonts w:ascii="Arial" w:hAnsi="Arial"/>
                <w:color w:val="111111" w:themeColor="text1" w:themeShade="80"/>
              </w:rPr>
              <w:t>The emerging results from the</w:t>
            </w:r>
            <w:r>
              <w:t xml:space="preserve"> </w:t>
            </w:r>
            <w:proofErr w:type="spellStart"/>
            <w:r w:rsidRPr="00884BDD">
              <w:rPr>
                <w:rFonts w:ascii="Arial" w:hAnsi="Arial"/>
                <w:color w:val="111111" w:themeColor="text1" w:themeShade="80"/>
              </w:rPr>
              <w:t>Ierodiaconou</w:t>
            </w:r>
            <w:proofErr w:type="spellEnd"/>
            <w:r>
              <w:rPr>
                <w:rFonts w:ascii="Arial" w:hAnsi="Arial"/>
                <w:color w:val="111111" w:themeColor="text1" w:themeShade="80"/>
              </w:rPr>
              <w:t xml:space="preserve"> et al (2018</w:t>
            </w:r>
            <w:r w:rsidRPr="00AF007D">
              <w:rPr>
                <w:rFonts w:ascii="Arial" w:hAnsi="Arial"/>
                <w:color w:val="111111" w:themeColor="text1" w:themeShade="80"/>
              </w:rPr>
              <w:t>)</w:t>
            </w:r>
            <w:r>
              <w:rPr>
                <w:rFonts w:ascii="Arial" w:hAnsi="Arial"/>
                <w:color w:val="111111" w:themeColor="text1" w:themeShade="80"/>
              </w:rPr>
              <w:t xml:space="preserve"> study suggests that this (i.e. only attributing the value of Victorian abalone biomass production to GOR habitats on the basis of abalone harvesting locations) could underestimate the contribution of reefs within the GORCAP region to Victorian abalone fisheries given the importance of these habitats as larval sources for abalone that live, grow and are caught to the east of the GORCAP region. This approach is therefore expected to provide a conservative estimate of the productive contribution of GOR reefs to the abalone fisheries. The interpretation and use of the results from the</w:t>
            </w:r>
            <w:r w:rsidRPr="00884BDD">
              <w:rPr>
                <w:rFonts w:ascii="Arial" w:hAnsi="Arial"/>
                <w:color w:val="111111" w:themeColor="text1" w:themeShade="80"/>
              </w:rPr>
              <w:t xml:space="preserve"> </w:t>
            </w:r>
            <w:proofErr w:type="spellStart"/>
            <w:r w:rsidRPr="00884BDD">
              <w:rPr>
                <w:rFonts w:ascii="Arial" w:hAnsi="Arial"/>
                <w:color w:val="111111" w:themeColor="text1" w:themeShade="80"/>
              </w:rPr>
              <w:t>Ierodiaconou</w:t>
            </w:r>
            <w:proofErr w:type="spellEnd"/>
            <w:r>
              <w:rPr>
                <w:rFonts w:ascii="Arial" w:hAnsi="Arial"/>
                <w:color w:val="111111" w:themeColor="text1" w:themeShade="80"/>
              </w:rPr>
              <w:t xml:space="preserve"> et al (2018) study will be checked with the original authors.</w:t>
            </w:r>
          </w:p>
          <w:p w14:paraId="2B5C40E5" w14:textId="77777777" w:rsidR="00B55451"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p>
          <w:p w14:paraId="0D3260B2" w14:textId="77777777" w:rsidR="00B55451"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bCs/>
              </w:rPr>
            </w:pPr>
            <w:r>
              <w:rPr>
                <w:rFonts w:ascii="Arial" w:hAnsi="Arial"/>
                <w:color w:val="111111" w:themeColor="text1" w:themeShade="80"/>
              </w:rPr>
              <w:t xml:space="preserve">The information on southern </w:t>
            </w:r>
            <w:proofErr w:type="spellStart"/>
            <w:r>
              <w:rPr>
                <w:rFonts w:ascii="Arial" w:hAnsi="Arial"/>
                <w:color w:val="111111" w:themeColor="text1" w:themeShade="80"/>
              </w:rPr>
              <w:t>rocklobster</w:t>
            </w:r>
            <w:proofErr w:type="spellEnd"/>
            <w:r w:rsidRPr="00083030">
              <w:rPr>
                <w:rFonts w:ascii="Arial" w:hAnsi="Arial"/>
                <w:color w:val="111111" w:themeColor="text1" w:themeShade="80"/>
              </w:rPr>
              <w:t xml:space="preserve"> </w:t>
            </w:r>
            <w:r>
              <w:rPr>
                <w:rFonts w:ascii="Arial" w:hAnsi="Arial"/>
                <w:color w:val="111111" w:themeColor="text1" w:themeShade="80"/>
              </w:rPr>
              <w:t xml:space="preserve">is not currently sufficient to attribute value across the habitats of the GORCAP region (versus outside of the region) on the basis of the contribution of these habitats to the biomass production of these crustaceans. To attribute the value of these crustaceans to habitats on the basis of catch location is not </w:t>
            </w:r>
            <w:r>
              <w:rPr>
                <w:rFonts w:ascii="Arial" w:hAnsi="Arial"/>
                <w:color w:val="111111" w:themeColor="text1" w:themeShade="80"/>
              </w:rPr>
              <w:lastRenderedPageBreak/>
              <w:t xml:space="preserve">appropriate, given the contribution of multiple, geographically dispersed habitats in supporting different stages of the life cycle </w:t>
            </w:r>
            <w:r w:rsidRPr="004E7A31">
              <w:rPr>
                <w:rFonts w:ascii="Arial" w:hAnsi="Arial"/>
                <w:color w:val="111111" w:themeColor="text1" w:themeShade="80"/>
              </w:rPr>
              <w:t>of invertebrate fisheries</w:t>
            </w:r>
            <w:r>
              <w:rPr>
                <w:rFonts w:ascii="Arial" w:hAnsi="Arial"/>
                <w:color w:val="111111" w:themeColor="text1" w:themeShade="80"/>
              </w:rPr>
              <w:t>.</w:t>
            </w:r>
          </w:p>
        </w:tc>
      </w:tr>
      <w:tr w:rsidR="00CF04CB" w:rsidRPr="000C412E" w14:paraId="0EAE66B7" w14:textId="77777777" w:rsidTr="00A459D5">
        <w:trPr>
          <w:gridAfter w:val="1"/>
          <w:wAfter w:w="224" w:type="dxa"/>
          <w:trHeight w:val="976"/>
        </w:trPr>
        <w:tc>
          <w:tcPr>
            <w:cnfStyle w:val="001000000000" w:firstRow="0" w:lastRow="0" w:firstColumn="1" w:lastColumn="0" w:oddVBand="0" w:evenVBand="0" w:oddHBand="0" w:evenHBand="0" w:firstRowFirstColumn="0" w:firstRowLastColumn="0" w:lastRowFirstColumn="0" w:lastRowLastColumn="0"/>
            <w:tcW w:w="2834" w:type="dxa"/>
          </w:tcPr>
          <w:p w14:paraId="7C72693D" w14:textId="77777777" w:rsidR="00B55451" w:rsidRPr="00AF007D" w:rsidRDefault="00B55451" w:rsidP="00A459D5">
            <w:pPr>
              <w:pStyle w:val="TableTextLeft"/>
              <w:rPr>
                <w:rFonts w:ascii="Arial" w:hAnsi="Arial"/>
                <w:color w:val="111111" w:themeColor="text1" w:themeShade="80"/>
              </w:rPr>
            </w:pPr>
            <w:r w:rsidRPr="00E14E82">
              <w:rPr>
                <w:rFonts w:ascii="Arial" w:hAnsi="Arial"/>
                <w:color w:val="111111" w:themeColor="text1" w:themeShade="80"/>
              </w:rPr>
              <w:lastRenderedPageBreak/>
              <w:t>Victoria</w:t>
            </w:r>
            <w:r>
              <w:rPr>
                <w:rFonts w:ascii="Arial" w:hAnsi="Arial"/>
                <w:color w:val="111111" w:themeColor="text1" w:themeShade="80"/>
              </w:rPr>
              <w:t xml:space="preserve">n </w:t>
            </w:r>
            <w:r w:rsidRPr="00E14E82">
              <w:rPr>
                <w:rFonts w:ascii="Arial" w:hAnsi="Arial"/>
                <w:color w:val="111111" w:themeColor="text1" w:themeShade="80"/>
              </w:rPr>
              <w:t xml:space="preserve">Fisheries </w:t>
            </w:r>
            <w:r>
              <w:rPr>
                <w:rFonts w:ascii="Arial" w:hAnsi="Arial"/>
                <w:color w:val="111111" w:themeColor="text1" w:themeShade="80"/>
              </w:rPr>
              <w:t>Authority</w:t>
            </w:r>
            <w:r w:rsidRPr="00E14E82">
              <w:rPr>
                <w:rFonts w:ascii="Arial" w:hAnsi="Arial"/>
                <w:color w:val="111111" w:themeColor="text1" w:themeShade="80"/>
              </w:rPr>
              <w:t xml:space="preserve"> (201</w:t>
            </w:r>
            <w:r>
              <w:rPr>
                <w:rFonts w:ascii="Arial" w:hAnsi="Arial"/>
                <w:color w:val="111111" w:themeColor="text1" w:themeShade="80"/>
              </w:rPr>
              <w:t>9</w:t>
            </w:r>
            <w:r w:rsidRPr="00E14E82">
              <w:rPr>
                <w:rFonts w:ascii="Arial" w:hAnsi="Arial"/>
                <w:color w:val="111111" w:themeColor="text1" w:themeShade="80"/>
              </w:rPr>
              <w:t xml:space="preserve">) Commercial fish production </w:t>
            </w:r>
          </w:p>
        </w:tc>
        <w:tc>
          <w:tcPr>
            <w:tcW w:w="9809" w:type="dxa"/>
          </w:tcPr>
          <w:p w14:paraId="4C3C56C6" w14:textId="77777777" w:rsidR="00B55451"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Pr>
                <w:rFonts w:ascii="Arial" w:hAnsi="Arial"/>
                <w:color w:val="111111" w:themeColor="text1" w:themeShade="80"/>
              </w:rPr>
              <w:t>A 2012 version of this VFA information was used in an internal working paper on</w:t>
            </w:r>
            <w:r>
              <w:t xml:space="preserve"> </w:t>
            </w:r>
            <w:r>
              <w:rPr>
                <w:rFonts w:ascii="Arial" w:hAnsi="Arial"/>
                <w:color w:val="111111" w:themeColor="text1" w:themeShade="80"/>
              </w:rPr>
              <w:t>v</w:t>
            </w:r>
            <w:r w:rsidRPr="00E45561">
              <w:rPr>
                <w:rFonts w:ascii="Arial" w:hAnsi="Arial"/>
                <w:color w:val="111111" w:themeColor="text1" w:themeShade="80"/>
              </w:rPr>
              <w:t>aluing the benefits provided by Port Phillip Bay</w:t>
            </w:r>
            <w:r>
              <w:rPr>
                <w:rFonts w:ascii="Arial" w:hAnsi="Arial"/>
                <w:color w:val="111111" w:themeColor="text1" w:themeShade="80"/>
              </w:rPr>
              <w:t>.</w:t>
            </w:r>
          </w:p>
        </w:tc>
        <w:tc>
          <w:tcPr>
            <w:tcW w:w="737" w:type="dxa"/>
            <w:shd w:val="clear" w:color="auto" w:fill="FF0000"/>
          </w:tcPr>
          <w:p w14:paraId="41D9CF4F" w14:textId="77777777" w:rsidR="00B55451"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Pr>
                <w:rFonts w:ascii="Arial" w:hAnsi="Arial"/>
                <w:color w:val="111111" w:themeColor="text1" w:themeShade="80"/>
              </w:rPr>
              <w:t>No</w:t>
            </w:r>
          </w:p>
        </w:tc>
        <w:tc>
          <w:tcPr>
            <w:tcW w:w="7935" w:type="dxa"/>
          </w:tcPr>
          <w:p w14:paraId="5BF2DA52" w14:textId="77777777" w:rsidR="00B55451"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Pr>
                <w:rFonts w:ascii="Arial" w:hAnsi="Arial"/>
                <w:color w:val="111111" w:themeColor="text1" w:themeShade="80"/>
              </w:rPr>
              <w:t>This information provides the biomass of the catch by location (e.g. Port Phillip Bay) but does not enable attribution of the biomass produced to specific ecosystem assets (i.e. within the GORCAP EEA boundary).</w:t>
            </w:r>
          </w:p>
        </w:tc>
      </w:tr>
      <w:tr w:rsidR="00CF04CB" w:rsidRPr="000C412E" w14:paraId="0B250DBA" w14:textId="77777777" w:rsidTr="00A459D5">
        <w:trPr>
          <w:gridAfter w:val="1"/>
          <w:wAfter w:w="224" w:type="dxa"/>
          <w:trHeight w:val="976"/>
        </w:trPr>
        <w:tc>
          <w:tcPr>
            <w:cnfStyle w:val="001000000000" w:firstRow="0" w:lastRow="0" w:firstColumn="1" w:lastColumn="0" w:oddVBand="0" w:evenVBand="0" w:oddHBand="0" w:evenHBand="0" w:firstRowFirstColumn="0" w:firstRowLastColumn="0" w:lastRowFirstColumn="0" w:lastRowLastColumn="0"/>
            <w:tcW w:w="2834" w:type="dxa"/>
          </w:tcPr>
          <w:p w14:paraId="53A735AC" w14:textId="77777777" w:rsidR="00B55451" w:rsidRPr="00565D0B" w:rsidRDefault="00B55451" w:rsidP="00A459D5">
            <w:pPr>
              <w:pStyle w:val="TableTextLeft"/>
              <w:rPr>
                <w:rFonts w:ascii="Arial" w:hAnsi="Arial"/>
                <w:color w:val="111111" w:themeColor="text1" w:themeShade="80"/>
              </w:rPr>
            </w:pPr>
            <w:r w:rsidRPr="00EC29BE">
              <w:rPr>
                <w:rFonts w:ascii="Arial" w:hAnsi="Arial"/>
                <w:color w:val="111111" w:themeColor="text1" w:themeShade="80"/>
              </w:rPr>
              <w:t>Jänes</w:t>
            </w:r>
            <w:r>
              <w:rPr>
                <w:rFonts w:ascii="Arial" w:hAnsi="Arial"/>
                <w:color w:val="111111" w:themeColor="text1" w:themeShade="80"/>
              </w:rPr>
              <w:t xml:space="preserve"> et al (2020) </w:t>
            </w:r>
            <w:r>
              <w:t xml:space="preserve"> </w:t>
            </w:r>
            <w:r w:rsidRPr="004D7099">
              <w:rPr>
                <w:rFonts w:ascii="Arial" w:hAnsi="Arial"/>
                <w:color w:val="111111" w:themeColor="text1" w:themeShade="80"/>
              </w:rPr>
              <w:t>Quantifying fisheries enhancement from coastal vegetated ecosystems</w:t>
            </w:r>
          </w:p>
        </w:tc>
        <w:tc>
          <w:tcPr>
            <w:tcW w:w="9809" w:type="dxa"/>
          </w:tcPr>
          <w:p w14:paraId="50C2F45B" w14:textId="77777777" w:rsidR="00B55451"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Pr>
                <w:rFonts w:ascii="Arial" w:hAnsi="Arial"/>
                <w:color w:val="111111" w:themeColor="text1" w:themeShade="80"/>
              </w:rPr>
              <w:t xml:space="preserve">This study </w:t>
            </w:r>
            <w:r w:rsidRPr="00020EA1">
              <w:rPr>
                <w:rFonts w:ascii="Arial" w:hAnsi="Arial"/>
                <w:color w:val="111111" w:themeColor="text1" w:themeShade="80"/>
              </w:rPr>
              <w:t>systematically review</w:t>
            </w:r>
            <w:r>
              <w:rPr>
                <w:rFonts w:ascii="Arial" w:hAnsi="Arial"/>
                <w:color w:val="111111" w:themeColor="text1" w:themeShade="80"/>
              </w:rPr>
              <w:t>ed</w:t>
            </w:r>
            <w:r w:rsidRPr="00020EA1">
              <w:rPr>
                <w:rFonts w:ascii="Arial" w:hAnsi="Arial"/>
                <w:color w:val="111111" w:themeColor="text1" w:themeShade="80"/>
              </w:rPr>
              <w:t xml:space="preserve"> the literature across Australia, we quantified fish </w:t>
            </w:r>
            <w:r>
              <w:rPr>
                <w:rFonts w:ascii="Arial" w:hAnsi="Arial"/>
                <w:color w:val="111111" w:themeColor="text1" w:themeShade="80"/>
              </w:rPr>
              <w:t xml:space="preserve">biomass </w:t>
            </w:r>
            <w:r w:rsidRPr="00020EA1">
              <w:rPr>
                <w:rFonts w:ascii="Arial" w:hAnsi="Arial"/>
                <w:color w:val="111111" w:themeColor="text1" w:themeShade="80"/>
              </w:rPr>
              <w:t>enhancement from three key</w:t>
            </w:r>
            <w:r>
              <w:rPr>
                <w:rFonts w:ascii="Arial" w:hAnsi="Arial"/>
                <w:color w:val="111111" w:themeColor="text1" w:themeShade="80"/>
              </w:rPr>
              <w:t xml:space="preserve"> </w:t>
            </w:r>
            <w:r w:rsidRPr="00020EA1">
              <w:rPr>
                <w:rFonts w:ascii="Arial" w:hAnsi="Arial"/>
                <w:color w:val="111111" w:themeColor="text1" w:themeShade="80"/>
              </w:rPr>
              <w:t>coastal vegetated habitats: seagrass meadows, mangrove forests, and tidal marshes</w:t>
            </w:r>
            <w:r>
              <w:rPr>
                <w:rFonts w:ascii="Arial" w:hAnsi="Arial"/>
                <w:color w:val="111111" w:themeColor="text1" w:themeShade="80"/>
              </w:rPr>
              <w:t xml:space="preserve">. </w:t>
            </w:r>
            <w:r w:rsidRPr="00AB6E74">
              <w:rPr>
                <w:rFonts w:ascii="Arial" w:hAnsi="Arial"/>
                <w:color w:val="111111" w:themeColor="text1" w:themeShade="80"/>
              </w:rPr>
              <w:t xml:space="preserve">On average, seagrass </w:t>
            </w:r>
            <w:r>
              <w:rPr>
                <w:rFonts w:ascii="Arial" w:hAnsi="Arial"/>
                <w:color w:val="111111" w:themeColor="text1" w:themeShade="80"/>
              </w:rPr>
              <w:t>supported</w:t>
            </w:r>
            <w:r w:rsidRPr="00AB6E74">
              <w:rPr>
                <w:rFonts w:ascii="Arial" w:hAnsi="Arial"/>
                <w:color w:val="111111" w:themeColor="text1" w:themeShade="80"/>
              </w:rPr>
              <w:t xml:space="preserve"> an additional biomass of</w:t>
            </w:r>
            <w:r>
              <w:rPr>
                <w:rFonts w:ascii="Arial" w:hAnsi="Arial"/>
                <w:color w:val="111111" w:themeColor="text1" w:themeShade="80"/>
              </w:rPr>
              <w:t xml:space="preserve"> </w:t>
            </w:r>
            <w:r w:rsidRPr="00AB6E74">
              <w:rPr>
                <w:rFonts w:ascii="Arial" w:hAnsi="Arial"/>
                <w:color w:val="111111" w:themeColor="text1" w:themeShade="80"/>
              </w:rPr>
              <w:t>4</w:t>
            </w:r>
            <w:r>
              <w:rPr>
                <w:rFonts w:ascii="Arial" w:hAnsi="Arial"/>
                <w:color w:val="111111" w:themeColor="text1" w:themeShade="80"/>
              </w:rPr>
              <w:t>,</w:t>
            </w:r>
            <w:r w:rsidRPr="00AB6E74">
              <w:rPr>
                <w:rFonts w:ascii="Arial" w:hAnsi="Arial"/>
                <w:color w:val="111111" w:themeColor="text1" w:themeShade="80"/>
              </w:rPr>
              <w:t>000 kg</w:t>
            </w:r>
            <w:r>
              <w:rPr>
                <w:rFonts w:ascii="Arial" w:hAnsi="Arial"/>
                <w:color w:val="111111" w:themeColor="text1" w:themeShade="80"/>
              </w:rPr>
              <w:t xml:space="preserve"> / ha / year</w:t>
            </w:r>
            <w:r w:rsidRPr="00AB6E74">
              <w:rPr>
                <w:rFonts w:ascii="Arial" w:hAnsi="Arial"/>
                <w:color w:val="111111" w:themeColor="text1" w:themeShade="80"/>
              </w:rPr>
              <w:t xml:space="preserve"> compared to unvegetated seabed</w:t>
            </w:r>
            <w:r>
              <w:rPr>
                <w:rFonts w:ascii="Arial" w:hAnsi="Arial"/>
                <w:color w:val="111111" w:themeColor="text1" w:themeShade="80"/>
              </w:rPr>
              <w:t>, m</w:t>
            </w:r>
            <w:r w:rsidRPr="00AB6E74">
              <w:rPr>
                <w:rFonts w:ascii="Arial" w:hAnsi="Arial"/>
                <w:color w:val="111111" w:themeColor="text1" w:themeShade="80"/>
              </w:rPr>
              <w:t>angroves supported 265 kg</w:t>
            </w:r>
            <w:r>
              <w:rPr>
                <w:rFonts w:ascii="Arial" w:hAnsi="Arial"/>
                <w:color w:val="111111" w:themeColor="text1" w:themeShade="80"/>
              </w:rPr>
              <w:t xml:space="preserve"> /</w:t>
            </w:r>
            <w:r w:rsidRPr="00AB6E74">
              <w:rPr>
                <w:rFonts w:ascii="Arial" w:hAnsi="Arial"/>
                <w:color w:val="111111" w:themeColor="text1" w:themeShade="80"/>
              </w:rPr>
              <w:t xml:space="preserve"> ha</w:t>
            </w:r>
            <w:r>
              <w:rPr>
                <w:rFonts w:ascii="Arial" w:hAnsi="Arial"/>
                <w:color w:val="111111" w:themeColor="text1" w:themeShade="80"/>
              </w:rPr>
              <w:t xml:space="preserve"> / </w:t>
            </w:r>
            <w:r w:rsidRPr="00AB6E74">
              <w:rPr>
                <w:rFonts w:ascii="Arial" w:hAnsi="Arial"/>
                <w:color w:val="111111" w:themeColor="text1" w:themeShade="80"/>
              </w:rPr>
              <w:t>y</w:t>
            </w:r>
            <w:r>
              <w:rPr>
                <w:rFonts w:ascii="Arial" w:hAnsi="Arial"/>
                <w:color w:val="111111" w:themeColor="text1" w:themeShade="80"/>
              </w:rPr>
              <w:t>r</w:t>
            </w:r>
            <w:r w:rsidRPr="00AB6E74">
              <w:rPr>
                <w:rFonts w:ascii="Arial" w:hAnsi="Arial"/>
                <w:color w:val="111111" w:themeColor="text1" w:themeShade="80"/>
              </w:rPr>
              <w:t>, and tidal marshes provided 64 kg</w:t>
            </w:r>
            <w:r>
              <w:rPr>
                <w:rFonts w:ascii="Arial" w:hAnsi="Arial"/>
                <w:color w:val="111111" w:themeColor="text1" w:themeShade="80"/>
              </w:rPr>
              <w:t xml:space="preserve"> /</w:t>
            </w:r>
            <w:r w:rsidRPr="00AB6E74">
              <w:rPr>
                <w:rFonts w:ascii="Arial" w:hAnsi="Arial"/>
                <w:color w:val="111111" w:themeColor="text1" w:themeShade="80"/>
              </w:rPr>
              <w:t xml:space="preserve"> ha</w:t>
            </w:r>
            <w:r>
              <w:rPr>
                <w:rFonts w:ascii="Arial" w:hAnsi="Arial"/>
                <w:color w:val="111111" w:themeColor="text1" w:themeShade="80"/>
              </w:rPr>
              <w:t xml:space="preserve"> /</w:t>
            </w:r>
            <w:r w:rsidRPr="00AB6E74">
              <w:rPr>
                <w:rFonts w:ascii="Arial" w:hAnsi="Arial"/>
                <w:color w:val="111111" w:themeColor="text1" w:themeShade="80"/>
              </w:rPr>
              <w:t xml:space="preserve"> y</w:t>
            </w:r>
            <w:r>
              <w:rPr>
                <w:rFonts w:ascii="Arial" w:hAnsi="Arial"/>
                <w:color w:val="111111" w:themeColor="text1" w:themeShade="80"/>
              </w:rPr>
              <w:t xml:space="preserve">r. </w:t>
            </w:r>
          </w:p>
        </w:tc>
        <w:tc>
          <w:tcPr>
            <w:tcW w:w="737" w:type="dxa"/>
            <w:shd w:val="clear" w:color="auto" w:fill="FF0000"/>
          </w:tcPr>
          <w:p w14:paraId="62251DF9" w14:textId="77777777" w:rsidR="00B55451"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Pr>
                <w:rFonts w:ascii="Arial" w:hAnsi="Arial"/>
                <w:color w:val="111111" w:themeColor="text1" w:themeShade="80"/>
              </w:rPr>
              <w:t>No</w:t>
            </w:r>
          </w:p>
        </w:tc>
        <w:tc>
          <w:tcPr>
            <w:tcW w:w="7935" w:type="dxa"/>
          </w:tcPr>
          <w:p w14:paraId="44FBCE45" w14:textId="77777777" w:rsidR="00B55451" w:rsidRPr="00C35CB6"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Pr>
                <w:rFonts w:ascii="Arial" w:hAnsi="Arial"/>
                <w:color w:val="111111" w:themeColor="text1" w:themeShade="80"/>
              </w:rPr>
              <w:t xml:space="preserve">The figures presented are Australia wide averages. </w:t>
            </w:r>
          </w:p>
        </w:tc>
      </w:tr>
      <w:tr w:rsidR="00CF04CB" w:rsidRPr="000C412E" w14:paraId="35BF8246" w14:textId="77777777" w:rsidTr="00A459D5">
        <w:trPr>
          <w:gridAfter w:val="1"/>
          <w:wAfter w:w="224" w:type="dxa"/>
          <w:trHeight w:val="976"/>
        </w:trPr>
        <w:tc>
          <w:tcPr>
            <w:cnfStyle w:val="001000000000" w:firstRow="0" w:lastRow="0" w:firstColumn="1" w:lastColumn="0" w:oddVBand="0" w:evenVBand="0" w:oddHBand="0" w:evenHBand="0" w:firstRowFirstColumn="0" w:firstRowLastColumn="0" w:lastRowFirstColumn="0" w:lastRowLastColumn="0"/>
            <w:tcW w:w="2834" w:type="dxa"/>
          </w:tcPr>
          <w:p w14:paraId="278C5830" w14:textId="77777777" w:rsidR="00B55451" w:rsidRPr="00565D0B" w:rsidRDefault="00B55451" w:rsidP="00A459D5">
            <w:pPr>
              <w:pStyle w:val="TableTextLeft"/>
              <w:rPr>
                <w:rFonts w:ascii="Arial" w:hAnsi="Arial"/>
                <w:color w:val="111111" w:themeColor="text1" w:themeShade="80"/>
              </w:rPr>
            </w:pPr>
            <w:r w:rsidRPr="00565D0B">
              <w:rPr>
                <w:rFonts w:ascii="Arial" w:hAnsi="Arial"/>
                <w:color w:val="111111" w:themeColor="text1" w:themeShade="80"/>
              </w:rPr>
              <w:t>KPMG (1997) The Bays Asset Management Study. Department of State Development</w:t>
            </w:r>
          </w:p>
        </w:tc>
        <w:tc>
          <w:tcPr>
            <w:tcW w:w="9809" w:type="dxa"/>
          </w:tcPr>
          <w:p w14:paraId="4E1FE514" w14:textId="77777777" w:rsidR="00B55451" w:rsidRPr="000C412E"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sidRPr="005979C3">
              <w:rPr>
                <w:rFonts w:ascii="Arial" w:hAnsi="Arial"/>
                <w:bCs/>
              </w:rPr>
              <w:t>This study was used in the URS (2007) study</w:t>
            </w:r>
            <w:r>
              <w:rPr>
                <w:rFonts w:ascii="Arial" w:hAnsi="Arial"/>
                <w:bCs/>
              </w:rPr>
              <w:t xml:space="preserve"> to provide information on the effects of a loss in seagrass</w:t>
            </w:r>
            <w:r w:rsidRPr="00565D0B">
              <w:rPr>
                <w:rFonts w:ascii="Arial" w:hAnsi="Arial"/>
                <w:bCs/>
              </w:rPr>
              <w:t xml:space="preserve"> habitat</w:t>
            </w:r>
            <w:r>
              <w:rPr>
                <w:rFonts w:ascii="Arial" w:hAnsi="Arial"/>
                <w:bCs/>
              </w:rPr>
              <w:t xml:space="preserve"> on commercial fishing industry in Port Phillip Bay. The study estimates that the 70 per cent loss in seagrass since 1970 had caused a 40 per cent drop in annual fish catch.  </w:t>
            </w:r>
          </w:p>
        </w:tc>
        <w:tc>
          <w:tcPr>
            <w:tcW w:w="737" w:type="dxa"/>
            <w:shd w:val="clear" w:color="auto" w:fill="FF0000"/>
          </w:tcPr>
          <w:p w14:paraId="38A42095" w14:textId="77777777" w:rsidR="00B55451" w:rsidRPr="000C412E"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Pr>
                <w:rFonts w:ascii="Arial" w:hAnsi="Arial"/>
                <w:color w:val="111111" w:themeColor="text1" w:themeShade="80"/>
              </w:rPr>
              <w:t>No</w:t>
            </w:r>
          </w:p>
        </w:tc>
        <w:tc>
          <w:tcPr>
            <w:tcW w:w="7935" w:type="dxa"/>
          </w:tcPr>
          <w:p w14:paraId="0B82D8B0" w14:textId="77777777" w:rsidR="00B55451" w:rsidRPr="000C412E"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Pr>
                <w:rFonts w:ascii="Arial" w:hAnsi="Arial"/>
                <w:color w:val="111111" w:themeColor="text1" w:themeShade="80"/>
              </w:rPr>
              <w:t xml:space="preserve">Whilst this study does capture the relationship between seagrass habitat extent and fish catch, it does not provide an estimate of the productivity (in terms of additional fish biomass) of </w:t>
            </w:r>
            <w:r w:rsidRPr="00D85EA7">
              <w:rPr>
                <w:rFonts w:ascii="Arial" w:hAnsi="Arial"/>
                <w:i/>
                <w:iCs/>
                <w:color w:val="111111" w:themeColor="text1" w:themeShade="80"/>
              </w:rPr>
              <w:t>current</w:t>
            </w:r>
            <w:r>
              <w:rPr>
                <w:rFonts w:ascii="Arial" w:hAnsi="Arial"/>
                <w:color w:val="111111" w:themeColor="text1" w:themeShade="80"/>
              </w:rPr>
              <w:t xml:space="preserve"> seagrass extent (i.e. the 30 per cent of seagrass extent that remains from 1970).</w:t>
            </w:r>
          </w:p>
        </w:tc>
      </w:tr>
      <w:tr w:rsidR="00CF04CB" w:rsidRPr="000C412E" w14:paraId="7561FB8C" w14:textId="77777777" w:rsidTr="00A459D5">
        <w:trPr>
          <w:gridAfter w:val="1"/>
          <w:wAfter w:w="224" w:type="dxa"/>
          <w:trHeight w:val="976"/>
        </w:trPr>
        <w:tc>
          <w:tcPr>
            <w:cnfStyle w:val="001000000000" w:firstRow="0" w:lastRow="0" w:firstColumn="1" w:lastColumn="0" w:oddVBand="0" w:evenVBand="0" w:oddHBand="0" w:evenHBand="0" w:firstRowFirstColumn="0" w:firstRowLastColumn="0" w:lastRowFirstColumn="0" w:lastRowLastColumn="0"/>
            <w:tcW w:w="2834" w:type="dxa"/>
          </w:tcPr>
          <w:p w14:paraId="0EF582F6" w14:textId="77777777" w:rsidR="00B55451" w:rsidRPr="00565D0B" w:rsidRDefault="00B55451" w:rsidP="00A459D5">
            <w:pPr>
              <w:pStyle w:val="TableTextLeft"/>
              <w:rPr>
                <w:rFonts w:ascii="Arial" w:hAnsi="Arial"/>
                <w:color w:val="111111" w:themeColor="text1" w:themeShade="80"/>
              </w:rPr>
            </w:pPr>
            <w:proofErr w:type="spellStart"/>
            <w:r w:rsidRPr="00565D0B">
              <w:rPr>
                <w:rFonts w:ascii="Arial" w:hAnsi="Arial"/>
                <w:color w:val="111111" w:themeColor="text1" w:themeShade="80"/>
              </w:rPr>
              <w:t>Skirtun</w:t>
            </w:r>
            <w:proofErr w:type="spellEnd"/>
            <w:r w:rsidRPr="00565D0B">
              <w:rPr>
                <w:rFonts w:ascii="Arial" w:hAnsi="Arial"/>
                <w:color w:val="111111" w:themeColor="text1" w:themeShade="80"/>
              </w:rPr>
              <w:t xml:space="preserve"> et al (2012) Australian fisheries statistics 2011, ABARES</w:t>
            </w:r>
          </w:p>
        </w:tc>
        <w:tc>
          <w:tcPr>
            <w:tcW w:w="9809" w:type="dxa"/>
          </w:tcPr>
          <w:p w14:paraId="7BADCE70" w14:textId="77777777" w:rsidR="00B55451" w:rsidRPr="000C412E"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sidRPr="000C412E">
              <w:rPr>
                <w:rFonts w:ascii="Arial" w:hAnsi="Arial"/>
                <w:color w:val="111111" w:themeColor="text1" w:themeShade="80"/>
              </w:rPr>
              <w:t>This study</w:t>
            </w:r>
            <w:r>
              <w:rPr>
                <w:rFonts w:ascii="Arial" w:hAnsi="Arial"/>
                <w:color w:val="111111" w:themeColor="text1" w:themeShade="80"/>
              </w:rPr>
              <w:t xml:space="preserve"> was used in the </w:t>
            </w:r>
            <w:r w:rsidRPr="005979C3">
              <w:rPr>
                <w:rFonts w:ascii="Arial" w:hAnsi="Arial"/>
                <w:color w:val="111111" w:themeColor="text1" w:themeShade="80"/>
              </w:rPr>
              <w:t>Worley Parsons (2013)</w:t>
            </w:r>
            <w:r>
              <w:rPr>
                <w:rFonts w:ascii="Arial" w:hAnsi="Arial"/>
                <w:color w:val="111111" w:themeColor="text1" w:themeShade="80"/>
              </w:rPr>
              <w:t xml:space="preserve"> study and estimates the total volume of fisheries production in tonnes per year in Victoria for 2010-11. It estimates the</w:t>
            </w:r>
            <w:r w:rsidRPr="00331D3F">
              <w:rPr>
                <w:rFonts w:ascii="Arial" w:hAnsi="Arial"/>
                <w:color w:val="111111" w:themeColor="text1" w:themeShade="80"/>
              </w:rPr>
              <w:t xml:space="preserve"> Victorian wild-catch sector produced 5</w:t>
            </w:r>
            <w:r>
              <w:rPr>
                <w:rFonts w:ascii="Arial" w:hAnsi="Arial"/>
                <w:color w:val="111111" w:themeColor="text1" w:themeShade="80"/>
              </w:rPr>
              <w:t>,</w:t>
            </w:r>
            <w:r w:rsidRPr="00331D3F">
              <w:rPr>
                <w:rFonts w:ascii="Arial" w:hAnsi="Arial"/>
                <w:color w:val="111111" w:themeColor="text1" w:themeShade="80"/>
              </w:rPr>
              <w:t>557 tonnes of seafood in 2010–11</w:t>
            </w:r>
            <w:r>
              <w:rPr>
                <w:rFonts w:ascii="Arial" w:hAnsi="Arial"/>
                <w:color w:val="111111" w:themeColor="text1" w:themeShade="80"/>
              </w:rPr>
              <w:t xml:space="preserve"> including </w:t>
            </w:r>
            <w:r w:rsidRPr="00B9427A">
              <w:rPr>
                <w:rFonts w:ascii="Arial" w:hAnsi="Arial"/>
                <w:color w:val="111111" w:themeColor="text1" w:themeShade="80"/>
              </w:rPr>
              <w:t xml:space="preserve">abalone (molluscs) with 828 tonnes valued at nearly $24m/year and rock-lobster (crustacean) with 300 tonnes being valued at $15m/year. The highest valued fish species </w:t>
            </w:r>
            <w:r>
              <w:rPr>
                <w:rFonts w:ascii="Arial" w:hAnsi="Arial"/>
                <w:color w:val="111111" w:themeColor="text1" w:themeShade="80"/>
              </w:rPr>
              <w:t>we</w:t>
            </w:r>
            <w:r w:rsidRPr="00B9427A">
              <w:rPr>
                <w:rFonts w:ascii="Arial" w:hAnsi="Arial"/>
                <w:color w:val="111111" w:themeColor="text1" w:themeShade="80"/>
              </w:rPr>
              <w:t>re King George Whiting with 173 tonnes caught being valued at $2.7m/year and Australian sardine with over 2,600 tonnes caught being valued at $1.6m/year.</w:t>
            </w:r>
          </w:p>
        </w:tc>
        <w:tc>
          <w:tcPr>
            <w:tcW w:w="737" w:type="dxa"/>
            <w:shd w:val="clear" w:color="auto" w:fill="FF0000"/>
          </w:tcPr>
          <w:p w14:paraId="55D58BEF" w14:textId="77777777" w:rsidR="00B55451" w:rsidRPr="000C412E"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Pr>
                <w:rFonts w:ascii="Arial" w:hAnsi="Arial"/>
                <w:color w:val="111111" w:themeColor="text1" w:themeShade="80"/>
              </w:rPr>
              <w:t>No</w:t>
            </w:r>
          </w:p>
        </w:tc>
        <w:tc>
          <w:tcPr>
            <w:tcW w:w="7935" w:type="dxa"/>
          </w:tcPr>
          <w:p w14:paraId="7C662337" w14:textId="77777777" w:rsidR="00B55451" w:rsidRPr="000C412E"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Pr>
                <w:rFonts w:ascii="Arial" w:hAnsi="Arial"/>
                <w:color w:val="111111" w:themeColor="text1" w:themeShade="80"/>
              </w:rPr>
              <w:t xml:space="preserve">This information does not enable the attribution of fish, molluscs or crustacean’s production to the GORCAP EEA boundary area to be estimated. </w:t>
            </w:r>
          </w:p>
        </w:tc>
      </w:tr>
    </w:tbl>
    <w:p w14:paraId="4AFC32C1" w14:textId="77777777" w:rsidR="00B55451" w:rsidRDefault="00B55451" w:rsidP="00B55451">
      <w:pPr>
        <w:spacing w:after="240"/>
        <w:sectPr w:rsidR="00B55451" w:rsidSect="00E52A9A">
          <w:footerReference w:type="even" r:id="rId365"/>
          <w:pgSz w:w="23811" w:h="16838" w:orient="landscape" w:code="8"/>
          <w:pgMar w:top="1134" w:right="1134" w:bottom="1134" w:left="1134" w:header="283" w:footer="283" w:gutter="0"/>
          <w:cols w:space="708"/>
          <w:docGrid w:linePitch="360"/>
        </w:sectPr>
      </w:pPr>
    </w:p>
    <w:p w14:paraId="4833EA8F" w14:textId="77777777" w:rsidR="00B55451" w:rsidRPr="001024D1" w:rsidRDefault="00B55451" w:rsidP="00A2745D">
      <w:pPr>
        <w:pStyle w:val="AlphaHeading4"/>
      </w:pPr>
      <w:r>
        <w:lastRenderedPageBreak/>
        <w:t>Monetary value of biomass - food</w:t>
      </w:r>
    </w:p>
    <w:p w14:paraId="0ABA3EA1" w14:textId="77777777" w:rsidR="00B55451" w:rsidRPr="002A7C26" w:rsidRDefault="00B55451" w:rsidP="00E36E77">
      <w:pPr>
        <w:pStyle w:val="BodyText"/>
      </w:pPr>
      <w:r w:rsidRPr="002A7C26">
        <w:t xml:space="preserve">The monetary value of biomass for food from ecosystem assets can be measured in environmental-economic accounts through the resource rent that is attributable to the ecosystem productivity. This can be estimated using the market value of food minus the cost of other inputs such as machinery and labour. </w:t>
      </w:r>
    </w:p>
    <w:p w14:paraId="26014F53" w14:textId="77777777" w:rsidR="00B55451" w:rsidRPr="002A7C26" w:rsidRDefault="00B55451" w:rsidP="00E36E77">
      <w:pPr>
        <w:pStyle w:val="BodyText"/>
      </w:pPr>
      <w:r w:rsidRPr="002A7C26">
        <w:t xml:space="preserve">Table </w:t>
      </w:r>
      <w:r>
        <w:t>A3.14</w:t>
      </w:r>
      <w:r w:rsidRPr="005D5694">
        <w:t>.</w:t>
      </w:r>
      <w:r w:rsidRPr="002A7C26">
        <w:t xml:space="preserve"> provides details on the studies that could be used to develop a monetary valuation of biomass for food provided by GOR ecosystem assets and how the approaches and data from these studies are </w:t>
      </w:r>
      <w:r w:rsidRPr="005D5694">
        <w:t>use</w:t>
      </w:r>
      <w:r>
        <w:t>d</w:t>
      </w:r>
      <w:r w:rsidRPr="005D5694">
        <w:t xml:space="preserve"> </w:t>
      </w:r>
      <w:r>
        <w:t xml:space="preserve">in </w:t>
      </w:r>
      <w:r w:rsidRPr="002A7C26">
        <w:t xml:space="preserve">the GOR </w:t>
      </w:r>
      <w:r>
        <w:t>environmental-economic account</w:t>
      </w:r>
      <w:r w:rsidRPr="002A7C26">
        <w:t xml:space="preserve">. </w:t>
      </w:r>
    </w:p>
    <w:p w14:paraId="1B4CFCC5" w14:textId="77777777" w:rsidR="00B55451" w:rsidRDefault="00B55451" w:rsidP="00B55451">
      <w:pPr>
        <w:contextualSpacing/>
        <w:rPr>
          <w:rFonts w:ascii="Arial" w:hAnsi="Arial"/>
          <w:color w:val="00B2A9"/>
          <w:highlight w:val="yellow"/>
        </w:rPr>
        <w:sectPr w:rsidR="00B55451" w:rsidSect="00E52A9A">
          <w:headerReference w:type="even" r:id="rId366"/>
          <w:headerReference w:type="default" r:id="rId367"/>
          <w:footerReference w:type="even" r:id="rId368"/>
          <w:footerReference w:type="default" r:id="rId369"/>
          <w:pgSz w:w="11906" w:h="16840" w:code="9"/>
          <w:pgMar w:top="1134" w:right="1134" w:bottom="1134" w:left="1134" w:header="283" w:footer="283" w:gutter="0"/>
          <w:cols w:space="284"/>
          <w:docGrid w:linePitch="360"/>
        </w:sectPr>
      </w:pPr>
    </w:p>
    <w:p w14:paraId="7389CE55" w14:textId="77777777" w:rsidR="00B55451" w:rsidRPr="002A7C26" w:rsidRDefault="00B55451" w:rsidP="00E36E77">
      <w:pPr>
        <w:pStyle w:val="Caption"/>
      </w:pPr>
      <w:r w:rsidRPr="00313BB2">
        <w:lastRenderedPageBreak/>
        <w:t xml:space="preserve">Table </w:t>
      </w:r>
      <w:r w:rsidRPr="00313BB2">
        <w:rPr>
          <w:color w:val="1A1A1A"/>
        </w:rPr>
        <w:t>A3.14</w:t>
      </w:r>
      <w:r w:rsidRPr="00313BB2">
        <w:t>. Review</w:t>
      </w:r>
      <w:r w:rsidRPr="002A7C26">
        <w:t xml:space="preserve"> of methods and data used to estimate the monetary value of biomass for food from ecosystem assets in Victoria</w:t>
      </w:r>
    </w:p>
    <w:tbl>
      <w:tblPr>
        <w:tblStyle w:val="TableGrid"/>
        <w:tblW w:w="5000" w:type="pct"/>
        <w:tblLook w:val="04A0" w:firstRow="1" w:lastRow="0" w:firstColumn="1" w:lastColumn="0" w:noHBand="0" w:noVBand="1"/>
      </w:tblPr>
      <w:tblGrid>
        <w:gridCol w:w="2904"/>
        <w:gridCol w:w="9492"/>
        <w:gridCol w:w="771"/>
        <w:gridCol w:w="8376"/>
      </w:tblGrid>
      <w:tr w:rsidR="00A459D5" w:rsidRPr="002A7C26" w14:paraId="36ADEA76" w14:textId="77777777" w:rsidTr="00A459D5">
        <w:trPr>
          <w:cnfStyle w:val="100000000000" w:firstRow="1" w:lastRow="0" w:firstColumn="0" w:lastColumn="0" w:oddVBand="0" w:evenVBand="0" w:oddHBand="0"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674" w:type="pct"/>
          </w:tcPr>
          <w:p w14:paraId="48AA0A59" w14:textId="77777777" w:rsidR="00E36E77" w:rsidRPr="002A7C26" w:rsidRDefault="00E36E77" w:rsidP="00A459D5">
            <w:pPr>
              <w:pStyle w:val="TableHeadingLeft"/>
            </w:pPr>
            <w:r w:rsidRPr="002A7C26">
              <w:t>Source</w:t>
            </w:r>
          </w:p>
        </w:tc>
        <w:tc>
          <w:tcPr>
            <w:tcW w:w="2203" w:type="pct"/>
          </w:tcPr>
          <w:p w14:paraId="3E5BE1E8" w14:textId="77777777" w:rsidR="00E36E77" w:rsidRPr="002A7C26" w:rsidRDefault="00E36E77" w:rsidP="00A459D5">
            <w:pPr>
              <w:pStyle w:val="TableHeadingLeft"/>
              <w:cnfStyle w:val="100000000000" w:firstRow="1" w:lastRow="0" w:firstColumn="0" w:lastColumn="0" w:oddVBand="0" w:evenVBand="0" w:oddHBand="0" w:evenHBand="0" w:firstRowFirstColumn="0" w:firstRowLastColumn="0" w:lastRowFirstColumn="0" w:lastRowLastColumn="0"/>
            </w:pPr>
            <w:r w:rsidRPr="002A7C26">
              <w:t>Description</w:t>
            </w:r>
          </w:p>
        </w:tc>
        <w:tc>
          <w:tcPr>
            <w:tcW w:w="2122" w:type="pct"/>
            <w:gridSpan w:val="2"/>
          </w:tcPr>
          <w:p w14:paraId="65F6587F" w14:textId="77777777" w:rsidR="00E36E77" w:rsidRPr="002A7C26" w:rsidRDefault="00E36E77" w:rsidP="00A459D5">
            <w:pPr>
              <w:pStyle w:val="TableHeadingLeft"/>
              <w:cnfStyle w:val="100000000000" w:firstRow="1" w:lastRow="0" w:firstColumn="0" w:lastColumn="0" w:oddVBand="0" w:evenVBand="0" w:oddHBand="0" w:evenHBand="0" w:firstRowFirstColumn="0" w:firstRowLastColumn="0" w:lastRowFirstColumn="0" w:lastRowLastColumn="0"/>
            </w:pPr>
            <w:r>
              <w:t>U</w:t>
            </w:r>
            <w:r w:rsidRPr="002A7C26">
              <w:t>se</w:t>
            </w:r>
            <w:r>
              <w:t>d</w:t>
            </w:r>
            <w:r w:rsidRPr="002A7C26">
              <w:t xml:space="preserve"> in </w:t>
            </w:r>
            <w:r>
              <w:t>GORCAP EEA</w:t>
            </w:r>
            <w:r w:rsidRPr="002A7C26">
              <w:t>?</w:t>
            </w:r>
          </w:p>
        </w:tc>
      </w:tr>
      <w:tr w:rsidR="00E36E77" w:rsidRPr="002A7C26" w14:paraId="022FD8F2" w14:textId="77777777" w:rsidTr="00A459D5">
        <w:trPr>
          <w:trHeight w:val="976"/>
        </w:trPr>
        <w:tc>
          <w:tcPr>
            <w:cnfStyle w:val="001000000000" w:firstRow="0" w:lastRow="0" w:firstColumn="1" w:lastColumn="0" w:oddVBand="0" w:evenVBand="0" w:oddHBand="0" w:evenHBand="0" w:firstRowFirstColumn="0" w:firstRowLastColumn="0" w:lastRowFirstColumn="0" w:lastRowLastColumn="0"/>
            <w:tcW w:w="674" w:type="pct"/>
          </w:tcPr>
          <w:p w14:paraId="4908810A" w14:textId="77777777" w:rsidR="00E36E77" w:rsidRPr="002A7C26" w:rsidRDefault="00E36E77" w:rsidP="00A459D5">
            <w:pPr>
              <w:pStyle w:val="TableTextLeft"/>
              <w:rPr>
                <w:highlight w:val="yellow"/>
              </w:rPr>
            </w:pPr>
            <w:r w:rsidRPr="002A7C26">
              <w:t>ABARES (2016) Australian honey-bee industry: 2014-15 survey results</w:t>
            </w:r>
          </w:p>
        </w:tc>
        <w:tc>
          <w:tcPr>
            <w:tcW w:w="2203" w:type="pct"/>
          </w:tcPr>
          <w:p w14:paraId="664B441B" w14:textId="77777777" w:rsidR="00E36E77" w:rsidRPr="002A7C26" w:rsidRDefault="00E36E77" w:rsidP="00A459D5">
            <w:pPr>
              <w:pStyle w:val="TableTextLeft"/>
              <w:cnfStyle w:val="000000000000" w:firstRow="0" w:lastRow="0" w:firstColumn="0" w:lastColumn="0" w:oddVBand="0" w:evenVBand="0" w:oddHBand="0" w:evenHBand="0" w:firstRowFirstColumn="0" w:firstRowLastColumn="0" w:lastRowFirstColumn="0" w:lastRowLastColumn="0"/>
            </w:pPr>
            <w:r w:rsidRPr="002A7C26">
              <w:t xml:space="preserve">This survey was used in DELWP (2019) study on ecosystem services from Victoria’s forests and suggests that the market value of honey produced was approximately $6.30 per kilogram of honey and average cash costs were $3.40 per kilogram of honey in 2014-15. The difference is $2.90 per kilogram of honey, or $2,900 per tonne, which is the contribution of ecosystems  to the market value of honey, known a “resource rent”. </w:t>
            </w:r>
          </w:p>
        </w:tc>
        <w:tc>
          <w:tcPr>
            <w:tcW w:w="179" w:type="pct"/>
            <w:shd w:val="clear" w:color="auto" w:fill="FF0000"/>
          </w:tcPr>
          <w:p w14:paraId="7080BA17" w14:textId="77777777" w:rsidR="00E36E77" w:rsidRPr="002A7C26" w:rsidRDefault="00E36E77" w:rsidP="00A459D5">
            <w:pPr>
              <w:pStyle w:val="TableTextLeft"/>
              <w:cnfStyle w:val="000000000000" w:firstRow="0" w:lastRow="0" w:firstColumn="0" w:lastColumn="0" w:oddVBand="0" w:evenVBand="0" w:oddHBand="0" w:evenHBand="0" w:firstRowFirstColumn="0" w:firstRowLastColumn="0" w:lastRowFirstColumn="0" w:lastRowLastColumn="0"/>
            </w:pPr>
            <w:r w:rsidRPr="002A7C26">
              <w:t>No</w:t>
            </w:r>
          </w:p>
        </w:tc>
        <w:tc>
          <w:tcPr>
            <w:tcW w:w="1944" w:type="pct"/>
          </w:tcPr>
          <w:p w14:paraId="156FEEFB" w14:textId="77777777" w:rsidR="00E36E77" w:rsidRPr="002A7C26" w:rsidRDefault="00E36E77" w:rsidP="00A459D5">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2A7C26">
              <w:t xml:space="preserve">Apiaries are not considered to be a high value output from Victoria or the </w:t>
            </w:r>
            <w:r>
              <w:t>GORCAP region</w:t>
            </w:r>
            <w:r w:rsidRPr="002A7C26">
              <w:t xml:space="preserve"> (see Table 1) and so are not a priority for this initial </w:t>
            </w:r>
            <w:r>
              <w:t>GORCAP EEA</w:t>
            </w:r>
            <w:r w:rsidRPr="002A7C26">
              <w:t xml:space="preserve"> but could be included in future iterations. This Victoria specific information on the contribution of ecosystems to the market value of honey could be applied within the GOR context. </w:t>
            </w:r>
          </w:p>
        </w:tc>
      </w:tr>
      <w:tr w:rsidR="00E36E77" w:rsidRPr="002A7C26" w14:paraId="20A50044" w14:textId="77777777" w:rsidTr="00A459D5">
        <w:trPr>
          <w:trHeight w:val="976"/>
        </w:trPr>
        <w:tc>
          <w:tcPr>
            <w:cnfStyle w:val="001000000000" w:firstRow="0" w:lastRow="0" w:firstColumn="1" w:lastColumn="0" w:oddVBand="0" w:evenVBand="0" w:oddHBand="0" w:evenHBand="0" w:firstRowFirstColumn="0" w:firstRowLastColumn="0" w:lastRowFirstColumn="0" w:lastRowLastColumn="0"/>
            <w:tcW w:w="674" w:type="pct"/>
          </w:tcPr>
          <w:p w14:paraId="00A27384" w14:textId="77777777" w:rsidR="00E36E77" w:rsidRPr="002A7C26" w:rsidRDefault="00E36E77" w:rsidP="00A459D5">
            <w:pPr>
              <w:pStyle w:val="TableTextLeft"/>
            </w:pPr>
            <w:r w:rsidRPr="002A7C26">
              <w:t>ABS Value of Agricultural commodities data</w:t>
            </w:r>
          </w:p>
        </w:tc>
        <w:tc>
          <w:tcPr>
            <w:tcW w:w="2203" w:type="pct"/>
          </w:tcPr>
          <w:p w14:paraId="733639E3" w14:textId="77777777" w:rsidR="00E36E77" w:rsidRPr="002A7C26" w:rsidRDefault="00E36E77" w:rsidP="00A459D5">
            <w:pPr>
              <w:pStyle w:val="TableTextLeft"/>
              <w:cnfStyle w:val="000000000000" w:firstRow="0" w:lastRow="0" w:firstColumn="0" w:lastColumn="0" w:oddVBand="0" w:evenVBand="0" w:oddHBand="0" w:evenHBand="0" w:firstRowFirstColumn="0" w:firstRowLastColumn="0" w:lastRowFirstColumn="0" w:lastRowLastColumn="0"/>
            </w:pPr>
            <w:r w:rsidRPr="002A7C26">
              <w:t>This ABS data captures the gross value of agricultural produce in dollars ($AUD) per year for farmland within Victoria on an annual basis. The study team has acquired this by LGA and SA</w:t>
            </w:r>
            <w:r>
              <w:t>4</w:t>
            </w:r>
            <w:r w:rsidRPr="002A7C26">
              <w:t xml:space="preserve"> breakdown from Agriculture Victoria from the ABS Agricultural Census.</w:t>
            </w:r>
          </w:p>
        </w:tc>
        <w:tc>
          <w:tcPr>
            <w:tcW w:w="179" w:type="pct"/>
            <w:shd w:val="clear" w:color="auto" w:fill="92D050"/>
          </w:tcPr>
          <w:p w14:paraId="0257AD61" w14:textId="77777777" w:rsidR="00E36E77" w:rsidRPr="002A7C26" w:rsidRDefault="00E36E77" w:rsidP="00A459D5">
            <w:pPr>
              <w:pStyle w:val="TableTextLeft"/>
              <w:cnfStyle w:val="000000000000" w:firstRow="0" w:lastRow="0" w:firstColumn="0" w:lastColumn="0" w:oddVBand="0" w:evenVBand="0" w:oddHBand="0" w:evenHBand="0" w:firstRowFirstColumn="0" w:firstRowLastColumn="0" w:lastRowFirstColumn="0" w:lastRowLastColumn="0"/>
            </w:pPr>
            <w:r w:rsidRPr="002A7C26">
              <w:t>Yes</w:t>
            </w:r>
          </w:p>
        </w:tc>
        <w:tc>
          <w:tcPr>
            <w:tcW w:w="1944" w:type="pct"/>
          </w:tcPr>
          <w:p w14:paraId="78A30287" w14:textId="77777777" w:rsidR="00E36E77" w:rsidRPr="002A7C26" w:rsidRDefault="00E36E77" w:rsidP="00A459D5">
            <w:pPr>
              <w:pStyle w:val="TableTextLeft"/>
              <w:cnfStyle w:val="000000000000" w:firstRow="0" w:lastRow="0" w:firstColumn="0" w:lastColumn="0" w:oddVBand="0" w:evenVBand="0" w:oddHBand="0" w:evenHBand="0" w:firstRowFirstColumn="0" w:firstRowLastColumn="0" w:lastRowFirstColumn="0" w:lastRowLastColumn="0"/>
            </w:pPr>
            <w:r w:rsidRPr="002A7C26">
              <w:t>The study team use</w:t>
            </w:r>
            <w:r>
              <w:t>d</w:t>
            </w:r>
            <w:r w:rsidRPr="002A7C26">
              <w:t xml:space="preserve"> information on Gross Value of Agricultural Production (GVAP) in dollars ($AUD) by SA</w:t>
            </w:r>
            <w:r>
              <w:t>4</w:t>
            </w:r>
            <w:r w:rsidRPr="002A7C26">
              <w:t xml:space="preserve"> region from the ABS. Average per hectare vales for agriculture will be estimated and applied to enclosed farmland within each SA</w:t>
            </w:r>
            <w:r>
              <w:t>4</w:t>
            </w:r>
            <w:r w:rsidRPr="002A7C26">
              <w:t xml:space="preserve"> area of the </w:t>
            </w:r>
            <w:r>
              <w:t>GORCAP region</w:t>
            </w:r>
            <w:r w:rsidRPr="002A7C26">
              <w:t xml:space="preserve">. A deduction of other </w:t>
            </w:r>
            <w:r>
              <w:t xml:space="preserve">input </w:t>
            </w:r>
            <w:r w:rsidRPr="002A7C26">
              <w:t>costs (e.g. labour and machinery) from the market value is needed to estimate the resource rent attributable to ecosystems.</w:t>
            </w:r>
          </w:p>
        </w:tc>
      </w:tr>
      <w:tr w:rsidR="00E36E77" w:rsidRPr="002A7C26" w14:paraId="467D9475" w14:textId="77777777" w:rsidTr="00A459D5">
        <w:trPr>
          <w:trHeight w:val="2714"/>
        </w:trPr>
        <w:tc>
          <w:tcPr>
            <w:cnfStyle w:val="001000000000" w:firstRow="0" w:lastRow="0" w:firstColumn="1" w:lastColumn="0" w:oddVBand="0" w:evenVBand="0" w:oddHBand="0" w:evenHBand="0" w:firstRowFirstColumn="0" w:firstRowLastColumn="0" w:lastRowFirstColumn="0" w:lastRowLastColumn="0"/>
            <w:tcW w:w="674" w:type="pct"/>
          </w:tcPr>
          <w:p w14:paraId="7507E779" w14:textId="77777777" w:rsidR="00E36E77" w:rsidRPr="002A7C26" w:rsidRDefault="00E36E77" w:rsidP="00A459D5">
            <w:pPr>
              <w:pStyle w:val="TableTextLeft"/>
            </w:pPr>
            <w:r w:rsidRPr="002A7C26">
              <w:t xml:space="preserve">Blandon and </w:t>
            </w:r>
            <w:proofErr w:type="spellStart"/>
            <w:r w:rsidRPr="002A7C26">
              <w:t>zu</w:t>
            </w:r>
            <w:proofErr w:type="spellEnd"/>
            <w:r w:rsidRPr="002A7C26">
              <w:t xml:space="preserve"> </w:t>
            </w:r>
            <w:proofErr w:type="spellStart"/>
            <w:r w:rsidRPr="002A7C26">
              <w:t>Ermgassen</w:t>
            </w:r>
            <w:proofErr w:type="spellEnd"/>
            <w:r w:rsidRPr="002A7C26">
              <w:t xml:space="preserve"> (2014) Quantitative estimate of commercial fish enhancement by seagrass habitat in Southern Australia</w:t>
            </w:r>
          </w:p>
          <w:p w14:paraId="4B4804B1" w14:textId="77777777" w:rsidR="00E36E77" w:rsidRPr="002A7C26" w:rsidRDefault="00E36E77" w:rsidP="00A459D5">
            <w:pPr>
              <w:pStyle w:val="TableTextLeft"/>
            </w:pPr>
            <w:r w:rsidRPr="002A7C26">
              <w:rPr>
                <w:i/>
                <w:iCs/>
              </w:rPr>
              <w:t xml:space="preserve">and </w:t>
            </w:r>
            <w:r w:rsidRPr="002A7C26">
              <w:t xml:space="preserve"> </w:t>
            </w:r>
          </w:p>
          <w:p w14:paraId="24E8DE2F" w14:textId="77777777" w:rsidR="00E36E77" w:rsidRPr="002A7C26" w:rsidRDefault="00E36E77" w:rsidP="00A459D5">
            <w:pPr>
              <w:pStyle w:val="TableTextLeft"/>
            </w:pPr>
            <w:r w:rsidRPr="002A7C26">
              <w:t xml:space="preserve">Blandon and </w:t>
            </w:r>
            <w:proofErr w:type="spellStart"/>
            <w:r w:rsidRPr="002A7C26">
              <w:t>zu</w:t>
            </w:r>
            <w:proofErr w:type="spellEnd"/>
            <w:r w:rsidRPr="002A7C26">
              <w:t xml:space="preserve"> </w:t>
            </w:r>
            <w:proofErr w:type="spellStart"/>
            <w:r w:rsidRPr="002A7C26">
              <w:t>Ermgassen</w:t>
            </w:r>
            <w:proofErr w:type="spellEnd"/>
            <w:r w:rsidRPr="002A7C26">
              <w:t xml:space="preserve">  (2014) Corrigendum (to above paper)</w:t>
            </w:r>
          </w:p>
        </w:tc>
        <w:tc>
          <w:tcPr>
            <w:tcW w:w="2203" w:type="pct"/>
          </w:tcPr>
          <w:p w14:paraId="14A0696C" w14:textId="77777777" w:rsidR="00E36E77" w:rsidRPr="002A7C26" w:rsidRDefault="00E36E77" w:rsidP="00A459D5">
            <w:pPr>
              <w:pStyle w:val="TableTextLeft"/>
              <w:cnfStyle w:val="000000000000" w:firstRow="0" w:lastRow="0" w:firstColumn="0" w:lastColumn="0" w:oddVBand="0" w:evenVBand="0" w:oddHBand="0" w:evenHBand="0" w:firstRowFirstColumn="0" w:firstRowLastColumn="0" w:lastRowFirstColumn="0" w:lastRowLastColumn="0"/>
            </w:pPr>
            <w:r w:rsidRPr="002A7C26">
              <w:t xml:space="preserve">This study was used in the DELWP (2016) study to provide information on the market value of fish stock enhancement for a range of commercially fished species including Australian anchovy, Luderick, Blue weed whiting, Sandy sprat, Southern sea garfish, Flat-tail mullet, Six-spined leatherjacket, Yellowfin leatherjacket, Flathead grey mullet, Six-lined trumpeter, Tarwhine, King George whiting. </w:t>
            </w:r>
          </w:p>
          <w:p w14:paraId="68F91E7C" w14:textId="77777777" w:rsidR="00E36E77" w:rsidRPr="002A7C26" w:rsidRDefault="00E36E77" w:rsidP="00A459D5">
            <w:pPr>
              <w:pStyle w:val="TableTextLeft"/>
              <w:cnfStyle w:val="000000000000" w:firstRow="0" w:lastRow="0" w:firstColumn="0" w:lastColumn="0" w:oddVBand="0" w:evenVBand="0" w:oddHBand="0" w:evenHBand="0" w:firstRowFirstColumn="0" w:firstRowLastColumn="0" w:lastRowFirstColumn="0" w:lastRowLastColumn="0"/>
            </w:pPr>
          </w:p>
          <w:p w14:paraId="38137B7A" w14:textId="77777777" w:rsidR="00E36E77" w:rsidRPr="002A7C26" w:rsidRDefault="00E36E77" w:rsidP="00A459D5">
            <w:pPr>
              <w:pStyle w:val="TableTextLeft"/>
              <w:cnfStyle w:val="000000000000" w:firstRow="0" w:lastRow="0" w:firstColumn="0" w:lastColumn="0" w:oddVBand="0" w:evenVBand="0" w:oddHBand="0" w:evenHBand="0" w:firstRowFirstColumn="0" w:firstRowLastColumn="0" w:lastRowFirstColumn="0" w:lastRowLastColumn="0"/>
            </w:pPr>
            <w:r w:rsidRPr="002A7C26">
              <w:t xml:space="preserve">A corrigendum was released to the original paper in 2014 correcting for errors which affect the annual enhancement of year classes and the economic enhancement estimates attributable to seagrass habitat. The revised figures will be used in </w:t>
            </w:r>
            <w:r>
              <w:t>GORCAP EEA</w:t>
            </w:r>
            <w:r w:rsidRPr="002A7C26">
              <w:t>. The values ranges from $0.1 / ha / yr for southern garfish to $25,000 / ha/ yr for Tarwhine.</w:t>
            </w:r>
          </w:p>
        </w:tc>
        <w:tc>
          <w:tcPr>
            <w:tcW w:w="179" w:type="pct"/>
            <w:shd w:val="clear" w:color="auto" w:fill="FF0000"/>
          </w:tcPr>
          <w:p w14:paraId="5E74B788" w14:textId="77777777" w:rsidR="00E36E77" w:rsidRPr="002A7C26" w:rsidRDefault="00E36E77" w:rsidP="00A459D5">
            <w:pPr>
              <w:pStyle w:val="TableTextLeft"/>
              <w:cnfStyle w:val="000000000000" w:firstRow="0" w:lastRow="0" w:firstColumn="0" w:lastColumn="0" w:oddVBand="0" w:evenVBand="0" w:oddHBand="0" w:evenHBand="0" w:firstRowFirstColumn="0" w:firstRowLastColumn="0" w:lastRowFirstColumn="0" w:lastRowLastColumn="0"/>
            </w:pPr>
            <w:r>
              <w:t>No</w:t>
            </w:r>
          </w:p>
        </w:tc>
        <w:tc>
          <w:tcPr>
            <w:tcW w:w="1944" w:type="pct"/>
          </w:tcPr>
          <w:p w14:paraId="3EB1CFCC" w14:textId="77777777" w:rsidR="00E36E77" w:rsidRPr="002A7C26" w:rsidRDefault="00E36E77" w:rsidP="00A459D5">
            <w:pPr>
              <w:pStyle w:val="TableTextLeft"/>
              <w:cnfStyle w:val="000000000000" w:firstRow="0" w:lastRow="0" w:firstColumn="0" w:lastColumn="0" w:oddVBand="0" w:evenVBand="0" w:oddHBand="0" w:evenHBand="0" w:firstRowFirstColumn="0" w:firstRowLastColumn="0" w:lastRowFirstColumn="0" w:lastRowLastColumn="0"/>
            </w:pPr>
            <w:r w:rsidRPr="00DB4323">
              <w:rPr>
                <w:color w:val="111111" w:themeColor="text1" w:themeShade="80"/>
              </w:rPr>
              <w:t xml:space="preserve">This </w:t>
            </w:r>
            <w:r>
              <w:rPr>
                <w:color w:val="111111" w:themeColor="text1" w:themeShade="80"/>
              </w:rPr>
              <w:t>study</w:t>
            </w:r>
            <w:r w:rsidRPr="00DB4323">
              <w:rPr>
                <w:color w:val="111111" w:themeColor="text1" w:themeShade="80"/>
              </w:rPr>
              <w:t xml:space="preserve"> estimate</w:t>
            </w:r>
            <w:r>
              <w:rPr>
                <w:color w:val="111111" w:themeColor="text1" w:themeShade="80"/>
              </w:rPr>
              <w:t>s</w:t>
            </w:r>
            <w:r w:rsidRPr="00DB4323">
              <w:rPr>
                <w:color w:val="111111" w:themeColor="text1" w:themeShade="80"/>
              </w:rPr>
              <w:t xml:space="preserve"> the annual enhancement in fish stocks in kilograms per year that is attributable to a m</w:t>
            </w:r>
            <w:r w:rsidRPr="00DB4323">
              <w:rPr>
                <w:color w:val="111111" w:themeColor="text1" w:themeShade="80"/>
                <w:vertAlign w:val="superscript"/>
              </w:rPr>
              <w:t>2</w:t>
            </w:r>
            <w:r w:rsidRPr="00DB4323">
              <w:rPr>
                <w:color w:val="111111" w:themeColor="text1" w:themeShade="80"/>
              </w:rPr>
              <w:t xml:space="preserve"> of seagrass habitat</w:t>
            </w:r>
            <w:r>
              <w:rPr>
                <w:color w:val="111111" w:themeColor="text1" w:themeShade="80"/>
              </w:rPr>
              <w:t xml:space="preserve"> (i.e. the increase in the stock)</w:t>
            </w:r>
            <w:r w:rsidRPr="00DB4323">
              <w:rPr>
                <w:color w:val="111111" w:themeColor="text1" w:themeShade="80"/>
              </w:rPr>
              <w:t xml:space="preserve"> </w:t>
            </w:r>
            <w:r>
              <w:rPr>
                <w:color w:val="111111" w:themeColor="text1" w:themeShade="80"/>
              </w:rPr>
              <w:t>rather than the annual enhancement in fishery catch that is</w:t>
            </w:r>
            <w:r w:rsidRPr="00DB4323">
              <w:rPr>
                <w:color w:val="111111" w:themeColor="text1" w:themeShade="80"/>
              </w:rPr>
              <w:t xml:space="preserve"> attributable to a m</w:t>
            </w:r>
            <w:r w:rsidRPr="00DB4323">
              <w:rPr>
                <w:color w:val="111111" w:themeColor="text1" w:themeShade="80"/>
                <w:vertAlign w:val="superscript"/>
              </w:rPr>
              <w:t>2</w:t>
            </w:r>
            <w:r w:rsidRPr="00DB4323">
              <w:rPr>
                <w:color w:val="111111" w:themeColor="text1" w:themeShade="80"/>
              </w:rPr>
              <w:t xml:space="preserve"> of seagrass habitat</w:t>
            </w:r>
            <w:r>
              <w:rPr>
                <w:color w:val="111111" w:themeColor="text1" w:themeShade="80"/>
              </w:rPr>
              <w:t xml:space="preserve"> (i.e. the increase in the flow).   </w:t>
            </w:r>
            <w:r w:rsidRPr="00DB4323">
              <w:rPr>
                <w:color w:val="111111" w:themeColor="text1" w:themeShade="80"/>
              </w:rPr>
              <w:t xml:space="preserve"> </w:t>
            </w:r>
          </w:p>
        </w:tc>
      </w:tr>
      <w:tr w:rsidR="00E36E77" w:rsidRPr="002A7C26" w14:paraId="049FF926" w14:textId="77777777" w:rsidTr="00A459D5">
        <w:trPr>
          <w:trHeight w:val="976"/>
        </w:trPr>
        <w:tc>
          <w:tcPr>
            <w:cnfStyle w:val="001000000000" w:firstRow="0" w:lastRow="0" w:firstColumn="1" w:lastColumn="0" w:oddVBand="0" w:evenVBand="0" w:oddHBand="0" w:evenHBand="0" w:firstRowFirstColumn="0" w:firstRowLastColumn="0" w:lastRowFirstColumn="0" w:lastRowLastColumn="0"/>
            <w:tcW w:w="674" w:type="pct"/>
          </w:tcPr>
          <w:p w14:paraId="5AB5340E" w14:textId="77777777" w:rsidR="00E36E77" w:rsidRPr="002A7C26" w:rsidRDefault="00E36E77" w:rsidP="00A459D5">
            <w:pPr>
              <w:pStyle w:val="TableTextLeft"/>
              <w:rPr>
                <w:highlight w:val="yellow"/>
              </w:rPr>
            </w:pPr>
            <w:r w:rsidRPr="002A7C26">
              <w:t>Carnell et al (2019) Mapping Ocean Wealth Australia</w:t>
            </w:r>
          </w:p>
        </w:tc>
        <w:tc>
          <w:tcPr>
            <w:tcW w:w="2203" w:type="pct"/>
          </w:tcPr>
          <w:p w14:paraId="749AD7F9" w14:textId="77777777" w:rsidR="00E36E77" w:rsidRPr="002A7C26" w:rsidRDefault="00E36E77" w:rsidP="00A459D5">
            <w:pPr>
              <w:pStyle w:val="TableTextLeft"/>
              <w:cnfStyle w:val="000000000000" w:firstRow="0" w:lastRow="0" w:firstColumn="0" w:lastColumn="0" w:oddVBand="0" w:evenVBand="0" w:oddHBand="0" w:evenHBand="0" w:firstRowFirstColumn="0" w:firstRowLastColumn="0" w:lastRowFirstColumn="0" w:lastRowLastColumn="0"/>
            </w:pPr>
            <w:r w:rsidRPr="002A7C26">
              <w:t xml:space="preserve">This study estimates the total annual commercial fisheries (market) value of species in terms of tonnes per hectare that is attributable to seagrass, saltmarsh and mangrove ecosystems in south-east Australia (NSW and Victoria). Victoria specific estimates are provided for the top five species by average annual catch including King George whiting, Black bream, Rock flathead, Snapper and Southern sea garfish.  </w:t>
            </w:r>
          </w:p>
        </w:tc>
        <w:tc>
          <w:tcPr>
            <w:tcW w:w="179" w:type="pct"/>
            <w:shd w:val="clear" w:color="auto" w:fill="92D050"/>
          </w:tcPr>
          <w:p w14:paraId="735C51F5" w14:textId="77777777" w:rsidR="00E36E77" w:rsidRPr="002A7C26" w:rsidRDefault="00E36E77" w:rsidP="00A459D5">
            <w:pPr>
              <w:pStyle w:val="TableTextLeft"/>
              <w:cnfStyle w:val="000000000000" w:firstRow="0" w:lastRow="0" w:firstColumn="0" w:lastColumn="0" w:oddVBand="0" w:evenVBand="0" w:oddHBand="0" w:evenHBand="0" w:firstRowFirstColumn="0" w:firstRowLastColumn="0" w:lastRowFirstColumn="0" w:lastRowLastColumn="0"/>
            </w:pPr>
            <w:r w:rsidRPr="002A7C26">
              <w:t>Yes</w:t>
            </w:r>
          </w:p>
        </w:tc>
        <w:tc>
          <w:tcPr>
            <w:tcW w:w="1944" w:type="pct"/>
          </w:tcPr>
          <w:p w14:paraId="37C1106D" w14:textId="77777777" w:rsidR="00E36E77" w:rsidRPr="002A7C26" w:rsidRDefault="00E36E77" w:rsidP="00A459D5">
            <w:pPr>
              <w:pStyle w:val="TableTextLeft"/>
              <w:cnfStyle w:val="000000000000" w:firstRow="0" w:lastRow="0" w:firstColumn="0" w:lastColumn="0" w:oddVBand="0" w:evenVBand="0" w:oddHBand="0" w:evenHBand="0" w:firstRowFirstColumn="0" w:firstRowLastColumn="0" w:lastRowFirstColumn="0" w:lastRowLastColumn="0"/>
            </w:pPr>
            <w:r w:rsidRPr="002A7C26">
              <w:t xml:space="preserve">The economic values estimated in this study </w:t>
            </w:r>
            <w:r>
              <w:t>are</w:t>
            </w:r>
            <w:r w:rsidRPr="002A7C26">
              <w:t xml:space="preserve"> used to value the contribution of GOR seagrass, mangrove and saltmarsh ecosystems to the market value of food. Whilst the study attributes fish stock enhancement to seagrass ecosystem (separate from other ecosystem assets), a deduction of other </w:t>
            </w:r>
            <w:r>
              <w:t xml:space="preserve">input </w:t>
            </w:r>
            <w:r w:rsidRPr="002A7C26">
              <w:t>costs (e.g. labour and machinery) from the market value is still needed to estimate the resource rent attributable to ecosystems.</w:t>
            </w:r>
          </w:p>
        </w:tc>
      </w:tr>
      <w:tr w:rsidR="00E36E77" w:rsidRPr="002A7C26" w14:paraId="71A3BB8C" w14:textId="77777777" w:rsidTr="00A459D5">
        <w:trPr>
          <w:trHeight w:val="976"/>
        </w:trPr>
        <w:tc>
          <w:tcPr>
            <w:cnfStyle w:val="001000000000" w:firstRow="0" w:lastRow="0" w:firstColumn="1" w:lastColumn="0" w:oddVBand="0" w:evenVBand="0" w:oddHBand="0" w:evenHBand="0" w:firstRowFirstColumn="0" w:firstRowLastColumn="0" w:lastRowFirstColumn="0" w:lastRowLastColumn="0"/>
            <w:tcW w:w="674" w:type="pct"/>
          </w:tcPr>
          <w:p w14:paraId="0825C83A" w14:textId="77777777" w:rsidR="00E36E77" w:rsidRPr="002A7C26" w:rsidRDefault="00E36E77" w:rsidP="00A459D5">
            <w:pPr>
              <w:pStyle w:val="TableTextLeft"/>
            </w:pPr>
            <w:r w:rsidRPr="002A7C26">
              <w:t xml:space="preserve">Victorian Fisheries Authority (2019) Commercial fish production </w:t>
            </w:r>
          </w:p>
        </w:tc>
        <w:tc>
          <w:tcPr>
            <w:tcW w:w="2203" w:type="pct"/>
          </w:tcPr>
          <w:p w14:paraId="2C7F0CFF" w14:textId="77777777" w:rsidR="00E36E77" w:rsidRPr="002A7C26" w:rsidRDefault="00E36E77" w:rsidP="00A459D5">
            <w:pPr>
              <w:pStyle w:val="TableTextLeft"/>
              <w:cnfStyle w:val="000000000000" w:firstRow="0" w:lastRow="0" w:firstColumn="0" w:lastColumn="0" w:oddVBand="0" w:evenVBand="0" w:oddHBand="0" w:evenHBand="0" w:firstRowFirstColumn="0" w:firstRowLastColumn="0" w:lastRowFirstColumn="0" w:lastRowLastColumn="0"/>
            </w:pPr>
            <w:r w:rsidRPr="002A7C26">
              <w:t>This VFA information includes the weight/volume and value of fish / invertebrate / mollusc production within Victoria for various years. A 2012 version of this VFA information was used in an internal working paper on valuing the benefits provided by Port Phillip Bay.</w:t>
            </w:r>
          </w:p>
        </w:tc>
        <w:tc>
          <w:tcPr>
            <w:tcW w:w="179" w:type="pct"/>
            <w:shd w:val="clear" w:color="auto" w:fill="92D050"/>
          </w:tcPr>
          <w:p w14:paraId="212267C2" w14:textId="77777777" w:rsidR="00E36E77" w:rsidRPr="002A7C26" w:rsidRDefault="00E36E77" w:rsidP="00A459D5">
            <w:pPr>
              <w:pStyle w:val="TableTextLeft"/>
              <w:cnfStyle w:val="000000000000" w:firstRow="0" w:lastRow="0" w:firstColumn="0" w:lastColumn="0" w:oddVBand="0" w:evenVBand="0" w:oddHBand="0" w:evenHBand="0" w:firstRowFirstColumn="0" w:firstRowLastColumn="0" w:lastRowFirstColumn="0" w:lastRowLastColumn="0"/>
            </w:pPr>
            <w:r w:rsidRPr="002A7C26">
              <w:t>Yes</w:t>
            </w:r>
          </w:p>
        </w:tc>
        <w:tc>
          <w:tcPr>
            <w:tcW w:w="1944" w:type="pct"/>
          </w:tcPr>
          <w:p w14:paraId="3FF33E24" w14:textId="77777777" w:rsidR="00E36E77" w:rsidRPr="002A7C26" w:rsidRDefault="00E36E77" w:rsidP="00A459D5">
            <w:pPr>
              <w:pStyle w:val="TableTextLeft"/>
              <w:cnfStyle w:val="000000000000" w:firstRow="0" w:lastRow="0" w:firstColumn="0" w:lastColumn="0" w:oddVBand="0" w:evenVBand="0" w:oddHBand="0" w:evenHBand="0" w:firstRowFirstColumn="0" w:firstRowLastColumn="0" w:lastRowFirstColumn="0" w:lastRowLastColumn="0"/>
            </w:pPr>
            <w:r w:rsidRPr="002A7C26">
              <w:t xml:space="preserve">This information provides the value of the catch by location (e.g. Port Phillip Bay) but does not enable attribution of the value ($) of the biomass produced to specific ecosystem assets (i.e. within the </w:t>
            </w:r>
            <w:r>
              <w:t>GORCAP EEA</w:t>
            </w:r>
            <w:r w:rsidRPr="002A7C26">
              <w:t xml:space="preserve"> boundary). However, it </w:t>
            </w:r>
            <w:r>
              <w:t>is</w:t>
            </w:r>
            <w:r w:rsidRPr="002A7C26">
              <w:t xml:space="preserve"> used to calculate $ per tonne values to apply to the tonnes from the physical flow account (e.g. for abalone)</w:t>
            </w:r>
          </w:p>
        </w:tc>
      </w:tr>
      <w:tr w:rsidR="00E36E77" w:rsidRPr="002A7C26" w14:paraId="02AD7B77" w14:textId="77777777" w:rsidTr="00A459D5">
        <w:trPr>
          <w:trHeight w:val="976"/>
        </w:trPr>
        <w:tc>
          <w:tcPr>
            <w:cnfStyle w:val="001000000000" w:firstRow="0" w:lastRow="0" w:firstColumn="1" w:lastColumn="0" w:oddVBand="0" w:evenVBand="0" w:oddHBand="0" w:evenHBand="0" w:firstRowFirstColumn="0" w:firstRowLastColumn="0" w:lastRowFirstColumn="0" w:lastRowLastColumn="0"/>
            <w:tcW w:w="674" w:type="pct"/>
          </w:tcPr>
          <w:p w14:paraId="315EED36" w14:textId="77777777" w:rsidR="00E36E77" w:rsidRPr="002A7C26" w:rsidRDefault="00E36E77" w:rsidP="00A459D5">
            <w:pPr>
              <w:pStyle w:val="TableTextLeft"/>
            </w:pPr>
            <w:r w:rsidRPr="002A7C26">
              <w:t>Jänes et al (2020) Quantifying fisheries enhancement from coastal vegetated ecosystems</w:t>
            </w:r>
          </w:p>
        </w:tc>
        <w:tc>
          <w:tcPr>
            <w:tcW w:w="2203" w:type="pct"/>
          </w:tcPr>
          <w:p w14:paraId="21BEF421" w14:textId="77777777" w:rsidR="00E36E77" w:rsidRPr="002A7C26" w:rsidRDefault="00E36E77" w:rsidP="00A459D5">
            <w:pPr>
              <w:pStyle w:val="TableTextLeft"/>
              <w:cnfStyle w:val="000000000000" w:firstRow="0" w:lastRow="0" w:firstColumn="0" w:lastColumn="0" w:oddVBand="0" w:evenVBand="0" w:oddHBand="0" w:evenHBand="0" w:firstRowFirstColumn="0" w:firstRowLastColumn="0" w:lastRowFirstColumn="0" w:lastRowLastColumn="0"/>
            </w:pPr>
            <w:r w:rsidRPr="002A7C26">
              <w:t xml:space="preserve">This study systematically reviewed the literature across Australia to value fish biomass enhancement from seagrass meadows. On average, seagrass supported a value increase to fisheries of $21,200 / ha / year. </w:t>
            </w:r>
          </w:p>
        </w:tc>
        <w:tc>
          <w:tcPr>
            <w:tcW w:w="179" w:type="pct"/>
            <w:shd w:val="clear" w:color="auto" w:fill="FF0000"/>
          </w:tcPr>
          <w:p w14:paraId="35A862B7" w14:textId="77777777" w:rsidR="00E36E77" w:rsidRPr="002A7C26" w:rsidRDefault="00E36E77" w:rsidP="00A459D5">
            <w:pPr>
              <w:pStyle w:val="TableTextLeft"/>
              <w:cnfStyle w:val="000000000000" w:firstRow="0" w:lastRow="0" w:firstColumn="0" w:lastColumn="0" w:oddVBand="0" w:evenVBand="0" w:oddHBand="0" w:evenHBand="0" w:firstRowFirstColumn="0" w:firstRowLastColumn="0" w:lastRowFirstColumn="0" w:lastRowLastColumn="0"/>
            </w:pPr>
            <w:r>
              <w:t>No</w:t>
            </w:r>
          </w:p>
        </w:tc>
        <w:tc>
          <w:tcPr>
            <w:tcW w:w="1944" w:type="pct"/>
          </w:tcPr>
          <w:p w14:paraId="17DFE053" w14:textId="77777777" w:rsidR="00E36E77" w:rsidRPr="002A7C26" w:rsidRDefault="00E36E77" w:rsidP="00A459D5">
            <w:pPr>
              <w:pStyle w:val="TableTextLeft"/>
              <w:cnfStyle w:val="000000000000" w:firstRow="0" w:lastRow="0" w:firstColumn="0" w:lastColumn="0" w:oddVBand="0" w:evenVBand="0" w:oddHBand="0" w:evenHBand="0" w:firstRowFirstColumn="0" w:firstRowLastColumn="0" w:lastRowFirstColumn="0" w:lastRowLastColumn="0"/>
            </w:pPr>
            <w:r w:rsidRPr="002A7C26">
              <w:t xml:space="preserve">The figures presented are Australia wide averages. </w:t>
            </w:r>
          </w:p>
        </w:tc>
      </w:tr>
      <w:tr w:rsidR="00E36E77" w:rsidRPr="002A7C26" w14:paraId="07FD8CB1" w14:textId="77777777" w:rsidTr="00A459D5">
        <w:trPr>
          <w:trHeight w:val="976"/>
        </w:trPr>
        <w:tc>
          <w:tcPr>
            <w:cnfStyle w:val="001000000000" w:firstRow="0" w:lastRow="0" w:firstColumn="1" w:lastColumn="0" w:oddVBand="0" w:evenVBand="0" w:oddHBand="0" w:evenHBand="0" w:firstRowFirstColumn="0" w:firstRowLastColumn="0" w:lastRowFirstColumn="0" w:lastRowLastColumn="0"/>
            <w:tcW w:w="674" w:type="pct"/>
          </w:tcPr>
          <w:p w14:paraId="54663741" w14:textId="77777777" w:rsidR="00E36E77" w:rsidRPr="002A7C26" w:rsidRDefault="00E36E77" w:rsidP="00A459D5">
            <w:pPr>
              <w:pStyle w:val="TableTextLeft"/>
            </w:pPr>
            <w:r w:rsidRPr="002A7C26">
              <w:t>KPMG (1997) The Bays Asset Management Study. Department of State Development</w:t>
            </w:r>
          </w:p>
        </w:tc>
        <w:tc>
          <w:tcPr>
            <w:tcW w:w="2203" w:type="pct"/>
          </w:tcPr>
          <w:p w14:paraId="7062AD34" w14:textId="77777777" w:rsidR="00E36E77" w:rsidRPr="002A7C26" w:rsidRDefault="00E36E77" w:rsidP="00A459D5">
            <w:pPr>
              <w:pStyle w:val="TableTextLeft"/>
              <w:cnfStyle w:val="000000000000" w:firstRow="0" w:lastRow="0" w:firstColumn="0" w:lastColumn="0" w:oddVBand="0" w:evenVBand="0" w:oddHBand="0" w:evenHBand="0" w:firstRowFirstColumn="0" w:firstRowLastColumn="0" w:lastRowFirstColumn="0" w:lastRowLastColumn="0"/>
            </w:pPr>
            <w:r w:rsidRPr="002A7C26">
              <w:t>This study was used in the URS (2007) study to provide information on the effect of a loss in seagrass habitat on the value to the commercial fishing industry in Port Phillip Bay. The study estimates that the 70</w:t>
            </w:r>
            <w:r>
              <w:t xml:space="preserve"> per cent</w:t>
            </w:r>
            <w:r w:rsidRPr="002A7C26">
              <w:t xml:space="preserve"> loss in seagrass since 1970 had caused a 40</w:t>
            </w:r>
            <w:r>
              <w:t xml:space="preserve"> per cent</w:t>
            </w:r>
            <w:r w:rsidRPr="002A7C26">
              <w:t xml:space="preserve"> drop in annual fish catch which is valued at $5.4million / year in 2006 prices. </w:t>
            </w:r>
          </w:p>
        </w:tc>
        <w:tc>
          <w:tcPr>
            <w:tcW w:w="179" w:type="pct"/>
            <w:shd w:val="clear" w:color="auto" w:fill="FF0000"/>
          </w:tcPr>
          <w:p w14:paraId="149B86A6" w14:textId="77777777" w:rsidR="00E36E77" w:rsidRPr="002A7C26" w:rsidRDefault="00E36E77" w:rsidP="00A459D5">
            <w:pPr>
              <w:pStyle w:val="TableTextLeft"/>
              <w:cnfStyle w:val="000000000000" w:firstRow="0" w:lastRow="0" w:firstColumn="0" w:lastColumn="0" w:oddVBand="0" w:evenVBand="0" w:oddHBand="0" w:evenHBand="0" w:firstRowFirstColumn="0" w:firstRowLastColumn="0" w:lastRowFirstColumn="0" w:lastRowLastColumn="0"/>
            </w:pPr>
            <w:r w:rsidRPr="002A7C26">
              <w:t>No</w:t>
            </w:r>
          </w:p>
        </w:tc>
        <w:tc>
          <w:tcPr>
            <w:tcW w:w="1944" w:type="pct"/>
          </w:tcPr>
          <w:p w14:paraId="2D895138" w14:textId="77777777" w:rsidR="00E36E77" w:rsidRPr="002A7C26" w:rsidRDefault="00E36E77" w:rsidP="00A459D5">
            <w:pPr>
              <w:pStyle w:val="TableTextLeft"/>
              <w:cnfStyle w:val="000000000000" w:firstRow="0" w:lastRow="0" w:firstColumn="0" w:lastColumn="0" w:oddVBand="0" w:evenVBand="0" w:oddHBand="0" w:evenHBand="0" w:firstRowFirstColumn="0" w:firstRowLastColumn="0" w:lastRowFirstColumn="0" w:lastRowLastColumn="0"/>
            </w:pPr>
            <w:r w:rsidRPr="002A7C26">
              <w:t xml:space="preserve">Whilst this study does capture the relationship between seagrass habitat extent and fish catch, it does not provide an estimate of the productivity (in terms of the value of additional fish biomass) of </w:t>
            </w:r>
            <w:r w:rsidRPr="002A7C26">
              <w:rPr>
                <w:i/>
                <w:iCs/>
              </w:rPr>
              <w:t>current</w:t>
            </w:r>
            <w:r w:rsidRPr="002A7C26">
              <w:t xml:space="preserve"> seagrass extent (i.e. the 30</w:t>
            </w:r>
            <w:r>
              <w:t xml:space="preserve"> per cent</w:t>
            </w:r>
            <w:r w:rsidRPr="002A7C26">
              <w:t xml:space="preserve"> of seagrass extent that remains from 1970).</w:t>
            </w:r>
          </w:p>
        </w:tc>
      </w:tr>
      <w:tr w:rsidR="00E36E77" w:rsidRPr="002A7C26" w14:paraId="3B479498" w14:textId="77777777" w:rsidTr="00A459D5">
        <w:trPr>
          <w:trHeight w:val="976"/>
        </w:trPr>
        <w:tc>
          <w:tcPr>
            <w:cnfStyle w:val="001000000000" w:firstRow="0" w:lastRow="0" w:firstColumn="1" w:lastColumn="0" w:oddVBand="0" w:evenVBand="0" w:oddHBand="0" w:evenHBand="0" w:firstRowFirstColumn="0" w:firstRowLastColumn="0" w:lastRowFirstColumn="0" w:lastRowLastColumn="0"/>
            <w:tcW w:w="674" w:type="pct"/>
          </w:tcPr>
          <w:p w14:paraId="250B1062" w14:textId="77777777" w:rsidR="00E36E77" w:rsidRPr="002A7C26" w:rsidRDefault="00E36E77" w:rsidP="00A459D5">
            <w:pPr>
              <w:pStyle w:val="TableTextLeft"/>
            </w:pPr>
            <w:r w:rsidRPr="002A7C26">
              <w:t xml:space="preserve">RIRDC 2008. Australian honeybee industry survey, 2006-07. </w:t>
            </w:r>
          </w:p>
        </w:tc>
        <w:tc>
          <w:tcPr>
            <w:tcW w:w="2203" w:type="pct"/>
          </w:tcPr>
          <w:p w14:paraId="34804E47" w14:textId="77777777" w:rsidR="00E36E77" w:rsidRPr="002A7C26" w:rsidRDefault="00E36E77" w:rsidP="00A459D5">
            <w:pPr>
              <w:pStyle w:val="TableTextLeft"/>
              <w:cnfStyle w:val="000000000000" w:firstRow="0" w:lastRow="0" w:firstColumn="0" w:lastColumn="0" w:oddVBand="0" w:evenVBand="0" w:oddHBand="0" w:evenHBand="0" w:firstRowFirstColumn="0" w:firstRowLastColumn="0" w:lastRowFirstColumn="0" w:lastRowLastColumn="0"/>
            </w:pPr>
            <w:r w:rsidRPr="002A7C26">
              <w:t xml:space="preserve">The findings from this survey were used in DELWP and PV (2015) to estimate the gross operating surplus (revenue minus costs) of honey production in Victoria of $0.5/kg. </w:t>
            </w:r>
          </w:p>
        </w:tc>
        <w:tc>
          <w:tcPr>
            <w:tcW w:w="179" w:type="pct"/>
            <w:shd w:val="clear" w:color="auto" w:fill="FF0000"/>
          </w:tcPr>
          <w:p w14:paraId="3947C8FE" w14:textId="77777777" w:rsidR="00E36E77" w:rsidRPr="002A7C26" w:rsidRDefault="00E36E77" w:rsidP="00A459D5">
            <w:pPr>
              <w:pStyle w:val="TableTextLeft"/>
              <w:cnfStyle w:val="000000000000" w:firstRow="0" w:lastRow="0" w:firstColumn="0" w:lastColumn="0" w:oddVBand="0" w:evenVBand="0" w:oddHBand="0" w:evenHBand="0" w:firstRowFirstColumn="0" w:firstRowLastColumn="0" w:lastRowFirstColumn="0" w:lastRowLastColumn="0"/>
            </w:pPr>
            <w:r w:rsidRPr="002A7C26">
              <w:t xml:space="preserve">No </w:t>
            </w:r>
          </w:p>
        </w:tc>
        <w:tc>
          <w:tcPr>
            <w:tcW w:w="1944" w:type="pct"/>
          </w:tcPr>
          <w:p w14:paraId="11F691E4" w14:textId="77777777" w:rsidR="00E36E77" w:rsidRPr="002A7C26" w:rsidRDefault="00E36E77" w:rsidP="00A459D5">
            <w:pPr>
              <w:pStyle w:val="TableTextLeft"/>
              <w:cnfStyle w:val="000000000000" w:firstRow="0" w:lastRow="0" w:firstColumn="0" w:lastColumn="0" w:oddVBand="0" w:evenVBand="0" w:oddHBand="0" w:evenHBand="0" w:firstRowFirstColumn="0" w:firstRowLastColumn="0" w:lastRowFirstColumn="0" w:lastRowLastColumn="0"/>
            </w:pPr>
            <w:r w:rsidRPr="002A7C26">
              <w:t xml:space="preserve">Honey production is not to be included within this initial </w:t>
            </w:r>
            <w:r>
              <w:t>GORCAP EEA</w:t>
            </w:r>
            <w:r w:rsidRPr="002A7C26">
              <w:t xml:space="preserve">. </w:t>
            </w:r>
          </w:p>
        </w:tc>
      </w:tr>
      <w:tr w:rsidR="00E36E77" w:rsidRPr="002A7C26" w14:paraId="57719CB0" w14:textId="77777777" w:rsidTr="00A459D5">
        <w:trPr>
          <w:trHeight w:val="976"/>
        </w:trPr>
        <w:tc>
          <w:tcPr>
            <w:cnfStyle w:val="001000000000" w:firstRow="0" w:lastRow="0" w:firstColumn="1" w:lastColumn="0" w:oddVBand="0" w:evenVBand="0" w:oddHBand="0" w:evenHBand="0" w:firstRowFirstColumn="0" w:firstRowLastColumn="0" w:lastRowFirstColumn="0" w:lastRowLastColumn="0"/>
            <w:tcW w:w="674" w:type="pct"/>
          </w:tcPr>
          <w:p w14:paraId="441C70F9" w14:textId="77777777" w:rsidR="00E36E77" w:rsidRPr="002A7C26" w:rsidRDefault="00E36E77" w:rsidP="00A459D5">
            <w:pPr>
              <w:pStyle w:val="TableTextLeft"/>
            </w:pPr>
            <w:proofErr w:type="spellStart"/>
            <w:r w:rsidRPr="002A7C26">
              <w:t>Skirtun</w:t>
            </w:r>
            <w:proofErr w:type="spellEnd"/>
            <w:r w:rsidRPr="002A7C26">
              <w:t xml:space="preserve"> et al (2012) Australian fisheries statistics 2011, ABARES</w:t>
            </w:r>
          </w:p>
        </w:tc>
        <w:tc>
          <w:tcPr>
            <w:tcW w:w="2203" w:type="pct"/>
          </w:tcPr>
          <w:p w14:paraId="1226CD90" w14:textId="77777777" w:rsidR="00E36E77" w:rsidRPr="002A7C26" w:rsidRDefault="00E36E77" w:rsidP="00A459D5">
            <w:pPr>
              <w:pStyle w:val="TableTextLeft"/>
              <w:cnfStyle w:val="000000000000" w:firstRow="0" w:lastRow="0" w:firstColumn="0" w:lastColumn="0" w:oddVBand="0" w:evenVBand="0" w:oddHBand="0" w:evenHBand="0" w:firstRowFirstColumn="0" w:firstRowLastColumn="0" w:lastRowFirstColumn="0" w:lastRowLastColumn="0"/>
            </w:pPr>
            <w:r w:rsidRPr="002A7C26">
              <w:t>This study was used in the Worley Parsons (2013) study and estimates the total volume of fisheries production in tonnes per year in Victoria for 2010-11. It estimates the Victorian wild-catch sector produced 5,557 tonnes of seafood in 2010–11 including Australian sardine (fish) at 2,628 tonnes (47</w:t>
            </w:r>
            <w:r>
              <w:t xml:space="preserve"> per cent</w:t>
            </w:r>
            <w:r w:rsidRPr="002A7C26">
              <w:t xml:space="preserve"> of total), abalone (molluscs) at 828 tonnes (15</w:t>
            </w:r>
            <w:r>
              <w:t xml:space="preserve"> per cent</w:t>
            </w:r>
            <w:r w:rsidRPr="002A7C26">
              <w:t xml:space="preserve"> of total) and rock-lobster (crustacean) at 300 tonnes (5</w:t>
            </w:r>
            <w:r>
              <w:t xml:space="preserve"> per cent</w:t>
            </w:r>
            <w:r w:rsidRPr="002A7C26">
              <w:t xml:space="preserve"> of total).   </w:t>
            </w:r>
          </w:p>
        </w:tc>
        <w:tc>
          <w:tcPr>
            <w:tcW w:w="179" w:type="pct"/>
            <w:shd w:val="clear" w:color="auto" w:fill="FF0000"/>
          </w:tcPr>
          <w:p w14:paraId="75A8BD43" w14:textId="77777777" w:rsidR="00E36E77" w:rsidRPr="002A7C26" w:rsidRDefault="00E36E77" w:rsidP="00A459D5">
            <w:pPr>
              <w:pStyle w:val="TableTextLeft"/>
              <w:cnfStyle w:val="000000000000" w:firstRow="0" w:lastRow="0" w:firstColumn="0" w:lastColumn="0" w:oddVBand="0" w:evenVBand="0" w:oddHBand="0" w:evenHBand="0" w:firstRowFirstColumn="0" w:firstRowLastColumn="0" w:lastRowFirstColumn="0" w:lastRowLastColumn="0"/>
            </w:pPr>
            <w:r w:rsidRPr="002A7C26">
              <w:t>No</w:t>
            </w:r>
          </w:p>
        </w:tc>
        <w:tc>
          <w:tcPr>
            <w:tcW w:w="1944" w:type="pct"/>
          </w:tcPr>
          <w:p w14:paraId="6571BD22" w14:textId="77777777" w:rsidR="00E36E77" w:rsidRPr="002A7C26" w:rsidRDefault="00E36E77" w:rsidP="00A459D5">
            <w:pPr>
              <w:pStyle w:val="TableTextLeft"/>
              <w:cnfStyle w:val="000000000000" w:firstRow="0" w:lastRow="0" w:firstColumn="0" w:lastColumn="0" w:oddVBand="0" w:evenVBand="0" w:oddHBand="0" w:evenHBand="0" w:firstRowFirstColumn="0" w:firstRowLastColumn="0" w:lastRowFirstColumn="0" w:lastRowLastColumn="0"/>
            </w:pPr>
            <w:r w:rsidRPr="002A7C26">
              <w:t xml:space="preserve">This information does not enable the production of fish, molluscs or crustaceans from the </w:t>
            </w:r>
            <w:r>
              <w:t>GORCAP EEA</w:t>
            </w:r>
            <w:r w:rsidRPr="002A7C26">
              <w:t xml:space="preserve"> boundary area to be estimated. </w:t>
            </w:r>
          </w:p>
        </w:tc>
      </w:tr>
    </w:tbl>
    <w:p w14:paraId="6BA3D9D2" w14:textId="77777777" w:rsidR="00B55451" w:rsidRDefault="00B55451" w:rsidP="00E36E77">
      <w:pPr>
        <w:pStyle w:val="BodyText"/>
      </w:pPr>
    </w:p>
    <w:p w14:paraId="7559534C" w14:textId="77777777" w:rsidR="00E36E77" w:rsidRDefault="00E36E77" w:rsidP="00E36E77">
      <w:pPr>
        <w:pStyle w:val="BodyText"/>
      </w:pPr>
    </w:p>
    <w:p w14:paraId="5A8538D8" w14:textId="77777777" w:rsidR="00E36E77" w:rsidRPr="00E36E77" w:rsidRDefault="00E36E77" w:rsidP="00E36E77">
      <w:pPr>
        <w:pStyle w:val="BodyText"/>
        <w:sectPr w:rsidR="00E36E77" w:rsidRPr="00E36E77" w:rsidSect="00E52A9A">
          <w:headerReference w:type="even" r:id="rId370"/>
          <w:headerReference w:type="default" r:id="rId371"/>
          <w:footerReference w:type="even" r:id="rId372"/>
          <w:footerReference w:type="default" r:id="rId373"/>
          <w:pgSz w:w="23811" w:h="16838" w:orient="landscape" w:code="8"/>
          <w:pgMar w:top="1134" w:right="1134" w:bottom="1134" w:left="1134" w:header="283" w:footer="283" w:gutter="0"/>
          <w:cols w:space="284"/>
          <w:docGrid w:linePitch="360"/>
        </w:sectPr>
      </w:pPr>
    </w:p>
    <w:p w14:paraId="43E29BFF" w14:textId="77777777" w:rsidR="00B55451" w:rsidRPr="008C7964" w:rsidRDefault="00B55451" w:rsidP="00044D92">
      <w:pPr>
        <w:pStyle w:val="Heading2"/>
        <w:numPr>
          <w:ilvl w:val="0"/>
          <w:numId w:val="0"/>
        </w:numPr>
      </w:pPr>
      <w:bookmarkStart w:id="437" w:name="_Toc163547107"/>
      <w:r w:rsidRPr="008C7964">
        <w:lastRenderedPageBreak/>
        <w:t>A3.5. Global climate regulation</w:t>
      </w:r>
      <w:bookmarkEnd w:id="437"/>
      <w:r w:rsidRPr="008C7964">
        <w:t xml:space="preserve"> </w:t>
      </w:r>
    </w:p>
    <w:p w14:paraId="67876432" w14:textId="77777777" w:rsidR="00B55451" w:rsidRPr="00201689" w:rsidRDefault="00B55451" w:rsidP="00E36E77">
      <w:pPr>
        <w:pStyle w:val="BodyText"/>
      </w:pPr>
      <w:r w:rsidRPr="00201689">
        <w:t xml:space="preserve">The definition and measurement of carbon related services in </w:t>
      </w:r>
      <w:r>
        <w:t>environmental-economic account</w:t>
      </w:r>
      <w:r w:rsidRPr="00201689">
        <w:t xml:space="preserve">ing is a complex and developing area (Edens et al, 2019). A definitive treatment of climate regulation services is yet to be determined under the United Nations System of Environmental-Accounting (SEEA) Experimental </w:t>
      </w:r>
      <w:r>
        <w:t>Environmental-economic account</w:t>
      </w:r>
      <w:r w:rsidRPr="00201689">
        <w:t>ing (EEA) revision. There are three distinct approaches to framing and measuring the climate regulation service:</w:t>
      </w:r>
    </w:p>
    <w:p w14:paraId="501BB4D8" w14:textId="77777777" w:rsidR="00B55451" w:rsidRPr="006F3974" w:rsidRDefault="00B55451" w:rsidP="000035CB">
      <w:pPr>
        <w:pStyle w:val="BodyText"/>
        <w:numPr>
          <w:ilvl w:val="2"/>
          <w:numId w:val="34"/>
        </w:numPr>
      </w:pPr>
      <w:r w:rsidRPr="00E36E77">
        <w:rPr>
          <w:b/>
          <w:bCs/>
        </w:rPr>
        <w:t>Gross carbon sequestration approach:</w:t>
      </w:r>
      <w:r w:rsidRPr="006564CF">
        <w:t xml:space="preserve"> to measure and value the </w:t>
      </w:r>
      <w:r w:rsidRPr="00E36E77">
        <w:rPr>
          <w:b/>
        </w:rPr>
        <w:t>gross</w:t>
      </w:r>
      <w:r w:rsidRPr="006564CF">
        <w:t xml:space="preserve"> </w:t>
      </w:r>
      <w:r>
        <w:t xml:space="preserve">annual </w:t>
      </w:r>
      <w:r w:rsidRPr="006564CF">
        <w:t xml:space="preserve">addition to carbon stocks </w:t>
      </w:r>
      <w:r>
        <w:t>within the GORCAP region</w:t>
      </w:r>
      <w:r w:rsidRPr="006564CF">
        <w:t>. That is, the removal of carbon from the atmosphere and storage in plant biomass as an ecological function. This approach was set out in the 2012 SEEA EEA guidance</w:t>
      </w:r>
      <w:r w:rsidRPr="006564CF">
        <w:rPr>
          <w:vertAlign w:val="superscript"/>
        </w:rPr>
        <w:footnoteReference w:id="92"/>
      </w:r>
      <w:r w:rsidRPr="006564CF">
        <w:t xml:space="preserve"> and variations of it have been widely applied in </w:t>
      </w:r>
      <w:r>
        <w:t>environmental-economic account</w:t>
      </w:r>
      <w:r w:rsidRPr="006564CF">
        <w:t>ing studies</w:t>
      </w:r>
      <w:r>
        <w:t xml:space="preserve"> </w:t>
      </w:r>
      <w:r w:rsidRPr="006564CF">
        <w:t xml:space="preserve">including </w:t>
      </w:r>
      <w:r>
        <w:t>in Victoria (</w:t>
      </w:r>
      <w:r w:rsidRPr="006564CF">
        <w:t>DELWP</w:t>
      </w:r>
      <w:r>
        <w:t>,</w:t>
      </w:r>
      <w:r w:rsidRPr="006564CF">
        <w:t xml:space="preserve"> 2019</w:t>
      </w:r>
      <w:r>
        <w:t xml:space="preserve"> and Keith et al, 2017)</w:t>
      </w:r>
      <w:r w:rsidRPr="006564CF">
        <w:t xml:space="preserve">. </w:t>
      </w:r>
      <w:r w:rsidRPr="00E36E77">
        <w:rPr>
          <w:color w:val="363534"/>
        </w:rPr>
        <w:t>Gross sequestration will always be positive, which is an important attribute for environmental-economic accounting and aligns with the conceptualisation of other ecosystem services in that ‘dis-services’ or negative contributions from the ecosystem to society (such as carbon emissions) are excluded.</w:t>
      </w:r>
      <w:r w:rsidRPr="00C350A4">
        <w:rPr>
          <w:color w:val="363534"/>
          <w:vertAlign w:val="superscript"/>
        </w:rPr>
        <w:footnoteReference w:id="93"/>
      </w:r>
      <w:r w:rsidRPr="00E36E77">
        <w:rPr>
          <w:color w:val="363534"/>
        </w:rPr>
        <w:t xml:space="preserve"> However, this means that the impact of disturbances can be poorly reflected in ecosystem service flows. For example, bushfires will have a wholly positive impact on gross sequestration, as only the accumulation of carbon through post-fire regrowth will be measured</w:t>
      </w:r>
    </w:p>
    <w:p w14:paraId="51F5A4C6" w14:textId="77777777" w:rsidR="00B55451" w:rsidRPr="00C350A4" w:rsidRDefault="00B55451" w:rsidP="000035CB">
      <w:pPr>
        <w:pStyle w:val="BodyText"/>
        <w:numPr>
          <w:ilvl w:val="2"/>
          <w:numId w:val="34"/>
        </w:numPr>
      </w:pPr>
      <w:r w:rsidRPr="00C350A4">
        <w:rPr>
          <w:b/>
          <w:bCs/>
        </w:rPr>
        <w:t>Net carbon sequestration (or net ecosystem carbon balance) approach:</w:t>
      </w:r>
      <w:r w:rsidRPr="00C350A4">
        <w:t xml:space="preserve"> some studies have focused on net change in carbon stock</w:t>
      </w:r>
      <w:r>
        <w:t xml:space="preserve"> annually</w:t>
      </w:r>
      <w:r w:rsidRPr="00C350A4">
        <w:t xml:space="preserve"> (known as net ecosystem carbon balance or NECB) (Keith et al, 2017). NECB equates to all carbon sequestered by an ecosystem in a time period less all carbon emitted/removed, including carbon losses due to disturbances such as fire and harvesting.</w:t>
      </w:r>
      <w:r w:rsidRPr="00C350A4">
        <w:rPr>
          <w:color w:val="363534"/>
        </w:rPr>
        <w:t xml:space="preserve"> Net sequestration more fully captures the impact of disturbances such as bushfires, as carbon emissions will be netted off from carbon accumulated through regrowth. However, this means that ecosystem service flows can be negative in years where emissions exceed carbon accumulated through regrowth.</w:t>
      </w:r>
    </w:p>
    <w:p w14:paraId="57BF25C2" w14:textId="77777777" w:rsidR="00B55451" w:rsidRPr="00C350A4" w:rsidRDefault="00B55451" w:rsidP="00E36E77">
      <w:pPr>
        <w:pStyle w:val="BodyText"/>
      </w:pPr>
      <w:r w:rsidRPr="00C350A4">
        <w:rPr>
          <w:color w:val="363534"/>
        </w:rPr>
        <w:t xml:space="preserve">By focusing solely on additions and reductions to carbon stocks, both gross and net sequestration fail to capture the contribution ecosystems make by storing carbon over time. For example, mature forests will typically sequester less carbon than young or regenerating forests (net sequestration in mature forests can be close to zero) but they may hold large stocks of carbon. A distinct ‘carbon storage’ service that is additional to carbon sequestration has previously been conceptualised in </w:t>
      </w:r>
      <w:r>
        <w:rPr>
          <w:color w:val="363534"/>
        </w:rPr>
        <w:t>environmental-economic account</w:t>
      </w:r>
      <w:r w:rsidRPr="00C350A4">
        <w:rPr>
          <w:color w:val="363534"/>
        </w:rPr>
        <w:t xml:space="preserve">ing literature, </w:t>
      </w:r>
      <w:r w:rsidRPr="00C350A4">
        <w:rPr>
          <w:color w:val="363534"/>
          <w:vertAlign w:val="superscript"/>
        </w:rPr>
        <w:footnoteReference w:id="94"/>
      </w:r>
      <w:r w:rsidRPr="00C350A4">
        <w:rPr>
          <w:color w:val="363534"/>
        </w:rPr>
        <w:t xml:space="preserve"> but an approach has not been agreed or widely </w:t>
      </w:r>
      <w:r w:rsidRPr="00C350A4">
        <w:t xml:space="preserve">applied. The limitations of the carbon sequestration approach, as well as concerns of double counting if aggregated with carbon storage, have informed the emergence of a new approach - carbon retention. </w:t>
      </w:r>
    </w:p>
    <w:p w14:paraId="5B18578B" w14:textId="77777777" w:rsidR="00B55451" w:rsidRPr="009F5F83" w:rsidRDefault="00B55451" w:rsidP="000035CB">
      <w:pPr>
        <w:pStyle w:val="BodyText"/>
        <w:numPr>
          <w:ilvl w:val="2"/>
          <w:numId w:val="34"/>
        </w:numPr>
      </w:pPr>
      <w:r w:rsidRPr="009F5F83">
        <w:rPr>
          <w:b/>
          <w:bCs/>
        </w:rPr>
        <w:t>Carbon retention approach</w:t>
      </w:r>
      <w:r w:rsidRPr="009F5F83">
        <w:t xml:space="preserve">: Under this approach, the ecosystem service is conceptualised as the retention of carbon in an ecosystem. That is, the </w:t>
      </w:r>
      <w:r w:rsidRPr="009F5F83">
        <w:rPr>
          <w:i/>
          <w:iCs/>
        </w:rPr>
        <w:t>avoided</w:t>
      </w:r>
      <w:r w:rsidRPr="009F5F83">
        <w:t xml:space="preserve"> release of carbon.</w:t>
      </w:r>
      <w:r w:rsidRPr="009F5F83">
        <w:rPr>
          <w:vertAlign w:val="superscript"/>
        </w:rPr>
        <w:footnoteReference w:id="95"/>
      </w:r>
      <w:r w:rsidRPr="009F5F83">
        <w:t xml:space="preserve"> Carbon retention is envisioned as the </w:t>
      </w:r>
      <w:r w:rsidRPr="009F5F83">
        <w:rPr>
          <w:i/>
          <w:iCs/>
        </w:rPr>
        <w:t xml:space="preserve">only </w:t>
      </w:r>
      <w:r w:rsidRPr="009F5F83">
        <w:t xml:space="preserve">climate regulation service. Carbon sequestration is not a service in and of itself, but the supply of carbon retention services will increase as a result of positive net carbon sequestration. </w:t>
      </w:r>
    </w:p>
    <w:p w14:paraId="4FE3680E" w14:textId="77777777" w:rsidR="00B55451" w:rsidRPr="009E34B4" w:rsidRDefault="00B55451" w:rsidP="00E36E77">
      <w:pPr>
        <w:pStyle w:val="BodyText"/>
        <w:rPr>
          <w:highlight w:val="yellow"/>
        </w:rPr>
      </w:pPr>
      <w:r w:rsidRPr="009F5F83">
        <w:lastRenderedPageBreak/>
        <w:t>Carbon retention can be quantified by measuring the stock of carbon in an ecosystem over an accounting period, which is as proxy indicator for ecosystem service flow.</w:t>
      </w:r>
      <w:r w:rsidRPr="009F5F83">
        <w:rPr>
          <w:vertAlign w:val="superscript"/>
        </w:rPr>
        <w:footnoteReference w:id="96"/>
      </w:r>
      <w:r w:rsidRPr="009F5F83">
        <w:t xml:space="preserve"> If carbon stocks increase over time then the quantity of carbon retention service supplied will have increased, and vice versa. The minimum carbon retention service that can be supplied is zero, when the stock of carbon is zero. Carbon dense ecosystems (such as forests) will supply greater carbon retention services compared to less carbon dense ecosystems (such as grasslands). </w:t>
      </w:r>
    </w:p>
    <w:p w14:paraId="5E5D3691" w14:textId="77777777" w:rsidR="00B55451" w:rsidRPr="009F5F83" w:rsidRDefault="00B55451" w:rsidP="00E36E77">
      <w:pPr>
        <w:pStyle w:val="BodyText"/>
      </w:pPr>
      <w:r w:rsidRPr="009F5F83">
        <w:t>The impact of major disturbances is reflected in ecosystem service flows. For example, bushfires will reduce supply of carbon retention services as carbon stocks decrease, but ecosystem service flows will be positive as fire-affected forests still hold stocks of carbon. In fire-tolerant forests, ecosystem service flows will increase over time as vegetation regenerates and carbon stocks increase.</w:t>
      </w:r>
    </w:p>
    <w:p w14:paraId="39034D6A" w14:textId="77777777" w:rsidR="00B55451" w:rsidRDefault="00B55451" w:rsidP="000035CB">
      <w:pPr>
        <w:pStyle w:val="AlphaHeading4"/>
        <w:numPr>
          <w:ilvl w:val="0"/>
          <w:numId w:val="68"/>
        </w:numPr>
      </w:pPr>
      <w:r w:rsidRPr="008C7964">
        <w:t>Physical flow of global climate regulation</w:t>
      </w:r>
    </w:p>
    <w:p w14:paraId="5EDD2943" w14:textId="77777777" w:rsidR="00B55451" w:rsidRPr="00044D92" w:rsidRDefault="00B55451" w:rsidP="00044D92">
      <w:pPr>
        <w:pStyle w:val="BodyText"/>
        <w:rPr>
          <w:highlight w:val="yellow"/>
        </w:rPr>
      </w:pPr>
      <w:r w:rsidRPr="00044D92">
        <w:t xml:space="preserve">Table A3.17.and A3.18. provide details on the studies that could be used to develop a GOR specific assessment of carbon retention and carbon sequestration respectively and how the approaches and data from these studies are used in the GOR environmental-economic account. </w:t>
      </w:r>
    </w:p>
    <w:p w14:paraId="6584D0F8" w14:textId="77777777" w:rsidR="00B55451" w:rsidRPr="00044D92" w:rsidRDefault="00B55451" w:rsidP="00044D92">
      <w:pPr>
        <w:pStyle w:val="BodyText"/>
      </w:pPr>
      <w:r w:rsidRPr="00044D92">
        <w:t>Detailed carbon storage information that was not used for the GORCAP EEA is outlined below:</w:t>
      </w:r>
    </w:p>
    <w:p w14:paraId="3351ADEF" w14:textId="77777777" w:rsidR="00B55451" w:rsidRPr="003B7AC1" w:rsidRDefault="00B55451" w:rsidP="00CB66D8">
      <w:pPr>
        <w:pStyle w:val="ListBullet"/>
        <w:rPr>
          <w:color w:val="00B2A9"/>
        </w:rPr>
      </w:pPr>
      <w:r w:rsidRPr="003B7AC1">
        <w:rPr>
          <w:b/>
          <w:bCs/>
        </w:rPr>
        <w:t>Freshwater and wetlands</w:t>
      </w:r>
      <w:r w:rsidRPr="003B7AC1">
        <w:t xml:space="preserve">: use estimates of carbon stocks from Carnell et al (2016): estimates of tonnes of carbon stored for freshwater and wetlands within </w:t>
      </w:r>
      <w:r>
        <w:t xml:space="preserve">GORCAP region exist </w:t>
      </w:r>
      <w:r w:rsidRPr="003B7AC1">
        <w:t xml:space="preserve">from the Carnell et al (2016) study, drawing on habitat specific estimates for Corangamite CMA and Glenelg Hopkins CMA where these exist and on the Victorian average values for habitats where CMA specific estimates do not exist. The per hectare values from Carnell et al (2016) </w:t>
      </w:r>
      <w:r>
        <w:t xml:space="preserve">were considered for </w:t>
      </w:r>
      <w:r w:rsidRPr="003B7AC1">
        <w:t>appli</w:t>
      </w:r>
      <w:r>
        <w:t xml:space="preserve">cation </w:t>
      </w:r>
      <w:r w:rsidRPr="003B7AC1">
        <w:t>to the area of specific habitat types from the extent account as in Table</w:t>
      </w:r>
      <w:r w:rsidRPr="00313BB2">
        <w:rPr>
          <w:color w:val="1A1A1A"/>
        </w:rPr>
        <w:t xml:space="preserve"> </w:t>
      </w:r>
      <w:r>
        <w:rPr>
          <w:color w:val="1A1A1A"/>
        </w:rPr>
        <w:t>A3.15</w:t>
      </w:r>
      <w:r w:rsidRPr="003B7AC1">
        <w:t>.</w:t>
      </w:r>
    </w:p>
    <w:p w14:paraId="5F8A7C9E" w14:textId="77777777" w:rsidR="00B55451" w:rsidRDefault="00B55451" w:rsidP="00044D92">
      <w:pPr>
        <w:pStyle w:val="Caption"/>
      </w:pPr>
      <w:r w:rsidRPr="00313BB2">
        <w:t xml:space="preserve">Table </w:t>
      </w:r>
      <w:r w:rsidRPr="00313BB2">
        <w:rPr>
          <w:color w:val="1A1A1A"/>
        </w:rPr>
        <w:t>A3.15.</w:t>
      </w:r>
      <w:r>
        <w:t xml:space="preserve"> </w:t>
      </w:r>
      <w:r w:rsidRPr="00313BB2">
        <w:t>Per</w:t>
      </w:r>
      <w:r w:rsidRPr="0008292D">
        <w:t xml:space="preserve"> hectare carbon stock values for freshwater</w:t>
      </w:r>
      <w:r>
        <w:t xml:space="preserve">, </w:t>
      </w:r>
      <w:r w:rsidRPr="0008292D">
        <w:t>wetland</w:t>
      </w:r>
      <w:r>
        <w:t xml:space="preserve"> ecosystems</w:t>
      </w:r>
      <w:r w:rsidRPr="0008292D">
        <w:t xml:space="preserve"> Carnell et al (2016)  </w:t>
      </w:r>
    </w:p>
    <w:tbl>
      <w:tblPr>
        <w:tblStyle w:val="TableGrid"/>
        <w:tblW w:w="5000" w:type="pct"/>
        <w:tblLook w:val="04A0" w:firstRow="1" w:lastRow="0" w:firstColumn="1" w:lastColumn="0" w:noHBand="0" w:noVBand="1"/>
      </w:tblPr>
      <w:tblGrid>
        <w:gridCol w:w="3161"/>
        <w:gridCol w:w="2157"/>
        <w:gridCol w:w="2157"/>
        <w:gridCol w:w="2163"/>
      </w:tblGrid>
      <w:tr w:rsidR="00B55451" w:rsidRPr="009E34B4" w14:paraId="31D72ADD" w14:textId="77777777" w:rsidTr="00044D92">
        <w:trPr>
          <w:cnfStyle w:val="100000000000" w:firstRow="1" w:lastRow="0" w:firstColumn="0" w:lastColumn="0" w:oddVBand="0" w:evenVBand="0" w:oddHBand="0" w:evenHBand="0" w:firstRowFirstColumn="0" w:firstRowLastColumn="0" w:lastRowFirstColumn="0" w:lastRowLastColumn="0"/>
          <w:trHeight w:val="3"/>
        </w:trPr>
        <w:tc>
          <w:tcPr>
            <w:cnfStyle w:val="001000000000" w:firstRow="0" w:lastRow="0" w:firstColumn="1" w:lastColumn="0" w:oddVBand="0" w:evenVBand="0" w:oddHBand="0" w:evenHBand="0" w:firstRowFirstColumn="0" w:firstRowLastColumn="0" w:lastRowFirstColumn="0" w:lastRowLastColumn="0"/>
            <w:tcW w:w="1640" w:type="pct"/>
            <w:vMerge w:val="restart"/>
          </w:tcPr>
          <w:p w14:paraId="5EDBAE96" w14:textId="77777777" w:rsidR="00B55451" w:rsidRPr="00044D92" w:rsidRDefault="00B55451" w:rsidP="00044D92">
            <w:pPr>
              <w:pStyle w:val="TableHeadingLeft"/>
              <w:rPr>
                <w:color w:val="FFFFFF" w:themeColor="background1"/>
              </w:rPr>
            </w:pPr>
          </w:p>
        </w:tc>
        <w:tc>
          <w:tcPr>
            <w:tcW w:w="3360" w:type="pct"/>
            <w:gridSpan w:val="3"/>
            <w:tcBorders>
              <w:bottom w:val="single" w:sz="4" w:space="0" w:color="FFFFFF" w:themeColor="background1"/>
            </w:tcBorders>
          </w:tcPr>
          <w:p w14:paraId="2CC58DA1" w14:textId="77777777" w:rsidR="00B55451" w:rsidRPr="00044D92" w:rsidRDefault="00B55451" w:rsidP="00044D92">
            <w:pPr>
              <w:pStyle w:val="TableHeadingLeft"/>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044D92">
              <w:rPr>
                <w:rFonts w:cs="Arial"/>
                <w:color w:val="FFFFFF" w:themeColor="background1"/>
              </w:rPr>
              <w:t>Carbon stock (tonnes / ha)</w:t>
            </w:r>
          </w:p>
        </w:tc>
      </w:tr>
      <w:tr w:rsidR="00044D92" w:rsidRPr="009E34B4" w14:paraId="4D3CA158" w14:textId="77777777" w:rsidTr="00044D92">
        <w:trPr>
          <w:trHeight w:val="3"/>
        </w:trPr>
        <w:tc>
          <w:tcPr>
            <w:cnfStyle w:val="001000000000" w:firstRow="0" w:lastRow="0" w:firstColumn="1" w:lastColumn="0" w:oddVBand="0" w:evenVBand="0" w:oddHBand="0" w:evenHBand="0" w:firstRowFirstColumn="0" w:firstRowLastColumn="0" w:lastRowFirstColumn="0" w:lastRowLastColumn="0"/>
            <w:tcW w:w="1640" w:type="pct"/>
            <w:vMerge/>
            <w:shd w:val="clear" w:color="auto" w:fill="004C97" w:themeFill="accent1"/>
          </w:tcPr>
          <w:p w14:paraId="26941DCE" w14:textId="77777777" w:rsidR="00B55451" w:rsidRPr="00044D92" w:rsidRDefault="00B55451" w:rsidP="00044D92">
            <w:pPr>
              <w:pStyle w:val="TableHeadingLeft"/>
              <w:rPr>
                <w:rFonts w:ascii="Arial" w:hAnsi="Arial"/>
                <w:color w:val="FFFFFF" w:themeColor="background1"/>
              </w:rPr>
            </w:pPr>
          </w:p>
        </w:tc>
        <w:tc>
          <w:tcPr>
            <w:tcW w:w="1119" w:type="pct"/>
            <w:tcBorders>
              <w:top w:val="single" w:sz="4" w:space="0" w:color="FFFFFF" w:themeColor="background1"/>
            </w:tcBorders>
            <w:shd w:val="clear" w:color="auto" w:fill="004C97" w:themeFill="accent1"/>
          </w:tcPr>
          <w:p w14:paraId="1B48202F" w14:textId="77777777" w:rsidR="00B55451" w:rsidRPr="00044D92" w:rsidRDefault="00B55451" w:rsidP="00044D92">
            <w:pPr>
              <w:pStyle w:val="TableHeadingLeft"/>
              <w:cnfStyle w:val="000000000000" w:firstRow="0" w:lastRow="0" w:firstColumn="0" w:lastColumn="0" w:oddVBand="0" w:evenVBand="0" w:oddHBand="0" w:evenHBand="0" w:firstRowFirstColumn="0" w:firstRowLastColumn="0" w:lastRowFirstColumn="0" w:lastRowLastColumn="0"/>
              <w:rPr>
                <w:rFonts w:ascii="Arial" w:hAnsi="Arial"/>
                <w:i/>
                <w:color w:val="FFFFFF" w:themeColor="background1"/>
              </w:rPr>
            </w:pPr>
            <w:r w:rsidRPr="00044D92">
              <w:rPr>
                <w:rFonts w:ascii="Arial" w:hAnsi="Arial"/>
                <w:i/>
                <w:color w:val="FFFFFF" w:themeColor="background1"/>
              </w:rPr>
              <w:t>Victoria</w:t>
            </w:r>
          </w:p>
        </w:tc>
        <w:tc>
          <w:tcPr>
            <w:tcW w:w="1119" w:type="pct"/>
            <w:tcBorders>
              <w:top w:val="single" w:sz="4" w:space="0" w:color="FFFFFF" w:themeColor="background1"/>
            </w:tcBorders>
            <w:shd w:val="clear" w:color="auto" w:fill="004C97" w:themeFill="accent1"/>
          </w:tcPr>
          <w:p w14:paraId="39077554" w14:textId="77777777" w:rsidR="00B55451" w:rsidRPr="00044D92" w:rsidRDefault="00B55451" w:rsidP="00044D92">
            <w:pPr>
              <w:pStyle w:val="TableHeadingLeft"/>
              <w:cnfStyle w:val="000000000000" w:firstRow="0" w:lastRow="0" w:firstColumn="0" w:lastColumn="0" w:oddVBand="0" w:evenVBand="0" w:oddHBand="0" w:evenHBand="0" w:firstRowFirstColumn="0" w:firstRowLastColumn="0" w:lastRowFirstColumn="0" w:lastRowLastColumn="0"/>
              <w:rPr>
                <w:rFonts w:ascii="Arial" w:hAnsi="Arial" w:cs="Arial"/>
                <w:i/>
                <w:color w:val="FFFFFF" w:themeColor="background1"/>
              </w:rPr>
            </w:pPr>
            <w:r w:rsidRPr="00044D92">
              <w:rPr>
                <w:rFonts w:ascii="Arial" w:hAnsi="Arial" w:cs="Arial"/>
                <w:i/>
                <w:color w:val="FFFFFF" w:themeColor="background1"/>
              </w:rPr>
              <w:t>Corangamite</w:t>
            </w:r>
          </w:p>
        </w:tc>
        <w:tc>
          <w:tcPr>
            <w:tcW w:w="1122" w:type="pct"/>
            <w:tcBorders>
              <w:top w:val="single" w:sz="4" w:space="0" w:color="FFFFFF" w:themeColor="background1"/>
            </w:tcBorders>
            <w:shd w:val="clear" w:color="auto" w:fill="004C97" w:themeFill="accent1"/>
          </w:tcPr>
          <w:p w14:paraId="6E2CF194" w14:textId="77777777" w:rsidR="00B55451" w:rsidRPr="00044D92" w:rsidRDefault="00B55451" w:rsidP="00044D92">
            <w:pPr>
              <w:pStyle w:val="TableHeadingLeft"/>
              <w:cnfStyle w:val="000000000000" w:firstRow="0" w:lastRow="0" w:firstColumn="0" w:lastColumn="0" w:oddVBand="0" w:evenVBand="0" w:oddHBand="0" w:evenHBand="0" w:firstRowFirstColumn="0" w:firstRowLastColumn="0" w:lastRowFirstColumn="0" w:lastRowLastColumn="0"/>
              <w:rPr>
                <w:rFonts w:ascii="Arial" w:hAnsi="Arial" w:cs="Arial"/>
                <w:i/>
                <w:color w:val="FFFFFF" w:themeColor="background1"/>
              </w:rPr>
            </w:pPr>
            <w:r w:rsidRPr="00044D92">
              <w:rPr>
                <w:rFonts w:ascii="Arial" w:hAnsi="Arial" w:cs="Arial"/>
                <w:i/>
                <w:color w:val="FFFFFF" w:themeColor="background1"/>
              </w:rPr>
              <w:t>Glenelg Hopkins</w:t>
            </w:r>
          </w:p>
        </w:tc>
      </w:tr>
      <w:tr w:rsidR="00B55451" w:rsidRPr="009E34B4" w14:paraId="5276A1F7" w14:textId="77777777" w:rsidTr="00044D92">
        <w:trPr>
          <w:trHeight w:val="65"/>
        </w:trPr>
        <w:tc>
          <w:tcPr>
            <w:cnfStyle w:val="001000000000" w:firstRow="0" w:lastRow="0" w:firstColumn="1" w:lastColumn="0" w:oddVBand="0" w:evenVBand="0" w:oddHBand="0" w:evenHBand="0" w:firstRowFirstColumn="0" w:firstRowLastColumn="0" w:lastRowFirstColumn="0" w:lastRowLastColumn="0"/>
            <w:tcW w:w="1640" w:type="pct"/>
          </w:tcPr>
          <w:p w14:paraId="2A067A12" w14:textId="77777777" w:rsidR="00B55451" w:rsidRPr="0008292D" w:rsidRDefault="00B55451" w:rsidP="00044D92">
            <w:pPr>
              <w:pStyle w:val="TableTextLeft"/>
              <w:rPr>
                <w:rFonts w:ascii="Arial" w:hAnsi="Arial"/>
              </w:rPr>
            </w:pPr>
            <w:r w:rsidRPr="0008292D">
              <w:rPr>
                <w:rFonts w:ascii="Arial" w:hAnsi="Arial" w:cs="Arial"/>
                <w:color w:val="111111" w:themeColor="text1" w:themeShade="80"/>
              </w:rPr>
              <w:t>Freshwater meadow</w:t>
            </w:r>
          </w:p>
        </w:tc>
        <w:tc>
          <w:tcPr>
            <w:tcW w:w="1119" w:type="pct"/>
          </w:tcPr>
          <w:p w14:paraId="5585DADB" w14:textId="77777777" w:rsidR="00B55451" w:rsidRPr="00043FAB" w:rsidRDefault="00B55451" w:rsidP="00044D92">
            <w:pPr>
              <w:pStyle w:val="TableTextLeft"/>
              <w:cnfStyle w:val="000000000000" w:firstRow="0" w:lastRow="0" w:firstColumn="0" w:lastColumn="0" w:oddVBand="0" w:evenVBand="0" w:oddHBand="0" w:evenHBand="0" w:firstRowFirstColumn="0" w:firstRowLastColumn="0" w:lastRowFirstColumn="0" w:lastRowLastColumn="0"/>
              <w:rPr>
                <w:rFonts w:ascii="Arial" w:hAnsi="Arial"/>
                <w:vertAlign w:val="superscript"/>
              </w:rPr>
            </w:pPr>
            <w:r>
              <w:rPr>
                <w:rFonts w:ascii="Arial" w:hAnsi="Arial"/>
              </w:rPr>
              <w:t>126</w:t>
            </w:r>
            <w:r>
              <w:rPr>
                <w:rFonts w:ascii="Arial" w:hAnsi="Arial"/>
                <w:vertAlign w:val="superscript"/>
              </w:rPr>
              <w:t>b</w:t>
            </w:r>
          </w:p>
        </w:tc>
        <w:tc>
          <w:tcPr>
            <w:tcW w:w="1119" w:type="pct"/>
          </w:tcPr>
          <w:p w14:paraId="0B29E6FE" w14:textId="77777777" w:rsidR="00B55451" w:rsidRPr="0008292D" w:rsidRDefault="00B55451" w:rsidP="00044D92">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Pr>
                <w:rFonts w:ascii="Arial" w:hAnsi="Arial"/>
              </w:rPr>
              <w:t>-</w:t>
            </w:r>
          </w:p>
        </w:tc>
        <w:tc>
          <w:tcPr>
            <w:tcW w:w="1122" w:type="pct"/>
          </w:tcPr>
          <w:p w14:paraId="618F532C" w14:textId="77777777" w:rsidR="00B55451" w:rsidRPr="0008292D" w:rsidRDefault="00B55451" w:rsidP="00044D92">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Pr>
                <w:rFonts w:ascii="Arial" w:hAnsi="Arial"/>
              </w:rPr>
              <w:t>18</w:t>
            </w:r>
          </w:p>
        </w:tc>
      </w:tr>
      <w:tr w:rsidR="00B55451" w:rsidRPr="009E34B4" w14:paraId="408846EE" w14:textId="77777777" w:rsidTr="00044D92">
        <w:trPr>
          <w:trHeight w:val="29"/>
        </w:trPr>
        <w:tc>
          <w:tcPr>
            <w:cnfStyle w:val="001000000000" w:firstRow="0" w:lastRow="0" w:firstColumn="1" w:lastColumn="0" w:oddVBand="0" w:evenVBand="0" w:oddHBand="0" w:evenHBand="0" w:firstRowFirstColumn="0" w:firstRowLastColumn="0" w:lastRowFirstColumn="0" w:lastRowLastColumn="0"/>
            <w:tcW w:w="1640" w:type="pct"/>
          </w:tcPr>
          <w:p w14:paraId="2C30588C" w14:textId="77777777" w:rsidR="00B55451" w:rsidRPr="0008292D" w:rsidRDefault="00B55451" w:rsidP="00044D92">
            <w:pPr>
              <w:pStyle w:val="TableTextLeft"/>
              <w:rPr>
                <w:rFonts w:ascii="Arial" w:hAnsi="Arial"/>
              </w:rPr>
            </w:pPr>
            <w:r w:rsidRPr="0008292D">
              <w:rPr>
                <w:rFonts w:ascii="Arial" w:hAnsi="Arial" w:cs="Arial"/>
                <w:color w:val="111111" w:themeColor="text1" w:themeShade="80"/>
              </w:rPr>
              <w:t>Shallow freshwater marsh</w:t>
            </w:r>
          </w:p>
        </w:tc>
        <w:tc>
          <w:tcPr>
            <w:tcW w:w="1119" w:type="pct"/>
          </w:tcPr>
          <w:p w14:paraId="55C1C834" w14:textId="77777777" w:rsidR="00B55451" w:rsidRPr="00043FAB" w:rsidRDefault="00B55451" w:rsidP="00044D92">
            <w:pPr>
              <w:pStyle w:val="TableTextLeft"/>
              <w:cnfStyle w:val="000000000000" w:firstRow="0" w:lastRow="0" w:firstColumn="0" w:lastColumn="0" w:oddVBand="0" w:evenVBand="0" w:oddHBand="0" w:evenHBand="0" w:firstRowFirstColumn="0" w:firstRowLastColumn="0" w:lastRowFirstColumn="0" w:lastRowLastColumn="0"/>
              <w:rPr>
                <w:rFonts w:ascii="Arial" w:hAnsi="Arial"/>
                <w:vertAlign w:val="superscript"/>
              </w:rPr>
            </w:pPr>
            <w:r>
              <w:rPr>
                <w:rFonts w:ascii="Arial" w:hAnsi="Arial"/>
              </w:rPr>
              <w:t>201</w:t>
            </w:r>
            <w:r>
              <w:rPr>
                <w:rFonts w:ascii="Arial" w:hAnsi="Arial"/>
                <w:vertAlign w:val="superscript"/>
              </w:rPr>
              <w:t>a</w:t>
            </w:r>
          </w:p>
        </w:tc>
        <w:tc>
          <w:tcPr>
            <w:tcW w:w="1119" w:type="pct"/>
          </w:tcPr>
          <w:p w14:paraId="062A4876" w14:textId="77777777" w:rsidR="00B55451" w:rsidRPr="0008292D" w:rsidRDefault="00B55451" w:rsidP="00044D92">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Pr>
                <w:rFonts w:ascii="Arial" w:hAnsi="Arial"/>
              </w:rPr>
              <w:t>73</w:t>
            </w:r>
          </w:p>
        </w:tc>
        <w:tc>
          <w:tcPr>
            <w:tcW w:w="1122" w:type="pct"/>
          </w:tcPr>
          <w:p w14:paraId="1F2A9AFB" w14:textId="77777777" w:rsidR="00B55451" w:rsidRPr="0008292D" w:rsidRDefault="00B55451" w:rsidP="00044D92">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Pr>
                <w:rFonts w:ascii="Arial" w:hAnsi="Arial"/>
              </w:rPr>
              <w:t>175</w:t>
            </w:r>
          </w:p>
        </w:tc>
      </w:tr>
      <w:tr w:rsidR="00B55451" w:rsidRPr="009E34B4" w14:paraId="0318AD22" w14:textId="77777777" w:rsidTr="00044D92">
        <w:trPr>
          <w:trHeight w:val="29"/>
        </w:trPr>
        <w:tc>
          <w:tcPr>
            <w:cnfStyle w:val="001000000000" w:firstRow="0" w:lastRow="0" w:firstColumn="1" w:lastColumn="0" w:oddVBand="0" w:evenVBand="0" w:oddHBand="0" w:evenHBand="0" w:firstRowFirstColumn="0" w:firstRowLastColumn="0" w:lastRowFirstColumn="0" w:lastRowLastColumn="0"/>
            <w:tcW w:w="1640" w:type="pct"/>
          </w:tcPr>
          <w:p w14:paraId="4715F7B2" w14:textId="77777777" w:rsidR="00B55451" w:rsidRPr="0008292D" w:rsidRDefault="00B55451" w:rsidP="00044D92">
            <w:pPr>
              <w:pStyle w:val="TableTextLeft"/>
              <w:rPr>
                <w:rFonts w:ascii="Arial" w:hAnsi="Arial"/>
              </w:rPr>
            </w:pPr>
            <w:r w:rsidRPr="0008292D">
              <w:rPr>
                <w:rFonts w:ascii="Arial" w:hAnsi="Arial" w:cs="Arial"/>
                <w:color w:val="111111" w:themeColor="text1" w:themeShade="80"/>
              </w:rPr>
              <w:t>Deep freshwater marsh</w:t>
            </w:r>
          </w:p>
        </w:tc>
        <w:tc>
          <w:tcPr>
            <w:tcW w:w="1119" w:type="pct"/>
          </w:tcPr>
          <w:p w14:paraId="30CC3C56" w14:textId="77777777" w:rsidR="00B55451" w:rsidRPr="00043FAB" w:rsidRDefault="00B55451" w:rsidP="00044D92">
            <w:pPr>
              <w:pStyle w:val="TableTextLeft"/>
              <w:cnfStyle w:val="000000000000" w:firstRow="0" w:lastRow="0" w:firstColumn="0" w:lastColumn="0" w:oddVBand="0" w:evenVBand="0" w:oddHBand="0" w:evenHBand="0" w:firstRowFirstColumn="0" w:firstRowLastColumn="0" w:lastRowFirstColumn="0" w:lastRowLastColumn="0"/>
              <w:rPr>
                <w:rFonts w:ascii="Arial" w:hAnsi="Arial"/>
                <w:vertAlign w:val="superscript"/>
              </w:rPr>
            </w:pPr>
            <w:r>
              <w:rPr>
                <w:rFonts w:ascii="Arial" w:hAnsi="Arial"/>
              </w:rPr>
              <w:t>233</w:t>
            </w:r>
            <w:r>
              <w:rPr>
                <w:rFonts w:ascii="Arial" w:hAnsi="Arial"/>
                <w:vertAlign w:val="superscript"/>
              </w:rPr>
              <w:t>a</w:t>
            </w:r>
          </w:p>
        </w:tc>
        <w:tc>
          <w:tcPr>
            <w:tcW w:w="1119" w:type="pct"/>
          </w:tcPr>
          <w:p w14:paraId="26336C76" w14:textId="77777777" w:rsidR="00B55451" w:rsidRPr="0008292D" w:rsidRDefault="00B55451" w:rsidP="00044D92">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Pr>
                <w:rFonts w:ascii="Arial" w:hAnsi="Arial"/>
              </w:rPr>
              <w:t>250</w:t>
            </w:r>
          </w:p>
        </w:tc>
        <w:tc>
          <w:tcPr>
            <w:tcW w:w="1122" w:type="pct"/>
          </w:tcPr>
          <w:p w14:paraId="1DD4ADB5" w14:textId="77777777" w:rsidR="00B55451" w:rsidRPr="0008292D" w:rsidRDefault="00B55451" w:rsidP="00044D92">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Pr>
                <w:rFonts w:ascii="Arial" w:hAnsi="Arial"/>
              </w:rPr>
              <w:t>491</w:t>
            </w:r>
          </w:p>
        </w:tc>
      </w:tr>
      <w:tr w:rsidR="00B55451" w:rsidRPr="009E34B4" w14:paraId="0804DAF1" w14:textId="77777777" w:rsidTr="00044D92">
        <w:trPr>
          <w:trHeight w:val="29"/>
        </w:trPr>
        <w:tc>
          <w:tcPr>
            <w:cnfStyle w:val="001000000000" w:firstRow="0" w:lastRow="0" w:firstColumn="1" w:lastColumn="0" w:oddVBand="0" w:evenVBand="0" w:oddHBand="0" w:evenHBand="0" w:firstRowFirstColumn="0" w:firstRowLastColumn="0" w:lastRowFirstColumn="0" w:lastRowLastColumn="0"/>
            <w:tcW w:w="1640" w:type="pct"/>
          </w:tcPr>
          <w:p w14:paraId="64B6A38D" w14:textId="77777777" w:rsidR="00B55451" w:rsidRPr="0008292D" w:rsidRDefault="00B55451" w:rsidP="00044D92">
            <w:pPr>
              <w:pStyle w:val="TableTextLeft"/>
              <w:rPr>
                <w:rFonts w:ascii="Arial" w:hAnsi="Arial" w:cs="Arial"/>
                <w:color w:val="111111" w:themeColor="text1" w:themeShade="80"/>
              </w:rPr>
            </w:pPr>
            <w:r w:rsidRPr="0008292D">
              <w:rPr>
                <w:rFonts w:ascii="Arial" w:hAnsi="Arial" w:cs="Arial"/>
                <w:color w:val="111111" w:themeColor="text1" w:themeShade="80"/>
              </w:rPr>
              <w:t>Permanent open freshwater</w:t>
            </w:r>
          </w:p>
        </w:tc>
        <w:tc>
          <w:tcPr>
            <w:tcW w:w="1119" w:type="pct"/>
          </w:tcPr>
          <w:p w14:paraId="4DAD4CE3" w14:textId="77777777" w:rsidR="00B55451" w:rsidRPr="00043FAB" w:rsidRDefault="00B55451" w:rsidP="00044D92">
            <w:pPr>
              <w:pStyle w:val="TableTextLeft"/>
              <w:cnfStyle w:val="000000000000" w:firstRow="0" w:lastRow="0" w:firstColumn="0" w:lastColumn="0" w:oddVBand="0" w:evenVBand="0" w:oddHBand="0" w:evenHBand="0" w:firstRowFirstColumn="0" w:firstRowLastColumn="0" w:lastRowFirstColumn="0" w:lastRowLastColumn="0"/>
              <w:rPr>
                <w:rFonts w:ascii="Arial" w:hAnsi="Arial"/>
                <w:vertAlign w:val="superscript"/>
              </w:rPr>
            </w:pPr>
            <w:r>
              <w:rPr>
                <w:rFonts w:ascii="Arial" w:hAnsi="Arial"/>
              </w:rPr>
              <w:t>113</w:t>
            </w:r>
            <w:r>
              <w:rPr>
                <w:rFonts w:ascii="Arial" w:hAnsi="Arial"/>
                <w:vertAlign w:val="superscript"/>
              </w:rPr>
              <w:t>a</w:t>
            </w:r>
          </w:p>
        </w:tc>
        <w:tc>
          <w:tcPr>
            <w:tcW w:w="1119" w:type="pct"/>
          </w:tcPr>
          <w:p w14:paraId="0C6B8A31" w14:textId="77777777" w:rsidR="00B55451" w:rsidRPr="0008292D" w:rsidRDefault="00B55451" w:rsidP="00044D92">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Pr>
                <w:rFonts w:ascii="Arial" w:hAnsi="Arial"/>
              </w:rPr>
              <w:t>314</w:t>
            </w:r>
          </w:p>
        </w:tc>
        <w:tc>
          <w:tcPr>
            <w:tcW w:w="1122" w:type="pct"/>
          </w:tcPr>
          <w:p w14:paraId="14A13898" w14:textId="77777777" w:rsidR="00B55451" w:rsidRPr="0008292D" w:rsidRDefault="00B55451" w:rsidP="00044D92">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Pr>
                <w:rFonts w:ascii="Arial" w:hAnsi="Arial"/>
              </w:rPr>
              <w:t>127</w:t>
            </w:r>
          </w:p>
        </w:tc>
      </w:tr>
      <w:tr w:rsidR="00B55451" w:rsidRPr="009E34B4" w14:paraId="577A7B80" w14:textId="77777777" w:rsidTr="00044D92">
        <w:trPr>
          <w:trHeight w:val="29"/>
        </w:trPr>
        <w:tc>
          <w:tcPr>
            <w:cnfStyle w:val="001000000000" w:firstRow="0" w:lastRow="0" w:firstColumn="1" w:lastColumn="0" w:oddVBand="0" w:evenVBand="0" w:oddHBand="0" w:evenHBand="0" w:firstRowFirstColumn="0" w:firstRowLastColumn="0" w:lastRowFirstColumn="0" w:lastRowLastColumn="0"/>
            <w:tcW w:w="1640" w:type="pct"/>
          </w:tcPr>
          <w:p w14:paraId="3D4FFA1C" w14:textId="77777777" w:rsidR="00B55451" w:rsidRPr="0008292D" w:rsidRDefault="00B55451" w:rsidP="00044D92">
            <w:pPr>
              <w:pStyle w:val="TableTextLeft"/>
              <w:rPr>
                <w:rFonts w:ascii="Arial" w:hAnsi="Arial" w:cs="Arial"/>
                <w:color w:val="111111" w:themeColor="text1" w:themeShade="80"/>
              </w:rPr>
            </w:pPr>
            <w:r w:rsidRPr="0008292D">
              <w:rPr>
                <w:rFonts w:ascii="Arial" w:hAnsi="Arial" w:cs="Arial"/>
                <w:color w:val="111111" w:themeColor="text1" w:themeShade="80"/>
              </w:rPr>
              <w:t>Saline wetland</w:t>
            </w:r>
          </w:p>
        </w:tc>
        <w:tc>
          <w:tcPr>
            <w:tcW w:w="1119" w:type="pct"/>
          </w:tcPr>
          <w:p w14:paraId="403AE49B" w14:textId="77777777" w:rsidR="00B55451" w:rsidRPr="00043FAB" w:rsidRDefault="00B55451" w:rsidP="00044D92">
            <w:pPr>
              <w:pStyle w:val="TableTextLeft"/>
              <w:cnfStyle w:val="000000000000" w:firstRow="0" w:lastRow="0" w:firstColumn="0" w:lastColumn="0" w:oddVBand="0" w:evenVBand="0" w:oddHBand="0" w:evenHBand="0" w:firstRowFirstColumn="0" w:firstRowLastColumn="0" w:lastRowFirstColumn="0" w:lastRowLastColumn="0"/>
              <w:rPr>
                <w:rFonts w:ascii="Arial" w:hAnsi="Arial"/>
                <w:vertAlign w:val="superscript"/>
              </w:rPr>
            </w:pPr>
            <w:r>
              <w:rPr>
                <w:rFonts w:ascii="Arial" w:hAnsi="Arial"/>
              </w:rPr>
              <w:t>64</w:t>
            </w:r>
            <w:r>
              <w:rPr>
                <w:rFonts w:ascii="Arial" w:hAnsi="Arial"/>
                <w:vertAlign w:val="superscript"/>
              </w:rPr>
              <w:t>c</w:t>
            </w:r>
          </w:p>
        </w:tc>
        <w:tc>
          <w:tcPr>
            <w:tcW w:w="1119" w:type="pct"/>
          </w:tcPr>
          <w:p w14:paraId="2E60DF62" w14:textId="77777777" w:rsidR="00B55451" w:rsidRPr="0008292D" w:rsidRDefault="00B55451" w:rsidP="00044D92">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Pr>
                <w:rFonts w:ascii="Arial" w:hAnsi="Arial"/>
              </w:rPr>
              <w:t>-</w:t>
            </w:r>
          </w:p>
        </w:tc>
        <w:tc>
          <w:tcPr>
            <w:tcW w:w="1122" w:type="pct"/>
          </w:tcPr>
          <w:p w14:paraId="55667A9B" w14:textId="77777777" w:rsidR="00B55451" w:rsidRPr="0008292D" w:rsidRDefault="00B55451" w:rsidP="00044D92">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Pr>
                <w:rFonts w:ascii="Arial" w:hAnsi="Arial"/>
              </w:rPr>
              <w:t>-</w:t>
            </w:r>
          </w:p>
        </w:tc>
      </w:tr>
      <w:tr w:rsidR="00B55451" w:rsidRPr="009E34B4" w14:paraId="6A5CEA85" w14:textId="77777777" w:rsidTr="00044D92">
        <w:trPr>
          <w:trHeight w:val="29"/>
        </w:trPr>
        <w:tc>
          <w:tcPr>
            <w:cnfStyle w:val="001000000000" w:firstRow="0" w:lastRow="0" w:firstColumn="1" w:lastColumn="0" w:oddVBand="0" w:evenVBand="0" w:oddHBand="0" w:evenHBand="0" w:firstRowFirstColumn="0" w:firstRowLastColumn="0" w:lastRowFirstColumn="0" w:lastRowLastColumn="0"/>
            <w:tcW w:w="1640" w:type="pct"/>
          </w:tcPr>
          <w:p w14:paraId="10E0CC9F" w14:textId="77777777" w:rsidR="00B55451" w:rsidRPr="0008292D" w:rsidRDefault="00B55451" w:rsidP="00044D92">
            <w:pPr>
              <w:pStyle w:val="TableTextLeft"/>
              <w:rPr>
                <w:rFonts w:ascii="Arial" w:hAnsi="Arial" w:cs="Arial"/>
                <w:color w:val="111111" w:themeColor="text1" w:themeShade="80"/>
              </w:rPr>
            </w:pPr>
            <w:r w:rsidRPr="0008292D">
              <w:rPr>
                <w:rFonts w:ascii="Arial" w:hAnsi="Arial" w:cs="Arial"/>
                <w:color w:val="111111" w:themeColor="text1" w:themeShade="80"/>
              </w:rPr>
              <w:t>High country peatland</w:t>
            </w:r>
          </w:p>
        </w:tc>
        <w:tc>
          <w:tcPr>
            <w:tcW w:w="1119" w:type="pct"/>
          </w:tcPr>
          <w:p w14:paraId="1B16B18D" w14:textId="77777777" w:rsidR="00B55451" w:rsidRPr="00043FAB" w:rsidRDefault="00B55451" w:rsidP="00044D92">
            <w:pPr>
              <w:pStyle w:val="TableTextLeft"/>
              <w:cnfStyle w:val="000000000000" w:firstRow="0" w:lastRow="0" w:firstColumn="0" w:lastColumn="0" w:oddVBand="0" w:evenVBand="0" w:oddHBand="0" w:evenHBand="0" w:firstRowFirstColumn="0" w:firstRowLastColumn="0" w:lastRowFirstColumn="0" w:lastRowLastColumn="0"/>
              <w:rPr>
                <w:rFonts w:ascii="Arial" w:hAnsi="Arial"/>
                <w:vertAlign w:val="superscript"/>
              </w:rPr>
            </w:pPr>
            <w:r>
              <w:rPr>
                <w:rFonts w:ascii="Arial" w:hAnsi="Arial"/>
              </w:rPr>
              <w:t>293</w:t>
            </w:r>
            <w:r>
              <w:rPr>
                <w:rFonts w:ascii="Arial" w:hAnsi="Arial"/>
                <w:vertAlign w:val="superscript"/>
              </w:rPr>
              <w:t>c</w:t>
            </w:r>
          </w:p>
        </w:tc>
        <w:tc>
          <w:tcPr>
            <w:tcW w:w="1119" w:type="pct"/>
          </w:tcPr>
          <w:p w14:paraId="50A63421" w14:textId="77777777" w:rsidR="00B55451" w:rsidRPr="0008292D" w:rsidRDefault="00B55451" w:rsidP="00044D92">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Pr>
                <w:rFonts w:ascii="Arial" w:hAnsi="Arial"/>
              </w:rPr>
              <w:t>-</w:t>
            </w:r>
          </w:p>
        </w:tc>
        <w:tc>
          <w:tcPr>
            <w:tcW w:w="1122" w:type="pct"/>
          </w:tcPr>
          <w:p w14:paraId="132AC1E3" w14:textId="77777777" w:rsidR="00B55451" w:rsidRPr="0008292D" w:rsidRDefault="00B55451" w:rsidP="00044D92">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Pr>
                <w:rFonts w:ascii="Arial" w:hAnsi="Arial"/>
              </w:rPr>
              <w:t>-</w:t>
            </w:r>
          </w:p>
        </w:tc>
      </w:tr>
    </w:tbl>
    <w:p w14:paraId="099DCDFB" w14:textId="77777777" w:rsidR="00B55451" w:rsidRPr="00043FAB" w:rsidRDefault="00B55451" w:rsidP="00044D92">
      <w:pPr>
        <w:pStyle w:val="NoteHeading"/>
        <w:rPr>
          <w:vertAlign w:val="superscript"/>
        </w:rPr>
      </w:pPr>
      <w:proofErr w:type="spellStart"/>
      <w:r w:rsidRPr="00043FAB">
        <w:rPr>
          <w:vertAlign w:val="superscript"/>
        </w:rPr>
        <w:t>a</w:t>
      </w:r>
      <w:proofErr w:type="spellEnd"/>
      <w:r w:rsidRPr="00043FAB">
        <w:rPr>
          <w:vertAlign w:val="superscript"/>
        </w:rPr>
        <w:t xml:space="preserve"> </w:t>
      </w:r>
      <w:r w:rsidRPr="00043FAB">
        <w:t>Th</w:t>
      </w:r>
      <w:r>
        <w:t xml:space="preserve">is figure was considered for use to provide an indicative, high uncertainty estimate for Corangamite in the absence of a specific figure for that CMA </w:t>
      </w:r>
      <w:r>
        <w:rPr>
          <w:vertAlign w:val="superscript"/>
        </w:rPr>
        <w:t xml:space="preserve">b </w:t>
      </w:r>
      <w:r>
        <w:t>If this approach had been taken for the GORCAP EEA, the</w:t>
      </w:r>
      <w:r w:rsidRPr="00043FAB">
        <w:t>se estimates w</w:t>
      </w:r>
      <w:r>
        <w:t xml:space="preserve">ould have been disregarded for use </w:t>
      </w:r>
      <w:r w:rsidRPr="00043FAB">
        <w:t xml:space="preserve">as figures exist for both CMA’s (Corangamite and Glenelg Hopkins) within the </w:t>
      </w:r>
      <w:r>
        <w:t>GORCAP region</w:t>
      </w:r>
      <w:r w:rsidRPr="00043FAB">
        <w:t>.</w:t>
      </w:r>
      <w:r>
        <w:t xml:space="preserve"> </w:t>
      </w:r>
      <w:r>
        <w:rPr>
          <w:vertAlign w:val="superscript"/>
        </w:rPr>
        <w:t xml:space="preserve">c </w:t>
      </w:r>
      <w:r w:rsidRPr="00043FAB">
        <w:t>Th</w:t>
      </w:r>
      <w:r>
        <w:t>is figure was considered for use to provide an indicative, high uncertainty estimate for Corangamite and Glenelg Hopkins in the absence of a specific figure for these CMA’s.</w:t>
      </w:r>
    </w:p>
    <w:p w14:paraId="05F3CB9D" w14:textId="03435594" w:rsidR="00CB66D8" w:rsidRDefault="00B55451" w:rsidP="00CB66D8">
      <w:pPr>
        <w:pStyle w:val="ListBullet"/>
        <w:spacing w:before="240"/>
        <w:rPr>
          <w:color w:val="1A1A1A"/>
        </w:rPr>
      </w:pPr>
      <w:r w:rsidRPr="00E14011">
        <w:rPr>
          <w:b/>
          <w:bCs/>
        </w:rPr>
        <w:t>Coastal margins</w:t>
      </w:r>
      <w:r w:rsidRPr="00E14011">
        <w:t xml:space="preserve">: use </w:t>
      </w:r>
      <w:r w:rsidRPr="00152B7D">
        <w:t xml:space="preserve">estimates of carbon stocks from Carnell et al (2019) and (2015): Mapped estimates of carbon stocks in coastal margin ecosystems (seagrass, saltmarsh and mangrove) </w:t>
      </w:r>
      <w:r>
        <w:t>were</w:t>
      </w:r>
      <w:r w:rsidRPr="00152B7D">
        <w:t xml:space="preserve"> </w:t>
      </w:r>
      <w:r>
        <w:t>obtained</w:t>
      </w:r>
      <w:r w:rsidRPr="00152B7D">
        <w:t xml:space="preserve"> from the Mapping Ocean Wealth (Carnell et al, 2019) study (which DELWP was involved)</w:t>
      </w:r>
      <w:r>
        <w:t xml:space="preserve">, averages of which are set out in Table </w:t>
      </w:r>
      <w:r>
        <w:rPr>
          <w:color w:val="1A1A1A"/>
        </w:rPr>
        <w:t>A3.16 but were not used in the final analysis.</w:t>
      </w:r>
      <w:r w:rsidR="00CB66D8">
        <w:rPr>
          <w:color w:val="1A1A1A"/>
        </w:rPr>
        <w:br w:type="page"/>
      </w:r>
    </w:p>
    <w:p w14:paraId="74D6E6B3" w14:textId="77777777" w:rsidR="00B55451" w:rsidRDefault="00B55451" w:rsidP="00044D92">
      <w:pPr>
        <w:pStyle w:val="Caption"/>
      </w:pPr>
      <w:r w:rsidRPr="006331B1">
        <w:lastRenderedPageBreak/>
        <w:t xml:space="preserve">Table </w:t>
      </w:r>
      <w:r w:rsidRPr="006331B1">
        <w:rPr>
          <w:color w:val="1A1A1A"/>
        </w:rPr>
        <w:t>A3.16</w:t>
      </w:r>
      <w:r w:rsidRPr="006331B1">
        <w:t>. Per hectare</w:t>
      </w:r>
      <w:r w:rsidRPr="0008292D">
        <w:t xml:space="preserve"> carbon stock values for </w:t>
      </w:r>
      <w:r>
        <w:t>coastal margin ecosystems</w:t>
      </w:r>
      <w:r w:rsidRPr="0008292D">
        <w:t xml:space="preserve"> Carnell et al (201</w:t>
      </w:r>
      <w:r>
        <w:t>5</w:t>
      </w:r>
      <w:r w:rsidRPr="0008292D">
        <w:t xml:space="preserve">)  </w:t>
      </w:r>
    </w:p>
    <w:tbl>
      <w:tblPr>
        <w:tblStyle w:val="TableGrid"/>
        <w:tblW w:w="5000" w:type="pct"/>
        <w:tblLook w:val="04A0" w:firstRow="1" w:lastRow="0" w:firstColumn="1" w:lastColumn="0" w:noHBand="0" w:noVBand="1"/>
      </w:tblPr>
      <w:tblGrid>
        <w:gridCol w:w="2764"/>
        <w:gridCol w:w="6874"/>
      </w:tblGrid>
      <w:tr w:rsidR="00B55451" w:rsidRPr="009E34B4" w14:paraId="2077B036" w14:textId="77777777" w:rsidTr="00044D92">
        <w:trPr>
          <w:cnfStyle w:val="100000000000" w:firstRow="1" w:lastRow="0" w:firstColumn="0" w:lastColumn="0" w:oddVBand="0" w:evenVBand="0" w:oddHBand="0"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1434" w:type="pct"/>
          </w:tcPr>
          <w:p w14:paraId="735D68B8" w14:textId="77777777" w:rsidR="00B55451" w:rsidRDefault="00B55451" w:rsidP="00044D92">
            <w:pPr>
              <w:pStyle w:val="TableHeadingLeft"/>
            </w:pPr>
          </w:p>
        </w:tc>
        <w:tc>
          <w:tcPr>
            <w:tcW w:w="3566" w:type="pct"/>
          </w:tcPr>
          <w:p w14:paraId="6187593F" w14:textId="77777777" w:rsidR="00B55451" w:rsidRPr="0008292D" w:rsidRDefault="00B55451" w:rsidP="00044D92">
            <w:pPr>
              <w:pStyle w:val="TableHeadingLeft"/>
              <w:cnfStyle w:val="100000000000" w:firstRow="1" w:lastRow="0" w:firstColumn="0" w:lastColumn="0" w:oddVBand="0" w:evenVBand="0" w:oddHBand="0" w:evenHBand="0" w:firstRowFirstColumn="0" w:firstRowLastColumn="0" w:lastRowFirstColumn="0" w:lastRowLastColumn="0"/>
            </w:pPr>
            <w:r w:rsidRPr="0008292D">
              <w:rPr>
                <w:rFonts w:cs="Arial"/>
                <w:color w:val="FFFFFF" w:themeColor="background1"/>
              </w:rPr>
              <w:t xml:space="preserve">Carbon stock </w:t>
            </w:r>
            <w:r>
              <w:rPr>
                <w:rFonts w:cs="Arial"/>
                <w:color w:val="FFFFFF" w:themeColor="background1"/>
              </w:rPr>
              <w:t>in top 30cm</w:t>
            </w:r>
            <w:r w:rsidRPr="0008292D">
              <w:rPr>
                <w:rFonts w:cs="Arial"/>
                <w:color w:val="FFFFFF" w:themeColor="background1"/>
              </w:rPr>
              <w:t xml:space="preserve"> (tonnes / ha)</w:t>
            </w:r>
          </w:p>
        </w:tc>
      </w:tr>
      <w:tr w:rsidR="00B55451" w:rsidRPr="009E34B4" w14:paraId="212F96D8" w14:textId="77777777" w:rsidTr="00044D92">
        <w:trPr>
          <w:trHeight w:val="85"/>
        </w:trPr>
        <w:tc>
          <w:tcPr>
            <w:cnfStyle w:val="001000000000" w:firstRow="0" w:lastRow="0" w:firstColumn="1" w:lastColumn="0" w:oddVBand="0" w:evenVBand="0" w:oddHBand="0" w:evenHBand="0" w:firstRowFirstColumn="0" w:firstRowLastColumn="0" w:lastRowFirstColumn="0" w:lastRowLastColumn="0"/>
            <w:tcW w:w="1434" w:type="pct"/>
          </w:tcPr>
          <w:p w14:paraId="2AAFD7CB" w14:textId="77777777" w:rsidR="00B55451" w:rsidRPr="0008292D" w:rsidRDefault="00B55451" w:rsidP="00044D92">
            <w:pPr>
              <w:pStyle w:val="TableTextLeft"/>
              <w:rPr>
                <w:rFonts w:ascii="Arial" w:hAnsi="Arial"/>
              </w:rPr>
            </w:pPr>
            <w:r>
              <w:rPr>
                <w:rFonts w:ascii="Arial" w:hAnsi="Arial"/>
                <w:iCs/>
                <w:color w:val="2E2D2D" w:themeColor="text1" w:themeTint="F2"/>
              </w:rPr>
              <w:t xml:space="preserve">Seagrass </w:t>
            </w:r>
          </w:p>
        </w:tc>
        <w:tc>
          <w:tcPr>
            <w:tcW w:w="3566" w:type="pct"/>
          </w:tcPr>
          <w:p w14:paraId="36F647DC" w14:textId="77777777" w:rsidR="00B55451" w:rsidRPr="0089260B" w:rsidRDefault="00B55451" w:rsidP="00044D92">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89260B">
              <w:rPr>
                <w:rFonts w:ascii="Arial" w:hAnsi="Arial"/>
              </w:rPr>
              <w:t>30</w:t>
            </w:r>
          </w:p>
        </w:tc>
      </w:tr>
      <w:tr w:rsidR="00B55451" w:rsidRPr="009E34B4" w14:paraId="02BFE365" w14:textId="77777777" w:rsidTr="00044D92">
        <w:trPr>
          <w:trHeight w:val="36"/>
        </w:trPr>
        <w:tc>
          <w:tcPr>
            <w:cnfStyle w:val="001000000000" w:firstRow="0" w:lastRow="0" w:firstColumn="1" w:lastColumn="0" w:oddVBand="0" w:evenVBand="0" w:oddHBand="0" w:evenHBand="0" w:firstRowFirstColumn="0" w:firstRowLastColumn="0" w:lastRowFirstColumn="0" w:lastRowLastColumn="0"/>
            <w:tcW w:w="1434" w:type="pct"/>
          </w:tcPr>
          <w:p w14:paraId="39BAA0BB" w14:textId="77777777" w:rsidR="00B55451" w:rsidRPr="0008292D" w:rsidRDefault="00B55451" w:rsidP="00044D92">
            <w:pPr>
              <w:pStyle w:val="TableTextLeft"/>
              <w:rPr>
                <w:rFonts w:ascii="Arial" w:hAnsi="Arial"/>
              </w:rPr>
            </w:pPr>
            <w:r>
              <w:rPr>
                <w:rFonts w:ascii="Arial" w:hAnsi="Arial"/>
                <w:iCs/>
                <w:color w:val="2E2D2D" w:themeColor="text1" w:themeTint="F2"/>
              </w:rPr>
              <w:t xml:space="preserve">Saltmarsh </w:t>
            </w:r>
          </w:p>
        </w:tc>
        <w:tc>
          <w:tcPr>
            <w:tcW w:w="3566" w:type="pct"/>
          </w:tcPr>
          <w:p w14:paraId="47B4EB9E" w14:textId="77777777" w:rsidR="00B55451" w:rsidRPr="0089260B" w:rsidRDefault="00B55451" w:rsidP="00044D92">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89260B">
              <w:rPr>
                <w:rFonts w:ascii="Arial" w:hAnsi="Arial"/>
              </w:rPr>
              <w:t>89</w:t>
            </w:r>
          </w:p>
        </w:tc>
      </w:tr>
      <w:tr w:rsidR="00B55451" w:rsidRPr="009E34B4" w14:paraId="72BF9216" w14:textId="77777777" w:rsidTr="00044D92">
        <w:trPr>
          <w:trHeight w:val="36"/>
        </w:trPr>
        <w:tc>
          <w:tcPr>
            <w:cnfStyle w:val="001000000000" w:firstRow="0" w:lastRow="0" w:firstColumn="1" w:lastColumn="0" w:oddVBand="0" w:evenVBand="0" w:oddHBand="0" w:evenHBand="0" w:firstRowFirstColumn="0" w:firstRowLastColumn="0" w:lastRowFirstColumn="0" w:lastRowLastColumn="0"/>
            <w:tcW w:w="1434" w:type="pct"/>
          </w:tcPr>
          <w:p w14:paraId="168348C0" w14:textId="77777777" w:rsidR="00B55451" w:rsidRPr="0008292D" w:rsidRDefault="00B55451" w:rsidP="00044D92">
            <w:pPr>
              <w:pStyle w:val="TableTextLeft"/>
              <w:rPr>
                <w:rFonts w:ascii="Arial" w:hAnsi="Arial"/>
              </w:rPr>
            </w:pPr>
            <w:r>
              <w:rPr>
                <w:rFonts w:ascii="Arial" w:hAnsi="Arial"/>
                <w:iCs/>
                <w:color w:val="2E2D2D" w:themeColor="text1" w:themeTint="F2"/>
              </w:rPr>
              <w:t>Mangrove</w:t>
            </w:r>
          </w:p>
        </w:tc>
        <w:tc>
          <w:tcPr>
            <w:tcW w:w="3566" w:type="pct"/>
          </w:tcPr>
          <w:p w14:paraId="458AA3ED" w14:textId="77777777" w:rsidR="00B55451" w:rsidRPr="0089260B" w:rsidRDefault="00B55451" w:rsidP="00044D92">
            <w:pPr>
              <w:pStyle w:val="TableTextLeft"/>
              <w:cnfStyle w:val="000000000000" w:firstRow="0" w:lastRow="0" w:firstColumn="0" w:lastColumn="0" w:oddVBand="0" w:evenVBand="0" w:oddHBand="0" w:evenHBand="0" w:firstRowFirstColumn="0" w:firstRowLastColumn="0" w:lastRowFirstColumn="0" w:lastRowLastColumn="0"/>
              <w:rPr>
                <w:rFonts w:ascii="Arial" w:hAnsi="Arial"/>
              </w:rPr>
            </w:pPr>
            <w:r w:rsidRPr="0089260B">
              <w:rPr>
                <w:rFonts w:ascii="Arial" w:hAnsi="Arial"/>
              </w:rPr>
              <w:t>62</w:t>
            </w:r>
          </w:p>
        </w:tc>
      </w:tr>
    </w:tbl>
    <w:p w14:paraId="3A5451C6" w14:textId="77777777" w:rsidR="00B55451" w:rsidRPr="00AE64C5" w:rsidRDefault="00B55451" w:rsidP="00B55451">
      <w:pPr>
        <w:contextualSpacing/>
        <w:rPr>
          <w:rFonts w:ascii="Arial" w:hAnsi="Arial"/>
          <w:i/>
          <w:color w:val="00B2A9"/>
        </w:rPr>
      </w:pPr>
    </w:p>
    <w:p w14:paraId="4FD1F577" w14:textId="77777777" w:rsidR="00B55451" w:rsidRPr="009E34B4" w:rsidRDefault="00B55451" w:rsidP="00B55451">
      <w:pPr>
        <w:spacing w:line="240" w:lineRule="auto"/>
        <w:rPr>
          <w:rFonts w:ascii="Arial" w:hAnsi="Arial"/>
          <w:color w:val="363534"/>
          <w:highlight w:val="yellow"/>
        </w:rPr>
        <w:sectPr w:rsidR="00B55451" w:rsidRPr="009E34B4" w:rsidSect="00E52A9A">
          <w:headerReference w:type="even" r:id="rId374"/>
          <w:headerReference w:type="default" r:id="rId375"/>
          <w:footerReference w:type="even" r:id="rId376"/>
          <w:footerReference w:type="default" r:id="rId377"/>
          <w:headerReference w:type="first" r:id="rId378"/>
          <w:footerReference w:type="first" r:id="rId379"/>
          <w:pgSz w:w="11906" w:h="16840" w:code="9"/>
          <w:pgMar w:top="1134" w:right="1134" w:bottom="1134" w:left="1134" w:header="283" w:footer="283" w:gutter="0"/>
          <w:cols w:space="284"/>
          <w:docGrid w:linePitch="360"/>
        </w:sectPr>
      </w:pPr>
    </w:p>
    <w:p w14:paraId="44C2BC95" w14:textId="77777777" w:rsidR="00B55451" w:rsidRPr="00F6683D" w:rsidRDefault="00B55451" w:rsidP="00044D92">
      <w:pPr>
        <w:pStyle w:val="Caption"/>
      </w:pPr>
      <w:r w:rsidRPr="006331B1">
        <w:lastRenderedPageBreak/>
        <w:t>Table</w:t>
      </w:r>
      <w:r w:rsidRPr="006331B1">
        <w:rPr>
          <w:color w:val="1A1A1A"/>
        </w:rPr>
        <w:t xml:space="preserve"> A3.17</w:t>
      </w:r>
      <w:r w:rsidRPr="006331B1">
        <w:t>. Carbon</w:t>
      </w:r>
      <w:r>
        <w:t xml:space="preserve"> retention</w:t>
      </w:r>
      <w:r w:rsidRPr="00F6683D">
        <w:t xml:space="preserve"> </w:t>
      </w:r>
      <w:r>
        <w:t xml:space="preserve">- </w:t>
      </w:r>
      <w:r w:rsidRPr="00F6683D">
        <w:t>Review of methods</w:t>
      </w:r>
      <w:r>
        <w:t xml:space="preserve"> and data</w:t>
      </w:r>
      <w:r w:rsidRPr="00F6683D">
        <w:t xml:space="preserve"> used to estimate the physical provision of global climate regulation from ecosystem assets in Victoria</w:t>
      </w:r>
      <w:r>
        <w:t xml:space="preserve"> </w:t>
      </w:r>
    </w:p>
    <w:tbl>
      <w:tblPr>
        <w:tblStyle w:val="TableGrid"/>
        <w:tblW w:w="5000" w:type="pct"/>
        <w:tblLook w:val="04A0" w:firstRow="1" w:lastRow="0" w:firstColumn="1" w:lastColumn="0" w:noHBand="0" w:noVBand="1"/>
      </w:tblPr>
      <w:tblGrid>
        <w:gridCol w:w="2680"/>
        <w:gridCol w:w="9961"/>
        <w:gridCol w:w="750"/>
        <w:gridCol w:w="8152"/>
      </w:tblGrid>
      <w:tr w:rsidR="00044D92" w:rsidRPr="009E34B4" w14:paraId="2649CA04" w14:textId="77777777" w:rsidTr="00A459D5">
        <w:trPr>
          <w:cnfStyle w:val="100000000000" w:firstRow="1" w:lastRow="0" w:firstColumn="0" w:lastColumn="0" w:oddVBand="0" w:evenVBand="0" w:oddHBand="0" w:evenHBand="0" w:firstRowFirstColumn="0" w:firstRowLastColumn="0" w:lastRowFirstColumn="0" w:lastRowLastColumn="0"/>
          <w:trHeight w:val="253"/>
          <w:tblHeader/>
        </w:trPr>
        <w:tc>
          <w:tcPr>
            <w:cnfStyle w:val="001000000000" w:firstRow="0" w:lastRow="0" w:firstColumn="1" w:lastColumn="0" w:oddVBand="0" w:evenVBand="0" w:oddHBand="0" w:evenHBand="0" w:firstRowFirstColumn="0" w:firstRowLastColumn="0" w:lastRowFirstColumn="0" w:lastRowLastColumn="0"/>
            <w:tcW w:w="622" w:type="pct"/>
          </w:tcPr>
          <w:p w14:paraId="7DC97E9C" w14:textId="77777777" w:rsidR="00B55451" w:rsidRPr="006011F8" w:rsidRDefault="00B55451" w:rsidP="00A459D5">
            <w:pPr>
              <w:pStyle w:val="TableHeadingLeft"/>
            </w:pPr>
            <w:r w:rsidRPr="006011F8">
              <w:t>Source</w:t>
            </w:r>
          </w:p>
        </w:tc>
        <w:tc>
          <w:tcPr>
            <w:tcW w:w="2312" w:type="pct"/>
          </w:tcPr>
          <w:p w14:paraId="360B28C0" w14:textId="77777777" w:rsidR="00B55451" w:rsidRPr="006011F8" w:rsidRDefault="00B55451" w:rsidP="00A459D5">
            <w:pPr>
              <w:pStyle w:val="TableHeadingLeft"/>
              <w:cnfStyle w:val="100000000000" w:firstRow="1" w:lastRow="0" w:firstColumn="0" w:lastColumn="0" w:oddVBand="0" w:evenVBand="0" w:oddHBand="0" w:evenHBand="0" w:firstRowFirstColumn="0" w:firstRowLastColumn="0" w:lastRowFirstColumn="0" w:lastRowLastColumn="0"/>
            </w:pPr>
            <w:r w:rsidRPr="006011F8">
              <w:t>Description</w:t>
            </w:r>
          </w:p>
        </w:tc>
        <w:tc>
          <w:tcPr>
            <w:tcW w:w="2066" w:type="pct"/>
            <w:gridSpan w:val="2"/>
          </w:tcPr>
          <w:p w14:paraId="65270DD0" w14:textId="77777777" w:rsidR="00B55451" w:rsidRPr="009E34B4" w:rsidRDefault="00B55451" w:rsidP="00A459D5">
            <w:pPr>
              <w:pStyle w:val="TableHeadingLeft"/>
              <w:cnfStyle w:val="100000000000" w:firstRow="1" w:lastRow="0" w:firstColumn="0" w:lastColumn="0" w:oddVBand="0" w:evenVBand="0" w:oddHBand="0" w:evenHBand="0" w:firstRowFirstColumn="0" w:firstRowLastColumn="0" w:lastRowFirstColumn="0" w:lastRowLastColumn="0"/>
              <w:rPr>
                <w:highlight w:val="yellow"/>
              </w:rPr>
            </w:pPr>
            <w:r>
              <w:t>U</w:t>
            </w:r>
            <w:r w:rsidRPr="000C4D01">
              <w:t>se</w:t>
            </w:r>
            <w:r>
              <w:t>d</w:t>
            </w:r>
            <w:r w:rsidRPr="000C4D01">
              <w:t xml:space="preserve"> in </w:t>
            </w:r>
            <w:r>
              <w:t>GORCAP EEA?</w:t>
            </w:r>
          </w:p>
        </w:tc>
      </w:tr>
      <w:tr w:rsidR="00044D92" w:rsidRPr="009E34B4" w14:paraId="26208DDE" w14:textId="77777777" w:rsidTr="00A459D5">
        <w:trPr>
          <w:trHeight w:val="976"/>
        </w:trPr>
        <w:tc>
          <w:tcPr>
            <w:cnfStyle w:val="001000000000" w:firstRow="0" w:lastRow="0" w:firstColumn="1" w:lastColumn="0" w:oddVBand="0" w:evenVBand="0" w:oddHBand="0" w:evenHBand="0" w:firstRowFirstColumn="0" w:firstRowLastColumn="0" w:lastRowFirstColumn="0" w:lastRowLastColumn="0"/>
            <w:tcW w:w="622" w:type="pct"/>
          </w:tcPr>
          <w:p w14:paraId="77D7D30B" w14:textId="77777777" w:rsidR="00B55451" w:rsidRPr="001454B0" w:rsidRDefault="00B55451" w:rsidP="00A459D5">
            <w:pPr>
              <w:pStyle w:val="TableTextLeft"/>
              <w:rPr>
                <w:rFonts w:ascii="Arial" w:hAnsi="Arial"/>
                <w:color w:val="111111" w:themeColor="text1" w:themeShade="80"/>
              </w:rPr>
            </w:pPr>
            <w:r w:rsidRPr="001454B0">
              <w:rPr>
                <w:rFonts w:ascii="Arial" w:hAnsi="Arial"/>
                <w:color w:val="111111" w:themeColor="text1" w:themeShade="80"/>
              </w:rPr>
              <w:t xml:space="preserve">DISER </w:t>
            </w:r>
            <w:proofErr w:type="spellStart"/>
            <w:r w:rsidRPr="001454B0">
              <w:rPr>
                <w:rFonts w:ascii="Arial" w:hAnsi="Arial"/>
                <w:color w:val="111111" w:themeColor="text1" w:themeShade="80"/>
              </w:rPr>
              <w:t>FullCAM</w:t>
            </w:r>
            <w:proofErr w:type="spellEnd"/>
            <w:r w:rsidRPr="001454B0">
              <w:rPr>
                <w:rFonts w:ascii="Arial" w:hAnsi="Arial"/>
                <w:color w:val="111111" w:themeColor="text1" w:themeShade="80"/>
              </w:rPr>
              <w:t xml:space="preserve"> modelling data</w:t>
            </w:r>
          </w:p>
        </w:tc>
        <w:tc>
          <w:tcPr>
            <w:tcW w:w="2312" w:type="pct"/>
          </w:tcPr>
          <w:p w14:paraId="2DC833CD"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sidRPr="001454B0">
              <w:rPr>
                <w:rFonts w:ascii="Arial" w:hAnsi="Arial"/>
                <w:color w:val="111111" w:themeColor="text1" w:themeShade="80"/>
              </w:rPr>
              <w:t>The Full Carbon Accounting Model (</w:t>
            </w:r>
            <w:proofErr w:type="spellStart"/>
            <w:r w:rsidRPr="001454B0">
              <w:rPr>
                <w:rFonts w:ascii="Arial" w:hAnsi="Arial"/>
                <w:color w:val="111111" w:themeColor="text1" w:themeShade="80"/>
              </w:rPr>
              <w:t>FullCAM</w:t>
            </w:r>
            <w:proofErr w:type="spellEnd"/>
            <w:r w:rsidRPr="001454B0">
              <w:rPr>
                <w:rFonts w:ascii="Arial" w:hAnsi="Arial"/>
                <w:color w:val="111111" w:themeColor="text1" w:themeShade="80"/>
              </w:rPr>
              <w:t xml:space="preserve">) is a calculation tool for modelling Australia’s greenhouse gas emissions from the land sector.  Carbon dioxide removed from the atmosphere by forests, croplands, grasslands and other vegetation can offset emissions from farming and land clearing. Given the size of Australia's land sector is approximately 769 million hectares, it’s impractical to measure emissions and abatement using just direct estimation methods, such as field sampling. Australia’s national greenhouse gas inventory system for the land sector and abatement estimates for vegetation under the Emissions Reduction Fund (ERF) both rely on the use of a modelling framework. </w:t>
            </w:r>
            <w:proofErr w:type="spellStart"/>
            <w:r w:rsidRPr="001454B0">
              <w:rPr>
                <w:rFonts w:ascii="Arial" w:hAnsi="Arial"/>
                <w:color w:val="111111" w:themeColor="text1" w:themeShade="80"/>
              </w:rPr>
              <w:t>FullCAM</w:t>
            </w:r>
            <w:proofErr w:type="spellEnd"/>
            <w:r w:rsidRPr="001454B0">
              <w:rPr>
                <w:rFonts w:ascii="Arial" w:hAnsi="Arial"/>
                <w:color w:val="111111" w:themeColor="text1" w:themeShade="80"/>
              </w:rPr>
              <w:t xml:space="preserve"> estimates the carbon stock change in ecosystems including:</w:t>
            </w:r>
          </w:p>
          <w:p w14:paraId="7477FB0A" w14:textId="77777777" w:rsidR="00B55451" w:rsidRPr="001454B0" w:rsidRDefault="00B55451" w:rsidP="00A459D5">
            <w:pPr>
              <w:pStyle w:val="TableTextBullet"/>
              <w:cnfStyle w:val="000000000000" w:firstRow="0" w:lastRow="0" w:firstColumn="0" w:lastColumn="0" w:oddVBand="0" w:evenVBand="0" w:oddHBand="0" w:evenHBand="0" w:firstRowFirstColumn="0" w:firstRowLastColumn="0" w:lastRowFirstColumn="0" w:lastRowLastColumn="0"/>
            </w:pPr>
            <w:r w:rsidRPr="001454B0">
              <w:t>Above and below ground biomass.</w:t>
            </w:r>
          </w:p>
          <w:p w14:paraId="39E697FC" w14:textId="77777777" w:rsidR="00B55451" w:rsidRPr="001454B0" w:rsidRDefault="00B55451" w:rsidP="00A459D5">
            <w:pPr>
              <w:pStyle w:val="TableTextBullet"/>
              <w:cnfStyle w:val="000000000000" w:firstRow="0" w:lastRow="0" w:firstColumn="0" w:lastColumn="0" w:oddVBand="0" w:evenVBand="0" w:oddHBand="0" w:evenHBand="0" w:firstRowFirstColumn="0" w:firstRowLastColumn="0" w:lastRowFirstColumn="0" w:lastRowLastColumn="0"/>
            </w:pPr>
            <w:r w:rsidRPr="001454B0">
              <w:t>Standing and decomposing debris.</w:t>
            </w:r>
          </w:p>
          <w:p w14:paraId="5E6160DB" w14:textId="77777777" w:rsidR="00B55451" w:rsidRPr="001454B0" w:rsidRDefault="00B55451" w:rsidP="00A459D5">
            <w:pPr>
              <w:pStyle w:val="TableTextBullet"/>
              <w:cnfStyle w:val="000000000000" w:firstRow="0" w:lastRow="0" w:firstColumn="0" w:lastColumn="0" w:oddVBand="0" w:evenVBand="0" w:oddHBand="0" w:evenHBand="0" w:firstRowFirstColumn="0" w:firstRowLastColumn="0" w:lastRowFirstColumn="0" w:lastRowLastColumn="0"/>
            </w:pPr>
            <w:r w:rsidRPr="001454B0">
              <w:t>Soil carbon resulting from land use and management activities.</w:t>
            </w:r>
          </w:p>
        </w:tc>
        <w:tc>
          <w:tcPr>
            <w:tcW w:w="174" w:type="pct"/>
            <w:shd w:val="clear" w:color="auto" w:fill="92D050"/>
          </w:tcPr>
          <w:p w14:paraId="58CDA83E"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sidRPr="001454B0">
              <w:rPr>
                <w:rFonts w:ascii="Arial" w:hAnsi="Arial"/>
                <w:color w:val="111111" w:themeColor="text1" w:themeShade="80"/>
              </w:rPr>
              <w:t>Yes</w:t>
            </w:r>
          </w:p>
        </w:tc>
        <w:tc>
          <w:tcPr>
            <w:tcW w:w="1892" w:type="pct"/>
          </w:tcPr>
          <w:p w14:paraId="64BC47EF"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sidRPr="001454B0">
              <w:rPr>
                <w:rFonts w:ascii="Arial" w:hAnsi="Arial"/>
                <w:color w:val="111111" w:themeColor="text1" w:themeShade="80"/>
              </w:rPr>
              <w:t xml:space="preserve">All land ecosystem assets: </w:t>
            </w:r>
            <w:r w:rsidRPr="001454B0">
              <w:rPr>
                <w:rFonts w:ascii="Arial" w:hAnsi="Arial"/>
                <w:bCs/>
                <w:color w:val="111111" w:themeColor="text1" w:themeShade="80"/>
              </w:rPr>
              <w:t>This approach provide</w:t>
            </w:r>
            <w:r>
              <w:rPr>
                <w:rFonts w:ascii="Arial" w:hAnsi="Arial"/>
                <w:bCs/>
                <w:color w:val="111111" w:themeColor="text1" w:themeShade="80"/>
              </w:rPr>
              <w:t>d</w:t>
            </w:r>
            <w:r w:rsidRPr="001454B0">
              <w:rPr>
                <w:rFonts w:ascii="Arial" w:hAnsi="Arial"/>
                <w:bCs/>
                <w:color w:val="111111" w:themeColor="text1" w:themeShade="80"/>
              </w:rPr>
              <w:t xml:space="preserve"> estimates of carbon retention services provided by all land ecosystem assets within the </w:t>
            </w:r>
            <w:r>
              <w:rPr>
                <w:rFonts w:ascii="Arial" w:hAnsi="Arial"/>
                <w:bCs/>
                <w:color w:val="111111" w:themeColor="text1" w:themeShade="80"/>
              </w:rPr>
              <w:t>GORCAP region</w:t>
            </w:r>
            <w:r w:rsidRPr="001454B0">
              <w:rPr>
                <w:rFonts w:ascii="Arial" w:hAnsi="Arial"/>
                <w:bCs/>
                <w:color w:val="111111" w:themeColor="text1" w:themeShade="80"/>
              </w:rPr>
              <w:t xml:space="preserve">. </w:t>
            </w:r>
          </w:p>
        </w:tc>
      </w:tr>
      <w:tr w:rsidR="00044D92" w:rsidRPr="009E34B4" w14:paraId="45FCC8CB" w14:textId="77777777" w:rsidTr="00A459D5">
        <w:trPr>
          <w:trHeight w:val="976"/>
        </w:trPr>
        <w:tc>
          <w:tcPr>
            <w:cnfStyle w:val="001000000000" w:firstRow="0" w:lastRow="0" w:firstColumn="1" w:lastColumn="0" w:oddVBand="0" w:evenVBand="0" w:oddHBand="0" w:evenHBand="0" w:firstRowFirstColumn="0" w:firstRowLastColumn="0" w:lastRowFirstColumn="0" w:lastRowLastColumn="0"/>
            <w:tcW w:w="622" w:type="pct"/>
          </w:tcPr>
          <w:p w14:paraId="7ADD0C08" w14:textId="2F166F11" w:rsidR="00B55451" w:rsidRPr="001454B0" w:rsidRDefault="00B55451" w:rsidP="00A459D5">
            <w:pPr>
              <w:pStyle w:val="TableTextLeft"/>
              <w:rPr>
                <w:rFonts w:ascii="Arial" w:hAnsi="Arial"/>
                <w:color w:val="111111" w:themeColor="text1" w:themeShade="80"/>
              </w:rPr>
            </w:pPr>
            <w:r w:rsidRPr="001454B0">
              <w:rPr>
                <w:rFonts w:ascii="Arial" w:hAnsi="Arial"/>
                <w:color w:val="111111" w:themeColor="text1" w:themeShade="80"/>
              </w:rPr>
              <w:t>DELWP and Parks Victoria (2015), Valuing Victoria’s Parks: Accounting for ecosystems and valuing their benefits</w:t>
            </w:r>
          </w:p>
        </w:tc>
        <w:tc>
          <w:tcPr>
            <w:tcW w:w="2312" w:type="pct"/>
          </w:tcPr>
          <w:p w14:paraId="275B80C0" w14:textId="29C96AE4"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sidRPr="001454B0">
              <w:rPr>
                <w:rFonts w:ascii="Arial" w:hAnsi="Arial"/>
                <w:color w:val="111111" w:themeColor="text1" w:themeShade="80"/>
              </w:rPr>
              <w:t>This study states estimates of the carbon stock within Great Otway National Park as 135 tonnes/ha, aggregating to 14m tonnes in total.</w:t>
            </w:r>
          </w:p>
        </w:tc>
        <w:tc>
          <w:tcPr>
            <w:tcW w:w="174" w:type="pct"/>
            <w:shd w:val="clear" w:color="auto" w:fill="FF0000"/>
          </w:tcPr>
          <w:p w14:paraId="7C670609"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Pr>
                <w:rFonts w:ascii="Arial" w:hAnsi="Arial"/>
                <w:color w:val="111111" w:themeColor="text1" w:themeShade="80"/>
              </w:rPr>
              <w:t>No</w:t>
            </w:r>
          </w:p>
        </w:tc>
        <w:tc>
          <w:tcPr>
            <w:tcW w:w="1892" w:type="pct"/>
          </w:tcPr>
          <w:p w14:paraId="175F81A1"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sidRPr="001454B0">
              <w:rPr>
                <w:rFonts w:ascii="Arial" w:hAnsi="Arial"/>
                <w:bCs/>
                <w:color w:val="111111" w:themeColor="text1" w:themeShade="80"/>
              </w:rPr>
              <w:t>National Park</w:t>
            </w:r>
            <w:r w:rsidRPr="001454B0">
              <w:rPr>
                <w:rFonts w:ascii="Arial" w:hAnsi="Arial"/>
                <w:color w:val="111111" w:themeColor="text1" w:themeShade="80"/>
              </w:rPr>
              <w:t xml:space="preserve">: Estimates of carbon retention within the Great Otway National Park </w:t>
            </w:r>
            <w:r>
              <w:rPr>
                <w:rFonts w:ascii="Arial" w:hAnsi="Arial"/>
                <w:color w:val="111111" w:themeColor="text1" w:themeShade="80"/>
              </w:rPr>
              <w:t>are captured within other more comprehensive datasets/analysis for the GOR.</w:t>
            </w:r>
          </w:p>
        </w:tc>
      </w:tr>
      <w:tr w:rsidR="00044D92" w:rsidRPr="009E34B4" w14:paraId="282A49EC" w14:textId="77777777" w:rsidTr="00A459D5">
        <w:trPr>
          <w:trHeight w:val="976"/>
        </w:trPr>
        <w:tc>
          <w:tcPr>
            <w:cnfStyle w:val="001000000000" w:firstRow="0" w:lastRow="0" w:firstColumn="1" w:lastColumn="0" w:oddVBand="0" w:evenVBand="0" w:oddHBand="0" w:evenHBand="0" w:firstRowFirstColumn="0" w:firstRowLastColumn="0" w:lastRowFirstColumn="0" w:lastRowLastColumn="0"/>
            <w:tcW w:w="622" w:type="pct"/>
          </w:tcPr>
          <w:p w14:paraId="0DAFDC48" w14:textId="77777777" w:rsidR="00B55451" w:rsidRPr="001454B0" w:rsidRDefault="00B55451" w:rsidP="00A459D5">
            <w:pPr>
              <w:pStyle w:val="TableTextLeft"/>
              <w:rPr>
                <w:rFonts w:ascii="Arial" w:hAnsi="Arial"/>
                <w:color w:val="111111" w:themeColor="text1" w:themeShade="80"/>
              </w:rPr>
            </w:pPr>
            <w:r w:rsidRPr="001454B0">
              <w:rPr>
                <w:rFonts w:ascii="Arial" w:hAnsi="Arial"/>
                <w:color w:val="111111" w:themeColor="text1" w:themeShade="80"/>
              </w:rPr>
              <w:t xml:space="preserve">DELWP (TBC) Victorian Carbon Map - Blue Carbon </w:t>
            </w:r>
            <w:r w:rsidRPr="001454B0">
              <w:rPr>
                <w:rFonts w:ascii="Arial" w:hAnsi="Arial"/>
                <w:i/>
                <w:iCs/>
                <w:color w:val="111111" w:themeColor="text1" w:themeShade="80"/>
              </w:rPr>
              <w:t>(provided to the study team by Lawrance Ferns)</w:t>
            </w:r>
          </w:p>
        </w:tc>
        <w:tc>
          <w:tcPr>
            <w:tcW w:w="2312" w:type="pct"/>
          </w:tcPr>
          <w:p w14:paraId="2EA2630A"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bCs/>
                <w:color w:val="111111" w:themeColor="text1" w:themeShade="80"/>
              </w:rPr>
            </w:pPr>
            <w:r w:rsidRPr="001454B0">
              <w:rPr>
                <w:rFonts w:ascii="Arial" w:hAnsi="Arial"/>
                <w:color w:val="111111" w:themeColor="text1" w:themeShade="80"/>
              </w:rPr>
              <w:t>This carbon map provides estimates of carbon stored in the marine environment in terms of Tonnes/ 100m</w:t>
            </w:r>
            <w:r w:rsidRPr="001454B0">
              <w:rPr>
                <w:rFonts w:ascii="Arial" w:hAnsi="Arial"/>
                <w:color w:val="111111" w:themeColor="text1" w:themeShade="80"/>
                <w:vertAlign w:val="superscript"/>
              </w:rPr>
              <w:t>2</w:t>
            </w:r>
            <w:r w:rsidRPr="001454B0">
              <w:rPr>
                <w:rFonts w:ascii="Arial" w:hAnsi="Arial"/>
                <w:color w:val="111111" w:themeColor="text1" w:themeShade="80"/>
              </w:rPr>
              <w:t xml:space="preserve">. </w:t>
            </w:r>
          </w:p>
        </w:tc>
        <w:tc>
          <w:tcPr>
            <w:tcW w:w="174" w:type="pct"/>
            <w:shd w:val="clear" w:color="auto" w:fill="92D050"/>
          </w:tcPr>
          <w:p w14:paraId="26BE48E8"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sidRPr="001454B0">
              <w:rPr>
                <w:rFonts w:ascii="Arial" w:hAnsi="Arial"/>
                <w:color w:val="111111" w:themeColor="text1" w:themeShade="80"/>
              </w:rPr>
              <w:t>Yes</w:t>
            </w:r>
          </w:p>
        </w:tc>
        <w:tc>
          <w:tcPr>
            <w:tcW w:w="1892" w:type="pct"/>
          </w:tcPr>
          <w:p w14:paraId="6CFFB0B0"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bCs/>
                <w:color w:val="111111" w:themeColor="text1" w:themeShade="80"/>
              </w:rPr>
            </w:pPr>
            <w:r w:rsidRPr="001454B0">
              <w:rPr>
                <w:rFonts w:ascii="Arial" w:hAnsi="Arial"/>
                <w:bCs/>
                <w:color w:val="111111" w:themeColor="text1" w:themeShade="80"/>
              </w:rPr>
              <w:t>Marine: This approach provide</w:t>
            </w:r>
            <w:r>
              <w:rPr>
                <w:rFonts w:ascii="Arial" w:hAnsi="Arial"/>
                <w:bCs/>
                <w:color w:val="111111" w:themeColor="text1" w:themeShade="80"/>
              </w:rPr>
              <w:t>d</w:t>
            </w:r>
            <w:r w:rsidRPr="001454B0">
              <w:rPr>
                <w:rFonts w:ascii="Arial" w:hAnsi="Arial"/>
                <w:bCs/>
                <w:color w:val="111111" w:themeColor="text1" w:themeShade="80"/>
              </w:rPr>
              <w:t xml:space="preserve"> estimates of carbon retention services provided by marine ecosystem assets within the </w:t>
            </w:r>
            <w:r>
              <w:rPr>
                <w:rFonts w:ascii="Arial" w:hAnsi="Arial"/>
                <w:bCs/>
                <w:color w:val="111111" w:themeColor="text1" w:themeShade="80"/>
              </w:rPr>
              <w:t>GORCAP region</w:t>
            </w:r>
            <w:r w:rsidRPr="001454B0">
              <w:rPr>
                <w:rFonts w:ascii="Arial" w:hAnsi="Arial"/>
                <w:bCs/>
                <w:color w:val="111111" w:themeColor="text1" w:themeShade="80"/>
              </w:rPr>
              <w:t>.</w:t>
            </w:r>
          </w:p>
        </w:tc>
      </w:tr>
      <w:tr w:rsidR="00044D92" w:rsidRPr="009E34B4" w14:paraId="42B2E519" w14:textId="77777777" w:rsidTr="00A459D5">
        <w:trPr>
          <w:trHeight w:val="976"/>
        </w:trPr>
        <w:tc>
          <w:tcPr>
            <w:cnfStyle w:val="001000000000" w:firstRow="0" w:lastRow="0" w:firstColumn="1" w:lastColumn="0" w:oddVBand="0" w:evenVBand="0" w:oddHBand="0" w:evenHBand="0" w:firstRowFirstColumn="0" w:firstRowLastColumn="0" w:lastRowFirstColumn="0" w:lastRowLastColumn="0"/>
            <w:tcW w:w="622" w:type="pct"/>
          </w:tcPr>
          <w:p w14:paraId="7962B17B" w14:textId="77777777" w:rsidR="00B55451" w:rsidRPr="001454B0" w:rsidRDefault="00B55451" w:rsidP="00A459D5">
            <w:pPr>
              <w:pStyle w:val="TableTextLeft"/>
              <w:rPr>
                <w:rFonts w:ascii="Arial" w:hAnsi="Arial"/>
                <w:color w:val="111111" w:themeColor="text1" w:themeShade="80"/>
              </w:rPr>
            </w:pPr>
            <w:r w:rsidRPr="001454B0">
              <w:rPr>
                <w:rFonts w:ascii="Arial" w:hAnsi="Arial"/>
                <w:color w:val="111111" w:themeColor="text1" w:themeShade="80"/>
              </w:rPr>
              <w:t>DELWP (2019) Above Ground Biomass, Victorian Forest Monitoring Program</w:t>
            </w:r>
          </w:p>
        </w:tc>
        <w:tc>
          <w:tcPr>
            <w:tcW w:w="2312" w:type="pct"/>
          </w:tcPr>
          <w:p w14:paraId="5A3FB837"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bCs/>
                <w:color w:val="111111" w:themeColor="text1" w:themeShade="80"/>
              </w:rPr>
            </w:pPr>
            <w:r w:rsidRPr="001454B0">
              <w:rPr>
                <w:rFonts w:ascii="Arial" w:hAnsi="Arial"/>
                <w:color w:val="111111" w:themeColor="text1" w:themeShade="80"/>
              </w:rPr>
              <w:t xml:space="preserve">Biomass data from the Victorian Forest Monitoring Program (VFMP) can be used to calculate the stock of above ground carbon across Victoria, as per the DELWP (2019) Ecosystem Services from Victorian forests study. A conversion factor of 0.47 can be used to convert biomass to carbon. The VFMP covers State forests (of which there is none in </w:t>
            </w:r>
            <w:r>
              <w:rPr>
                <w:rFonts w:ascii="Arial" w:hAnsi="Arial"/>
                <w:color w:val="111111" w:themeColor="text1" w:themeShade="80"/>
              </w:rPr>
              <w:t>GORCAP region</w:t>
            </w:r>
            <w:r w:rsidRPr="001454B0">
              <w:rPr>
                <w:rFonts w:ascii="Arial" w:hAnsi="Arial"/>
                <w:color w:val="111111" w:themeColor="text1" w:themeShade="80"/>
              </w:rPr>
              <w:t xml:space="preserve">), parks, reserves and other Crown land and so will capture some of the </w:t>
            </w:r>
            <w:r>
              <w:rPr>
                <w:rFonts w:ascii="Arial" w:hAnsi="Arial"/>
                <w:color w:val="111111" w:themeColor="text1" w:themeShade="80"/>
              </w:rPr>
              <w:t>GORCAP region</w:t>
            </w:r>
            <w:r w:rsidRPr="001454B0">
              <w:rPr>
                <w:rFonts w:ascii="Arial" w:hAnsi="Arial"/>
                <w:color w:val="111111" w:themeColor="text1" w:themeShade="80"/>
              </w:rPr>
              <w:t>.</w:t>
            </w:r>
          </w:p>
        </w:tc>
        <w:tc>
          <w:tcPr>
            <w:tcW w:w="174" w:type="pct"/>
            <w:shd w:val="clear" w:color="auto" w:fill="FF0000"/>
          </w:tcPr>
          <w:p w14:paraId="598AEB79"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Pr>
                <w:rFonts w:ascii="Arial" w:hAnsi="Arial"/>
                <w:color w:val="111111" w:themeColor="text1" w:themeShade="80"/>
              </w:rPr>
              <w:t>No</w:t>
            </w:r>
          </w:p>
        </w:tc>
        <w:tc>
          <w:tcPr>
            <w:tcW w:w="1892" w:type="pct"/>
          </w:tcPr>
          <w:p w14:paraId="41786476"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bCs/>
                <w:color w:val="111111" w:themeColor="text1" w:themeShade="80"/>
              </w:rPr>
            </w:pPr>
            <w:r w:rsidRPr="001454B0">
              <w:rPr>
                <w:rFonts w:ascii="Arial" w:hAnsi="Arial"/>
                <w:bCs/>
                <w:color w:val="111111" w:themeColor="text1" w:themeShade="80"/>
              </w:rPr>
              <w:t xml:space="preserve">Parks, Reserves and Crown Land (also State Forest but </w:t>
            </w:r>
            <w:r>
              <w:rPr>
                <w:rFonts w:ascii="Arial" w:hAnsi="Arial"/>
                <w:bCs/>
                <w:color w:val="111111" w:themeColor="text1" w:themeShade="80"/>
              </w:rPr>
              <w:t xml:space="preserve">there is </w:t>
            </w:r>
            <w:r w:rsidRPr="001454B0">
              <w:rPr>
                <w:rFonts w:ascii="Arial" w:hAnsi="Arial"/>
                <w:bCs/>
                <w:color w:val="111111" w:themeColor="text1" w:themeShade="80"/>
              </w:rPr>
              <w:t>none in</w:t>
            </w:r>
            <w:r>
              <w:rPr>
                <w:rFonts w:ascii="Arial" w:hAnsi="Arial"/>
                <w:bCs/>
                <w:color w:val="111111" w:themeColor="text1" w:themeShade="80"/>
              </w:rPr>
              <w:t xml:space="preserve"> the</w:t>
            </w:r>
            <w:r w:rsidRPr="001454B0">
              <w:rPr>
                <w:rFonts w:ascii="Arial" w:hAnsi="Arial"/>
                <w:bCs/>
                <w:color w:val="111111" w:themeColor="text1" w:themeShade="80"/>
              </w:rPr>
              <w:t xml:space="preserve"> </w:t>
            </w:r>
            <w:r>
              <w:rPr>
                <w:rFonts w:ascii="Arial" w:hAnsi="Arial"/>
                <w:bCs/>
                <w:color w:val="111111" w:themeColor="text1" w:themeShade="80"/>
              </w:rPr>
              <w:t>GORCAP region</w:t>
            </w:r>
            <w:r w:rsidRPr="001454B0">
              <w:rPr>
                <w:rFonts w:ascii="Arial" w:hAnsi="Arial"/>
                <w:bCs/>
                <w:color w:val="111111" w:themeColor="text1" w:themeShade="80"/>
              </w:rPr>
              <w:t xml:space="preserve">): estimates of carbon retention services provided by ecosystem assets within the </w:t>
            </w:r>
            <w:r w:rsidRPr="001454B0">
              <w:rPr>
                <w:rFonts w:ascii="Arial" w:hAnsi="Arial"/>
                <w:color w:val="111111" w:themeColor="text1" w:themeShade="80"/>
              </w:rPr>
              <w:t xml:space="preserve">parks, reserves and Crown Land of the </w:t>
            </w:r>
            <w:r>
              <w:rPr>
                <w:rFonts w:ascii="Arial" w:hAnsi="Arial"/>
                <w:bCs/>
                <w:color w:val="111111" w:themeColor="text1" w:themeShade="80"/>
              </w:rPr>
              <w:t>GORCAP region</w:t>
            </w:r>
            <w:r>
              <w:rPr>
                <w:rFonts w:ascii="Arial" w:hAnsi="Arial"/>
                <w:color w:val="111111" w:themeColor="text1" w:themeShade="80"/>
              </w:rPr>
              <w:t xml:space="preserve"> are captured within other more comprehensive datasets/analysis for the GOR.</w:t>
            </w:r>
          </w:p>
        </w:tc>
      </w:tr>
      <w:tr w:rsidR="00044D92" w:rsidRPr="009E34B4" w14:paraId="41BAB739" w14:textId="77777777" w:rsidTr="00A459D5">
        <w:trPr>
          <w:trHeight w:val="976"/>
        </w:trPr>
        <w:tc>
          <w:tcPr>
            <w:cnfStyle w:val="001000000000" w:firstRow="0" w:lastRow="0" w:firstColumn="1" w:lastColumn="0" w:oddVBand="0" w:evenVBand="0" w:oddHBand="0" w:evenHBand="0" w:firstRowFirstColumn="0" w:firstRowLastColumn="0" w:lastRowFirstColumn="0" w:lastRowLastColumn="0"/>
            <w:tcW w:w="622" w:type="pct"/>
          </w:tcPr>
          <w:p w14:paraId="340ECBBE" w14:textId="0AAFA889" w:rsidR="00B55451" w:rsidRPr="001454B0" w:rsidRDefault="00B55451" w:rsidP="00A459D5">
            <w:pPr>
              <w:pStyle w:val="TableTextLeft"/>
              <w:rPr>
                <w:rFonts w:ascii="Arial" w:hAnsi="Arial"/>
                <w:color w:val="111111" w:themeColor="text1" w:themeShade="80"/>
              </w:rPr>
            </w:pPr>
            <w:r w:rsidRPr="001454B0">
              <w:rPr>
                <w:rFonts w:ascii="Arial" w:hAnsi="Arial"/>
                <w:color w:val="111111" w:themeColor="text1" w:themeShade="80"/>
              </w:rPr>
              <w:t>Carnell et al (2015) The Distribution and Abundance of ‘Blue Carbon’ within Corangamite</w:t>
            </w:r>
          </w:p>
        </w:tc>
        <w:tc>
          <w:tcPr>
            <w:tcW w:w="2312" w:type="pct"/>
          </w:tcPr>
          <w:p w14:paraId="36AB09D9"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sidRPr="001454B0">
              <w:rPr>
                <w:rFonts w:ascii="Arial" w:hAnsi="Arial"/>
                <w:color w:val="111111" w:themeColor="text1" w:themeShade="80"/>
              </w:rPr>
              <w:t xml:space="preserve">This study developed the first blue carbon stock assessment for Corangamite, focussing on sedimentary organic carbon.  Corangamite has an estimated total blue carbon sediment stock of 431,502 tonnes over the top 30 cm of sediment.  The average soil carbon content is 64 tonnes carbon per hectare (over the top 30 cm), for saltmarsh 89 tonnes/ha, mangrove 62 tonnes/ha and seagrass 30 tonnes/ha. Because sampling was confined to the top 30 cm of sediment, the carbon estimates given here are highly conservative. </w:t>
            </w:r>
          </w:p>
        </w:tc>
        <w:tc>
          <w:tcPr>
            <w:tcW w:w="174" w:type="pct"/>
            <w:shd w:val="clear" w:color="auto" w:fill="FF0000"/>
          </w:tcPr>
          <w:p w14:paraId="5AA58ACB"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Pr>
                <w:rFonts w:ascii="Arial" w:hAnsi="Arial"/>
                <w:color w:val="111111" w:themeColor="text1" w:themeShade="80"/>
              </w:rPr>
              <w:t>No</w:t>
            </w:r>
          </w:p>
        </w:tc>
        <w:tc>
          <w:tcPr>
            <w:tcW w:w="1892" w:type="pct"/>
          </w:tcPr>
          <w:p w14:paraId="1BCA7A18"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bCs/>
                <w:color w:val="111111" w:themeColor="text1" w:themeShade="80"/>
              </w:rPr>
            </w:pPr>
            <w:r w:rsidRPr="001454B0">
              <w:rPr>
                <w:rFonts w:ascii="Arial" w:hAnsi="Arial"/>
                <w:bCs/>
                <w:color w:val="111111" w:themeColor="text1" w:themeShade="80"/>
              </w:rPr>
              <w:t>Coastal margin:</w:t>
            </w:r>
            <w:r w:rsidRPr="001454B0">
              <w:rPr>
                <w:rFonts w:ascii="Arial" w:hAnsi="Arial"/>
                <w:color w:val="111111" w:themeColor="text1" w:themeShade="80"/>
              </w:rPr>
              <w:t xml:space="preserve"> Estimates of tonnes of carbon stored for seagrass (30 tonnes of carbon per hectare), mangroves (62 tonnes of carbon per hectare) and saltmarsh (89 tonnes of carbon per hectare) in Corangamite CMA (part of </w:t>
            </w:r>
            <w:r>
              <w:rPr>
                <w:rFonts w:ascii="Arial" w:hAnsi="Arial"/>
                <w:color w:val="111111" w:themeColor="text1" w:themeShade="80"/>
              </w:rPr>
              <w:t>GORCAP region</w:t>
            </w:r>
            <w:r w:rsidRPr="001454B0">
              <w:rPr>
                <w:rFonts w:ascii="Arial" w:hAnsi="Arial"/>
                <w:color w:val="111111" w:themeColor="text1" w:themeShade="80"/>
              </w:rPr>
              <w:t xml:space="preserve">) </w:t>
            </w:r>
            <w:r>
              <w:rPr>
                <w:rFonts w:ascii="Arial" w:hAnsi="Arial"/>
                <w:color w:val="111111" w:themeColor="text1" w:themeShade="80"/>
              </w:rPr>
              <w:t>were not us</w:t>
            </w:r>
            <w:r w:rsidRPr="001454B0">
              <w:rPr>
                <w:rFonts w:ascii="Arial" w:hAnsi="Arial"/>
                <w:color w:val="111111" w:themeColor="text1" w:themeShade="80"/>
              </w:rPr>
              <w:t xml:space="preserve">ed for the GOR </w:t>
            </w:r>
            <w:r>
              <w:rPr>
                <w:rFonts w:ascii="Arial" w:hAnsi="Arial"/>
                <w:color w:val="111111" w:themeColor="text1" w:themeShade="80"/>
              </w:rPr>
              <w:t>analysis.</w:t>
            </w:r>
            <w:r w:rsidRPr="001454B0">
              <w:rPr>
                <w:rFonts w:ascii="Arial" w:hAnsi="Arial"/>
                <w:color w:val="111111" w:themeColor="text1" w:themeShade="80"/>
              </w:rPr>
              <w:t xml:space="preserve"> </w:t>
            </w:r>
          </w:p>
        </w:tc>
      </w:tr>
      <w:tr w:rsidR="00044D92" w:rsidRPr="009E34B4" w14:paraId="70B46C1E" w14:textId="77777777" w:rsidTr="00A459D5">
        <w:trPr>
          <w:trHeight w:val="976"/>
        </w:trPr>
        <w:tc>
          <w:tcPr>
            <w:cnfStyle w:val="001000000000" w:firstRow="0" w:lastRow="0" w:firstColumn="1" w:lastColumn="0" w:oddVBand="0" w:evenVBand="0" w:oddHBand="0" w:evenHBand="0" w:firstRowFirstColumn="0" w:firstRowLastColumn="0" w:lastRowFirstColumn="0" w:lastRowLastColumn="0"/>
            <w:tcW w:w="622" w:type="pct"/>
          </w:tcPr>
          <w:p w14:paraId="3313CAA4" w14:textId="77777777" w:rsidR="00B55451" w:rsidRPr="001454B0" w:rsidRDefault="00B55451" w:rsidP="00A459D5">
            <w:pPr>
              <w:pStyle w:val="TableTextLeft"/>
              <w:rPr>
                <w:rFonts w:ascii="Arial" w:hAnsi="Arial"/>
                <w:color w:val="111111" w:themeColor="text1" w:themeShade="80"/>
              </w:rPr>
            </w:pPr>
            <w:r w:rsidRPr="001454B0">
              <w:rPr>
                <w:rFonts w:ascii="Arial" w:hAnsi="Arial"/>
                <w:color w:val="111111" w:themeColor="text1" w:themeShade="80"/>
              </w:rPr>
              <w:t>Port Phillip and Westernport CMA (2015) The distribution and abundance of ‘blue carbon’ within Port Phillip and Westernport</w:t>
            </w:r>
          </w:p>
        </w:tc>
        <w:tc>
          <w:tcPr>
            <w:tcW w:w="2312" w:type="pct"/>
          </w:tcPr>
          <w:p w14:paraId="1951D39E"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sidRPr="001454B0">
              <w:rPr>
                <w:rFonts w:ascii="Arial" w:hAnsi="Arial"/>
                <w:color w:val="111111" w:themeColor="text1" w:themeShade="80"/>
              </w:rPr>
              <w:t>This study developed the first blue carbon stock assessment for Port Phillip and Westernport, focussing on sedimentary organic carbon.   Port Phillip and Westernport have an estimated total blue carbon sediment stock of 1,025,203 tonnes over the top 30 cm of sediment.  The average soil carbon content is 80 tonnes carbon per hectare (over the top 30 cm), for saltmarsh 104 tonnes/ha, mangrove 83 tonnes/ha and seagrass 39 tonnes/ha. Because sampling was confined to the top 30 cm of sediment, the carbon estimates given here are highly conservative.</w:t>
            </w:r>
          </w:p>
        </w:tc>
        <w:tc>
          <w:tcPr>
            <w:tcW w:w="174" w:type="pct"/>
            <w:shd w:val="clear" w:color="auto" w:fill="FF0000"/>
          </w:tcPr>
          <w:p w14:paraId="7330064C"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sidRPr="001454B0">
              <w:rPr>
                <w:rFonts w:ascii="Arial" w:hAnsi="Arial"/>
                <w:color w:val="111111" w:themeColor="text1" w:themeShade="80"/>
              </w:rPr>
              <w:t>No</w:t>
            </w:r>
          </w:p>
        </w:tc>
        <w:tc>
          <w:tcPr>
            <w:tcW w:w="1892" w:type="pct"/>
          </w:tcPr>
          <w:p w14:paraId="146E90C4"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bCs/>
                <w:color w:val="111111" w:themeColor="text1" w:themeShade="80"/>
              </w:rPr>
            </w:pPr>
            <w:r w:rsidRPr="001454B0">
              <w:rPr>
                <w:rFonts w:ascii="Arial" w:hAnsi="Arial"/>
                <w:bCs/>
                <w:color w:val="111111" w:themeColor="text1" w:themeShade="80"/>
              </w:rPr>
              <w:t>Coastal margin:</w:t>
            </w:r>
            <w:r w:rsidRPr="001454B0">
              <w:rPr>
                <w:rFonts w:ascii="Arial" w:hAnsi="Arial"/>
                <w:color w:val="111111" w:themeColor="text1" w:themeShade="80"/>
              </w:rPr>
              <w:t xml:space="preserve"> Estimates of tonnes of carbon stored for seagrass, mangroves and saltmarsh in Port Phillip and Westernport will not be applied to the </w:t>
            </w:r>
            <w:r>
              <w:rPr>
                <w:rFonts w:ascii="Arial" w:hAnsi="Arial"/>
                <w:color w:val="111111" w:themeColor="text1" w:themeShade="80"/>
              </w:rPr>
              <w:t>GORCAP region</w:t>
            </w:r>
            <w:r w:rsidRPr="001454B0">
              <w:rPr>
                <w:rFonts w:ascii="Arial" w:hAnsi="Arial"/>
                <w:color w:val="111111" w:themeColor="text1" w:themeShade="80"/>
              </w:rPr>
              <w:t xml:space="preserve"> as other estimates exist for the </w:t>
            </w:r>
            <w:r>
              <w:rPr>
                <w:rFonts w:ascii="Arial" w:hAnsi="Arial"/>
                <w:color w:val="111111" w:themeColor="text1" w:themeShade="80"/>
              </w:rPr>
              <w:t>GORCAP region</w:t>
            </w:r>
            <w:r w:rsidRPr="001454B0">
              <w:rPr>
                <w:rFonts w:ascii="Arial" w:hAnsi="Arial"/>
                <w:color w:val="111111" w:themeColor="text1" w:themeShade="80"/>
              </w:rPr>
              <w:t xml:space="preserve"> (i.e. Corangamite).</w:t>
            </w:r>
          </w:p>
        </w:tc>
      </w:tr>
      <w:tr w:rsidR="00044D92" w:rsidRPr="009E34B4" w14:paraId="0F6C064E" w14:textId="77777777" w:rsidTr="00A459D5">
        <w:trPr>
          <w:trHeight w:val="976"/>
        </w:trPr>
        <w:tc>
          <w:tcPr>
            <w:cnfStyle w:val="001000000000" w:firstRow="0" w:lastRow="0" w:firstColumn="1" w:lastColumn="0" w:oddVBand="0" w:evenVBand="0" w:oddHBand="0" w:evenHBand="0" w:firstRowFirstColumn="0" w:firstRowLastColumn="0" w:lastRowFirstColumn="0" w:lastRowLastColumn="0"/>
            <w:tcW w:w="622" w:type="pct"/>
          </w:tcPr>
          <w:p w14:paraId="54A4AE96" w14:textId="77777777" w:rsidR="00B55451" w:rsidRPr="001454B0" w:rsidRDefault="00B55451" w:rsidP="00A459D5">
            <w:pPr>
              <w:pStyle w:val="TableTextLeft"/>
              <w:rPr>
                <w:rFonts w:ascii="Arial" w:hAnsi="Arial"/>
                <w:color w:val="111111" w:themeColor="text1" w:themeShade="80"/>
              </w:rPr>
            </w:pPr>
            <w:r w:rsidRPr="001454B0">
              <w:rPr>
                <w:rFonts w:ascii="Arial" w:hAnsi="Arial"/>
                <w:color w:val="111111" w:themeColor="text1" w:themeShade="80"/>
              </w:rPr>
              <w:t>Ewers et al (2018) Variability and vulnerability of coastal ‘blue carbon’ stocks: A case study from southeast Australia</w:t>
            </w:r>
          </w:p>
        </w:tc>
        <w:tc>
          <w:tcPr>
            <w:tcW w:w="2312" w:type="pct"/>
          </w:tcPr>
          <w:p w14:paraId="4CCA9BB7"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sidRPr="001454B0">
              <w:rPr>
                <w:rFonts w:ascii="Arial" w:hAnsi="Arial"/>
                <w:color w:val="111111" w:themeColor="text1" w:themeShade="80"/>
              </w:rPr>
              <w:t>This study developed estimates of blue carbon ecosystems - seagrasses, tidal marshes, and mangroves.  The average soil carbon content for saltmarsh is 87 tonnes carbon per hectare over the top 30 cm, for mangroves 66 tonnes carbon per hectare, seagrass 24 tonnes carbon per hectare.</w:t>
            </w:r>
          </w:p>
        </w:tc>
        <w:tc>
          <w:tcPr>
            <w:tcW w:w="174" w:type="pct"/>
            <w:shd w:val="clear" w:color="auto" w:fill="FF0000"/>
          </w:tcPr>
          <w:p w14:paraId="13C4928D"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sidRPr="001454B0">
              <w:rPr>
                <w:rFonts w:ascii="Arial" w:hAnsi="Arial"/>
                <w:color w:val="111111" w:themeColor="text1" w:themeShade="80"/>
              </w:rPr>
              <w:t xml:space="preserve">No </w:t>
            </w:r>
          </w:p>
        </w:tc>
        <w:tc>
          <w:tcPr>
            <w:tcW w:w="1892" w:type="pct"/>
          </w:tcPr>
          <w:p w14:paraId="7736E13E"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bCs/>
                <w:color w:val="111111" w:themeColor="text1" w:themeShade="80"/>
              </w:rPr>
            </w:pPr>
            <w:r w:rsidRPr="001454B0">
              <w:rPr>
                <w:rFonts w:ascii="Arial" w:hAnsi="Arial"/>
                <w:bCs/>
                <w:color w:val="111111" w:themeColor="text1" w:themeShade="80"/>
              </w:rPr>
              <w:t>Coastal margin:</w:t>
            </w:r>
            <w:r w:rsidRPr="001454B0">
              <w:rPr>
                <w:rFonts w:ascii="Arial" w:hAnsi="Arial"/>
                <w:color w:val="111111" w:themeColor="text1" w:themeShade="80"/>
              </w:rPr>
              <w:t xml:space="preserve"> Estimates of tonnes of carbon stored for seagrass, mangroves and saltmarsh in southeast Australia will not be applied to the </w:t>
            </w:r>
            <w:r>
              <w:rPr>
                <w:rFonts w:ascii="Arial" w:hAnsi="Arial"/>
                <w:color w:val="111111" w:themeColor="text1" w:themeShade="80"/>
              </w:rPr>
              <w:t>GORCAP region</w:t>
            </w:r>
            <w:r w:rsidRPr="001454B0">
              <w:rPr>
                <w:rFonts w:ascii="Arial" w:hAnsi="Arial"/>
                <w:color w:val="111111" w:themeColor="text1" w:themeShade="80"/>
              </w:rPr>
              <w:t xml:space="preserve"> as other more specific estimates exist for the </w:t>
            </w:r>
            <w:r>
              <w:rPr>
                <w:rFonts w:ascii="Arial" w:hAnsi="Arial"/>
                <w:color w:val="111111" w:themeColor="text1" w:themeShade="80"/>
              </w:rPr>
              <w:t>GORCAP region</w:t>
            </w:r>
            <w:r w:rsidRPr="001454B0">
              <w:rPr>
                <w:rFonts w:ascii="Arial" w:hAnsi="Arial"/>
                <w:color w:val="111111" w:themeColor="text1" w:themeShade="80"/>
              </w:rPr>
              <w:t xml:space="preserve"> (i.e. Corangamite).</w:t>
            </w:r>
          </w:p>
        </w:tc>
      </w:tr>
      <w:tr w:rsidR="00044D92" w:rsidRPr="009E34B4" w14:paraId="14E0BCFB" w14:textId="77777777" w:rsidTr="00A459D5">
        <w:trPr>
          <w:trHeight w:val="976"/>
        </w:trPr>
        <w:tc>
          <w:tcPr>
            <w:cnfStyle w:val="001000000000" w:firstRow="0" w:lastRow="0" w:firstColumn="1" w:lastColumn="0" w:oddVBand="0" w:evenVBand="0" w:oddHBand="0" w:evenHBand="0" w:firstRowFirstColumn="0" w:firstRowLastColumn="0" w:lastRowFirstColumn="0" w:lastRowLastColumn="0"/>
            <w:tcW w:w="622" w:type="pct"/>
          </w:tcPr>
          <w:p w14:paraId="3E3A9EB3" w14:textId="77777777" w:rsidR="00B55451" w:rsidRPr="001454B0" w:rsidRDefault="00B55451" w:rsidP="00A459D5">
            <w:pPr>
              <w:pStyle w:val="TableTextLeft"/>
              <w:rPr>
                <w:rFonts w:ascii="Arial" w:hAnsi="Arial"/>
                <w:color w:val="111111" w:themeColor="text1" w:themeShade="80"/>
              </w:rPr>
            </w:pPr>
            <w:r w:rsidRPr="001454B0">
              <w:rPr>
                <w:rFonts w:ascii="Arial" w:hAnsi="Arial"/>
                <w:color w:val="111111" w:themeColor="text1" w:themeShade="80"/>
              </w:rPr>
              <w:t>Carnell (2019) Mapping Ocean Wealth Australia - portal</w:t>
            </w:r>
          </w:p>
        </w:tc>
        <w:tc>
          <w:tcPr>
            <w:tcW w:w="2312" w:type="pct"/>
          </w:tcPr>
          <w:p w14:paraId="69E713FD"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sidRPr="001454B0">
              <w:rPr>
                <w:rFonts w:ascii="Arial" w:hAnsi="Arial"/>
                <w:color w:val="111111" w:themeColor="text1" w:themeShade="80"/>
              </w:rPr>
              <w:t xml:space="preserve">This study estimates of the spatial distribution of soil carbon stock for seagrass, mangrove and tidal marsh across Australia, including the </w:t>
            </w:r>
            <w:r>
              <w:rPr>
                <w:rFonts w:ascii="Arial" w:hAnsi="Arial"/>
                <w:color w:val="111111" w:themeColor="text1" w:themeShade="80"/>
              </w:rPr>
              <w:t>GORCAP region</w:t>
            </w:r>
            <w:r w:rsidRPr="001454B0">
              <w:rPr>
                <w:rFonts w:ascii="Arial" w:hAnsi="Arial"/>
                <w:color w:val="111111" w:themeColor="text1" w:themeShade="80"/>
              </w:rPr>
              <w:t xml:space="preserve"> (as well as estimates of potential carbon sequestration by 2050 and 2100 which will be relevant for asset valuation). The mapped estimates can be accessed through the Mapping Ocean Wealth Explorer - a data portal.</w:t>
            </w:r>
          </w:p>
        </w:tc>
        <w:tc>
          <w:tcPr>
            <w:tcW w:w="174" w:type="pct"/>
            <w:shd w:val="clear" w:color="auto" w:fill="FF0000"/>
          </w:tcPr>
          <w:p w14:paraId="60F6BE61"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Pr>
                <w:rFonts w:ascii="Arial" w:hAnsi="Arial"/>
                <w:color w:val="111111" w:themeColor="text1" w:themeShade="80"/>
              </w:rPr>
              <w:t>No</w:t>
            </w:r>
          </w:p>
        </w:tc>
        <w:tc>
          <w:tcPr>
            <w:tcW w:w="1892" w:type="pct"/>
          </w:tcPr>
          <w:p w14:paraId="74F27789"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bCs/>
                <w:color w:val="111111" w:themeColor="text1" w:themeShade="80"/>
              </w:rPr>
            </w:pPr>
            <w:r w:rsidRPr="001454B0">
              <w:rPr>
                <w:rFonts w:ascii="Arial" w:hAnsi="Arial"/>
                <w:bCs/>
                <w:color w:val="111111" w:themeColor="text1" w:themeShade="80"/>
              </w:rPr>
              <w:t>Coastal margin:</w:t>
            </w:r>
            <w:r w:rsidRPr="001454B0">
              <w:rPr>
                <w:rFonts w:ascii="Arial" w:hAnsi="Arial"/>
                <w:color w:val="111111" w:themeColor="text1" w:themeShade="80"/>
              </w:rPr>
              <w:t xml:space="preserve"> Estimates of tonnes of carbon stored for seagrass, mangrove and tidal marsh will be used if they can be accessed for the </w:t>
            </w:r>
            <w:r>
              <w:rPr>
                <w:rFonts w:ascii="Arial" w:hAnsi="Arial"/>
                <w:color w:val="111111" w:themeColor="text1" w:themeShade="80"/>
              </w:rPr>
              <w:t>GORCAP region</w:t>
            </w:r>
            <w:r w:rsidRPr="001454B0">
              <w:rPr>
                <w:rFonts w:ascii="Arial" w:hAnsi="Arial"/>
                <w:color w:val="111111" w:themeColor="text1" w:themeShade="80"/>
              </w:rPr>
              <w:t xml:space="preserve">.  These estimates </w:t>
            </w:r>
            <w:r>
              <w:rPr>
                <w:rFonts w:ascii="Arial" w:hAnsi="Arial"/>
                <w:color w:val="111111" w:themeColor="text1" w:themeShade="80"/>
              </w:rPr>
              <w:t xml:space="preserve">were not included </w:t>
            </w:r>
            <w:r w:rsidRPr="001454B0">
              <w:rPr>
                <w:rFonts w:ascii="Arial" w:hAnsi="Arial"/>
                <w:color w:val="111111" w:themeColor="text1" w:themeShade="80"/>
              </w:rPr>
              <w:t xml:space="preserve">in the </w:t>
            </w:r>
            <w:r>
              <w:rPr>
                <w:rFonts w:ascii="Arial" w:hAnsi="Arial"/>
                <w:color w:val="111111" w:themeColor="text1" w:themeShade="80"/>
              </w:rPr>
              <w:t>GORCAP EEA</w:t>
            </w:r>
            <w:r w:rsidRPr="001454B0">
              <w:rPr>
                <w:rFonts w:ascii="Arial" w:hAnsi="Arial"/>
                <w:color w:val="111111" w:themeColor="text1" w:themeShade="80"/>
              </w:rPr>
              <w:t>.</w:t>
            </w:r>
          </w:p>
        </w:tc>
      </w:tr>
      <w:tr w:rsidR="00044D92" w:rsidRPr="009E34B4" w14:paraId="65894060" w14:textId="77777777" w:rsidTr="00A459D5">
        <w:trPr>
          <w:trHeight w:val="976"/>
        </w:trPr>
        <w:tc>
          <w:tcPr>
            <w:cnfStyle w:val="001000000000" w:firstRow="0" w:lastRow="0" w:firstColumn="1" w:lastColumn="0" w:oddVBand="0" w:evenVBand="0" w:oddHBand="0" w:evenHBand="0" w:firstRowFirstColumn="0" w:firstRowLastColumn="0" w:lastRowFirstColumn="0" w:lastRowLastColumn="0"/>
            <w:tcW w:w="622" w:type="pct"/>
          </w:tcPr>
          <w:p w14:paraId="0CBEA68E" w14:textId="77777777" w:rsidR="00B55451" w:rsidRPr="001454B0" w:rsidRDefault="00B55451" w:rsidP="00A459D5">
            <w:pPr>
              <w:pStyle w:val="TableTextLeft"/>
              <w:rPr>
                <w:rFonts w:ascii="Arial" w:hAnsi="Arial"/>
                <w:color w:val="111111" w:themeColor="text1" w:themeShade="80"/>
              </w:rPr>
            </w:pPr>
            <w:r w:rsidRPr="001454B0">
              <w:rPr>
                <w:rFonts w:ascii="Arial" w:hAnsi="Arial"/>
                <w:color w:val="111111" w:themeColor="text1" w:themeShade="80"/>
              </w:rPr>
              <w:t xml:space="preserve">Carnell et al (2016) Carbon sequestration by Victorian inland wetlands. Blue Carbon Lab, Deakin </w:t>
            </w:r>
            <w:r w:rsidRPr="001454B0">
              <w:rPr>
                <w:rFonts w:ascii="Arial" w:hAnsi="Arial"/>
                <w:color w:val="111111" w:themeColor="text1" w:themeShade="80"/>
              </w:rPr>
              <w:lastRenderedPageBreak/>
              <w:t>University, Victoria, Australia.</w:t>
            </w:r>
          </w:p>
        </w:tc>
        <w:tc>
          <w:tcPr>
            <w:tcW w:w="2312" w:type="pct"/>
          </w:tcPr>
          <w:p w14:paraId="09084000"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sidRPr="001454B0">
              <w:rPr>
                <w:rFonts w:ascii="Arial" w:hAnsi="Arial"/>
                <w:color w:val="111111" w:themeColor="text1" w:themeShade="80"/>
              </w:rPr>
              <w:lastRenderedPageBreak/>
              <w:t xml:space="preserve">This study provided estimates of carbon storage capacity for Victoria’s inland wetlands.  Wetlands were chosen from a list of priority wetlands identified by each of the ten Victorian Catchment Management Authorities (CMAs) and consisted of the following wetland categories: freshwater meadow (126 tonnes/ha), shallow freshwater marsh (201 tonnes / ha), deep freshwater marsh (233 tonnes/ha), permanent open freshwater (113 tonnes/ha), saline wetland (64 tonnes/ha), and high country peatland (293 tonnes/ha). </w:t>
            </w:r>
            <w:r w:rsidRPr="001454B0">
              <w:rPr>
                <w:rFonts w:ascii="Arial" w:hAnsi="Arial"/>
                <w:color w:val="111111" w:themeColor="text1" w:themeShade="80"/>
              </w:rPr>
              <w:lastRenderedPageBreak/>
              <w:t>Estimates are also provided for different CMA’s within Victoria including Corangamite for saline (73 tonnes/ha), permanent freshwater (314 tonnes / ha) and deep freshwater marsh (250 tonnes / ha) and Glenelg Hopkins for permanent open freshwater (127 tonnes / ha), freshwater meadow (18 tonnes / ha), shallow freshwater marsh (175 tonnes / ha) and deep freshwater marsh (491 tonnes/ha).</w:t>
            </w:r>
          </w:p>
        </w:tc>
        <w:tc>
          <w:tcPr>
            <w:tcW w:w="174" w:type="pct"/>
            <w:shd w:val="clear" w:color="auto" w:fill="FF0000"/>
          </w:tcPr>
          <w:p w14:paraId="1C8BEC23"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Pr>
                <w:rFonts w:ascii="Arial" w:hAnsi="Arial"/>
                <w:color w:val="111111" w:themeColor="text1" w:themeShade="80"/>
              </w:rPr>
              <w:lastRenderedPageBreak/>
              <w:t>No</w:t>
            </w:r>
          </w:p>
        </w:tc>
        <w:tc>
          <w:tcPr>
            <w:tcW w:w="1892" w:type="pct"/>
          </w:tcPr>
          <w:p w14:paraId="3EEEADAB"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bCs/>
                <w:color w:val="111111" w:themeColor="text1" w:themeShade="80"/>
              </w:rPr>
            </w:pPr>
            <w:r w:rsidRPr="001454B0">
              <w:rPr>
                <w:rFonts w:ascii="Arial" w:hAnsi="Arial"/>
                <w:bCs/>
                <w:color w:val="111111" w:themeColor="text1" w:themeShade="80"/>
              </w:rPr>
              <w:t xml:space="preserve">Freshwater and wetland: </w:t>
            </w:r>
            <w:r w:rsidRPr="001454B0">
              <w:rPr>
                <w:rFonts w:ascii="Arial" w:hAnsi="Arial"/>
                <w:color w:val="111111" w:themeColor="text1" w:themeShade="80"/>
              </w:rPr>
              <w:t xml:space="preserve">Estimates of tonnes of carbon stored for freshwater and wetlands within </w:t>
            </w:r>
            <w:r>
              <w:rPr>
                <w:rFonts w:ascii="Arial" w:hAnsi="Arial"/>
                <w:color w:val="111111" w:themeColor="text1" w:themeShade="80"/>
              </w:rPr>
              <w:t>GORCAP region</w:t>
            </w:r>
            <w:r w:rsidRPr="001454B0">
              <w:rPr>
                <w:rFonts w:ascii="Arial" w:hAnsi="Arial"/>
                <w:color w:val="111111" w:themeColor="text1" w:themeShade="80"/>
              </w:rPr>
              <w:t xml:space="preserve"> </w:t>
            </w:r>
            <w:r>
              <w:rPr>
                <w:rFonts w:ascii="Arial" w:hAnsi="Arial"/>
                <w:color w:val="111111" w:themeColor="text1" w:themeShade="80"/>
              </w:rPr>
              <w:t>were considered for</w:t>
            </w:r>
            <w:r w:rsidRPr="001454B0">
              <w:rPr>
                <w:rFonts w:ascii="Arial" w:hAnsi="Arial"/>
                <w:color w:val="111111" w:themeColor="text1" w:themeShade="80"/>
              </w:rPr>
              <w:t xml:space="preserve"> habitat specific estimates for Corangamite CMA and Glenelg Hopkins CMA where these exist and on the Victorian average values for  habitats where CMA specific estimates do not exist</w:t>
            </w:r>
            <w:r>
              <w:rPr>
                <w:rFonts w:ascii="Arial" w:hAnsi="Arial"/>
                <w:color w:val="111111" w:themeColor="text1" w:themeShade="80"/>
              </w:rPr>
              <w:t xml:space="preserve"> but were not used in the final analysis.</w:t>
            </w:r>
            <w:r w:rsidRPr="001454B0">
              <w:rPr>
                <w:rFonts w:ascii="Arial" w:hAnsi="Arial"/>
                <w:color w:val="111111" w:themeColor="text1" w:themeShade="80"/>
              </w:rPr>
              <w:t xml:space="preserve">   </w:t>
            </w:r>
          </w:p>
        </w:tc>
      </w:tr>
    </w:tbl>
    <w:p w14:paraId="5D77991C" w14:textId="77777777" w:rsidR="00B55451" w:rsidRPr="00F6683D" w:rsidRDefault="00B55451" w:rsidP="00044D92">
      <w:pPr>
        <w:pStyle w:val="Caption"/>
      </w:pPr>
      <w:r w:rsidRPr="00F6683D">
        <w:t xml:space="preserve">Table </w:t>
      </w:r>
      <w:r w:rsidRPr="00347C4B">
        <w:t>A3.</w:t>
      </w:r>
      <w:r>
        <w:t>18</w:t>
      </w:r>
      <w:r w:rsidRPr="00F6683D">
        <w:t xml:space="preserve">. </w:t>
      </w:r>
      <w:r>
        <w:t xml:space="preserve">Carbon sequestration - </w:t>
      </w:r>
      <w:r w:rsidRPr="00F6683D">
        <w:t>Review of methods</w:t>
      </w:r>
      <w:r>
        <w:t xml:space="preserve"> and data</w:t>
      </w:r>
      <w:r w:rsidRPr="00F6683D">
        <w:t xml:space="preserve"> used to estimate the physical provision of global climate regulation from ecosystem assets in Victoria</w:t>
      </w:r>
      <w:r>
        <w:t xml:space="preserve"> </w:t>
      </w:r>
    </w:p>
    <w:tbl>
      <w:tblPr>
        <w:tblStyle w:val="TableGrid"/>
        <w:tblW w:w="5047" w:type="pct"/>
        <w:tblLook w:val="04A0" w:firstRow="1" w:lastRow="0" w:firstColumn="1" w:lastColumn="0" w:noHBand="0" w:noVBand="1"/>
      </w:tblPr>
      <w:tblGrid>
        <w:gridCol w:w="2683"/>
        <w:gridCol w:w="9960"/>
        <w:gridCol w:w="748"/>
        <w:gridCol w:w="8181"/>
        <w:gridCol w:w="174"/>
      </w:tblGrid>
      <w:tr w:rsidR="00044D92" w:rsidRPr="009E34B4" w14:paraId="6C8D99F2" w14:textId="77777777" w:rsidTr="00A459D5">
        <w:trPr>
          <w:gridAfter w:val="1"/>
          <w:cnfStyle w:val="100000000000" w:firstRow="1" w:lastRow="0" w:firstColumn="0" w:lastColumn="0" w:oddVBand="0" w:evenVBand="0" w:oddHBand="0" w:evenHBand="0" w:firstRowFirstColumn="0" w:firstRowLastColumn="0" w:lastRowFirstColumn="0" w:lastRowLastColumn="0"/>
          <w:wAfter w:w="41" w:type="pct"/>
          <w:trHeight w:val="253"/>
          <w:tblHeader/>
        </w:trPr>
        <w:tc>
          <w:tcPr>
            <w:cnfStyle w:val="001000000000" w:firstRow="0" w:lastRow="0" w:firstColumn="1" w:lastColumn="0" w:oddVBand="0" w:evenVBand="0" w:oddHBand="0" w:evenHBand="0" w:firstRowFirstColumn="0" w:firstRowLastColumn="0" w:lastRowFirstColumn="0" w:lastRowLastColumn="0"/>
            <w:tcW w:w="617" w:type="pct"/>
          </w:tcPr>
          <w:p w14:paraId="5039B923" w14:textId="77777777" w:rsidR="00B55451" w:rsidRPr="006011F8" w:rsidRDefault="00B55451" w:rsidP="00A459D5">
            <w:pPr>
              <w:pStyle w:val="TableHeadingLeft"/>
            </w:pPr>
            <w:r w:rsidRPr="006011F8">
              <w:t>Source</w:t>
            </w:r>
          </w:p>
        </w:tc>
        <w:tc>
          <w:tcPr>
            <w:tcW w:w="2290" w:type="pct"/>
          </w:tcPr>
          <w:p w14:paraId="5180581E" w14:textId="77777777" w:rsidR="00B55451" w:rsidRPr="006011F8" w:rsidRDefault="00B55451" w:rsidP="00A459D5">
            <w:pPr>
              <w:pStyle w:val="TableHeadingLeft"/>
              <w:cnfStyle w:val="100000000000" w:firstRow="1" w:lastRow="0" w:firstColumn="0" w:lastColumn="0" w:oddVBand="0" w:evenVBand="0" w:oddHBand="0" w:evenHBand="0" w:firstRowFirstColumn="0" w:firstRowLastColumn="0" w:lastRowFirstColumn="0" w:lastRowLastColumn="0"/>
            </w:pPr>
            <w:r w:rsidRPr="006011F8">
              <w:t>Description</w:t>
            </w:r>
          </w:p>
        </w:tc>
        <w:tc>
          <w:tcPr>
            <w:tcW w:w="2053" w:type="pct"/>
            <w:gridSpan w:val="2"/>
          </w:tcPr>
          <w:p w14:paraId="43C16006" w14:textId="77777777" w:rsidR="00B55451" w:rsidRPr="009E34B4" w:rsidRDefault="00B55451" w:rsidP="00A459D5">
            <w:pPr>
              <w:pStyle w:val="TableHeadingLeft"/>
              <w:cnfStyle w:val="100000000000" w:firstRow="1" w:lastRow="0" w:firstColumn="0" w:lastColumn="0" w:oddVBand="0" w:evenVBand="0" w:oddHBand="0" w:evenHBand="0" w:firstRowFirstColumn="0" w:firstRowLastColumn="0" w:lastRowFirstColumn="0" w:lastRowLastColumn="0"/>
              <w:rPr>
                <w:highlight w:val="yellow"/>
              </w:rPr>
            </w:pPr>
            <w:r>
              <w:t>U</w:t>
            </w:r>
            <w:r w:rsidRPr="000C4D01">
              <w:t>se</w:t>
            </w:r>
            <w:r>
              <w:t>d</w:t>
            </w:r>
            <w:r w:rsidRPr="000C4D01">
              <w:t xml:space="preserve"> in </w:t>
            </w:r>
            <w:r>
              <w:t>GORCAP EEA?</w:t>
            </w:r>
          </w:p>
        </w:tc>
      </w:tr>
      <w:tr w:rsidR="00044D92" w:rsidRPr="009E34B4" w14:paraId="348DB59A" w14:textId="77777777" w:rsidTr="00A459D5">
        <w:trPr>
          <w:trHeight w:val="253"/>
        </w:trPr>
        <w:tc>
          <w:tcPr>
            <w:cnfStyle w:val="001000000000" w:firstRow="0" w:lastRow="0" w:firstColumn="1" w:lastColumn="0" w:oddVBand="0" w:evenVBand="0" w:oddHBand="0" w:evenHBand="0" w:firstRowFirstColumn="0" w:firstRowLastColumn="0" w:lastRowFirstColumn="0" w:lastRowLastColumn="0"/>
            <w:tcW w:w="617" w:type="pct"/>
          </w:tcPr>
          <w:p w14:paraId="0F57DBF8" w14:textId="77777777" w:rsidR="00B55451" w:rsidRPr="001454B0" w:rsidRDefault="00B55451" w:rsidP="00A459D5">
            <w:pPr>
              <w:pStyle w:val="TableTextLeft"/>
              <w:rPr>
                <w:color w:val="111111" w:themeColor="text1" w:themeShade="80"/>
              </w:rPr>
            </w:pPr>
            <w:r w:rsidRPr="001454B0">
              <w:rPr>
                <w:rFonts w:ascii="Arial" w:hAnsi="Arial"/>
                <w:color w:val="111111" w:themeColor="text1" w:themeShade="80"/>
              </w:rPr>
              <w:t xml:space="preserve">DISER </w:t>
            </w:r>
            <w:proofErr w:type="spellStart"/>
            <w:r w:rsidRPr="001454B0">
              <w:rPr>
                <w:rFonts w:ascii="Arial" w:hAnsi="Arial"/>
                <w:color w:val="111111" w:themeColor="text1" w:themeShade="80"/>
              </w:rPr>
              <w:t>FullCAM</w:t>
            </w:r>
            <w:proofErr w:type="spellEnd"/>
            <w:r w:rsidRPr="001454B0">
              <w:rPr>
                <w:rFonts w:ascii="Arial" w:hAnsi="Arial"/>
                <w:color w:val="111111" w:themeColor="text1" w:themeShade="80"/>
              </w:rPr>
              <w:t xml:space="preserve"> modelling data</w:t>
            </w:r>
          </w:p>
        </w:tc>
        <w:tc>
          <w:tcPr>
            <w:tcW w:w="2290" w:type="pct"/>
          </w:tcPr>
          <w:p w14:paraId="389E60BB"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sidRPr="001454B0">
              <w:rPr>
                <w:rFonts w:ascii="Arial" w:hAnsi="Arial"/>
                <w:bCs/>
                <w:color w:val="111111" w:themeColor="text1" w:themeShade="80"/>
              </w:rPr>
              <w:t>Carbon sequestration (net and gross):</w:t>
            </w:r>
            <w:r w:rsidRPr="001454B0">
              <w:rPr>
                <w:rFonts w:ascii="Arial" w:hAnsi="Arial"/>
                <w:color w:val="111111" w:themeColor="text1" w:themeShade="80"/>
              </w:rPr>
              <w:t xml:space="preserve"> As noted under carbon retention, the Full Carbon Accounting Model (</w:t>
            </w:r>
            <w:proofErr w:type="spellStart"/>
            <w:r w:rsidRPr="001454B0">
              <w:rPr>
                <w:rFonts w:ascii="Arial" w:hAnsi="Arial"/>
                <w:color w:val="111111" w:themeColor="text1" w:themeShade="80"/>
              </w:rPr>
              <w:t>FullCAM</w:t>
            </w:r>
            <w:proofErr w:type="spellEnd"/>
            <w:r w:rsidRPr="001454B0">
              <w:rPr>
                <w:rFonts w:ascii="Arial" w:hAnsi="Arial"/>
                <w:color w:val="111111" w:themeColor="text1" w:themeShade="80"/>
              </w:rPr>
              <w:t xml:space="preserve">) is a calculation tool for modelling Australia’s greenhouse gas emissions from the land sector. </w:t>
            </w:r>
            <w:proofErr w:type="spellStart"/>
            <w:r w:rsidRPr="001454B0">
              <w:rPr>
                <w:rFonts w:ascii="Arial" w:hAnsi="Arial"/>
                <w:color w:val="111111" w:themeColor="text1" w:themeShade="80"/>
              </w:rPr>
              <w:t>FullCAM</w:t>
            </w:r>
            <w:proofErr w:type="spellEnd"/>
            <w:r w:rsidRPr="001454B0">
              <w:rPr>
                <w:rFonts w:ascii="Arial" w:hAnsi="Arial"/>
                <w:color w:val="111111" w:themeColor="text1" w:themeShade="80"/>
              </w:rPr>
              <w:t xml:space="preserve"> estimates carbon stocks including additions and reductions in ecosystems carbon stocks including:</w:t>
            </w:r>
          </w:p>
          <w:p w14:paraId="2EF1C325"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sidRPr="001454B0">
              <w:rPr>
                <w:rFonts w:ascii="Arial" w:hAnsi="Arial"/>
                <w:color w:val="111111" w:themeColor="text1" w:themeShade="80"/>
              </w:rPr>
              <w:t>Above and below ground biomass.</w:t>
            </w:r>
          </w:p>
          <w:p w14:paraId="0BD83AC9"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sidRPr="001454B0">
              <w:rPr>
                <w:rFonts w:ascii="Arial" w:hAnsi="Arial"/>
                <w:color w:val="111111" w:themeColor="text1" w:themeShade="80"/>
              </w:rPr>
              <w:t>Standing and decomposing debris.</w:t>
            </w:r>
          </w:p>
          <w:p w14:paraId="0153EA6B"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sidRPr="001454B0">
              <w:rPr>
                <w:rFonts w:ascii="Arial" w:hAnsi="Arial"/>
                <w:color w:val="111111" w:themeColor="text1" w:themeShade="80"/>
              </w:rPr>
              <w:t>Soil carbon resulting from land use and management activities.</w:t>
            </w:r>
          </w:p>
        </w:tc>
        <w:tc>
          <w:tcPr>
            <w:tcW w:w="172" w:type="pct"/>
            <w:shd w:val="clear" w:color="auto" w:fill="FF0000"/>
          </w:tcPr>
          <w:p w14:paraId="0B54C398"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color w:val="111111" w:themeColor="text1" w:themeShade="80"/>
              </w:rPr>
            </w:pPr>
            <w:r>
              <w:rPr>
                <w:rFonts w:ascii="Arial" w:hAnsi="Arial"/>
                <w:color w:val="111111" w:themeColor="text1" w:themeShade="80"/>
              </w:rPr>
              <w:t>No</w:t>
            </w:r>
          </w:p>
        </w:tc>
        <w:tc>
          <w:tcPr>
            <w:tcW w:w="1921" w:type="pct"/>
            <w:gridSpan w:val="2"/>
          </w:tcPr>
          <w:p w14:paraId="4DE064F4"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color w:val="111111" w:themeColor="text1" w:themeShade="80"/>
              </w:rPr>
            </w:pPr>
            <w:r w:rsidRPr="001454B0">
              <w:rPr>
                <w:rFonts w:ascii="Arial" w:hAnsi="Arial"/>
                <w:color w:val="111111" w:themeColor="text1" w:themeShade="80"/>
              </w:rPr>
              <w:t xml:space="preserve">All land ecosystem assets: </w:t>
            </w:r>
            <w:r w:rsidRPr="001454B0">
              <w:rPr>
                <w:rFonts w:ascii="Arial" w:hAnsi="Arial"/>
                <w:bCs/>
                <w:color w:val="111111" w:themeColor="text1" w:themeShade="80"/>
              </w:rPr>
              <w:t>This approach</w:t>
            </w:r>
            <w:r>
              <w:rPr>
                <w:rFonts w:ascii="Arial" w:hAnsi="Arial"/>
                <w:bCs/>
                <w:color w:val="111111" w:themeColor="text1" w:themeShade="80"/>
              </w:rPr>
              <w:t xml:space="preserve"> would have</w:t>
            </w:r>
            <w:r w:rsidRPr="001454B0">
              <w:rPr>
                <w:rFonts w:ascii="Arial" w:hAnsi="Arial"/>
                <w:bCs/>
                <w:color w:val="111111" w:themeColor="text1" w:themeShade="80"/>
              </w:rPr>
              <w:t xml:space="preserve"> provide</w:t>
            </w:r>
            <w:r>
              <w:rPr>
                <w:rFonts w:ascii="Arial" w:hAnsi="Arial"/>
                <w:bCs/>
                <w:color w:val="111111" w:themeColor="text1" w:themeShade="80"/>
              </w:rPr>
              <w:t>d</w:t>
            </w:r>
            <w:r w:rsidRPr="001454B0">
              <w:rPr>
                <w:rFonts w:ascii="Arial" w:hAnsi="Arial"/>
                <w:bCs/>
                <w:color w:val="111111" w:themeColor="text1" w:themeShade="80"/>
              </w:rPr>
              <w:t xml:space="preserve"> estimates of net and gross carbon sequestration services provided by all land ecosystem assets within the </w:t>
            </w:r>
            <w:r>
              <w:rPr>
                <w:rFonts w:ascii="Arial" w:hAnsi="Arial"/>
                <w:bCs/>
                <w:color w:val="111111" w:themeColor="text1" w:themeShade="80"/>
              </w:rPr>
              <w:t>GORCAP region</w:t>
            </w:r>
            <w:r w:rsidRPr="001454B0">
              <w:rPr>
                <w:rFonts w:ascii="Arial" w:hAnsi="Arial"/>
                <w:bCs/>
                <w:color w:val="111111" w:themeColor="text1" w:themeShade="80"/>
              </w:rPr>
              <w:t>.</w:t>
            </w:r>
            <w:r>
              <w:rPr>
                <w:rFonts w:ascii="Arial" w:hAnsi="Arial"/>
                <w:bCs/>
                <w:color w:val="111111" w:themeColor="text1" w:themeShade="80"/>
              </w:rPr>
              <w:t xml:space="preserve"> However, it was not possible to obtain this information from DISER in time for input to this project. </w:t>
            </w:r>
            <w:r w:rsidRPr="001454B0">
              <w:rPr>
                <w:rFonts w:ascii="Arial" w:hAnsi="Arial"/>
                <w:bCs/>
                <w:color w:val="111111" w:themeColor="text1" w:themeShade="80"/>
              </w:rPr>
              <w:t xml:space="preserve"> </w:t>
            </w:r>
          </w:p>
        </w:tc>
      </w:tr>
      <w:tr w:rsidR="00044D92" w:rsidRPr="009E34B4" w14:paraId="1D6DC169" w14:textId="77777777" w:rsidTr="00A459D5">
        <w:trPr>
          <w:trHeight w:val="2004"/>
        </w:trPr>
        <w:tc>
          <w:tcPr>
            <w:cnfStyle w:val="001000000000" w:firstRow="0" w:lastRow="0" w:firstColumn="1" w:lastColumn="0" w:oddVBand="0" w:evenVBand="0" w:oddHBand="0" w:evenHBand="0" w:firstRowFirstColumn="0" w:firstRowLastColumn="0" w:lastRowFirstColumn="0" w:lastRowLastColumn="0"/>
            <w:tcW w:w="617" w:type="pct"/>
          </w:tcPr>
          <w:p w14:paraId="3B7CA5B8" w14:textId="77777777" w:rsidR="00B55451" w:rsidRPr="001454B0" w:rsidRDefault="00B55451" w:rsidP="00A459D5">
            <w:pPr>
              <w:pStyle w:val="TableTextLeft"/>
              <w:rPr>
                <w:rFonts w:ascii="Arial" w:hAnsi="Arial"/>
                <w:color w:val="111111" w:themeColor="text1" w:themeShade="80"/>
              </w:rPr>
            </w:pPr>
            <w:r w:rsidRPr="001454B0">
              <w:rPr>
                <w:rFonts w:ascii="Arial" w:hAnsi="Arial"/>
                <w:color w:val="111111" w:themeColor="text1" w:themeShade="80"/>
              </w:rPr>
              <w:t>DELWP and Parks Victoria (2015), Valuing Victoria’s Parks: Accounting for ecosystems and valuing their benefits</w:t>
            </w:r>
          </w:p>
          <w:p w14:paraId="37EE5657" w14:textId="77777777" w:rsidR="00B55451" w:rsidRPr="001454B0" w:rsidRDefault="00B55451" w:rsidP="00A459D5">
            <w:pPr>
              <w:pStyle w:val="TableTextLeft"/>
              <w:rPr>
                <w:rFonts w:ascii="Arial" w:hAnsi="Arial"/>
                <w:color w:val="111111" w:themeColor="text1" w:themeShade="80"/>
              </w:rPr>
            </w:pPr>
          </w:p>
        </w:tc>
        <w:tc>
          <w:tcPr>
            <w:tcW w:w="2290" w:type="pct"/>
          </w:tcPr>
          <w:p w14:paraId="4D7320EB"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sidRPr="001454B0">
              <w:rPr>
                <w:rFonts w:ascii="Arial" w:hAnsi="Arial"/>
                <w:bCs/>
                <w:color w:val="111111" w:themeColor="text1" w:themeShade="80"/>
              </w:rPr>
              <w:t xml:space="preserve">Carbon sequestration (gross): </w:t>
            </w:r>
            <w:r w:rsidRPr="001454B0">
              <w:rPr>
                <w:rFonts w:ascii="Arial" w:hAnsi="Arial"/>
                <w:color w:val="111111" w:themeColor="text1" w:themeShade="80"/>
              </w:rPr>
              <w:t>This study estimates the carbon sequestered as a result of (a) parks revegetation programs using a value of 2 tonnes of carbon per hectare per year (not CO</w:t>
            </w:r>
            <w:r w:rsidRPr="001454B0">
              <w:rPr>
                <w:rFonts w:ascii="Arial" w:hAnsi="Arial"/>
                <w:color w:val="111111" w:themeColor="text1" w:themeShade="80"/>
                <w:vertAlign w:val="subscript"/>
              </w:rPr>
              <w:t>2</w:t>
            </w:r>
            <w:r w:rsidRPr="001454B0">
              <w:rPr>
                <w:rFonts w:ascii="Arial" w:hAnsi="Arial"/>
                <w:color w:val="111111" w:themeColor="text1" w:themeShade="80"/>
              </w:rPr>
              <w:t>e) as a conservative estimate</w:t>
            </w:r>
            <w:r w:rsidRPr="001454B0">
              <w:rPr>
                <w:rFonts w:ascii="Arial" w:hAnsi="Arial"/>
                <w:i/>
                <w:color w:val="111111" w:themeColor="text1" w:themeShade="80"/>
              </w:rPr>
              <w:t xml:space="preserve"> </w:t>
            </w:r>
            <w:r w:rsidRPr="001454B0">
              <w:rPr>
                <w:rFonts w:ascii="Arial" w:hAnsi="Arial"/>
                <w:color w:val="111111" w:themeColor="text1" w:themeShade="80"/>
              </w:rPr>
              <w:t>based on an uncited reference to a study which estimates the carbon sequestration rate of revegetation sites in the dryland regions of South Australia of 7.6 CO</w:t>
            </w:r>
            <w:r w:rsidRPr="001454B0">
              <w:rPr>
                <w:rFonts w:ascii="Arial" w:hAnsi="Arial"/>
                <w:color w:val="111111" w:themeColor="text1" w:themeShade="80"/>
                <w:vertAlign w:val="subscript"/>
              </w:rPr>
              <w:t>2</w:t>
            </w:r>
            <w:r w:rsidRPr="001454B0">
              <w:rPr>
                <w:rFonts w:ascii="Arial" w:hAnsi="Arial"/>
                <w:color w:val="111111" w:themeColor="text1" w:themeShade="80"/>
              </w:rPr>
              <w:t>-e t/ha/year and (b) forest revegetation program using a value of 5 tonnes of carbon per hectare per year (not CO</w:t>
            </w:r>
            <w:r w:rsidRPr="001454B0">
              <w:rPr>
                <w:rFonts w:ascii="Arial" w:hAnsi="Arial"/>
                <w:color w:val="111111" w:themeColor="text1" w:themeShade="80"/>
                <w:vertAlign w:val="subscript"/>
              </w:rPr>
              <w:t>2</w:t>
            </w:r>
            <w:r w:rsidRPr="001454B0">
              <w:rPr>
                <w:rFonts w:ascii="Arial" w:hAnsi="Arial"/>
                <w:color w:val="111111" w:themeColor="text1" w:themeShade="80"/>
              </w:rPr>
              <w:t>e)</w:t>
            </w:r>
            <w:r w:rsidRPr="001454B0">
              <w:rPr>
                <w:rFonts w:ascii="Arial" w:hAnsi="Arial"/>
                <w:i/>
                <w:color w:val="111111" w:themeColor="text1" w:themeShade="80"/>
              </w:rPr>
              <w:t xml:space="preserve"> </w:t>
            </w:r>
            <w:r w:rsidRPr="001454B0">
              <w:rPr>
                <w:rFonts w:ascii="Arial" w:hAnsi="Arial"/>
                <w:color w:val="111111" w:themeColor="text1" w:themeShade="80"/>
              </w:rPr>
              <w:t xml:space="preserve">based on estimates by </w:t>
            </w:r>
            <w:proofErr w:type="spellStart"/>
            <w:r w:rsidRPr="001454B0">
              <w:rPr>
                <w:rFonts w:ascii="Arial" w:hAnsi="Arial"/>
                <w:color w:val="111111" w:themeColor="text1" w:themeShade="80"/>
              </w:rPr>
              <w:t>Greenfleet</w:t>
            </w:r>
            <w:proofErr w:type="spellEnd"/>
            <w:r w:rsidRPr="001454B0">
              <w:rPr>
                <w:rFonts w:ascii="Arial" w:hAnsi="Arial"/>
                <w:color w:val="111111" w:themeColor="text1" w:themeShade="80"/>
              </w:rPr>
              <w:t xml:space="preserve"> (a carbon offsetting provider, although further details of how this has been estimated are not provided).</w:t>
            </w:r>
            <w:r>
              <w:rPr>
                <w:rStyle w:val="FootnoteReference"/>
                <w:rFonts w:ascii="Arial" w:hAnsi="Arial" w:cs="Arial"/>
                <w:color w:val="111111" w:themeColor="text1" w:themeShade="80"/>
              </w:rPr>
              <w:footnoteReference w:id="97"/>
            </w:r>
          </w:p>
        </w:tc>
        <w:tc>
          <w:tcPr>
            <w:tcW w:w="172" w:type="pct"/>
            <w:shd w:val="clear" w:color="auto" w:fill="FF0000"/>
          </w:tcPr>
          <w:p w14:paraId="54C2C4FE"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Pr>
                <w:rFonts w:ascii="Arial" w:hAnsi="Arial"/>
                <w:color w:val="111111" w:themeColor="text1" w:themeShade="80"/>
              </w:rPr>
              <w:t>No</w:t>
            </w:r>
          </w:p>
        </w:tc>
        <w:tc>
          <w:tcPr>
            <w:tcW w:w="1921" w:type="pct"/>
            <w:gridSpan w:val="2"/>
          </w:tcPr>
          <w:p w14:paraId="4F0C1425"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sidRPr="001454B0">
              <w:rPr>
                <w:rFonts w:ascii="Arial" w:hAnsi="Arial"/>
                <w:color w:val="111111" w:themeColor="text1" w:themeShade="80"/>
              </w:rPr>
              <w:t>Forests: the estimate of tonnes of carbon sequestered per hectare for trees (2 to 5 tonnes of carbon per hectare per year) w</w:t>
            </w:r>
            <w:r>
              <w:rPr>
                <w:rFonts w:ascii="Arial" w:hAnsi="Arial"/>
                <w:color w:val="111111" w:themeColor="text1" w:themeShade="80"/>
              </w:rPr>
              <w:t xml:space="preserve">as not used </w:t>
            </w:r>
            <w:r w:rsidRPr="001454B0">
              <w:rPr>
                <w:rFonts w:ascii="Arial" w:hAnsi="Arial"/>
                <w:color w:val="111111" w:themeColor="text1" w:themeShade="80"/>
              </w:rPr>
              <w:t xml:space="preserve">to develop the </w:t>
            </w:r>
            <w:r>
              <w:rPr>
                <w:rFonts w:ascii="Arial" w:hAnsi="Arial"/>
                <w:color w:val="111111" w:themeColor="text1" w:themeShade="80"/>
              </w:rPr>
              <w:t>environmental-economic account</w:t>
            </w:r>
            <w:r w:rsidRPr="001454B0">
              <w:rPr>
                <w:rFonts w:ascii="Arial" w:hAnsi="Arial"/>
                <w:color w:val="111111" w:themeColor="text1" w:themeShade="80"/>
              </w:rPr>
              <w:t xml:space="preserve"> for the GOR, specifically forests habitats</w:t>
            </w:r>
            <w:r>
              <w:rPr>
                <w:rFonts w:ascii="Arial" w:hAnsi="Arial"/>
                <w:color w:val="111111" w:themeColor="text1" w:themeShade="80"/>
              </w:rPr>
              <w:t>. This is because this will be captured within other more comprehensive datasets/analysis for the GOR.</w:t>
            </w:r>
          </w:p>
        </w:tc>
      </w:tr>
      <w:tr w:rsidR="00044D92" w:rsidRPr="009E34B4" w14:paraId="30E3C98D" w14:textId="77777777" w:rsidTr="00A459D5">
        <w:trPr>
          <w:trHeight w:val="976"/>
        </w:trPr>
        <w:tc>
          <w:tcPr>
            <w:cnfStyle w:val="001000000000" w:firstRow="0" w:lastRow="0" w:firstColumn="1" w:lastColumn="0" w:oddVBand="0" w:evenVBand="0" w:oddHBand="0" w:evenHBand="0" w:firstRowFirstColumn="0" w:firstRowLastColumn="0" w:lastRowFirstColumn="0" w:lastRowLastColumn="0"/>
            <w:tcW w:w="617" w:type="pct"/>
          </w:tcPr>
          <w:p w14:paraId="16A19730" w14:textId="77777777" w:rsidR="00B55451" w:rsidRPr="001454B0" w:rsidRDefault="00B55451" w:rsidP="00A459D5">
            <w:pPr>
              <w:pStyle w:val="TableTextLeft"/>
              <w:rPr>
                <w:rFonts w:ascii="Arial" w:hAnsi="Arial"/>
                <w:color w:val="111111" w:themeColor="text1" w:themeShade="80"/>
              </w:rPr>
            </w:pPr>
            <w:r w:rsidRPr="001454B0">
              <w:rPr>
                <w:rFonts w:ascii="Arial" w:hAnsi="Arial"/>
                <w:color w:val="111111" w:themeColor="text1" w:themeShade="80"/>
              </w:rPr>
              <w:t xml:space="preserve">DELWP (2016), Marine and Coastal </w:t>
            </w:r>
            <w:r>
              <w:rPr>
                <w:rFonts w:ascii="Arial" w:hAnsi="Arial"/>
                <w:color w:val="111111" w:themeColor="text1" w:themeShade="80"/>
              </w:rPr>
              <w:t>Environmental-economic account</w:t>
            </w:r>
            <w:r w:rsidRPr="001454B0">
              <w:rPr>
                <w:rFonts w:ascii="Arial" w:hAnsi="Arial"/>
                <w:color w:val="111111" w:themeColor="text1" w:themeShade="80"/>
              </w:rPr>
              <w:t>ing: Port Phillip Bay</w:t>
            </w:r>
          </w:p>
          <w:p w14:paraId="5031CF33" w14:textId="77777777" w:rsidR="00B55451" w:rsidRPr="001454B0" w:rsidRDefault="00B55451" w:rsidP="00A459D5">
            <w:pPr>
              <w:pStyle w:val="TableTextLeft"/>
              <w:rPr>
                <w:rFonts w:ascii="Arial" w:hAnsi="Arial"/>
                <w:i/>
                <w:iCs/>
                <w:color w:val="111111" w:themeColor="text1" w:themeShade="80"/>
              </w:rPr>
            </w:pPr>
            <w:r>
              <w:rPr>
                <w:rFonts w:ascii="Arial" w:hAnsi="Arial"/>
                <w:i/>
                <w:iCs/>
                <w:color w:val="111111" w:themeColor="text1" w:themeShade="80"/>
              </w:rPr>
              <w:t>and</w:t>
            </w:r>
          </w:p>
          <w:p w14:paraId="21E6AB4D" w14:textId="77777777" w:rsidR="00B55451" w:rsidRPr="001454B0" w:rsidRDefault="00B55451" w:rsidP="00A459D5">
            <w:pPr>
              <w:pStyle w:val="TableTextLeft"/>
              <w:rPr>
                <w:rFonts w:ascii="Arial" w:hAnsi="Arial"/>
                <w:color w:val="111111" w:themeColor="text1" w:themeShade="80"/>
              </w:rPr>
            </w:pPr>
            <w:r w:rsidRPr="00CE6E51">
              <w:rPr>
                <w:rFonts w:ascii="Arial" w:hAnsi="Arial"/>
                <w:color w:val="1A1A1A"/>
              </w:rPr>
              <w:t>Carnell et al (2015) The distribution and abundance of ‘blue carbon’ within Port Phillip and Westernport</w:t>
            </w:r>
          </w:p>
        </w:tc>
        <w:tc>
          <w:tcPr>
            <w:tcW w:w="2290" w:type="pct"/>
          </w:tcPr>
          <w:p w14:paraId="29465F4C"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sidRPr="001454B0">
              <w:rPr>
                <w:rFonts w:ascii="Arial" w:hAnsi="Arial"/>
                <w:bCs/>
                <w:color w:val="111111" w:themeColor="text1" w:themeShade="80"/>
              </w:rPr>
              <w:t>Carbon sequestration (gross):</w:t>
            </w:r>
            <w:r w:rsidRPr="001454B0">
              <w:rPr>
                <w:rFonts w:ascii="Arial" w:hAnsi="Arial"/>
                <w:color w:val="111111" w:themeColor="text1" w:themeShade="80"/>
              </w:rPr>
              <w:t xml:space="preserve"> This study has used available data to produce a draft set of environmental-economic accounts for Port Phillip Bay. Sequestration rates for marine vegetation (e.g. seagrass) in the coastal and marine ecosystems in Port Phillip Bay are unknown. However, the study references estimates of carbon sequestration from the scientific literature which indicate a rate of up to 0.83 tonnes of carbon per hectare per year for seagrass (Port Phillip and Westernport Catchment Management Authority, 2015). That study was also reviewed and it also states carbon sequestration estimates from the literature for saltmarsh of 1.51 tonnes of carbon per hectare per year and mangroves of 1.39 tonnes of carbon per hectare per year. These figures are also noted in Carnell et al (2015) study on Corangamite. </w:t>
            </w:r>
          </w:p>
        </w:tc>
        <w:tc>
          <w:tcPr>
            <w:tcW w:w="172" w:type="pct"/>
            <w:shd w:val="clear" w:color="auto" w:fill="92D050"/>
          </w:tcPr>
          <w:p w14:paraId="0BC2B48A"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highlight w:val="yellow"/>
              </w:rPr>
            </w:pPr>
            <w:r w:rsidRPr="001454B0">
              <w:rPr>
                <w:rFonts w:ascii="Arial" w:hAnsi="Arial"/>
                <w:color w:val="111111" w:themeColor="text1" w:themeShade="80"/>
              </w:rPr>
              <w:t>Yes</w:t>
            </w:r>
          </w:p>
        </w:tc>
        <w:tc>
          <w:tcPr>
            <w:tcW w:w="1921" w:type="pct"/>
            <w:gridSpan w:val="2"/>
          </w:tcPr>
          <w:p w14:paraId="4794C203"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highlight w:val="yellow"/>
              </w:rPr>
            </w:pPr>
            <w:r w:rsidRPr="001454B0">
              <w:rPr>
                <w:rFonts w:ascii="Arial" w:hAnsi="Arial"/>
                <w:bCs/>
                <w:color w:val="111111" w:themeColor="text1" w:themeShade="80"/>
              </w:rPr>
              <w:t>Coastal margin:</w:t>
            </w:r>
            <w:r w:rsidRPr="001454B0">
              <w:rPr>
                <w:rFonts w:ascii="Arial" w:hAnsi="Arial"/>
                <w:color w:val="111111" w:themeColor="text1" w:themeShade="80"/>
              </w:rPr>
              <w:t xml:space="preserve"> Whilst this study does not identify Victoria specific estimates of carbon sequestration, the estimates of tonnes of carbon sequestered per hectare for seagrass (0.83 tonnes of carbon per hectare per year), mangroves (1.39 tonnes of carbon per hectare per year) and saltmarsh (1.51 tonnes of carbon per hectare per year) have been used within the Victorian context already (in the Port Phillip Bay </w:t>
            </w:r>
            <w:r>
              <w:rPr>
                <w:rFonts w:ascii="Arial" w:hAnsi="Arial"/>
                <w:color w:val="111111" w:themeColor="text1" w:themeShade="80"/>
              </w:rPr>
              <w:t>environmental-economic account</w:t>
            </w:r>
            <w:r w:rsidRPr="001454B0">
              <w:rPr>
                <w:rFonts w:ascii="Arial" w:hAnsi="Arial"/>
                <w:color w:val="111111" w:themeColor="text1" w:themeShade="80"/>
              </w:rPr>
              <w:t xml:space="preserve">) and so will be considered for inclusion.  These figures will be </w:t>
            </w:r>
            <w:r>
              <w:rPr>
                <w:rFonts w:ascii="Arial" w:hAnsi="Arial"/>
                <w:color w:val="111111" w:themeColor="text1" w:themeShade="80"/>
              </w:rPr>
              <w:t>converted to CO</w:t>
            </w:r>
            <w:r w:rsidRPr="00270F48">
              <w:rPr>
                <w:rFonts w:ascii="Arial" w:hAnsi="Arial"/>
                <w:color w:val="111111" w:themeColor="text1" w:themeShade="80"/>
                <w:vertAlign w:val="subscript"/>
              </w:rPr>
              <w:t>2</w:t>
            </w:r>
            <w:r>
              <w:rPr>
                <w:rFonts w:ascii="Arial" w:hAnsi="Arial"/>
                <w:color w:val="111111" w:themeColor="text1" w:themeShade="80"/>
              </w:rPr>
              <w:t>e and used to produce a range</w:t>
            </w:r>
            <w:r w:rsidRPr="001454B0">
              <w:rPr>
                <w:rFonts w:ascii="Arial" w:hAnsi="Arial"/>
                <w:color w:val="111111" w:themeColor="text1" w:themeShade="80"/>
              </w:rPr>
              <w:t xml:space="preserve"> alongside other estimates</w:t>
            </w:r>
            <w:r>
              <w:rPr>
                <w:rFonts w:ascii="Arial" w:hAnsi="Arial"/>
                <w:color w:val="111111" w:themeColor="text1" w:themeShade="80"/>
              </w:rPr>
              <w:t xml:space="preserve"> </w:t>
            </w:r>
            <w:r w:rsidRPr="001454B0">
              <w:rPr>
                <w:rFonts w:ascii="Arial" w:hAnsi="Arial"/>
                <w:color w:val="111111" w:themeColor="text1" w:themeShade="80"/>
              </w:rPr>
              <w:t xml:space="preserve">(e.g. from </w:t>
            </w:r>
            <w:r>
              <w:rPr>
                <w:rFonts w:ascii="Arial" w:hAnsi="Arial"/>
                <w:color w:val="111111" w:themeColor="text1" w:themeShade="80"/>
              </w:rPr>
              <w:t>Carnell et al, 2019</w:t>
            </w:r>
            <w:r w:rsidRPr="001454B0">
              <w:rPr>
                <w:rFonts w:ascii="Arial" w:hAnsi="Arial"/>
                <w:color w:val="111111" w:themeColor="text1" w:themeShade="80"/>
              </w:rPr>
              <w:t xml:space="preserve"> and Young et al) in order to add to the evidence base and provide some level of confidence.</w:t>
            </w:r>
          </w:p>
        </w:tc>
      </w:tr>
      <w:tr w:rsidR="00044D92" w:rsidRPr="009E34B4" w14:paraId="6F3ABB86" w14:textId="77777777" w:rsidTr="00A459D5">
        <w:trPr>
          <w:trHeight w:val="976"/>
        </w:trPr>
        <w:tc>
          <w:tcPr>
            <w:cnfStyle w:val="001000000000" w:firstRow="0" w:lastRow="0" w:firstColumn="1" w:lastColumn="0" w:oddVBand="0" w:evenVBand="0" w:oddHBand="0" w:evenHBand="0" w:firstRowFirstColumn="0" w:firstRowLastColumn="0" w:lastRowFirstColumn="0" w:lastRowLastColumn="0"/>
            <w:tcW w:w="617" w:type="pct"/>
          </w:tcPr>
          <w:p w14:paraId="2DB8059C" w14:textId="77777777" w:rsidR="00B55451" w:rsidRPr="001454B0" w:rsidRDefault="00B55451" w:rsidP="00A459D5">
            <w:pPr>
              <w:pStyle w:val="TableTextLeft"/>
              <w:rPr>
                <w:rFonts w:ascii="Arial" w:hAnsi="Arial"/>
                <w:color w:val="111111" w:themeColor="text1" w:themeShade="80"/>
              </w:rPr>
            </w:pPr>
            <w:r w:rsidRPr="001454B0">
              <w:rPr>
                <w:rFonts w:ascii="Arial" w:hAnsi="Arial"/>
                <w:color w:val="111111" w:themeColor="text1" w:themeShade="80"/>
              </w:rPr>
              <w:t>DELWP (2019), Ecosystem Services from Forests in Victoria: Assessment of Regional Forest Agreement Regions</w:t>
            </w:r>
          </w:p>
          <w:p w14:paraId="07BBEDEB" w14:textId="77777777" w:rsidR="00B55451" w:rsidRPr="001454B0" w:rsidRDefault="00B55451" w:rsidP="00A459D5">
            <w:pPr>
              <w:pStyle w:val="TableTextLeft"/>
              <w:rPr>
                <w:rFonts w:ascii="Arial" w:hAnsi="Arial"/>
                <w:i/>
                <w:iCs/>
                <w:color w:val="111111" w:themeColor="text1" w:themeShade="80"/>
              </w:rPr>
            </w:pPr>
            <w:r w:rsidRPr="001454B0">
              <w:rPr>
                <w:rFonts w:ascii="Arial" w:hAnsi="Arial"/>
                <w:i/>
                <w:iCs/>
                <w:color w:val="111111" w:themeColor="text1" w:themeShade="80"/>
              </w:rPr>
              <w:t>and</w:t>
            </w:r>
          </w:p>
          <w:p w14:paraId="4FA30558" w14:textId="77777777" w:rsidR="00B55451" w:rsidRPr="001454B0" w:rsidRDefault="00B55451" w:rsidP="00A459D5">
            <w:pPr>
              <w:pStyle w:val="TableTextLeft"/>
              <w:rPr>
                <w:rFonts w:ascii="Arial" w:hAnsi="Arial"/>
                <w:color w:val="111111" w:themeColor="text1" w:themeShade="80"/>
              </w:rPr>
            </w:pPr>
            <w:r w:rsidRPr="001454B0">
              <w:rPr>
                <w:rFonts w:ascii="Arial" w:hAnsi="Arial"/>
                <w:color w:val="111111" w:themeColor="text1" w:themeShade="80"/>
              </w:rPr>
              <w:t>DELWP (2019) Above Ground Biomass, Victorian Forest Monitoring Program</w:t>
            </w:r>
          </w:p>
        </w:tc>
        <w:tc>
          <w:tcPr>
            <w:tcW w:w="2290" w:type="pct"/>
          </w:tcPr>
          <w:p w14:paraId="3C10EAEB"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color w:val="111111" w:themeColor="text1" w:themeShade="80"/>
              </w:rPr>
            </w:pPr>
            <w:r w:rsidRPr="001454B0">
              <w:rPr>
                <w:rFonts w:ascii="Arial" w:hAnsi="Arial"/>
                <w:bCs/>
                <w:color w:val="111111" w:themeColor="text1" w:themeShade="80"/>
              </w:rPr>
              <w:t>Carbon sequestration (net and gross):</w:t>
            </w:r>
            <w:r w:rsidRPr="001454B0">
              <w:rPr>
                <w:rFonts w:ascii="Arial" w:hAnsi="Arial"/>
                <w:color w:val="111111" w:themeColor="text1" w:themeShade="80"/>
              </w:rPr>
              <w:t xml:space="preserve"> This study measured the ecosystem service of carbon sequestration through annual gross additions to the carbon stock on public land based on the Victorian Forest Monitoring Program (VFMP). This means that the increase in the stock of carbon due to sequestration was measured separately to the impact (emissions) from disturbances such as harvesting, fires and the natural dynamics of the forest including dieback and storms and climatic factors such as drought. To isolate annual gross reductions in carbon stock and attribute these losses to bushfire or timber harvesting, annual carbon stocks were subtracted from the proceeding year’s carbon stock to produce a dataset of annual carbon change. Timber harvesting and fire history datasets for each corresponding year were then used to define carbon losses as either bushfire, harvesting or other.</w:t>
            </w:r>
            <w:r w:rsidRPr="001454B0">
              <w:rPr>
                <w:color w:val="111111" w:themeColor="text1" w:themeShade="80"/>
              </w:rPr>
              <w:t xml:space="preserve"> </w:t>
            </w:r>
          </w:p>
          <w:p w14:paraId="70110D10"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p>
          <w:p w14:paraId="592F1AE4"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sidRPr="001454B0">
              <w:rPr>
                <w:rFonts w:ascii="Arial" w:hAnsi="Arial"/>
                <w:color w:val="111111" w:themeColor="text1" w:themeShade="80"/>
              </w:rPr>
              <w:t xml:space="preserve">Biomass data was used to calculate the stock of above ground carbon in forests across Victoria. This includes living and dead above ground biomass, but not below-ground biomass (root systems) or soil carbon. Biomass data was supplied from the Victorian Forest Monitoring Program (VFMP) and was created by integrating Landsat satellite timeseries with Victoria’s forest monitoring and forecasting framework. A conversion factor of 0.47 is used to convert biomass to carbon.  The VFMP covers State forests (of which there is none in </w:t>
            </w:r>
            <w:r>
              <w:rPr>
                <w:rFonts w:ascii="Arial" w:hAnsi="Arial"/>
                <w:color w:val="111111" w:themeColor="text1" w:themeShade="80"/>
              </w:rPr>
              <w:t>GORCAP region</w:t>
            </w:r>
            <w:r w:rsidRPr="001454B0">
              <w:rPr>
                <w:rFonts w:ascii="Arial" w:hAnsi="Arial"/>
                <w:color w:val="111111" w:themeColor="text1" w:themeShade="80"/>
              </w:rPr>
              <w:t xml:space="preserve">), parks, reserves and other Crown land and so will capture some of the </w:t>
            </w:r>
            <w:r>
              <w:rPr>
                <w:rFonts w:ascii="Arial" w:hAnsi="Arial"/>
                <w:color w:val="111111" w:themeColor="text1" w:themeShade="80"/>
              </w:rPr>
              <w:t>GORCAP region</w:t>
            </w:r>
            <w:r w:rsidRPr="001454B0">
              <w:rPr>
                <w:rFonts w:ascii="Arial" w:hAnsi="Arial"/>
                <w:color w:val="111111" w:themeColor="text1" w:themeShade="80"/>
              </w:rPr>
              <w:t>.</w:t>
            </w:r>
          </w:p>
        </w:tc>
        <w:tc>
          <w:tcPr>
            <w:tcW w:w="172" w:type="pct"/>
            <w:shd w:val="clear" w:color="auto" w:fill="FF0000"/>
          </w:tcPr>
          <w:p w14:paraId="7F27953C"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Pr>
                <w:rFonts w:ascii="Arial" w:hAnsi="Arial"/>
                <w:color w:val="111111" w:themeColor="text1" w:themeShade="80"/>
              </w:rPr>
              <w:t>No</w:t>
            </w:r>
          </w:p>
        </w:tc>
        <w:tc>
          <w:tcPr>
            <w:tcW w:w="1921" w:type="pct"/>
            <w:gridSpan w:val="2"/>
          </w:tcPr>
          <w:p w14:paraId="2C951B08"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sidRPr="001454B0">
              <w:rPr>
                <w:rFonts w:ascii="Arial" w:hAnsi="Arial"/>
                <w:bCs/>
                <w:color w:val="111111" w:themeColor="text1" w:themeShade="80"/>
              </w:rPr>
              <w:t xml:space="preserve">Parks, Reserves and Crown Land (also State Forest but </w:t>
            </w:r>
            <w:r>
              <w:rPr>
                <w:rFonts w:ascii="Arial" w:hAnsi="Arial"/>
                <w:bCs/>
                <w:color w:val="111111" w:themeColor="text1" w:themeShade="80"/>
              </w:rPr>
              <w:t xml:space="preserve">there is </w:t>
            </w:r>
            <w:r w:rsidRPr="001454B0">
              <w:rPr>
                <w:rFonts w:ascii="Arial" w:hAnsi="Arial"/>
                <w:bCs/>
                <w:color w:val="111111" w:themeColor="text1" w:themeShade="80"/>
              </w:rPr>
              <w:t>none in</w:t>
            </w:r>
            <w:r>
              <w:rPr>
                <w:rFonts w:ascii="Arial" w:hAnsi="Arial"/>
                <w:bCs/>
                <w:color w:val="111111" w:themeColor="text1" w:themeShade="80"/>
              </w:rPr>
              <w:t xml:space="preserve"> the</w:t>
            </w:r>
            <w:r w:rsidRPr="001454B0">
              <w:rPr>
                <w:rFonts w:ascii="Arial" w:hAnsi="Arial"/>
                <w:bCs/>
                <w:color w:val="111111" w:themeColor="text1" w:themeShade="80"/>
              </w:rPr>
              <w:t xml:space="preserve"> </w:t>
            </w:r>
            <w:r>
              <w:rPr>
                <w:rFonts w:ascii="Arial" w:hAnsi="Arial"/>
                <w:bCs/>
                <w:color w:val="111111" w:themeColor="text1" w:themeShade="80"/>
              </w:rPr>
              <w:t>GORCAP region</w:t>
            </w:r>
            <w:r w:rsidRPr="001454B0">
              <w:rPr>
                <w:rFonts w:ascii="Arial" w:hAnsi="Arial"/>
                <w:bCs/>
                <w:color w:val="111111" w:themeColor="text1" w:themeShade="80"/>
              </w:rPr>
              <w:t xml:space="preserve">): </w:t>
            </w:r>
            <w:r w:rsidRPr="003C7C48">
              <w:rPr>
                <w:rFonts w:ascii="Arial" w:hAnsi="Arial"/>
                <w:bCs/>
                <w:color w:val="111111" w:themeColor="text1" w:themeShade="80"/>
              </w:rPr>
              <w:t>Th</w:t>
            </w:r>
            <w:r w:rsidRPr="001454B0">
              <w:rPr>
                <w:rFonts w:ascii="Arial" w:hAnsi="Arial"/>
                <w:color w:val="111111" w:themeColor="text1" w:themeShade="80"/>
              </w:rPr>
              <w:t xml:space="preserve">is approach based on changes in carbon stocks would enable net and gross figures for carbon sequestration on public land to be estimated. </w:t>
            </w:r>
            <w:r>
              <w:rPr>
                <w:rFonts w:ascii="Arial" w:hAnsi="Arial"/>
                <w:color w:val="111111" w:themeColor="text1" w:themeShade="80"/>
              </w:rPr>
              <w:t>However, it is not used for the GORCAP EEA because this will be captured within other more comprehensive datasets/analysis for the GOR.</w:t>
            </w:r>
          </w:p>
        </w:tc>
      </w:tr>
      <w:tr w:rsidR="00044D92" w:rsidRPr="009E34B4" w14:paraId="05BFB025" w14:textId="77777777" w:rsidTr="00A459D5">
        <w:trPr>
          <w:trHeight w:val="976"/>
        </w:trPr>
        <w:tc>
          <w:tcPr>
            <w:cnfStyle w:val="001000000000" w:firstRow="0" w:lastRow="0" w:firstColumn="1" w:lastColumn="0" w:oddVBand="0" w:evenVBand="0" w:oddHBand="0" w:evenHBand="0" w:firstRowFirstColumn="0" w:firstRowLastColumn="0" w:lastRowFirstColumn="0" w:lastRowLastColumn="0"/>
            <w:tcW w:w="617" w:type="pct"/>
          </w:tcPr>
          <w:p w14:paraId="3B38F7AB" w14:textId="77777777" w:rsidR="00B55451" w:rsidRPr="001454B0" w:rsidRDefault="00B55451" w:rsidP="00A459D5">
            <w:pPr>
              <w:pStyle w:val="TableTextLeft"/>
              <w:rPr>
                <w:rFonts w:ascii="Arial" w:hAnsi="Arial"/>
                <w:color w:val="111111" w:themeColor="text1" w:themeShade="80"/>
              </w:rPr>
            </w:pPr>
            <w:r w:rsidRPr="001454B0">
              <w:rPr>
                <w:rFonts w:ascii="Arial" w:hAnsi="Arial"/>
                <w:color w:val="111111" w:themeColor="text1" w:themeShade="80"/>
              </w:rPr>
              <w:lastRenderedPageBreak/>
              <w:t>England et al. (2006). Rates of carbon sequestration in environmental plantings in north-central Victoria</w:t>
            </w:r>
          </w:p>
        </w:tc>
        <w:tc>
          <w:tcPr>
            <w:tcW w:w="2290" w:type="pct"/>
          </w:tcPr>
          <w:p w14:paraId="13823BDB" w14:textId="77777777" w:rsidR="00B55451"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sidRPr="001454B0">
              <w:rPr>
                <w:rFonts w:ascii="Arial" w:hAnsi="Arial"/>
                <w:bCs/>
                <w:color w:val="111111" w:themeColor="text1" w:themeShade="80"/>
              </w:rPr>
              <w:t>Carbon sequestration (gross):</w:t>
            </w:r>
            <w:r w:rsidRPr="001454B0">
              <w:rPr>
                <w:rFonts w:ascii="Arial" w:hAnsi="Arial"/>
                <w:color w:val="111111" w:themeColor="text1" w:themeShade="80"/>
              </w:rPr>
              <w:t xml:space="preserve"> The original source cannot be found. However, this study was quoted in Mekala et al (2015) and is described as  estimating “rates of carbon sequestration in environmental plantings in north-central Victoria (Australia) in the medium to low rainfall areas, carbon sequestered per ha of green space per year planted with trees is 2.52  tonnes [sic] /ha/annum (with a standard deviation of 1.06) (England et al. 2006)”.</w:t>
            </w:r>
          </w:p>
          <w:p w14:paraId="063F0725" w14:textId="77777777" w:rsidR="00B55451"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p>
          <w:p w14:paraId="3B01CDF7"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sidRPr="001454B0">
              <w:rPr>
                <w:rFonts w:ascii="Arial" w:hAnsi="Arial"/>
                <w:color w:val="111111" w:themeColor="text1" w:themeShade="80"/>
              </w:rPr>
              <w:t xml:space="preserve">Although the original source has not been found, a study which aligns with that described by the same authors has been found (CSIRO and SCION, 2006). The estimate of 2.52 tonnes of carbon sequestered per ha of green space per year planted with trees could be used as a lower bound. The Mekala (2015) study implies that this is an estimate of carbon sequestered in above ground biomass only (hence why it might be lower than the value in DELWP and Parks Victoria, 2015).   </w:t>
            </w:r>
          </w:p>
        </w:tc>
        <w:tc>
          <w:tcPr>
            <w:tcW w:w="172" w:type="pct"/>
            <w:shd w:val="clear" w:color="auto" w:fill="FF0000"/>
          </w:tcPr>
          <w:p w14:paraId="4F47470F"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Pr>
                <w:rFonts w:ascii="Arial" w:hAnsi="Arial"/>
                <w:color w:val="111111" w:themeColor="text1" w:themeShade="80"/>
              </w:rPr>
              <w:t>No</w:t>
            </w:r>
          </w:p>
        </w:tc>
        <w:tc>
          <w:tcPr>
            <w:tcW w:w="1921" w:type="pct"/>
            <w:gridSpan w:val="2"/>
          </w:tcPr>
          <w:p w14:paraId="7C7DEB7A"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sidRPr="001454B0">
              <w:rPr>
                <w:rFonts w:ascii="Arial" w:hAnsi="Arial"/>
                <w:color w:val="111111" w:themeColor="text1" w:themeShade="80"/>
              </w:rPr>
              <w:t xml:space="preserve">Forests:  </w:t>
            </w:r>
            <w:r>
              <w:rPr>
                <w:rFonts w:ascii="Arial" w:hAnsi="Arial"/>
                <w:color w:val="111111" w:themeColor="text1" w:themeShade="80"/>
              </w:rPr>
              <w:t>t</w:t>
            </w:r>
            <w:r w:rsidRPr="001454B0">
              <w:rPr>
                <w:rFonts w:ascii="Arial" w:hAnsi="Arial"/>
                <w:color w:val="111111" w:themeColor="text1" w:themeShade="80"/>
              </w:rPr>
              <w:t>he estimate of tonnes of carbon sequestered per hectare for trees w</w:t>
            </w:r>
            <w:r>
              <w:rPr>
                <w:rFonts w:ascii="Arial" w:hAnsi="Arial"/>
                <w:color w:val="111111" w:themeColor="text1" w:themeShade="80"/>
              </w:rPr>
              <w:t xml:space="preserve">as not used </w:t>
            </w:r>
            <w:r w:rsidRPr="001454B0">
              <w:rPr>
                <w:rFonts w:ascii="Arial" w:hAnsi="Arial"/>
                <w:color w:val="111111" w:themeColor="text1" w:themeShade="80"/>
              </w:rPr>
              <w:t xml:space="preserve">to develop the </w:t>
            </w:r>
            <w:r>
              <w:rPr>
                <w:rFonts w:ascii="Arial" w:hAnsi="Arial"/>
                <w:color w:val="111111" w:themeColor="text1" w:themeShade="80"/>
              </w:rPr>
              <w:t>environmental-economic account</w:t>
            </w:r>
            <w:r w:rsidRPr="001454B0">
              <w:rPr>
                <w:rFonts w:ascii="Arial" w:hAnsi="Arial"/>
                <w:color w:val="111111" w:themeColor="text1" w:themeShade="80"/>
              </w:rPr>
              <w:t xml:space="preserve"> for the GOR, specifically forests habitats</w:t>
            </w:r>
            <w:r>
              <w:rPr>
                <w:rFonts w:ascii="Arial" w:hAnsi="Arial"/>
                <w:color w:val="111111" w:themeColor="text1" w:themeShade="80"/>
              </w:rPr>
              <w:t>. This is because this will be captured within other more comprehensive datasets/analysis for the GOR.</w:t>
            </w:r>
          </w:p>
        </w:tc>
      </w:tr>
      <w:tr w:rsidR="00044D92" w:rsidRPr="009E34B4" w14:paraId="57D7622B" w14:textId="77777777" w:rsidTr="00A459D5">
        <w:trPr>
          <w:trHeight w:val="976"/>
        </w:trPr>
        <w:tc>
          <w:tcPr>
            <w:cnfStyle w:val="001000000000" w:firstRow="0" w:lastRow="0" w:firstColumn="1" w:lastColumn="0" w:oddVBand="0" w:evenVBand="0" w:oddHBand="0" w:evenHBand="0" w:firstRowFirstColumn="0" w:firstRowLastColumn="0" w:lastRowFirstColumn="0" w:lastRowLastColumn="0"/>
            <w:tcW w:w="617" w:type="pct"/>
          </w:tcPr>
          <w:p w14:paraId="25D5227B" w14:textId="77777777" w:rsidR="00B55451" w:rsidRPr="001454B0" w:rsidRDefault="00B55451" w:rsidP="00A459D5">
            <w:pPr>
              <w:pStyle w:val="TableTextLeft"/>
              <w:rPr>
                <w:rFonts w:ascii="Arial" w:hAnsi="Arial"/>
                <w:color w:val="111111" w:themeColor="text1" w:themeShade="80"/>
              </w:rPr>
            </w:pPr>
            <w:r w:rsidRPr="001454B0">
              <w:rPr>
                <w:rFonts w:ascii="Arial" w:hAnsi="Arial"/>
                <w:color w:val="111111" w:themeColor="text1" w:themeShade="80"/>
              </w:rPr>
              <w:t>Carnell et al (2019) Mapping Ocean Wealth Australia</w:t>
            </w:r>
          </w:p>
        </w:tc>
        <w:tc>
          <w:tcPr>
            <w:tcW w:w="2290" w:type="pct"/>
          </w:tcPr>
          <w:p w14:paraId="7C989482"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sidRPr="001454B0">
              <w:rPr>
                <w:rFonts w:ascii="Arial" w:hAnsi="Arial"/>
                <w:bCs/>
                <w:color w:val="111111" w:themeColor="text1" w:themeShade="80"/>
              </w:rPr>
              <w:t>Carbon sequestration (gross):</w:t>
            </w:r>
            <w:r w:rsidRPr="001454B0">
              <w:rPr>
                <w:rFonts w:ascii="Arial" w:hAnsi="Arial"/>
                <w:color w:val="111111" w:themeColor="text1" w:themeShade="80"/>
              </w:rPr>
              <w:t xml:space="preserve"> This study estimates carbon sequestration from seagrasses to be 1,700 kg/ha/year (1.67tonnes/ha/year), saltmarshes to be 2,100 kg/ha/year (2.1 tonnes/ha/year), and mangroves 4,800 kg/ha/year (4.72 tonnes/ha/year). </w:t>
            </w:r>
          </w:p>
        </w:tc>
        <w:tc>
          <w:tcPr>
            <w:tcW w:w="172" w:type="pct"/>
            <w:shd w:val="clear" w:color="auto" w:fill="92D050"/>
          </w:tcPr>
          <w:p w14:paraId="0486388A"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sidRPr="001454B0">
              <w:rPr>
                <w:rFonts w:ascii="Arial" w:hAnsi="Arial"/>
                <w:color w:val="111111" w:themeColor="text1" w:themeShade="80"/>
              </w:rPr>
              <w:t>Yes</w:t>
            </w:r>
          </w:p>
        </w:tc>
        <w:tc>
          <w:tcPr>
            <w:tcW w:w="1921" w:type="pct"/>
            <w:gridSpan w:val="2"/>
          </w:tcPr>
          <w:p w14:paraId="2C33BC9B"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sidRPr="001454B0">
              <w:rPr>
                <w:rFonts w:ascii="Arial" w:hAnsi="Arial"/>
                <w:bCs/>
                <w:color w:val="111111" w:themeColor="text1" w:themeShade="80"/>
              </w:rPr>
              <w:t>Coastal margin:</w:t>
            </w:r>
            <w:r w:rsidRPr="001454B0">
              <w:rPr>
                <w:rFonts w:ascii="Arial" w:hAnsi="Arial"/>
                <w:color w:val="111111" w:themeColor="text1" w:themeShade="80"/>
              </w:rPr>
              <w:t xml:space="preserve"> Estimates of tonnes of carbon sequestered for seagrass (1.67 tonnes/ha/year), saltmarshes (2.1 tonnes/ha/year), and mangroves (4.72 tonnes/ha/year) in</w:t>
            </w:r>
            <w:r w:rsidRPr="001454B0">
              <w:rPr>
                <w:color w:val="111111" w:themeColor="text1" w:themeShade="80"/>
              </w:rPr>
              <w:t xml:space="preserve"> </w:t>
            </w:r>
            <w:r w:rsidRPr="001454B0">
              <w:rPr>
                <w:rFonts w:ascii="Arial" w:hAnsi="Arial"/>
                <w:color w:val="111111" w:themeColor="text1" w:themeShade="80"/>
              </w:rPr>
              <w:t xml:space="preserve">Australia </w:t>
            </w:r>
            <w:r>
              <w:rPr>
                <w:rFonts w:ascii="Arial" w:hAnsi="Arial"/>
                <w:color w:val="111111" w:themeColor="text1" w:themeShade="80"/>
              </w:rPr>
              <w:t>are</w:t>
            </w:r>
            <w:r w:rsidRPr="001454B0">
              <w:rPr>
                <w:rFonts w:ascii="Arial" w:hAnsi="Arial"/>
                <w:color w:val="111111" w:themeColor="text1" w:themeShade="80"/>
              </w:rPr>
              <w:t xml:space="preserve"> applied to the </w:t>
            </w:r>
            <w:r>
              <w:rPr>
                <w:rFonts w:ascii="Arial" w:hAnsi="Arial"/>
                <w:color w:val="111111" w:themeColor="text1" w:themeShade="80"/>
              </w:rPr>
              <w:t>GORCAP region</w:t>
            </w:r>
            <w:r w:rsidRPr="001454B0">
              <w:rPr>
                <w:rFonts w:ascii="Arial" w:hAnsi="Arial"/>
                <w:color w:val="111111" w:themeColor="text1" w:themeShade="80"/>
              </w:rPr>
              <w:t xml:space="preserve"> as these are country specific figures. These figures will be </w:t>
            </w:r>
            <w:r>
              <w:rPr>
                <w:rFonts w:ascii="Arial" w:hAnsi="Arial"/>
                <w:color w:val="111111" w:themeColor="text1" w:themeShade="80"/>
              </w:rPr>
              <w:t>converted to CO</w:t>
            </w:r>
            <w:r w:rsidRPr="00270F48">
              <w:rPr>
                <w:rFonts w:ascii="Arial" w:hAnsi="Arial"/>
                <w:color w:val="111111" w:themeColor="text1" w:themeShade="80"/>
                <w:vertAlign w:val="subscript"/>
              </w:rPr>
              <w:t>2</w:t>
            </w:r>
            <w:r>
              <w:rPr>
                <w:rFonts w:ascii="Arial" w:hAnsi="Arial"/>
                <w:color w:val="111111" w:themeColor="text1" w:themeShade="80"/>
              </w:rPr>
              <w:t>e and used to produce a range</w:t>
            </w:r>
            <w:r w:rsidRPr="001454B0">
              <w:rPr>
                <w:rFonts w:ascii="Arial" w:hAnsi="Arial"/>
                <w:color w:val="111111" w:themeColor="text1" w:themeShade="80"/>
              </w:rPr>
              <w:t xml:space="preserve"> alongside other estimates (e.g. from DELWP, 2016 and Young et al) in order to add to the evidence base and provide some level of confidence.</w:t>
            </w:r>
          </w:p>
        </w:tc>
      </w:tr>
      <w:tr w:rsidR="00044D92" w:rsidRPr="009E34B4" w14:paraId="7CFBCE87" w14:textId="77777777" w:rsidTr="00A459D5">
        <w:trPr>
          <w:trHeight w:val="976"/>
        </w:trPr>
        <w:tc>
          <w:tcPr>
            <w:cnfStyle w:val="001000000000" w:firstRow="0" w:lastRow="0" w:firstColumn="1" w:lastColumn="0" w:oddVBand="0" w:evenVBand="0" w:oddHBand="0" w:evenHBand="0" w:firstRowFirstColumn="0" w:firstRowLastColumn="0" w:lastRowFirstColumn="0" w:lastRowLastColumn="0"/>
            <w:tcW w:w="617" w:type="pct"/>
          </w:tcPr>
          <w:p w14:paraId="7CDDFFFB" w14:textId="77777777" w:rsidR="00B55451" w:rsidRPr="001454B0" w:rsidRDefault="00B55451" w:rsidP="00A459D5">
            <w:pPr>
              <w:pStyle w:val="TableTextLeft"/>
              <w:rPr>
                <w:rFonts w:ascii="Arial" w:hAnsi="Arial"/>
                <w:color w:val="111111" w:themeColor="text1" w:themeShade="80"/>
              </w:rPr>
            </w:pPr>
            <w:r w:rsidRPr="001454B0">
              <w:rPr>
                <w:rFonts w:ascii="Arial" w:hAnsi="Arial"/>
                <w:color w:val="111111" w:themeColor="text1" w:themeShade="80"/>
              </w:rPr>
              <w:t>Carnell et al (2016) Carbon sequestration by Victorian inland wetlands. Blue Carbon Lab, Deakin University, Victoria, Australia.</w:t>
            </w:r>
          </w:p>
        </w:tc>
        <w:tc>
          <w:tcPr>
            <w:tcW w:w="2290" w:type="pct"/>
          </w:tcPr>
          <w:p w14:paraId="6BB243C1"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sidRPr="001454B0">
              <w:rPr>
                <w:rFonts w:ascii="Arial" w:hAnsi="Arial"/>
                <w:bCs/>
                <w:color w:val="111111" w:themeColor="text1" w:themeShade="80"/>
              </w:rPr>
              <w:t>Carbon sequestration (gross):</w:t>
            </w:r>
            <w:r w:rsidRPr="001454B0">
              <w:rPr>
                <w:rFonts w:ascii="Arial" w:hAnsi="Arial"/>
                <w:color w:val="111111" w:themeColor="text1" w:themeShade="80"/>
              </w:rPr>
              <w:t xml:space="preserve"> This study surveyed Victoria’s inland wetlands for their carbon sequestration capacity and estimated average rate of 6.93 tonnes CO</w:t>
            </w:r>
            <w:r w:rsidRPr="001454B0">
              <w:rPr>
                <w:rFonts w:ascii="Arial" w:hAnsi="Arial"/>
                <w:color w:val="111111" w:themeColor="text1" w:themeShade="80"/>
                <w:vertAlign w:val="subscript"/>
              </w:rPr>
              <w:t>2</w:t>
            </w:r>
            <w:r w:rsidRPr="001454B0">
              <w:rPr>
                <w:rFonts w:ascii="Arial" w:hAnsi="Arial"/>
                <w:color w:val="111111" w:themeColor="text1" w:themeShade="80"/>
              </w:rPr>
              <w:t>e / ha / year.</w:t>
            </w:r>
          </w:p>
        </w:tc>
        <w:tc>
          <w:tcPr>
            <w:tcW w:w="172" w:type="pct"/>
            <w:shd w:val="clear" w:color="auto" w:fill="92D050"/>
          </w:tcPr>
          <w:p w14:paraId="30DE41D1"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sidRPr="001454B0">
              <w:rPr>
                <w:rFonts w:ascii="Arial" w:hAnsi="Arial"/>
                <w:color w:val="111111" w:themeColor="text1" w:themeShade="80"/>
              </w:rPr>
              <w:t>Yes</w:t>
            </w:r>
          </w:p>
        </w:tc>
        <w:tc>
          <w:tcPr>
            <w:tcW w:w="1921" w:type="pct"/>
            <w:gridSpan w:val="2"/>
          </w:tcPr>
          <w:p w14:paraId="598FCEC2"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bCs/>
                <w:color w:val="111111" w:themeColor="text1" w:themeShade="80"/>
              </w:rPr>
            </w:pPr>
            <w:r w:rsidRPr="001454B0">
              <w:rPr>
                <w:rFonts w:ascii="Arial" w:hAnsi="Arial"/>
                <w:bCs/>
                <w:color w:val="111111" w:themeColor="text1" w:themeShade="80"/>
              </w:rPr>
              <w:t xml:space="preserve">Freshwater and wetland: </w:t>
            </w:r>
            <w:r w:rsidRPr="001454B0">
              <w:rPr>
                <w:rFonts w:ascii="Arial" w:hAnsi="Arial"/>
                <w:color w:val="111111" w:themeColor="text1" w:themeShade="80"/>
              </w:rPr>
              <w:t xml:space="preserve">Estimates of tonnes of carbon sequestered for freshwater and wetlands within </w:t>
            </w:r>
            <w:r>
              <w:rPr>
                <w:rFonts w:ascii="Arial" w:hAnsi="Arial"/>
                <w:color w:val="111111" w:themeColor="text1" w:themeShade="80"/>
              </w:rPr>
              <w:t>GORCAP region</w:t>
            </w:r>
            <w:r w:rsidRPr="001454B0">
              <w:rPr>
                <w:rFonts w:ascii="Arial" w:hAnsi="Arial"/>
                <w:color w:val="111111" w:themeColor="text1" w:themeShade="80"/>
              </w:rPr>
              <w:t xml:space="preserve"> will use this single estimate from the Carnell et al (2016) study in order to provide an indicative value. Further research is needed if habitat specific estimates of carbon sequestration are to be incorporated into the </w:t>
            </w:r>
            <w:r>
              <w:rPr>
                <w:rFonts w:ascii="Arial" w:hAnsi="Arial"/>
                <w:color w:val="111111" w:themeColor="text1" w:themeShade="80"/>
              </w:rPr>
              <w:t>GORCAP EEA</w:t>
            </w:r>
            <w:r w:rsidRPr="001454B0">
              <w:rPr>
                <w:rFonts w:ascii="Arial" w:hAnsi="Arial"/>
                <w:color w:val="111111" w:themeColor="text1" w:themeShade="80"/>
              </w:rPr>
              <w:t xml:space="preserve">. </w:t>
            </w:r>
          </w:p>
        </w:tc>
      </w:tr>
      <w:tr w:rsidR="00044D92" w:rsidRPr="009E34B4" w14:paraId="35993FF2" w14:textId="77777777" w:rsidTr="00A459D5">
        <w:trPr>
          <w:trHeight w:val="976"/>
        </w:trPr>
        <w:tc>
          <w:tcPr>
            <w:cnfStyle w:val="001000000000" w:firstRow="0" w:lastRow="0" w:firstColumn="1" w:lastColumn="0" w:oddVBand="0" w:evenVBand="0" w:oddHBand="0" w:evenHBand="0" w:firstRowFirstColumn="0" w:firstRowLastColumn="0" w:lastRowFirstColumn="0" w:lastRowLastColumn="0"/>
            <w:tcW w:w="617" w:type="pct"/>
          </w:tcPr>
          <w:p w14:paraId="632EFA04" w14:textId="77777777" w:rsidR="00B55451" w:rsidRPr="001454B0" w:rsidRDefault="00B55451" w:rsidP="00A459D5">
            <w:pPr>
              <w:pStyle w:val="TableTextLeft"/>
              <w:rPr>
                <w:rFonts w:ascii="Arial" w:hAnsi="Arial"/>
                <w:color w:val="111111" w:themeColor="text1" w:themeShade="80"/>
              </w:rPr>
            </w:pPr>
            <w:r w:rsidRPr="001454B0">
              <w:rPr>
                <w:rFonts w:ascii="Arial" w:hAnsi="Arial"/>
                <w:color w:val="111111" w:themeColor="text1" w:themeShade="80"/>
              </w:rPr>
              <w:t>Young et al (forthcoming) Estimating future carbon sequestration and economic value in restored or eroded blue carbon ecosystems</w:t>
            </w:r>
          </w:p>
        </w:tc>
        <w:tc>
          <w:tcPr>
            <w:tcW w:w="2290" w:type="pct"/>
          </w:tcPr>
          <w:p w14:paraId="1C3A57BA"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sidRPr="001454B0">
              <w:rPr>
                <w:rFonts w:ascii="Arial" w:hAnsi="Arial"/>
                <w:bCs/>
                <w:color w:val="111111" w:themeColor="text1" w:themeShade="80"/>
              </w:rPr>
              <w:t>Carbon sequestration (gross):</w:t>
            </w:r>
            <w:r w:rsidRPr="001454B0">
              <w:rPr>
                <w:rFonts w:ascii="Arial" w:hAnsi="Arial"/>
                <w:color w:val="111111" w:themeColor="text1" w:themeShade="80"/>
              </w:rPr>
              <w:t xml:space="preserve"> This study uses Coastal Blue Carbon Model from the Integrated Valuation of Ecosystem Services and Trade-offs (</w:t>
            </w:r>
            <w:proofErr w:type="spellStart"/>
            <w:r w:rsidRPr="001454B0">
              <w:rPr>
                <w:rFonts w:ascii="Arial" w:hAnsi="Arial"/>
                <w:color w:val="111111" w:themeColor="text1" w:themeShade="80"/>
              </w:rPr>
              <w:t>InVEST</w:t>
            </w:r>
            <w:proofErr w:type="spellEnd"/>
            <w:r w:rsidRPr="001454B0">
              <w:rPr>
                <w:rFonts w:ascii="Arial" w:hAnsi="Arial"/>
                <w:color w:val="111111" w:themeColor="text1" w:themeShade="80"/>
              </w:rPr>
              <w:t xml:space="preserve">) to compare carbon sequestration in scenarios of restoration or erosion over a large spatial scale (2,500 km of coastline) in south-eastern Australia. It also provides a “no net change” baseline estimate of carbon dioxide sequestration for seagrass (1.87 tonnes CO2 / ha / year), mangrove (4.9 tonnes CO2 / ha / year) and tidal marsh (1.49 tonnes CO2 / ha / year),  </w:t>
            </w:r>
          </w:p>
        </w:tc>
        <w:tc>
          <w:tcPr>
            <w:tcW w:w="172" w:type="pct"/>
            <w:shd w:val="clear" w:color="auto" w:fill="92D050"/>
          </w:tcPr>
          <w:p w14:paraId="0544401C"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color w:val="111111" w:themeColor="text1" w:themeShade="80"/>
              </w:rPr>
            </w:pPr>
            <w:r w:rsidRPr="001454B0">
              <w:rPr>
                <w:rFonts w:ascii="Arial" w:hAnsi="Arial"/>
                <w:color w:val="111111" w:themeColor="text1" w:themeShade="80"/>
              </w:rPr>
              <w:t>Yes</w:t>
            </w:r>
          </w:p>
        </w:tc>
        <w:tc>
          <w:tcPr>
            <w:tcW w:w="1921" w:type="pct"/>
            <w:gridSpan w:val="2"/>
          </w:tcPr>
          <w:p w14:paraId="265C14DE" w14:textId="77777777" w:rsidR="00B55451" w:rsidRPr="001454B0" w:rsidRDefault="00B55451" w:rsidP="00A459D5">
            <w:pPr>
              <w:pStyle w:val="TableTextLeft"/>
              <w:cnfStyle w:val="000000000000" w:firstRow="0" w:lastRow="0" w:firstColumn="0" w:lastColumn="0" w:oddVBand="0" w:evenVBand="0" w:oddHBand="0" w:evenHBand="0" w:firstRowFirstColumn="0" w:firstRowLastColumn="0" w:lastRowFirstColumn="0" w:lastRowLastColumn="0"/>
              <w:rPr>
                <w:rFonts w:ascii="Arial" w:hAnsi="Arial"/>
                <w:bCs/>
                <w:color w:val="111111" w:themeColor="text1" w:themeShade="80"/>
              </w:rPr>
            </w:pPr>
            <w:r w:rsidRPr="001454B0">
              <w:rPr>
                <w:rFonts w:ascii="Arial" w:hAnsi="Arial"/>
                <w:bCs/>
                <w:color w:val="111111" w:themeColor="text1" w:themeShade="80"/>
              </w:rPr>
              <w:t>Coastal margin:</w:t>
            </w:r>
            <w:r w:rsidRPr="001454B0">
              <w:rPr>
                <w:rFonts w:ascii="Arial" w:hAnsi="Arial"/>
                <w:color w:val="111111" w:themeColor="text1" w:themeShade="80"/>
              </w:rPr>
              <w:t xml:space="preserve">  Estimates of tonnes of carbon sequestered for seagrass (1.87 tonnes CO2 / ha / year), mangrove (4.9 tonnes CO2 / ha / year) and tidal marsh (1.49 tonnes CO2 / ha / year), in</w:t>
            </w:r>
            <w:r w:rsidRPr="001454B0">
              <w:rPr>
                <w:color w:val="111111" w:themeColor="text1" w:themeShade="80"/>
              </w:rPr>
              <w:t xml:space="preserve"> </w:t>
            </w:r>
            <w:r w:rsidRPr="001454B0">
              <w:rPr>
                <w:rFonts w:ascii="Arial" w:hAnsi="Arial"/>
                <w:color w:val="111111" w:themeColor="text1" w:themeShade="80"/>
              </w:rPr>
              <w:t xml:space="preserve">Australia will be applied to the </w:t>
            </w:r>
            <w:r>
              <w:rPr>
                <w:rFonts w:ascii="Arial" w:hAnsi="Arial"/>
                <w:color w:val="111111" w:themeColor="text1" w:themeShade="80"/>
              </w:rPr>
              <w:t>GORCAP region</w:t>
            </w:r>
            <w:r w:rsidRPr="001454B0">
              <w:rPr>
                <w:rFonts w:ascii="Arial" w:hAnsi="Arial"/>
                <w:color w:val="111111" w:themeColor="text1" w:themeShade="80"/>
              </w:rPr>
              <w:t xml:space="preserve"> as these are country specific figures. These figures will be </w:t>
            </w:r>
            <w:r>
              <w:rPr>
                <w:rFonts w:ascii="Arial" w:hAnsi="Arial"/>
                <w:color w:val="111111" w:themeColor="text1" w:themeShade="80"/>
              </w:rPr>
              <w:t>used to produce a range</w:t>
            </w:r>
            <w:r w:rsidRPr="001454B0">
              <w:rPr>
                <w:rFonts w:ascii="Arial" w:hAnsi="Arial"/>
                <w:color w:val="111111" w:themeColor="text1" w:themeShade="80"/>
              </w:rPr>
              <w:t xml:space="preserve"> alongside other estimates (e.g. from DELWP, 2016 and Carnell et al, 2019) in order to add to the evidence base and provide some level of confidence.</w:t>
            </w:r>
          </w:p>
        </w:tc>
      </w:tr>
    </w:tbl>
    <w:p w14:paraId="533702B3" w14:textId="77777777" w:rsidR="00B55451" w:rsidRDefault="00B55451" w:rsidP="00B55451">
      <w:pPr>
        <w:spacing w:after="240"/>
        <w:sectPr w:rsidR="00B55451" w:rsidSect="00E52A9A">
          <w:headerReference w:type="even" r:id="rId380"/>
          <w:headerReference w:type="default" r:id="rId381"/>
          <w:footerReference w:type="even" r:id="rId382"/>
          <w:footerReference w:type="default" r:id="rId383"/>
          <w:pgSz w:w="23811" w:h="16838" w:orient="landscape" w:code="8"/>
          <w:pgMar w:top="1134" w:right="1134" w:bottom="1134" w:left="1134" w:header="283" w:footer="283" w:gutter="0"/>
          <w:cols w:space="708"/>
          <w:docGrid w:linePitch="360"/>
        </w:sectPr>
      </w:pPr>
    </w:p>
    <w:p w14:paraId="006F7A6D" w14:textId="77777777" w:rsidR="00B55451" w:rsidRDefault="00B55451" w:rsidP="00A2745D">
      <w:pPr>
        <w:pStyle w:val="AlphaHeading4"/>
      </w:pPr>
      <w:r w:rsidRPr="00242DB3">
        <w:lastRenderedPageBreak/>
        <w:t>Monetary value of global climate regulation</w:t>
      </w:r>
    </w:p>
    <w:p w14:paraId="4FB86291" w14:textId="77777777" w:rsidR="00B55451" w:rsidRDefault="00B55451" w:rsidP="00CF04CB">
      <w:pPr>
        <w:pStyle w:val="BodyText"/>
      </w:pPr>
      <w:r w:rsidRPr="001454B0">
        <w:t xml:space="preserve">The approaches taken to estimating the monetary value of </w:t>
      </w:r>
      <w:r w:rsidRPr="001454B0">
        <w:rPr>
          <w:bCs/>
        </w:rPr>
        <w:t xml:space="preserve">global climate regulation </w:t>
      </w:r>
      <w:r w:rsidRPr="001454B0">
        <w:t xml:space="preserve">in the </w:t>
      </w:r>
      <w:r>
        <w:t>GORCAP region</w:t>
      </w:r>
      <w:r w:rsidRPr="001454B0">
        <w:t xml:space="preserve"> are summarised below: </w:t>
      </w:r>
    </w:p>
    <w:p w14:paraId="6FAA2CA4" w14:textId="77777777" w:rsidR="00B55451" w:rsidRPr="00980069" w:rsidRDefault="00B55451" w:rsidP="000035CB">
      <w:pPr>
        <w:pStyle w:val="AlphaHeading5"/>
        <w:numPr>
          <w:ilvl w:val="0"/>
          <w:numId w:val="69"/>
        </w:numPr>
        <w:rPr>
          <w:rFonts w:eastAsia="Calibri"/>
        </w:rPr>
      </w:pPr>
      <w:r w:rsidRPr="001477FA">
        <w:t xml:space="preserve">Social cost of </w:t>
      </w:r>
      <w:r w:rsidRPr="00CF04CB">
        <w:t>carbon</w:t>
      </w:r>
      <w:r w:rsidRPr="00980069">
        <w:rPr>
          <w:rFonts w:eastAsia="Calibri"/>
        </w:rPr>
        <w:t xml:space="preserve">: </w:t>
      </w:r>
    </w:p>
    <w:p w14:paraId="6E7F7E52" w14:textId="77777777" w:rsidR="00B55451" w:rsidRPr="000E42B0" w:rsidRDefault="00B55451" w:rsidP="00CF04CB">
      <w:pPr>
        <w:pStyle w:val="ListBullet"/>
        <w:rPr>
          <w:rFonts w:eastAsia="Calibri"/>
        </w:rPr>
      </w:pPr>
      <w:r w:rsidRPr="00980069">
        <w:rPr>
          <w:b/>
          <w:bCs/>
          <w:color w:val="111111" w:themeColor="text1" w:themeShade="80"/>
        </w:rPr>
        <w:t>US Government figures on the social cost of carbon</w:t>
      </w:r>
      <w:r w:rsidRPr="00AD07A5">
        <w:rPr>
          <w:color w:val="111111" w:themeColor="text1" w:themeShade="80"/>
          <w:u w:val="single"/>
        </w:rPr>
        <w:t>:</w:t>
      </w:r>
      <w:r w:rsidRPr="00AD07A5">
        <w:rPr>
          <w:i/>
          <w:color w:val="111111" w:themeColor="text1" w:themeShade="80"/>
        </w:rPr>
        <w:t xml:space="preserve"> </w:t>
      </w:r>
      <w:r w:rsidRPr="00AD07A5">
        <w:t xml:space="preserve">The US Government has released various reports on the social cost of carbon, estimating the value of damage costs associated with greenhouse gas emissions by modelling the total cost today of a tonne of carbon emitted now, summing the full global cost of the damage associated with carbon over the whole of its time in the atmosphere. The latest US government estimate for the social cost of carbon of $59 </w:t>
      </w:r>
      <w:r>
        <w:t>are</w:t>
      </w:r>
      <w:r w:rsidRPr="00AD07A5">
        <w:t xml:space="preserve"> adopted (understood to be US Government, 2016) and uprated for inflation to put in present day prices. </w:t>
      </w:r>
    </w:p>
    <w:p w14:paraId="2C1DFB76" w14:textId="77777777" w:rsidR="00B55451" w:rsidRPr="008452DA" w:rsidRDefault="00B55451" w:rsidP="00CF04CB">
      <w:pPr>
        <w:pStyle w:val="ListBullet"/>
        <w:rPr>
          <w:rFonts w:eastAsia="Calibri"/>
        </w:rPr>
      </w:pPr>
      <w:r w:rsidRPr="00980069">
        <w:rPr>
          <w:b/>
          <w:bCs/>
          <w:iCs/>
          <w:color w:val="111111" w:themeColor="text1" w:themeShade="80"/>
        </w:rPr>
        <w:t>Hope (2006) value on the social cost of carbon</w:t>
      </w:r>
      <w:r w:rsidRPr="008452DA">
        <w:rPr>
          <w:i/>
          <w:color w:val="00B2A9"/>
        </w:rPr>
        <w:t xml:space="preserve">: </w:t>
      </w:r>
      <w:r w:rsidRPr="008452DA">
        <w:t>This approach uses the mean (average) value of the social cost of carbon of $43 (2006 terms) that was estimated by Hope (2006) using the same probabilistic integrated assessment model as used by the Stern Review and uprated for inflation to put in present day prices.</w:t>
      </w:r>
    </w:p>
    <w:p w14:paraId="1544B875" w14:textId="77777777" w:rsidR="00B55451" w:rsidRPr="003157DE" w:rsidRDefault="00B55451" w:rsidP="00980069">
      <w:pPr>
        <w:pStyle w:val="AlphaHeading5"/>
        <w:rPr>
          <w:rFonts w:eastAsia="Calibri"/>
        </w:rPr>
      </w:pPr>
      <w:r w:rsidRPr="003157DE">
        <w:t xml:space="preserve">Market price / replacement cost: </w:t>
      </w:r>
    </w:p>
    <w:p w14:paraId="08652B23" w14:textId="77777777" w:rsidR="00B55451" w:rsidRPr="000E42B0" w:rsidRDefault="00B55451" w:rsidP="00CF04CB">
      <w:pPr>
        <w:pStyle w:val="ListBullet"/>
        <w:rPr>
          <w:rFonts w:eastAsia="Calibri"/>
        </w:rPr>
      </w:pPr>
      <w:r w:rsidRPr="00980069">
        <w:rPr>
          <w:b/>
          <w:bCs/>
          <w:color w:val="111111" w:themeColor="text1" w:themeShade="80"/>
        </w:rPr>
        <w:t>World Bank Carbon Pricing Dashboard</w:t>
      </w:r>
      <w:r w:rsidRPr="000E42B0">
        <w:rPr>
          <w:color w:val="111111" w:themeColor="text1" w:themeShade="80"/>
        </w:rPr>
        <w:t xml:space="preserve">: </w:t>
      </w:r>
      <w:r w:rsidRPr="000E42B0">
        <w:t>In the absence of a clear carbon price in Australia, the median of existing international carbon market values can be obtained from the World Bank Carbon Pricing Dashboard data (World Bank, 2019) which were approximately $20 per tonne of CO</w:t>
      </w:r>
      <w:r w:rsidRPr="000E42B0">
        <w:rPr>
          <w:vertAlign w:val="subscript"/>
        </w:rPr>
        <w:t>2</w:t>
      </w:r>
      <w:r w:rsidRPr="000E42B0">
        <w:t xml:space="preserve">e in 2019 and uprated for inflation to put in present day prices. </w:t>
      </w:r>
    </w:p>
    <w:p w14:paraId="2C348DE5" w14:textId="77777777" w:rsidR="00B55451" w:rsidRPr="000E42B0" w:rsidRDefault="00B55451" w:rsidP="00CF04CB">
      <w:pPr>
        <w:pStyle w:val="ListBullet"/>
        <w:rPr>
          <w:rFonts w:eastAsia="Calibri"/>
        </w:rPr>
      </w:pPr>
      <w:r w:rsidRPr="00980069">
        <w:rPr>
          <w:iCs/>
          <w:color w:val="111111" w:themeColor="text1" w:themeShade="80"/>
        </w:rPr>
        <w:t>Auctions of the Commonwealth's ERF</w:t>
      </w:r>
      <w:r w:rsidRPr="000E42B0">
        <w:rPr>
          <w:iCs/>
          <w:color w:val="111111" w:themeColor="text1" w:themeShade="80"/>
        </w:rPr>
        <w:t xml:space="preserve">: </w:t>
      </w:r>
      <w:r w:rsidRPr="000E42B0">
        <w:t>The average price across previous auctions of the Commonwealth's Emissions Reduction Fund (ERF) of approximately $12/ tonne of CO</w:t>
      </w:r>
      <w:r w:rsidRPr="000E42B0">
        <w:rPr>
          <w:vertAlign w:val="subscript"/>
        </w:rPr>
        <w:t>2</w:t>
      </w:r>
      <w:r w:rsidRPr="000E42B0">
        <w:t xml:space="preserve">e can be adopted to provide an Australian specific </w:t>
      </w:r>
      <w:r w:rsidRPr="000E42B0">
        <w:rPr>
          <w:color w:val="111111" w:themeColor="text1" w:themeShade="80"/>
        </w:rPr>
        <w:t xml:space="preserve">market value. </w:t>
      </w:r>
    </w:p>
    <w:p w14:paraId="77345C29" w14:textId="77777777" w:rsidR="00B55451" w:rsidRPr="000E42B0" w:rsidRDefault="00B55451" w:rsidP="00CF04CB">
      <w:pPr>
        <w:pStyle w:val="ListBullet"/>
        <w:rPr>
          <w:rFonts w:eastAsia="Calibri"/>
        </w:rPr>
      </w:pPr>
      <w:r w:rsidRPr="00980069">
        <w:rPr>
          <w:rFonts w:eastAsia="Calibri"/>
          <w:b/>
          <w:bCs/>
          <w:color w:val="111111" w:themeColor="text1" w:themeShade="80"/>
        </w:rPr>
        <w:t>IPCC’s Fifth Assessment Report</w:t>
      </w:r>
      <w:r w:rsidRPr="000E42B0">
        <w:rPr>
          <w:rFonts w:eastAsia="Calibri"/>
          <w:color w:val="111111" w:themeColor="text1" w:themeShade="80"/>
        </w:rPr>
        <w:t xml:space="preserve">:  </w:t>
      </w:r>
      <w:r w:rsidRPr="000E42B0">
        <w:rPr>
          <w:color w:val="111111" w:themeColor="text1" w:themeShade="80"/>
        </w:rPr>
        <w:t>Values consistent with scenarios in the Intergovernmental Panel on Climate Change’s (IPCC) Fifth Assessment Report</w:t>
      </w:r>
      <w:r>
        <w:rPr>
          <w:color w:val="111111" w:themeColor="text1" w:themeShade="80"/>
        </w:rPr>
        <w:t xml:space="preserve"> (IPCC, 2014)</w:t>
      </w:r>
      <w:r w:rsidRPr="000E42B0">
        <w:rPr>
          <w:color w:val="111111" w:themeColor="text1" w:themeShade="80"/>
        </w:rPr>
        <w:t xml:space="preserve"> can be applied, with the values converted into Australian dollars for the relevant year using an average annual exchange rate and then escalated to the relevant year using an Australian GDP deflator.</w:t>
      </w:r>
      <w:r w:rsidRPr="00731172">
        <w:rPr>
          <w:vertAlign w:val="superscript"/>
        </w:rPr>
        <w:footnoteReference w:id="98"/>
      </w:r>
      <w:r w:rsidRPr="000E42B0">
        <w:rPr>
          <w:color w:val="111111" w:themeColor="text1" w:themeShade="80"/>
        </w:rPr>
        <w:t xml:space="preserve"> Based on a scenario that would provide a likely chance of limiting global temperature increases to below 2°C above pre-industrial levels, the value per tonne of CO2e is $71 (in AUD2019).</w:t>
      </w:r>
      <w:r w:rsidRPr="00731172">
        <w:rPr>
          <w:vertAlign w:val="superscript"/>
        </w:rPr>
        <w:footnoteReference w:id="99"/>
      </w:r>
      <w:r w:rsidRPr="000E42B0">
        <w:rPr>
          <w:color w:val="111111" w:themeColor="text1" w:themeShade="80"/>
          <w:vertAlign w:val="superscript"/>
        </w:rPr>
        <w:t>,</w:t>
      </w:r>
      <w:r w:rsidRPr="00731172">
        <w:rPr>
          <w:vertAlign w:val="superscript"/>
        </w:rPr>
        <w:footnoteReference w:id="100"/>
      </w:r>
      <w:r w:rsidRPr="000E42B0">
        <w:rPr>
          <w:color w:val="111111" w:themeColor="text1" w:themeShade="80"/>
        </w:rPr>
        <w:t xml:space="preserve"> </w:t>
      </w:r>
      <w:r w:rsidRPr="000E42B0">
        <w:t xml:space="preserve">This was uprated for inflation to put in present day prices. </w:t>
      </w:r>
      <w:r w:rsidRPr="000E42B0">
        <w:rPr>
          <w:color w:val="111111" w:themeColor="text1" w:themeShade="80"/>
        </w:rPr>
        <w:t xml:space="preserve">It should be noted that the IPCC values do not represent actual prices observed from carbon markets, rather they are derived from hypothetical (modelled) abatement scenarios. </w:t>
      </w:r>
    </w:p>
    <w:p w14:paraId="2EC08629" w14:textId="77777777" w:rsidR="00B55451" w:rsidRDefault="00B55451" w:rsidP="00CF04CB">
      <w:pPr>
        <w:pStyle w:val="BodyText12ptBefore"/>
      </w:pPr>
      <w:r w:rsidRPr="001454B0">
        <w:t xml:space="preserve">Table </w:t>
      </w:r>
      <w:r>
        <w:rPr>
          <w:color w:val="1A1A1A"/>
        </w:rPr>
        <w:t>A3.19</w:t>
      </w:r>
      <w:r w:rsidRPr="005D5694">
        <w:rPr>
          <w:color w:val="1A1A1A"/>
        </w:rPr>
        <w:t>.</w:t>
      </w:r>
      <w:r w:rsidRPr="001454B0">
        <w:t xml:space="preserve"> provides details on the studies that </w:t>
      </w:r>
      <w:r>
        <w:t xml:space="preserve">were reviewed for </w:t>
      </w:r>
      <w:r w:rsidRPr="001454B0">
        <w:t xml:space="preserve">use to develop a </w:t>
      </w:r>
      <w:r>
        <w:t>GOR</w:t>
      </w:r>
      <w:r w:rsidRPr="001454B0">
        <w:t xml:space="preserve"> specific assessment of the value of global climate regulating service provided by urban ecosystem assets and how the approaches and data from these studies </w:t>
      </w:r>
      <w:r>
        <w:t>were</w:t>
      </w:r>
      <w:r w:rsidRPr="001454B0">
        <w:t xml:space="preserve"> use</w:t>
      </w:r>
      <w:r>
        <w:t>d in t</w:t>
      </w:r>
      <w:r w:rsidRPr="001454B0">
        <w:t xml:space="preserve">he </w:t>
      </w:r>
      <w:r>
        <w:t>GORCAP EEA</w:t>
      </w:r>
      <w:r w:rsidRPr="001454B0">
        <w:t xml:space="preserve">. </w:t>
      </w:r>
    </w:p>
    <w:p w14:paraId="2AE790B6" w14:textId="77777777" w:rsidR="00B55451" w:rsidRDefault="00B55451" w:rsidP="000035CB">
      <w:pPr>
        <w:pStyle w:val="Heading2"/>
        <w:numPr>
          <w:ilvl w:val="1"/>
          <w:numId w:val="29"/>
        </w:numPr>
        <w:ind w:left="0" w:firstLine="0"/>
        <w:sectPr w:rsidR="00B55451" w:rsidSect="00E52A9A">
          <w:headerReference w:type="even" r:id="rId384"/>
          <w:headerReference w:type="default" r:id="rId385"/>
          <w:footerReference w:type="even" r:id="rId386"/>
          <w:footerReference w:type="default" r:id="rId387"/>
          <w:pgSz w:w="11906" w:h="16838" w:code="9"/>
          <w:pgMar w:top="1134" w:right="1134" w:bottom="1134" w:left="1134" w:header="283" w:footer="283" w:gutter="0"/>
          <w:cols w:space="284"/>
          <w:docGrid w:linePitch="360"/>
        </w:sectPr>
      </w:pPr>
    </w:p>
    <w:p w14:paraId="2000274D" w14:textId="374A2988" w:rsidR="00205F19" w:rsidRPr="00403A68" w:rsidRDefault="00205F19" w:rsidP="00B55451">
      <w:pPr>
        <w:pStyle w:val="Caption"/>
      </w:pPr>
      <w:r w:rsidRPr="00403A68">
        <w:lastRenderedPageBreak/>
        <w:t xml:space="preserve">Table A3.19. Review of methods used to estimate the monetary value of global climate regulation from ecosystems in GORCAP EEA region  </w:t>
      </w:r>
    </w:p>
    <w:tbl>
      <w:tblPr>
        <w:tblW w:w="4998" w:type="pct"/>
        <w:tblBorders>
          <w:bottom w:val="single" w:sz="4" w:space="0" w:color="201547" w:themeColor="text2"/>
          <w:insideH w:val="single" w:sz="4" w:space="0" w:color="201547" w:themeColor="text2"/>
        </w:tblBorders>
        <w:tblLook w:val="04A0" w:firstRow="1" w:lastRow="0" w:firstColumn="1" w:lastColumn="0" w:noHBand="0" w:noVBand="1"/>
      </w:tblPr>
      <w:tblGrid>
        <w:gridCol w:w="1697"/>
        <w:gridCol w:w="13777"/>
        <w:gridCol w:w="711"/>
        <w:gridCol w:w="30"/>
        <w:gridCol w:w="5272"/>
        <w:gridCol w:w="30"/>
        <w:gridCol w:w="17"/>
      </w:tblGrid>
      <w:tr w:rsidR="00CF04CB" w:rsidRPr="00403A68" w14:paraId="50A0EBAC" w14:textId="77777777" w:rsidTr="00CF04CB">
        <w:trPr>
          <w:gridAfter w:val="1"/>
          <w:wAfter w:w="4" w:type="pct"/>
          <w:trHeight w:val="235"/>
        </w:trPr>
        <w:tc>
          <w:tcPr>
            <w:tcW w:w="394" w:type="pct"/>
            <w:shd w:val="clear" w:color="auto" w:fill="004C97" w:themeFill="accent1"/>
          </w:tcPr>
          <w:p w14:paraId="40F07962" w14:textId="77777777" w:rsidR="00205F19" w:rsidRPr="00995CC6" w:rsidRDefault="00205F19" w:rsidP="00995CC6">
            <w:pPr>
              <w:pStyle w:val="TableHeadingLeft"/>
              <w:rPr>
                <w:color w:val="FFFFFF" w:themeColor="background1"/>
              </w:rPr>
            </w:pPr>
            <w:r w:rsidRPr="00995CC6">
              <w:rPr>
                <w:color w:val="FFFFFF" w:themeColor="background1"/>
              </w:rPr>
              <w:t>Source</w:t>
            </w:r>
          </w:p>
        </w:tc>
        <w:tc>
          <w:tcPr>
            <w:tcW w:w="3199" w:type="pct"/>
            <w:shd w:val="clear" w:color="auto" w:fill="004C97" w:themeFill="accent1"/>
          </w:tcPr>
          <w:p w14:paraId="646D7838" w14:textId="77777777" w:rsidR="00205F19" w:rsidRPr="00995CC6" w:rsidRDefault="00205F19" w:rsidP="00995CC6">
            <w:pPr>
              <w:pStyle w:val="TableHeadingLeft"/>
              <w:rPr>
                <w:color w:val="FFFFFF" w:themeColor="background1"/>
              </w:rPr>
            </w:pPr>
            <w:r w:rsidRPr="00995CC6">
              <w:rPr>
                <w:color w:val="FFFFFF" w:themeColor="background1"/>
              </w:rPr>
              <w:t>Description</w:t>
            </w:r>
          </w:p>
        </w:tc>
        <w:tc>
          <w:tcPr>
            <w:tcW w:w="1403" w:type="pct"/>
            <w:gridSpan w:val="4"/>
            <w:shd w:val="clear" w:color="auto" w:fill="004C97" w:themeFill="accent1"/>
          </w:tcPr>
          <w:p w14:paraId="56A9F175" w14:textId="77777777" w:rsidR="00205F19" w:rsidRPr="00995CC6" w:rsidRDefault="00205F19" w:rsidP="00995CC6">
            <w:pPr>
              <w:pStyle w:val="TableHeadingLeft"/>
              <w:rPr>
                <w:color w:val="FFFFFF" w:themeColor="background1"/>
              </w:rPr>
            </w:pPr>
            <w:r w:rsidRPr="00995CC6">
              <w:rPr>
                <w:color w:val="FFFFFF" w:themeColor="background1"/>
              </w:rPr>
              <w:t>Used in GORCAP EEA study?</w:t>
            </w:r>
          </w:p>
        </w:tc>
      </w:tr>
      <w:tr w:rsidR="00CF04CB" w:rsidRPr="00403A68" w14:paraId="5C5B5B0E" w14:textId="77777777" w:rsidTr="00CF04CB">
        <w:trPr>
          <w:gridAfter w:val="2"/>
          <w:wAfter w:w="11" w:type="pct"/>
          <w:trHeight w:val="1703"/>
        </w:trPr>
        <w:tc>
          <w:tcPr>
            <w:tcW w:w="394" w:type="pct"/>
          </w:tcPr>
          <w:p w14:paraId="487DFAFA" w14:textId="77777777" w:rsidR="00205F19" w:rsidRPr="00403A68" w:rsidRDefault="00205F19" w:rsidP="00666947">
            <w:pPr>
              <w:pStyle w:val="TableTextLeft"/>
            </w:pPr>
            <w:r w:rsidRPr="00403A68">
              <w:t>BDA Group (2015) Valuing the benefits of Victorian waterway management</w:t>
            </w:r>
          </w:p>
        </w:tc>
        <w:tc>
          <w:tcPr>
            <w:tcW w:w="3199" w:type="pct"/>
          </w:tcPr>
          <w:p w14:paraId="24122C54" w14:textId="77777777" w:rsidR="00205F19" w:rsidRPr="00403A68" w:rsidRDefault="00205F19" w:rsidP="00666947">
            <w:pPr>
              <w:pStyle w:val="TableTextLeft"/>
              <w:rPr>
                <w:b/>
              </w:rPr>
            </w:pPr>
            <w:r w:rsidRPr="00403A68">
              <w:t>The study suggests a value of $25/t CO</w:t>
            </w:r>
            <w:r w:rsidRPr="00403A68">
              <w:rPr>
                <w:vertAlign w:val="subscript"/>
              </w:rPr>
              <w:t>2</w:t>
            </w:r>
            <w:r w:rsidRPr="00403A68">
              <w:t>e could be assumed reflective of the average cost of abatement under the (now discontinued) NSW Greenhouse Gas Abatement Scheme and the rate set under the Commonwealth's now discontinued carbon tax (the rate was set at $23 per tonne of CO</w:t>
            </w:r>
            <w:r w:rsidRPr="00403A68">
              <w:rPr>
                <w:vertAlign w:val="subscript"/>
              </w:rPr>
              <w:t>2</w:t>
            </w:r>
            <w:r w:rsidRPr="00403A68">
              <w:t>e in 2012-13, rising to $25.40 in 2014-15).</w:t>
            </w:r>
          </w:p>
        </w:tc>
        <w:tc>
          <w:tcPr>
            <w:tcW w:w="172" w:type="pct"/>
            <w:gridSpan w:val="2"/>
            <w:shd w:val="clear" w:color="auto" w:fill="FF0000"/>
          </w:tcPr>
          <w:p w14:paraId="683B4E62" w14:textId="77777777" w:rsidR="00205F19" w:rsidRPr="00403A68" w:rsidRDefault="00205F19" w:rsidP="00666947">
            <w:pPr>
              <w:pStyle w:val="TableTextLeft"/>
            </w:pPr>
            <w:r w:rsidRPr="00403A68">
              <w:t>No</w:t>
            </w:r>
          </w:p>
        </w:tc>
        <w:tc>
          <w:tcPr>
            <w:tcW w:w="1224" w:type="pct"/>
          </w:tcPr>
          <w:p w14:paraId="463AE476" w14:textId="77777777" w:rsidR="00205F19" w:rsidRPr="00403A68" w:rsidRDefault="00205F19" w:rsidP="00666947">
            <w:pPr>
              <w:pStyle w:val="TableTextLeft"/>
            </w:pPr>
            <w:r w:rsidRPr="00403A68">
              <w:t xml:space="preserve">Both values are based on the value of carbon under now discontinued mechanisms. </w:t>
            </w:r>
          </w:p>
        </w:tc>
      </w:tr>
      <w:tr w:rsidR="00CF04CB" w:rsidRPr="00403A68" w14:paraId="0331C6F3" w14:textId="77777777" w:rsidTr="00CF04CB">
        <w:trPr>
          <w:gridAfter w:val="2"/>
          <w:wAfter w:w="11" w:type="pct"/>
          <w:trHeight w:val="1980"/>
        </w:trPr>
        <w:tc>
          <w:tcPr>
            <w:tcW w:w="394" w:type="pct"/>
            <w:vMerge w:val="restart"/>
          </w:tcPr>
          <w:p w14:paraId="37C12046" w14:textId="77777777" w:rsidR="00205F19" w:rsidRPr="00403A68" w:rsidRDefault="00205F19" w:rsidP="00666947">
            <w:pPr>
              <w:pStyle w:val="TableTextLeft"/>
            </w:pPr>
            <w:r w:rsidRPr="00403A68">
              <w:t>DELWP and Parks Victoria (2015), Valuing Victoria’s Parks: Accounting for ecosystems and valuing their benefits</w:t>
            </w:r>
          </w:p>
          <w:p w14:paraId="06FFDE65" w14:textId="77777777" w:rsidR="00205F19" w:rsidRPr="00403A68" w:rsidRDefault="00205F19" w:rsidP="00666947">
            <w:pPr>
              <w:pStyle w:val="TableTextLeft"/>
            </w:pPr>
          </w:p>
        </w:tc>
        <w:tc>
          <w:tcPr>
            <w:tcW w:w="3199" w:type="pct"/>
          </w:tcPr>
          <w:p w14:paraId="21038EAD" w14:textId="77777777" w:rsidR="00205F19" w:rsidRPr="00403A68" w:rsidRDefault="00205F19" w:rsidP="00666947">
            <w:pPr>
              <w:pStyle w:val="TableTextLeft"/>
            </w:pPr>
            <w:r w:rsidRPr="00403A68">
              <w:rPr>
                <w:b/>
              </w:rPr>
              <w:t xml:space="preserve">Market price of reductions in emissions of carbon dioxide equivalent </w:t>
            </w:r>
            <w:r w:rsidRPr="00403A68">
              <w:rPr>
                <w:vertAlign w:val="superscript"/>
              </w:rPr>
              <w:footnoteReference w:id="101"/>
            </w:r>
            <w:r w:rsidRPr="00403A68">
              <w:rPr>
                <w:b/>
              </w:rPr>
              <w:t xml:space="preserve"> in current markets</w:t>
            </w:r>
            <w:r w:rsidRPr="00403A68">
              <w:t xml:space="preserve">: With the repeal of the Commonwealth Government’s carbon price legislation, there is currently no legislated market price of carbon in Australia. Forecasts of international carbon prices for 2020 range from AUD $6 to $80 per tonne of carbon dioxide equivalent. In terms of carbon sequestration from forestry or revegetation projects, current (2015) market transactions through the Carbon Farming Initiative indicate values closer to $23 per tonne carbon dioxide equivalent, however industry stakeholders have indicated that under the newly created Emissions Reductions Fund (ERF) these values are likely to be set at around $5-8 per tonne of carbon dioxide equivalent. For the purpose of this valuation, the originally announced </w:t>
            </w:r>
            <w:r w:rsidRPr="00403A68">
              <w:rPr>
                <w:b/>
              </w:rPr>
              <w:t>$15 per tonne of carbon dioxide equivalent sequestered</w:t>
            </w:r>
            <w:r w:rsidRPr="00403A68">
              <w:t xml:space="preserve"> was used as a lower bound for carbon sequestered in parks. This is consistent with recent voluntary carbon offset programs such as </w:t>
            </w:r>
            <w:proofErr w:type="spellStart"/>
            <w:r w:rsidRPr="00403A68">
              <w:t>Greenfleet</w:t>
            </w:r>
            <w:proofErr w:type="spellEnd"/>
            <w:r w:rsidRPr="00403A68">
              <w:t xml:space="preserve"> (a carbon offsetting provider).</w:t>
            </w:r>
          </w:p>
        </w:tc>
        <w:tc>
          <w:tcPr>
            <w:tcW w:w="172" w:type="pct"/>
            <w:gridSpan w:val="2"/>
            <w:shd w:val="clear" w:color="auto" w:fill="92D050"/>
          </w:tcPr>
          <w:p w14:paraId="20854F5A" w14:textId="77777777" w:rsidR="00205F19" w:rsidRPr="00403A68" w:rsidRDefault="00205F19" w:rsidP="00666947">
            <w:pPr>
              <w:pStyle w:val="TableTextLeft"/>
            </w:pPr>
            <w:r w:rsidRPr="00403A68">
              <w:t>Yes</w:t>
            </w:r>
          </w:p>
        </w:tc>
        <w:tc>
          <w:tcPr>
            <w:tcW w:w="1224" w:type="pct"/>
          </w:tcPr>
          <w:p w14:paraId="3E52A286" w14:textId="375AFB2A" w:rsidR="00205F19" w:rsidRPr="00403A68" w:rsidRDefault="00205F19" w:rsidP="00CF04CB">
            <w:pPr>
              <w:pStyle w:val="TableTextLeft"/>
              <w:rPr>
                <w:b/>
              </w:rPr>
            </w:pPr>
            <w:r w:rsidRPr="00403A68">
              <w:rPr>
                <w:b/>
              </w:rPr>
              <w:t xml:space="preserve">Market price / replacement cost: </w:t>
            </w:r>
            <w:r w:rsidRPr="00403A68">
              <w:t>Although the specific values set out in the report were not used, the value of carbon across all six auctions of the Commonwealth's Emissions Reduction Fund (ERF) is presented as a lower bound.</w:t>
            </w:r>
          </w:p>
        </w:tc>
      </w:tr>
      <w:tr w:rsidR="00CF04CB" w:rsidRPr="00403A68" w14:paraId="3F27C388" w14:textId="77777777" w:rsidTr="00CF04CB">
        <w:trPr>
          <w:trHeight w:val="1691"/>
        </w:trPr>
        <w:tc>
          <w:tcPr>
            <w:tcW w:w="394" w:type="pct"/>
            <w:vMerge/>
          </w:tcPr>
          <w:p w14:paraId="27AA0AB5" w14:textId="77777777" w:rsidR="00205F19" w:rsidRPr="00403A68" w:rsidRDefault="00205F19" w:rsidP="00666947">
            <w:pPr>
              <w:pStyle w:val="TableTextLeft"/>
            </w:pPr>
          </w:p>
        </w:tc>
        <w:tc>
          <w:tcPr>
            <w:tcW w:w="3199" w:type="pct"/>
          </w:tcPr>
          <w:p w14:paraId="41697E99" w14:textId="77777777" w:rsidR="00205F19" w:rsidRPr="00403A68" w:rsidRDefault="00205F19" w:rsidP="00666947">
            <w:pPr>
              <w:pStyle w:val="TableTextLeft"/>
            </w:pPr>
            <w:r w:rsidRPr="00403A68">
              <w:rPr>
                <w:b/>
              </w:rPr>
              <w:t>Social cost of carbon:</w:t>
            </w:r>
            <w:r w:rsidRPr="00403A68">
              <w:t xml:space="preserve"> this is the value of damage costs associated with greenhouse gas emissions and the study uses this as an upper bound value. The social cost of carbon is a modelling estimate from a US Government study (US EPA, 2013) of the total cost today of a tonne of carbon emitted now, summing the full global cost of the damage associated with carbon over the whole of its time in the atmosphere, estimated to be US$39 in 2011 dollars which was approximately </w:t>
            </w:r>
            <w:r w:rsidRPr="00403A68">
              <w:rPr>
                <w:b/>
              </w:rPr>
              <w:t>AUD$63 per tonne of CO2e</w:t>
            </w:r>
            <w:r w:rsidRPr="00403A68">
              <w:t xml:space="preserve"> in 2014.</w:t>
            </w:r>
          </w:p>
        </w:tc>
        <w:tc>
          <w:tcPr>
            <w:tcW w:w="172" w:type="pct"/>
            <w:gridSpan w:val="2"/>
            <w:shd w:val="clear" w:color="auto" w:fill="92D050"/>
          </w:tcPr>
          <w:p w14:paraId="072A90F2" w14:textId="77777777" w:rsidR="00205F19" w:rsidRPr="00403A68" w:rsidRDefault="00205F19" w:rsidP="00666947">
            <w:pPr>
              <w:pStyle w:val="TableTextLeft"/>
            </w:pPr>
            <w:r w:rsidRPr="00403A68">
              <w:t>Yes</w:t>
            </w:r>
          </w:p>
        </w:tc>
        <w:tc>
          <w:tcPr>
            <w:tcW w:w="1235" w:type="pct"/>
            <w:gridSpan w:val="3"/>
          </w:tcPr>
          <w:p w14:paraId="070753D5" w14:textId="77777777" w:rsidR="00205F19" w:rsidRPr="00403A68" w:rsidRDefault="00205F19" w:rsidP="00666947">
            <w:pPr>
              <w:pStyle w:val="TableTextLeft"/>
              <w:rPr>
                <w:b/>
              </w:rPr>
            </w:pPr>
            <w:r w:rsidRPr="00403A68">
              <w:rPr>
                <w:b/>
              </w:rPr>
              <w:t xml:space="preserve">Social cost of carbon: </w:t>
            </w:r>
            <w:r w:rsidRPr="00403A68">
              <w:t xml:space="preserve"> Used the latest version of the report used in this study to represent the social cost of carbon sequestered by ecosystem assets within the assessment boundary.</w:t>
            </w:r>
            <w:r w:rsidRPr="00403A68">
              <w:rPr>
                <w:b/>
              </w:rPr>
              <w:t xml:space="preserve"> </w:t>
            </w:r>
            <w:r w:rsidRPr="00403A68">
              <w:t>Care was be taken to ensure the physical and monetary values are in commensurate terms (either carbon or CO</w:t>
            </w:r>
            <w:r w:rsidRPr="00403A68">
              <w:rPr>
                <w:vertAlign w:val="subscript"/>
              </w:rPr>
              <w:t>2</w:t>
            </w:r>
            <w:r w:rsidRPr="00403A68">
              <w:t>e, see footnote ).</w:t>
            </w:r>
          </w:p>
        </w:tc>
      </w:tr>
      <w:tr w:rsidR="00CF04CB" w:rsidRPr="00403A68" w14:paraId="1553A641" w14:textId="77777777" w:rsidTr="00CF04CB">
        <w:trPr>
          <w:gridAfter w:val="1"/>
          <w:wAfter w:w="4" w:type="pct"/>
          <w:trHeight w:val="905"/>
        </w:trPr>
        <w:tc>
          <w:tcPr>
            <w:tcW w:w="394" w:type="pct"/>
            <w:vMerge w:val="restart"/>
          </w:tcPr>
          <w:p w14:paraId="7385183D" w14:textId="77777777" w:rsidR="00205F19" w:rsidRPr="00403A68" w:rsidRDefault="00205F19" w:rsidP="00666947">
            <w:pPr>
              <w:pStyle w:val="TableTextLeft"/>
            </w:pPr>
            <w:r w:rsidRPr="00403A68">
              <w:t>DELWP (2016), Marine and Coastal Environmental-economic accounting: Port Phillip Bay</w:t>
            </w:r>
          </w:p>
        </w:tc>
        <w:tc>
          <w:tcPr>
            <w:tcW w:w="3199" w:type="pct"/>
          </w:tcPr>
          <w:p w14:paraId="53FFC236" w14:textId="77777777" w:rsidR="00205F19" w:rsidRPr="00403A68" w:rsidRDefault="00205F19" w:rsidP="00666947">
            <w:pPr>
              <w:pStyle w:val="TableTextLeft"/>
            </w:pPr>
            <w:r w:rsidRPr="00403A68">
              <w:rPr>
                <w:b/>
              </w:rPr>
              <w:t>Market price of reductions in emissions of carbon dioxide equivalent in current markets</w:t>
            </w:r>
            <w:r w:rsidRPr="00403A68">
              <w:t xml:space="preserve">: With the repeal of the Commonwealth Government’s carbon price legislation, there is currently no legislated market price of carbon in Australia. In the absence of a carbon price in Australia, the Commonwealth’s Emissions Reduction Fund (ERF) auctions is presented as providing a broad indication of the average cost of purchasing a set amount of carbon abatement in Australia. The study values carbon using a lower bound of the average cost of abatement in the Australian Emissions Reduction Fund (in the third ERF auction held by the Clean Energy Regulator) in April 2016 of </w:t>
            </w:r>
            <w:r w:rsidRPr="00403A68">
              <w:rPr>
                <w:b/>
              </w:rPr>
              <w:t>$10.23 per tonne of CO2-e</w:t>
            </w:r>
            <w:r w:rsidRPr="00403A68">
              <w:t>. The study also notes that the cost of purchasing emissions reductions in some international markets (such as the United Nation’s Clean Development Mechanism) is less than $1 per tonne of CO2-e. The European Union trading scheme is currently around $9 per tonne of CO2-e. Prices in different markets can vary significantly as they are driven by policy ambition rather than the value of abatement.</w:t>
            </w:r>
          </w:p>
        </w:tc>
        <w:tc>
          <w:tcPr>
            <w:tcW w:w="165" w:type="pct"/>
            <w:shd w:val="clear" w:color="auto" w:fill="92D050"/>
          </w:tcPr>
          <w:p w14:paraId="15CA7ABF" w14:textId="77777777" w:rsidR="00205F19" w:rsidRPr="00403A68" w:rsidRDefault="00205F19" w:rsidP="00666947">
            <w:pPr>
              <w:pStyle w:val="TableTextLeft"/>
            </w:pPr>
            <w:r w:rsidRPr="00403A68">
              <w:t xml:space="preserve">Yes </w:t>
            </w:r>
          </w:p>
        </w:tc>
        <w:tc>
          <w:tcPr>
            <w:tcW w:w="1238" w:type="pct"/>
            <w:gridSpan w:val="3"/>
          </w:tcPr>
          <w:p w14:paraId="13D39ECC" w14:textId="77777777" w:rsidR="00205F19" w:rsidRPr="00403A68" w:rsidRDefault="00205F19" w:rsidP="00666947">
            <w:pPr>
              <w:pStyle w:val="TableTextLeft"/>
              <w:rPr>
                <w:b/>
              </w:rPr>
            </w:pPr>
            <w:r w:rsidRPr="00403A68">
              <w:rPr>
                <w:b/>
              </w:rPr>
              <w:t xml:space="preserve">Market price / replacement cost: </w:t>
            </w:r>
            <w:r w:rsidRPr="00403A68">
              <w:t>Although the specific values set out in the report were not used, the value of carbon across all six auctions of the Commonwealth's Emissions Reduction Fund (ERF) is presented as a lower bound.</w:t>
            </w:r>
          </w:p>
          <w:p w14:paraId="387FAE6F" w14:textId="77777777" w:rsidR="00205F19" w:rsidRPr="00403A68" w:rsidRDefault="00205F19" w:rsidP="00666947">
            <w:pPr>
              <w:pStyle w:val="TableTextLeft"/>
            </w:pPr>
          </w:p>
        </w:tc>
      </w:tr>
      <w:tr w:rsidR="00CF04CB" w:rsidRPr="00403A68" w14:paraId="5DB72FC3" w14:textId="77777777" w:rsidTr="00CF04CB">
        <w:trPr>
          <w:gridAfter w:val="1"/>
          <w:wAfter w:w="4" w:type="pct"/>
          <w:trHeight w:val="905"/>
        </w:trPr>
        <w:tc>
          <w:tcPr>
            <w:tcW w:w="394" w:type="pct"/>
            <w:vMerge/>
          </w:tcPr>
          <w:p w14:paraId="451DBB7E" w14:textId="77777777" w:rsidR="00205F19" w:rsidRPr="00403A68" w:rsidRDefault="00205F19" w:rsidP="00666947">
            <w:pPr>
              <w:pStyle w:val="TableTextLeft"/>
            </w:pPr>
          </w:p>
        </w:tc>
        <w:tc>
          <w:tcPr>
            <w:tcW w:w="3199" w:type="pct"/>
          </w:tcPr>
          <w:p w14:paraId="20AEAD3D" w14:textId="77777777" w:rsidR="00205F19" w:rsidRPr="00403A68" w:rsidRDefault="00205F19" w:rsidP="00666947">
            <w:pPr>
              <w:pStyle w:val="TableTextLeft"/>
            </w:pPr>
            <w:r w:rsidRPr="00403A68">
              <w:rPr>
                <w:b/>
              </w:rPr>
              <w:t>Social cost of carbon</w:t>
            </w:r>
            <w:r w:rsidRPr="00403A68">
              <w:t xml:space="preserve">: this represents the global benefit of reducing emissions (i.e. avoided damages associated with changes in agricultural productivity, human health, flood risk, ecosystem services and other factors). The study uses this as an upper bound value. The social cost of carbon is a modelling estimate from a US Government study (US EPA, 2013) of the total cost today of a tonne of carbon emitted now, summing the full global cost of the damage associated with carbon over the whole of its time in the atmosphere, estimated to be US$39 in 2011 dollars (around </w:t>
            </w:r>
            <w:r w:rsidRPr="00403A68">
              <w:rPr>
                <w:b/>
              </w:rPr>
              <w:t>AUD$57 per tonne of CO2-e</w:t>
            </w:r>
            <w:r w:rsidRPr="00403A68">
              <w:t xml:space="preserve"> in 2016).</w:t>
            </w:r>
          </w:p>
        </w:tc>
        <w:tc>
          <w:tcPr>
            <w:tcW w:w="165" w:type="pct"/>
            <w:shd w:val="clear" w:color="auto" w:fill="92D050"/>
          </w:tcPr>
          <w:p w14:paraId="6838B62E" w14:textId="77777777" w:rsidR="00205F19" w:rsidRPr="00403A68" w:rsidRDefault="00205F19" w:rsidP="00666947">
            <w:pPr>
              <w:pStyle w:val="TableTextLeft"/>
            </w:pPr>
            <w:r w:rsidRPr="00403A68">
              <w:t>Yes</w:t>
            </w:r>
          </w:p>
        </w:tc>
        <w:tc>
          <w:tcPr>
            <w:tcW w:w="1238" w:type="pct"/>
            <w:gridSpan w:val="3"/>
          </w:tcPr>
          <w:p w14:paraId="62B1E551" w14:textId="77777777" w:rsidR="00205F19" w:rsidRPr="00403A68" w:rsidRDefault="00205F19" w:rsidP="00666947">
            <w:pPr>
              <w:pStyle w:val="TableTextLeft"/>
              <w:rPr>
                <w:b/>
              </w:rPr>
            </w:pPr>
            <w:r w:rsidRPr="00403A68">
              <w:rPr>
                <w:b/>
              </w:rPr>
              <w:t xml:space="preserve">Social cost of carbon: </w:t>
            </w:r>
            <w:r w:rsidRPr="00403A68">
              <w:t xml:space="preserve"> Used the latest version of the report used in this study to represent the social cost of carbon sequestered by GBI within the urban area of the assessment boundary.</w:t>
            </w:r>
            <w:r w:rsidRPr="00403A68">
              <w:rPr>
                <w:b/>
              </w:rPr>
              <w:t xml:space="preserve"> </w:t>
            </w:r>
            <w:r w:rsidRPr="00403A68">
              <w:t>Care was be taken to ensure the physical and monetary values are in commensurate terms (either carbon or CO</w:t>
            </w:r>
            <w:r w:rsidRPr="00403A68">
              <w:rPr>
                <w:vertAlign w:val="subscript"/>
              </w:rPr>
              <w:t>2</w:t>
            </w:r>
            <w:r w:rsidRPr="00403A68">
              <w:t>e, see footnote ).</w:t>
            </w:r>
          </w:p>
        </w:tc>
      </w:tr>
      <w:tr w:rsidR="00CF04CB" w:rsidRPr="00403A68" w14:paraId="7F40CFF9" w14:textId="77777777" w:rsidTr="00CF04CB">
        <w:trPr>
          <w:gridAfter w:val="1"/>
          <w:wAfter w:w="4" w:type="pct"/>
          <w:trHeight w:val="905"/>
        </w:trPr>
        <w:tc>
          <w:tcPr>
            <w:tcW w:w="394" w:type="pct"/>
            <w:vMerge w:val="restart"/>
          </w:tcPr>
          <w:p w14:paraId="57B035CA" w14:textId="77777777" w:rsidR="00205F19" w:rsidRPr="00403A68" w:rsidRDefault="00205F19" w:rsidP="00666947">
            <w:pPr>
              <w:pStyle w:val="TableTextLeft"/>
            </w:pPr>
            <w:r w:rsidRPr="00403A68">
              <w:t>DELWP (2019), Ecosystem Services from Forests in Victoria: Assessment of Regional Forest Agreement Regions</w:t>
            </w:r>
          </w:p>
        </w:tc>
        <w:tc>
          <w:tcPr>
            <w:tcW w:w="3199" w:type="pct"/>
          </w:tcPr>
          <w:p w14:paraId="1E0C5A15" w14:textId="77777777" w:rsidR="00205F19" w:rsidRPr="00403A68" w:rsidRDefault="00205F19" w:rsidP="00666947">
            <w:pPr>
              <w:pStyle w:val="TableTextLeft"/>
            </w:pPr>
            <w:r w:rsidRPr="00403A68">
              <w:rPr>
                <w:b/>
              </w:rPr>
              <w:t xml:space="preserve">Market price of reductions in emissions of carbon dioxide equivalent in current markets: </w:t>
            </w:r>
            <w:r w:rsidRPr="00403A68">
              <w:t>In the absence of a clear carbon price in Australia, the central value used in this study of $20 per tonne of CO</w:t>
            </w:r>
            <w:r w:rsidRPr="00403A68">
              <w:rPr>
                <w:vertAlign w:val="subscript"/>
              </w:rPr>
              <w:t>2</w:t>
            </w:r>
            <w:r w:rsidRPr="00403A68">
              <w:t>e has been derived from a median of existing international carbon market values, which were obtained from the World Bank Carbon Pricing Dashboard data (World Bank, 2019). A lower bound value for the study of $12/ tonne of CO</w:t>
            </w:r>
            <w:r w:rsidRPr="00403A68">
              <w:rPr>
                <w:vertAlign w:val="subscript"/>
              </w:rPr>
              <w:t>2</w:t>
            </w:r>
            <w:r w:rsidRPr="00403A68">
              <w:t>e was also adopted which aligns with the average price across previous auctions of the Commonwealth's Emissions Reduction Fund (ERF).</w:t>
            </w:r>
          </w:p>
          <w:p w14:paraId="5AE886FB" w14:textId="77777777" w:rsidR="00205F19" w:rsidRPr="00403A68" w:rsidRDefault="00205F19" w:rsidP="00666947">
            <w:pPr>
              <w:pStyle w:val="TableTextLeft"/>
            </w:pPr>
          </w:p>
        </w:tc>
        <w:tc>
          <w:tcPr>
            <w:tcW w:w="165" w:type="pct"/>
            <w:shd w:val="clear" w:color="auto" w:fill="92D050"/>
          </w:tcPr>
          <w:p w14:paraId="258F4398" w14:textId="77777777" w:rsidR="00205F19" w:rsidRPr="00403A68" w:rsidRDefault="00205F19" w:rsidP="00666947">
            <w:pPr>
              <w:pStyle w:val="TableTextLeft"/>
            </w:pPr>
            <w:r w:rsidRPr="00403A68">
              <w:t>Yes</w:t>
            </w:r>
          </w:p>
        </w:tc>
        <w:tc>
          <w:tcPr>
            <w:tcW w:w="1238" w:type="pct"/>
            <w:gridSpan w:val="3"/>
          </w:tcPr>
          <w:p w14:paraId="0420F417" w14:textId="77777777" w:rsidR="00205F19" w:rsidRPr="00403A68" w:rsidRDefault="00205F19" w:rsidP="00666947">
            <w:pPr>
              <w:pStyle w:val="TableTextLeft"/>
              <w:rPr>
                <w:b/>
              </w:rPr>
            </w:pPr>
            <w:r w:rsidRPr="00403A68">
              <w:rPr>
                <w:b/>
              </w:rPr>
              <w:t xml:space="preserve">Market price / replacement cost: </w:t>
            </w:r>
            <w:r w:rsidRPr="00403A68">
              <w:t>Used the approach identified and used in this study to represent the market value of carbon sequestered by ecosystem assets within  the assessment boundary.</w:t>
            </w:r>
            <w:r w:rsidRPr="00403A68">
              <w:rPr>
                <w:b/>
              </w:rPr>
              <w:t xml:space="preserve"> </w:t>
            </w:r>
            <w:r w:rsidRPr="00403A68">
              <w:t>Care was be taken to ensure the physical and monetary values are in commensurate terms (either carbon or CO</w:t>
            </w:r>
            <w:r w:rsidRPr="00403A68">
              <w:rPr>
                <w:vertAlign w:val="subscript"/>
              </w:rPr>
              <w:t>2</w:t>
            </w:r>
            <w:r w:rsidRPr="00403A68">
              <w:t>e, see footnote).</w:t>
            </w:r>
          </w:p>
        </w:tc>
      </w:tr>
      <w:tr w:rsidR="00CF04CB" w:rsidRPr="00403A68" w14:paraId="235D136B" w14:textId="77777777" w:rsidTr="00CF04CB">
        <w:trPr>
          <w:gridAfter w:val="1"/>
          <w:wAfter w:w="4" w:type="pct"/>
          <w:trHeight w:val="905"/>
        </w:trPr>
        <w:tc>
          <w:tcPr>
            <w:tcW w:w="394" w:type="pct"/>
            <w:vMerge/>
          </w:tcPr>
          <w:p w14:paraId="74777771" w14:textId="77777777" w:rsidR="00205F19" w:rsidRPr="00403A68" w:rsidRDefault="00205F19" w:rsidP="00666947">
            <w:pPr>
              <w:pStyle w:val="TableTextLeft"/>
            </w:pPr>
          </w:p>
        </w:tc>
        <w:tc>
          <w:tcPr>
            <w:tcW w:w="3199" w:type="pct"/>
          </w:tcPr>
          <w:p w14:paraId="262E3126" w14:textId="77777777" w:rsidR="00205F19" w:rsidRPr="00403A68" w:rsidRDefault="00205F19" w:rsidP="00666947">
            <w:pPr>
              <w:pStyle w:val="TableTextLeft"/>
            </w:pPr>
            <w:r w:rsidRPr="00403A68">
              <w:rPr>
                <w:b/>
              </w:rPr>
              <w:t>Social cost of carbon</w:t>
            </w:r>
            <w:r w:rsidRPr="00403A68">
              <w:t>: the study adopts a social cost of carbon of $59 tonne of CO</w:t>
            </w:r>
            <w:r w:rsidRPr="00403A68">
              <w:rPr>
                <w:vertAlign w:val="subscript"/>
              </w:rPr>
              <w:t>2</w:t>
            </w:r>
            <w:r w:rsidRPr="00403A68">
              <w:t>e as an upper bound value, which is equivalent to the 2018 social cost of carbon estimate derived by the US Government (US Government, 2016). This represents a different method of valuing the ecosystem service of carbon sequestration, based on a welfare value. This differs from exchange values which are used to value other ecosystem services in this study.</w:t>
            </w:r>
          </w:p>
        </w:tc>
        <w:tc>
          <w:tcPr>
            <w:tcW w:w="165" w:type="pct"/>
            <w:shd w:val="clear" w:color="auto" w:fill="92D050"/>
          </w:tcPr>
          <w:p w14:paraId="55204576" w14:textId="77777777" w:rsidR="00205F19" w:rsidRPr="00403A68" w:rsidRDefault="00205F19" w:rsidP="00666947">
            <w:pPr>
              <w:pStyle w:val="TableTextLeft"/>
            </w:pPr>
            <w:r w:rsidRPr="00403A68">
              <w:t>Yes</w:t>
            </w:r>
          </w:p>
        </w:tc>
        <w:tc>
          <w:tcPr>
            <w:tcW w:w="1238" w:type="pct"/>
            <w:gridSpan w:val="3"/>
          </w:tcPr>
          <w:p w14:paraId="5215A4B8" w14:textId="77777777" w:rsidR="00205F19" w:rsidRPr="00403A68" w:rsidRDefault="00205F19" w:rsidP="00666947">
            <w:pPr>
              <w:pStyle w:val="TableTextLeft"/>
              <w:rPr>
                <w:b/>
              </w:rPr>
            </w:pPr>
            <w:r w:rsidRPr="00403A68">
              <w:rPr>
                <w:b/>
              </w:rPr>
              <w:t xml:space="preserve">Social cost of carbon: </w:t>
            </w:r>
            <w:r w:rsidRPr="00403A68">
              <w:t>Used the latest version of the report used in this study to represent the social cost of carbon sequestered by ecosystem assets within the assessment boundary.</w:t>
            </w:r>
            <w:r w:rsidRPr="00403A68">
              <w:rPr>
                <w:b/>
              </w:rPr>
              <w:t xml:space="preserve"> </w:t>
            </w:r>
            <w:r w:rsidRPr="00403A68">
              <w:t>Care was be taken to ensure the physical and monetary values are in commensurate terms (either carbon or CO</w:t>
            </w:r>
            <w:r w:rsidRPr="00403A68">
              <w:rPr>
                <w:vertAlign w:val="subscript"/>
              </w:rPr>
              <w:t>2</w:t>
            </w:r>
            <w:r w:rsidRPr="00403A68">
              <w:t>e, see footnote).</w:t>
            </w:r>
          </w:p>
        </w:tc>
      </w:tr>
      <w:tr w:rsidR="00CF04CB" w:rsidRPr="00403A68" w14:paraId="00C571A1" w14:textId="77777777" w:rsidTr="00CF04CB">
        <w:trPr>
          <w:gridAfter w:val="1"/>
          <w:wAfter w:w="4" w:type="pct"/>
          <w:trHeight w:val="905"/>
        </w:trPr>
        <w:tc>
          <w:tcPr>
            <w:tcW w:w="394" w:type="pct"/>
          </w:tcPr>
          <w:p w14:paraId="44BEAAEA" w14:textId="77777777" w:rsidR="00205F19" w:rsidRPr="00403A68" w:rsidRDefault="00205F19" w:rsidP="00666947">
            <w:pPr>
              <w:pStyle w:val="TableTextLeft"/>
            </w:pPr>
            <w:r w:rsidRPr="00403A68">
              <w:lastRenderedPageBreak/>
              <w:t>DELWP (forthcoming) Ecosystem services from forests in Victoria. Impact of the 2019-20 bushfires</w:t>
            </w:r>
          </w:p>
        </w:tc>
        <w:tc>
          <w:tcPr>
            <w:tcW w:w="3199" w:type="pct"/>
          </w:tcPr>
          <w:p w14:paraId="61AFB1F1" w14:textId="77777777" w:rsidR="00205F19" w:rsidRPr="00403A68" w:rsidRDefault="00205F19" w:rsidP="00666947">
            <w:pPr>
              <w:pStyle w:val="TableTextLeft"/>
              <w:rPr>
                <w:b/>
              </w:rPr>
            </w:pPr>
            <w:r w:rsidRPr="00403A68">
              <w:rPr>
                <w:b/>
              </w:rPr>
              <w:t>Abatement costs</w:t>
            </w:r>
            <w:r w:rsidRPr="00403A68">
              <w:t>: the study adopts values consistent with scenarios in the Intergovernmental Panel on Climate Change’s (IPCC) Fifth Assessment Report.  IPCC values do not represent actual prices observed from carbon markets, rather they are derived from hypothetical (modelled) abatement scenarios. Based on a scenario that would provide a likely chance of limiting global temperature increases to below 2°C above pre-industrial levels, the value per tonne of CO2e in 2020 is $71 (in AUD2019).</w:t>
            </w:r>
          </w:p>
        </w:tc>
        <w:tc>
          <w:tcPr>
            <w:tcW w:w="165" w:type="pct"/>
            <w:shd w:val="clear" w:color="auto" w:fill="92D050"/>
          </w:tcPr>
          <w:p w14:paraId="2C4A49B6" w14:textId="77777777" w:rsidR="00205F19" w:rsidRPr="00403A68" w:rsidRDefault="00205F19" w:rsidP="00666947">
            <w:pPr>
              <w:pStyle w:val="TableTextLeft"/>
            </w:pPr>
            <w:r w:rsidRPr="00403A68">
              <w:t>Yes</w:t>
            </w:r>
          </w:p>
        </w:tc>
        <w:tc>
          <w:tcPr>
            <w:tcW w:w="1238" w:type="pct"/>
            <w:gridSpan w:val="3"/>
          </w:tcPr>
          <w:p w14:paraId="38FA98D2" w14:textId="77777777" w:rsidR="00205F19" w:rsidRPr="00403A68" w:rsidRDefault="00205F19" w:rsidP="00666947">
            <w:pPr>
              <w:pStyle w:val="TableTextLeft"/>
              <w:rPr>
                <w:b/>
              </w:rPr>
            </w:pPr>
            <w:r w:rsidRPr="00403A68">
              <w:rPr>
                <w:b/>
              </w:rPr>
              <w:t xml:space="preserve">Market price / replacement cost: </w:t>
            </w:r>
            <w:r w:rsidRPr="00403A68">
              <w:t>used IPCC abatement costs under a scenario providing a likely chance of limiting global temperature increases to below 2°C above pre-industrial levels as an upper bound for market prices / replacement cost.</w:t>
            </w:r>
          </w:p>
        </w:tc>
      </w:tr>
      <w:tr w:rsidR="00CF04CB" w:rsidRPr="00403A68" w14:paraId="0DB41955" w14:textId="77777777" w:rsidTr="00CF04CB">
        <w:trPr>
          <w:gridAfter w:val="1"/>
          <w:wAfter w:w="4" w:type="pct"/>
          <w:trHeight w:val="905"/>
        </w:trPr>
        <w:tc>
          <w:tcPr>
            <w:tcW w:w="394" w:type="pct"/>
          </w:tcPr>
          <w:p w14:paraId="31A4EFF3" w14:textId="77777777" w:rsidR="00205F19" w:rsidRPr="00403A68" w:rsidRDefault="00205F19" w:rsidP="00666947">
            <w:pPr>
              <w:pStyle w:val="TableTextLeft"/>
            </w:pPr>
            <w:r w:rsidRPr="00403A68">
              <w:t xml:space="preserve">Fairman et al. (2010), Using </w:t>
            </w:r>
            <w:proofErr w:type="spellStart"/>
            <w:r w:rsidRPr="00403A68">
              <w:t>iTree</w:t>
            </w:r>
            <w:proofErr w:type="spellEnd"/>
            <w:r w:rsidRPr="00403A68">
              <w:t xml:space="preserve"> STRATUM to estimate the benefits of street trees in Melbourne, Victoria</w:t>
            </w:r>
          </w:p>
        </w:tc>
        <w:tc>
          <w:tcPr>
            <w:tcW w:w="3199" w:type="pct"/>
          </w:tcPr>
          <w:p w14:paraId="1F961B8A" w14:textId="77777777" w:rsidR="00205F19" w:rsidRPr="00403A68" w:rsidRDefault="00205F19" w:rsidP="00666947">
            <w:pPr>
              <w:pStyle w:val="TableTextLeft"/>
            </w:pPr>
            <w:r w:rsidRPr="00403A68">
              <w:t xml:space="preserve">The physical and economic benefits of street trees in a subset of suburbs in Melbourne, Victoria, were assessed in a proof-of-concept of </w:t>
            </w:r>
            <w:proofErr w:type="spellStart"/>
            <w:r w:rsidRPr="00403A68">
              <w:t>iTree</w:t>
            </w:r>
            <w:proofErr w:type="spellEnd"/>
            <w:r w:rsidRPr="00403A68">
              <w:t xml:space="preserve"> Streets: STRATUM (Street Tree Resource Analysis Tool for Urban Forest Managers), a street tree evaluating model developed by USDA Forest Service. This study uses an economic value of carbon sequestration in Melbourne of $0.033/lb on the basis of a speculative carbon price of $20 dollars / tonne of carbon (1 tonne = 2204.62 lbs so $20/tonne is equivalent to $0.0091/lb, multiplied by 3.66 to get to CO</w:t>
            </w:r>
            <w:r w:rsidRPr="00403A68">
              <w:rPr>
                <w:vertAlign w:val="subscript"/>
              </w:rPr>
              <w:t>2</w:t>
            </w:r>
            <w:r w:rsidRPr="00403A68">
              <w:t>e gives a value of $0.033/lb CO</w:t>
            </w:r>
            <w:r w:rsidRPr="00403A68">
              <w:rPr>
                <w:vertAlign w:val="subscript"/>
              </w:rPr>
              <w:t>2</w:t>
            </w:r>
            <w:r w:rsidRPr="00403A68">
              <w:t>e). The study estimates the value of street tree carbon sequestration is $7.49 per tree for both Melbourne and Hume on the basis of $0.033/lb CO</w:t>
            </w:r>
            <w:r w:rsidRPr="00403A68">
              <w:rPr>
                <w:vertAlign w:val="subscript"/>
              </w:rPr>
              <w:t>2</w:t>
            </w:r>
            <w:r w:rsidRPr="00403A68">
              <w:t>e and the associated carbon sequestration estimates (tonnes CO</w:t>
            </w:r>
            <w:r w:rsidRPr="00403A68">
              <w:rPr>
                <w:vertAlign w:val="subscript"/>
              </w:rPr>
              <w:t>2</w:t>
            </w:r>
            <w:r w:rsidRPr="00403A68">
              <w:t xml:space="preserve">e) from </w:t>
            </w:r>
            <w:proofErr w:type="spellStart"/>
            <w:r w:rsidRPr="00403A68">
              <w:t>iTree</w:t>
            </w:r>
            <w:proofErr w:type="spellEnd"/>
            <w:r w:rsidRPr="00403A68">
              <w:t xml:space="preserve"> STRATUM.</w:t>
            </w:r>
          </w:p>
        </w:tc>
        <w:tc>
          <w:tcPr>
            <w:tcW w:w="165" w:type="pct"/>
            <w:shd w:val="clear" w:color="auto" w:fill="FF0000"/>
          </w:tcPr>
          <w:p w14:paraId="5CAB4F71" w14:textId="77777777" w:rsidR="00205F19" w:rsidRPr="00403A68" w:rsidRDefault="00205F19" w:rsidP="00666947">
            <w:pPr>
              <w:pStyle w:val="TableTextLeft"/>
            </w:pPr>
            <w:r w:rsidRPr="00403A68">
              <w:t>No</w:t>
            </w:r>
          </w:p>
        </w:tc>
        <w:tc>
          <w:tcPr>
            <w:tcW w:w="1238" w:type="pct"/>
            <w:gridSpan w:val="3"/>
          </w:tcPr>
          <w:p w14:paraId="33137D21" w14:textId="77777777" w:rsidR="00205F19" w:rsidRPr="00403A68" w:rsidRDefault="00205F19" w:rsidP="00666947">
            <w:pPr>
              <w:pStyle w:val="TableTextLeft"/>
            </w:pPr>
            <w:r w:rsidRPr="00403A68">
              <w:t xml:space="preserve">The value is based on a “speculative” price for carbon and therefore is not considered credible for use in the GORCAP EEA. </w:t>
            </w:r>
          </w:p>
        </w:tc>
      </w:tr>
      <w:tr w:rsidR="00CF04CB" w:rsidRPr="00403A68" w14:paraId="557AA29B" w14:textId="77777777" w:rsidTr="00CF04CB">
        <w:trPr>
          <w:gridAfter w:val="1"/>
          <w:wAfter w:w="4" w:type="pct"/>
          <w:trHeight w:val="905"/>
        </w:trPr>
        <w:tc>
          <w:tcPr>
            <w:tcW w:w="394" w:type="pct"/>
          </w:tcPr>
          <w:p w14:paraId="513C8A26" w14:textId="77777777" w:rsidR="00205F19" w:rsidRPr="00403A68" w:rsidRDefault="00205F19" w:rsidP="00666947">
            <w:pPr>
              <w:pStyle w:val="TableTextLeft"/>
            </w:pPr>
            <w:r w:rsidRPr="00403A68">
              <w:t>Hope (2006) The social cost of carbon: what does it actually depend on?</w:t>
            </w:r>
          </w:p>
        </w:tc>
        <w:tc>
          <w:tcPr>
            <w:tcW w:w="3199" w:type="pct"/>
          </w:tcPr>
          <w:p w14:paraId="1A8CBD75" w14:textId="77777777" w:rsidR="00205F19" w:rsidRPr="00403A68" w:rsidRDefault="00205F19" w:rsidP="00666947">
            <w:pPr>
              <w:pStyle w:val="TableTextLeft"/>
            </w:pPr>
            <w:r w:rsidRPr="00403A68">
              <w:t>This study used PAGE2002, the same probabilistic integrated assessment model as used by the Stern Review, to calculate the social cost of carbon and to examine how it varies with discount rate. It found that the social cost of carbon is not sensitive to the path of emissions on which the tonne of carbon is superimposed. The mean value of the social cost of carbon is $43 per tonne under both a business-as-usual scenario, and under a scenario aimed at stabilising CO</w:t>
            </w:r>
            <w:r w:rsidRPr="00403A68">
              <w:rPr>
                <w:vertAlign w:val="subscript"/>
              </w:rPr>
              <w:t>2</w:t>
            </w:r>
            <w:r w:rsidRPr="00403A68">
              <w:t xml:space="preserve"> concentrations at 550 ppm. The social cost of carbon is sensitive to a number of scientific and economic inputs to the model, with two distributions for the sensitivity of climate to a doubling of atmospheric CO</w:t>
            </w:r>
            <w:r w:rsidRPr="00403A68">
              <w:rPr>
                <w:vertAlign w:val="subscript"/>
              </w:rPr>
              <w:t>2</w:t>
            </w:r>
            <w:r w:rsidRPr="00403A68">
              <w:t xml:space="preserve"> increasing the mean value of the social cost of carbon from $43 to $68 and $90 per tonne. Using a pure rate of time preference of 0.1 per cent per year, as in the Stern Review, gives a mean social cost of carbon of $365 per tonne.</w:t>
            </w:r>
          </w:p>
        </w:tc>
        <w:tc>
          <w:tcPr>
            <w:tcW w:w="165" w:type="pct"/>
            <w:shd w:val="clear" w:color="auto" w:fill="92D050"/>
          </w:tcPr>
          <w:p w14:paraId="244CE954" w14:textId="77777777" w:rsidR="00205F19" w:rsidRPr="00403A68" w:rsidRDefault="00205F19" w:rsidP="00666947">
            <w:pPr>
              <w:pStyle w:val="TableTextLeft"/>
            </w:pPr>
            <w:r w:rsidRPr="00403A68">
              <w:t>Yes</w:t>
            </w:r>
          </w:p>
        </w:tc>
        <w:tc>
          <w:tcPr>
            <w:tcW w:w="1238" w:type="pct"/>
            <w:gridSpan w:val="3"/>
          </w:tcPr>
          <w:p w14:paraId="359FFB5B" w14:textId="77777777" w:rsidR="00205F19" w:rsidRPr="00403A68" w:rsidRDefault="00205F19" w:rsidP="00666947">
            <w:pPr>
              <w:pStyle w:val="TableTextLeft"/>
            </w:pPr>
            <w:r w:rsidRPr="00403A68">
              <w:rPr>
                <w:b/>
              </w:rPr>
              <w:t xml:space="preserve">Social cost of carbon: </w:t>
            </w:r>
            <w:r w:rsidRPr="00403A68">
              <w:t>the estimated value from the Hope (2006) study was used in this study as part of a range for the social cost of carbon (along with the latest US Government figures).</w:t>
            </w:r>
          </w:p>
        </w:tc>
      </w:tr>
      <w:tr w:rsidR="00CF04CB" w:rsidRPr="00403A68" w14:paraId="40F59889" w14:textId="77777777" w:rsidTr="00CF04CB">
        <w:trPr>
          <w:gridAfter w:val="1"/>
          <w:wAfter w:w="4" w:type="pct"/>
          <w:trHeight w:val="905"/>
        </w:trPr>
        <w:tc>
          <w:tcPr>
            <w:tcW w:w="394" w:type="pct"/>
          </w:tcPr>
          <w:p w14:paraId="5CBCF843" w14:textId="77777777" w:rsidR="00205F19" w:rsidRPr="00403A68" w:rsidRDefault="00205F19" w:rsidP="00666947">
            <w:pPr>
              <w:pStyle w:val="TableTextLeft"/>
            </w:pPr>
            <w:r w:rsidRPr="00403A68">
              <w:t>Mekala et al. (2015) Valuing the Benefits of Creek Rehabilitation</w:t>
            </w:r>
          </w:p>
        </w:tc>
        <w:tc>
          <w:tcPr>
            <w:tcW w:w="3199" w:type="pct"/>
          </w:tcPr>
          <w:p w14:paraId="588D0804" w14:textId="77777777" w:rsidR="00205F19" w:rsidRPr="00403A68" w:rsidRDefault="00205F19" w:rsidP="00666947">
            <w:pPr>
              <w:pStyle w:val="TableTextLeft"/>
            </w:pPr>
            <w:r w:rsidRPr="00403A68">
              <w:t>The precise values adopted in this study are not clear, but it states market values for CO</w:t>
            </w:r>
            <w:r w:rsidRPr="00403A68">
              <w:rPr>
                <w:vertAlign w:val="subscript"/>
              </w:rPr>
              <w:t>2</w:t>
            </w:r>
            <w:r w:rsidRPr="00403A68">
              <w:t>e have fluctuated from $5 to $14 (no reference given) and that the mean (average) social cost of carbon is approximately $43/tonne under both a business-as-usual scenario, and under a scenario aimed at stabilising CO</w:t>
            </w:r>
            <w:r w:rsidRPr="00403A68">
              <w:rPr>
                <w:vertAlign w:val="subscript"/>
              </w:rPr>
              <w:t xml:space="preserve">2 </w:t>
            </w:r>
            <w:r w:rsidRPr="00403A68">
              <w:t xml:space="preserve">concentrations at 550 ppm, from a study by Hope (2006) into the social cost of carbon. </w:t>
            </w:r>
          </w:p>
        </w:tc>
        <w:tc>
          <w:tcPr>
            <w:tcW w:w="165" w:type="pct"/>
            <w:shd w:val="clear" w:color="auto" w:fill="92D050"/>
          </w:tcPr>
          <w:p w14:paraId="35796DF3" w14:textId="77777777" w:rsidR="00205F19" w:rsidRPr="00403A68" w:rsidRDefault="00205F19" w:rsidP="00666947">
            <w:pPr>
              <w:pStyle w:val="TableTextLeft"/>
            </w:pPr>
            <w:r w:rsidRPr="00403A68">
              <w:t>Yes</w:t>
            </w:r>
          </w:p>
        </w:tc>
        <w:tc>
          <w:tcPr>
            <w:tcW w:w="1238" w:type="pct"/>
            <w:gridSpan w:val="3"/>
          </w:tcPr>
          <w:p w14:paraId="0E7BDDB8" w14:textId="77777777" w:rsidR="00205F19" w:rsidRPr="00403A68" w:rsidRDefault="00205F19" w:rsidP="00666947">
            <w:pPr>
              <w:pStyle w:val="TableTextLeft"/>
            </w:pPr>
            <w:r w:rsidRPr="00403A68">
              <w:rPr>
                <w:b/>
              </w:rPr>
              <w:t xml:space="preserve">Social cost of carbon: </w:t>
            </w:r>
            <w:r w:rsidRPr="00403A68">
              <w:t>the estimated value from the Hope (2006) study was used in this study as part of a range for the social cost of carbon (along with the latest US Government figures).</w:t>
            </w:r>
          </w:p>
        </w:tc>
      </w:tr>
      <w:tr w:rsidR="00CF04CB" w:rsidRPr="00403A68" w14:paraId="5AD00169" w14:textId="77777777" w:rsidTr="00CF04CB">
        <w:trPr>
          <w:gridAfter w:val="1"/>
          <w:wAfter w:w="4" w:type="pct"/>
          <w:trHeight w:val="905"/>
        </w:trPr>
        <w:tc>
          <w:tcPr>
            <w:tcW w:w="394" w:type="pct"/>
          </w:tcPr>
          <w:p w14:paraId="28E99E8E" w14:textId="77777777" w:rsidR="00205F19" w:rsidRPr="00403A68" w:rsidRDefault="00205F19" w:rsidP="00666947">
            <w:pPr>
              <w:pStyle w:val="TableTextLeft"/>
            </w:pPr>
            <w:r w:rsidRPr="00403A68">
              <w:t>Moore, G. (2009) Urban Trees: Worth More Than They Cost</w:t>
            </w:r>
          </w:p>
        </w:tc>
        <w:tc>
          <w:tcPr>
            <w:tcW w:w="3199" w:type="pct"/>
          </w:tcPr>
          <w:p w14:paraId="25747ECF" w14:textId="77777777" w:rsidR="00205F19" w:rsidRPr="00403A68" w:rsidRDefault="00205F19" w:rsidP="00666947">
            <w:pPr>
              <w:pStyle w:val="TableTextLeft"/>
            </w:pPr>
            <w:r w:rsidRPr="00403A68">
              <w:t>This report uses a value of $20 per tonne of carbon (assumed to be CO</w:t>
            </w:r>
            <w:r w:rsidRPr="00403A68">
              <w:rPr>
                <w:vertAlign w:val="subscript"/>
              </w:rPr>
              <w:t>2</w:t>
            </w:r>
            <w:r w:rsidRPr="00403A68">
              <w:t>e) based on the value of carbon on the Sydney Carbon Exchange in 2008.</w:t>
            </w:r>
          </w:p>
        </w:tc>
        <w:tc>
          <w:tcPr>
            <w:tcW w:w="165" w:type="pct"/>
            <w:shd w:val="clear" w:color="auto" w:fill="FF0000"/>
          </w:tcPr>
          <w:p w14:paraId="0131A125" w14:textId="77777777" w:rsidR="00205F19" w:rsidRPr="00403A68" w:rsidRDefault="00205F19" w:rsidP="00666947">
            <w:pPr>
              <w:pStyle w:val="TableTextLeft"/>
            </w:pPr>
            <w:r w:rsidRPr="00403A68">
              <w:t>No</w:t>
            </w:r>
          </w:p>
        </w:tc>
        <w:tc>
          <w:tcPr>
            <w:tcW w:w="1238" w:type="pct"/>
            <w:gridSpan w:val="3"/>
          </w:tcPr>
          <w:p w14:paraId="67FFC907" w14:textId="77777777" w:rsidR="00205F19" w:rsidRPr="00403A68" w:rsidRDefault="00205F19" w:rsidP="00666947">
            <w:pPr>
              <w:pStyle w:val="TableTextLeft"/>
            </w:pPr>
            <w:r w:rsidRPr="00403A68">
              <w:t xml:space="preserve">This is based on a (now) outdated market price for carbon. </w:t>
            </w:r>
          </w:p>
        </w:tc>
      </w:tr>
    </w:tbl>
    <w:p w14:paraId="78D305B6" w14:textId="77777777" w:rsidR="00205F19" w:rsidRPr="00403A68" w:rsidRDefault="00205F19" w:rsidP="00205F19">
      <w:pPr>
        <w:pStyle w:val="Heading2"/>
        <w:sectPr w:rsidR="00205F19" w:rsidRPr="00403A68" w:rsidSect="00E52A9A">
          <w:headerReference w:type="even" r:id="rId388"/>
          <w:headerReference w:type="default" r:id="rId389"/>
          <w:footerReference w:type="even" r:id="rId390"/>
          <w:footerReference w:type="default" r:id="rId391"/>
          <w:pgSz w:w="23811" w:h="16838" w:orient="landscape" w:code="8"/>
          <w:pgMar w:top="1134" w:right="1134" w:bottom="1134" w:left="1134" w:header="283" w:footer="283" w:gutter="0"/>
          <w:cols w:space="284"/>
          <w:docGrid w:linePitch="360"/>
        </w:sectPr>
      </w:pPr>
    </w:p>
    <w:p w14:paraId="528F1EE3" w14:textId="77777777" w:rsidR="00205F19" w:rsidRPr="00403A68" w:rsidRDefault="00205F19" w:rsidP="00995CC6">
      <w:pPr>
        <w:pStyle w:val="Heading2"/>
        <w:numPr>
          <w:ilvl w:val="0"/>
          <w:numId w:val="0"/>
        </w:numPr>
      </w:pPr>
      <w:bookmarkStart w:id="438" w:name="_Toc163547108"/>
      <w:r w:rsidRPr="00403A68">
        <w:lastRenderedPageBreak/>
        <w:t>A3.6. Recreation and tourism</w:t>
      </w:r>
      <w:bookmarkEnd w:id="438"/>
    </w:p>
    <w:p w14:paraId="57A0C966" w14:textId="77777777" w:rsidR="00205F19" w:rsidRPr="00403A68" w:rsidRDefault="00205F19" w:rsidP="00205F19">
      <w:pPr>
        <w:pStyle w:val="BodyText"/>
      </w:pPr>
      <w:r w:rsidRPr="00403A68">
        <w:t>Estimates of the value of socio-economic benefits of recreation and tourism within Victoria are set out in Table A3.20. This includes an estimate of the tourism value of the Great Ocean Road which, as Victoria’s top tourist attraction, boosts the economy by an estimated $1.1 billion per year (DJPR, 2020)</w:t>
      </w:r>
    </w:p>
    <w:p w14:paraId="4E5B2D37" w14:textId="77777777" w:rsidR="00205F19" w:rsidRPr="00403A68" w:rsidRDefault="00205F19" w:rsidP="00995CC6">
      <w:pPr>
        <w:pStyle w:val="Caption"/>
      </w:pPr>
      <w:r w:rsidRPr="00403A68">
        <w:t xml:space="preserve">Table A3.20. Estimates of the value ($) of socio-economic benefits of recreation within Victoria </w:t>
      </w:r>
    </w:p>
    <w:tbl>
      <w:tblPr>
        <w:tblStyle w:val="TableGrid"/>
        <w:tblW w:w="5000" w:type="pct"/>
        <w:tblLook w:val="04A0" w:firstRow="1" w:lastRow="0" w:firstColumn="1" w:lastColumn="0" w:noHBand="0" w:noVBand="1"/>
      </w:tblPr>
      <w:tblGrid>
        <w:gridCol w:w="1745"/>
        <w:gridCol w:w="3641"/>
        <w:gridCol w:w="1438"/>
        <w:gridCol w:w="973"/>
        <w:gridCol w:w="1841"/>
      </w:tblGrid>
      <w:tr w:rsidR="00205F19" w:rsidRPr="00403A68" w14:paraId="5CDF63EF" w14:textId="77777777" w:rsidTr="00995CC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 w:type="pct"/>
          </w:tcPr>
          <w:p w14:paraId="7A3D4EE9" w14:textId="77777777" w:rsidR="00205F19" w:rsidRPr="00403A68" w:rsidRDefault="00205F19" w:rsidP="00666947">
            <w:pPr>
              <w:pStyle w:val="TableTextLeft"/>
            </w:pPr>
            <w:r w:rsidRPr="00403A68">
              <w:rPr>
                <w:b/>
              </w:rPr>
              <w:t>Socio-economic benefit</w:t>
            </w:r>
          </w:p>
        </w:tc>
        <w:tc>
          <w:tcPr>
            <w:tcW w:w="1889" w:type="pct"/>
          </w:tcPr>
          <w:p w14:paraId="1D092979" w14:textId="77777777" w:rsidR="00205F19" w:rsidRPr="00403A68" w:rsidRDefault="00205F19" w:rsidP="00666947">
            <w:pPr>
              <w:pStyle w:val="TableTextLeft"/>
              <w:cnfStyle w:val="100000000000" w:firstRow="1" w:lastRow="0" w:firstColumn="0" w:lastColumn="0" w:oddVBand="0" w:evenVBand="0" w:oddHBand="0" w:evenHBand="0" w:firstRowFirstColumn="0" w:firstRowLastColumn="0" w:lastRowFirstColumn="0" w:lastRowLastColumn="0"/>
            </w:pPr>
            <w:r w:rsidRPr="00403A68">
              <w:rPr>
                <w:b/>
              </w:rPr>
              <w:t>Scope</w:t>
            </w:r>
          </w:p>
        </w:tc>
        <w:tc>
          <w:tcPr>
            <w:tcW w:w="746" w:type="pct"/>
          </w:tcPr>
          <w:p w14:paraId="0388BEEF" w14:textId="77777777" w:rsidR="00205F19" w:rsidRPr="00403A68" w:rsidRDefault="00205F19" w:rsidP="00666947">
            <w:pPr>
              <w:pStyle w:val="TableTextLeft"/>
              <w:cnfStyle w:val="100000000000" w:firstRow="1" w:lastRow="0" w:firstColumn="0" w:lastColumn="0" w:oddVBand="0" w:evenVBand="0" w:oddHBand="0" w:evenHBand="0" w:firstRowFirstColumn="0" w:firstRowLastColumn="0" w:lastRowFirstColumn="0" w:lastRowLastColumn="0"/>
            </w:pPr>
            <w:r w:rsidRPr="00403A68">
              <w:rPr>
                <w:b/>
              </w:rPr>
              <w:t>Value</w:t>
            </w:r>
          </w:p>
        </w:tc>
        <w:tc>
          <w:tcPr>
            <w:tcW w:w="505" w:type="pct"/>
          </w:tcPr>
          <w:p w14:paraId="30117E3D" w14:textId="77777777" w:rsidR="00205F19" w:rsidRPr="00403A68" w:rsidRDefault="00205F19" w:rsidP="00666947">
            <w:pPr>
              <w:pStyle w:val="TableTextLeft"/>
              <w:cnfStyle w:val="100000000000" w:firstRow="1" w:lastRow="0" w:firstColumn="0" w:lastColumn="0" w:oddVBand="0" w:evenVBand="0" w:oddHBand="0" w:evenHBand="0" w:firstRowFirstColumn="0" w:firstRowLastColumn="0" w:lastRowFirstColumn="0" w:lastRowLastColumn="0"/>
            </w:pPr>
            <w:r w:rsidRPr="00403A68">
              <w:rPr>
                <w:b/>
              </w:rPr>
              <w:t>Year</w:t>
            </w:r>
          </w:p>
        </w:tc>
        <w:tc>
          <w:tcPr>
            <w:tcW w:w="955" w:type="pct"/>
          </w:tcPr>
          <w:p w14:paraId="2A24B278" w14:textId="77777777" w:rsidR="00205F19" w:rsidRPr="00403A68" w:rsidRDefault="00205F19" w:rsidP="00666947">
            <w:pPr>
              <w:pStyle w:val="TableTextLeft"/>
              <w:cnfStyle w:val="100000000000" w:firstRow="1" w:lastRow="0" w:firstColumn="0" w:lastColumn="0" w:oddVBand="0" w:evenVBand="0" w:oddHBand="0" w:evenHBand="0" w:firstRowFirstColumn="0" w:firstRowLastColumn="0" w:lastRowFirstColumn="0" w:lastRowLastColumn="0"/>
              <w:rPr>
                <w:b/>
              </w:rPr>
            </w:pPr>
            <w:r w:rsidRPr="00403A68">
              <w:rPr>
                <w:b/>
              </w:rPr>
              <w:t>Source</w:t>
            </w:r>
          </w:p>
        </w:tc>
      </w:tr>
      <w:tr w:rsidR="00205F19" w:rsidRPr="00403A68" w14:paraId="73317AAB" w14:textId="77777777" w:rsidTr="00995CC6">
        <w:tc>
          <w:tcPr>
            <w:cnfStyle w:val="001000000000" w:firstRow="0" w:lastRow="0" w:firstColumn="1" w:lastColumn="0" w:oddVBand="0" w:evenVBand="0" w:oddHBand="0" w:evenHBand="0" w:firstRowFirstColumn="0" w:firstRowLastColumn="0" w:lastRowFirstColumn="0" w:lastRowLastColumn="0"/>
            <w:tcW w:w="905" w:type="pct"/>
            <w:vMerge w:val="restart"/>
          </w:tcPr>
          <w:p w14:paraId="0109A676" w14:textId="77777777" w:rsidR="00205F19" w:rsidRPr="00403A68" w:rsidRDefault="00205F19" w:rsidP="00666947">
            <w:pPr>
              <w:pStyle w:val="TableTextLeft"/>
            </w:pPr>
            <w:r w:rsidRPr="00403A68">
              <w:t>Avoided healthcare costs</w:t>
            </w:r>
          </w:p>
        </w:tc>
        <w:tc>
          <w:tcPr>
            <w:tcW w:w="1889" w:type="pct"/>
          </w:tcPr>
          <w:p w14:paraId="6A43C027"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Nature-based outdoor activity in Victoria</w:t>
            </w:r>
          </w:p>
        </w:tc>
        <w:tc>
          <w:tcPr>
            <w:tcW w:w="746" w:type="pct"/>
          </w:tcPr>
          <w:p w14:paraId="442F765B"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$265m/yr</w:t>
            </w:r>
          </w:p>
        </w:tc>
        <w:tc>
          <w:tcPr>
            <w:tcW w:w="505" w:type="pct"/>
          </w:tcPr>
          <w:p w14:paraId="6BDC4C5C"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2014</w:t>
            </w:r>
          </w:p>
        </w:tc>
        <w:tc>
          <w:tcPr>
            <w:tcW w:w="955" w:type="pct"/>
          </w:tcPr>
          <w:p w14:paraId="7D6A5450"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MJA (2016)</w:t>
            </w:r>
          </w:p>
        </w:tc>
      </w:tr>
      <w:tr w:rsidR="00205F19" w:rsidRPr="00403A68" w14:paraId="7CE8F491" w14:textId="77777777" w:rsidTr="00995CC6">
        <w:tc>
          <w:tcPr>
            <w:cnfStyle w:val="001000000000" w:firstRow="0" w:lastRow="0" w:firstColumn="1" w:lastColumn="0" w:oddVBand="0" w:evenVBand="0" w:oddHBand="0" w:evenHBand="0" w:firstRowFirstColumn="0" w:firstRowLastColumn="0" w:lastRowFirstColumn="0" w:lastRowLastColumn="0"/>
            <w:tcW w:w="905" w:type="pct"/>
            <w:vMerge/>
          </w:tcPr>
          <w:p w14:paraId="4C3BEAD5" w14:textId="77777777" w:rsidR="00205F19" w:rsidRPr="00403A68" w:rsidRDefault="00205F19" w:rsidP="00666947">
            <w:pPr>
              <w:pStyle w:val="TableTextLeft"/>
            </w:pPr>
          </w:p>
        </w:tc>
        <w:tc>
          <w:tcPr>
            <w:tcW w:w="1889" w:type="pct"/>
          </w:tcPr>
          <w:p w14:paraId="31ACB8D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Recreation in Victorian Parks</w:t>
            </w:r>
          </w:p>
        </w:tc>
        <w:tc>
          <w:tcPr>
            <w:tcW w:w="746" w:type="pct"/>
          </w:tcPr>
          <w:p w14:paraId="4A3B99D9"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$236m</w:t>
            </w:r>
          </w:p>
        </w:tc>
        <w:tc>
          <w:tcPr>
            <w:tcW w:w="505" w:type="pct"/>
          </w:tcPr>
          <w:p w14:paraId="6B89E4D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2014</w:t>
            </w:r>
          </w:p>
        </w:tc>
        <w:tc>
          <w:tcPr>
            <w:tcW w:w="955" w:type="pct"/>
          </w:tcPr>
          <w:p w14:paraId="241CB8C4"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DELWP &amp; PV (2015)</w:t>
            </w:r>
          </w:p>
        </w:tc>
      </w:tr>
      <w:tr w:rsidR="00205F19" w:rsidRPr="00403A68" w14:paraId="359A165D" w14:textId="77777777" w:rsidTr="00995CC6">
        <w:tc>
          <w:tcPr>
            <w:cnfStyle w:val="001000000000" w:firstRow="0" w:lastRow="0" w:firstColumn="1" w:lastColumn="0" w:oddVBand="0" w:evenVBand="0" w:oddHBand="0" w:evenHBand="0" w:firstRowFirstColumn="0" w:firstRowLastColumn="0" w:lastRowFirstColumn="0" w:lastRowLastColumn="0"/>
            <w:tcW w:w="905" w:type="pct"/>
            <w:vMerge w:val="restart"/>
          </w:tcPr>
          <w:p w14:paraId="0FFB55D1" w14:textId="77777777" w:rsidR="00205F19" w:rsidRPr="00403A68" w:rsidRDefault="00205F19" w:rsidP="00666947">
            <w:pPr>
              <w:pStyle w:val="TableTextLeft"/>
            </w:pPr>
            <w:r w:rsidRPr="00403A68">
              <w:t>Welfare</w:t>
            </w:r>
          </w:p>
        </w:tc>
        <w:tc>
          <w:tcPr>
            <w:tcW w:w="1889" w:type="pct"/>
          </w:tcPr>
          <w:p w14:paraId="3817DF36"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Nature-based outdoor activity in Victoria</w:t>
            </w:r>
          </w:p>
        </w:tc>
        <w:tc>
          <w:tcPr>
            <w:tcW w:w="746" w:type="pct"/>
          </w:tcPr>
          <w:p w14:paraId="06DADB82"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$455m/yr</w:t>
            </w:r>
          </w:p>
        </w:tc>
        <w:tc>
          <w:tcPr>
            <w:tcW w:w="505" w:type="pct"/>
          </w:tcPr>
          <w:p w14:paraId="1523C93F"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2014</w:t>
            </w:r>
          </w:p>
        </w:tc>
        <w:tc>
          <w:tcPr>
            <w:tcW w:w="955" w:type="pct"/>
          </w:tcPr>
          <w:p w14:paraId="18EC2026"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MJA (2016)</w:t>
            </w:r>
          </w:p>
        </w:tc>
      </w:tr>
      <w:tr w:rsidR="00205F19" w:rsidRPr="00403A68" w14:paraId="4C577FB2" w14:textId="77777777" w:rsidTr="00995CC6">
        <w:tc>
          <w:tcPr>
            <w:cnfStyle w:val="001000000000" w:firstRow="0" w:lastRow="0" w:firstColumn="1" w:lastColumn="0" w:oddVBand="0" w:evenVBand="0" w:oddHBand="0" w:evenHBand="0" w:firstRowFirstColumn="0" w:firstRowLastColumn="0" w:lastRowFirstColumn="0" w:lastRowLastColumn="0"/>
            <w:tcW w:w="905" w:type="pct"/>
            <w:vMerge/>
          </w:tcPr>
          <w:p w14:paraId="7358CF57" w14:textId="77777777" w:rsidR="00205F19" w:rsidRPr="00403A68" w:rsidRDefault="00205F19" w:rsidP="00666947">
            <w:pPr>
              <w:pStyle w:val="TableTextLeft"/>
            </w:pPr>
          </w:p>
        </w:tc>
        <w:tc>
          <w:tcPr>
            <w:tcW w:w="1889" w:type="pct"/>
          </w:tcPr>
          <w:p w14:paraId="3117297A"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Recreation in Victorian Parks</w:t>
            </w:r>
          </w:p>
        </w:tc>
        <w:tc>
          <w:tcPr>
            <w:tcW w:w="746" w:type="pct"/>
          </w:tcPr>
          <w:p w14:paraId="609F044F"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$0.6-$1bn/yr</w:t>
            </w:r>
          </w:p>
        </w:tc>
        <w:tc>
          <w:tcPr>
            <w:tcW w:w="505" w:type="pct"/>
          </w:tcPr>
          <w:p w14:paraId="4F75467B"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2013</w:t>
            </w:r>
          </w:p>
        </w:tc>
        <w:tc>
          <w:tcPr>
            <w:tcW w:w="955" w:type="pct"/>
          </w:tcPr>
          <w:p w14:paraId="611DB938"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DELWP &amp; PV (2015)</w:t>
            </w:r>
          </w:p>
        </w:tc>
      </w:tr>
      <w:tr w:rsidR="00205F19" w:rsidRPr="00403A68" w14:paraId="43ED915F" w14:textId="77777777" w:rsidTr="00995CC6">
        <w:tc>
          <w:tcPr>
            <w:cnfStyle w:val="001000000000" w:firstRow="0" w:lastRow="0" w:firstColumn="1" w:lastColumn="0" w:oddVBand="0" w:evenVBand="0" w:oddHBand="0" w:evenHBand="0" w:firstRowFirstColumn="0" w:firstRowLastColumn="0" w:lastRowFirstColumn="0" w:lastRowLastColumn="0"/>
            <w:tcW w:w="905" w:type="pct"/>
          </w:tcPr>
          <w:p w14:paraId="53CAAE26" w14:textId="77777777" w:rsidR="00205F19" w:rsidRPr="00403A68" w:rsidRDefault="00205F19" w:rsidP="00666947">
            <w:pPr>
              <w:pStyle w:val="TableTextLeft"/>
            </w:pPr>
            <w:r w:rsidRPr="00403A68">
              <w:t xml:space="preserve">Productivity </w:t>
            </w:r>
          </w:p>
        </w:tc>
        <w:tc>
          <w:tcPr>
            <w:tcW w:w="1889" w:type="pct"/>
          </w:tcPr>
          <w:p w14:paraId="2187C38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Nature-based outdoor activity in Victoria</w:t>
            </w:r>
          </w:p>
        </w:tc>
        <w:tc>
          <w:tcPr>
            <w:tcW w:w="746" w:type="pct"/>
          </w:tcPr>
          <w:p w14:paraId="70648561"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$720m/yr</w:t>
            </w:r>
          </w:p>
        </w:tc>
        <w:tc>
          <w:tcPr>
            <w:tcW w:w="505" w:type="pct"/>
          </w:tcPr>
          <w:p w14:paraId="5B5DBFB1"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2014</w:t>
            </w:r>
          </w:p>
        </w:tc>
        <w:tc>
          <w:tcPr>
            <w:tcW w:w="955" w:type="pct"/>
          </w:tcPr>
          <w:p w14:paraId="368FC10B"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MJA (2016)</w:t>
            </w:r>
          </w:p>
        </w:tc>
      </w:tr>
      <w:tr w:rsidR="00205F19" w:rsidRPr="00403A68" w14:paraId="513C6183" w14:textId="77777777" w:rsidTr="00995CC6">
        <w:tc>
          <w:tcPr>
            <w:cnfStyle w:val="001000000000" w:firstRow="0" w:lastRow="0" w:firstColumn="1" w:lastColumn="0" w:oddVBand="0" w:evenVBand="0" w:oddHBand="0" w:evenHBand="0" w:firstRowFirstColumn="0" w:firstRowLastColumn="0" w:lastRowFirstColumn="0" w:lastRowLastColumn="0"/>
            <w:tcW w:w="905" w:type="pct"/>
            <w:vMerge w:val="restart"/>
          </w:tcPr>
          <w:p w14:paraId="0BEEC334" w14:textId="77777777" w:rsidR="00205F19" w:rsidRPr="00403A68" w:rsidRDefault="00205F19" w:rsidP="00666947">
            <w:pPr>
              <w:pStyle w:val="TableTextLeft"/>
            </w:pPr>
            <w:r w:rsidRPr="00403A68">
              <w:t>Gross value added (Tourism)</w:t>
            </w:r>
          </w:p>
        </w:tc>
        <w:tc>
          <w:tcPr>
            <w:tcW w:w="1889" w:type="pct"/>
          </w:tcPr>
          <w:p w14:paraId="61C365A0"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Nature-based outdoor activity in Victoria</w:t>
            </w:r>
          </w:p>
        </w:tc>
        <w:tc>
          <w:tcPr>
            <w:tcW w:w="746" w:type="pct"/>
          </w:tcPr>
          <w:p w14:paraId="201E8CC2"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$6.2bn/yr</w:t>
            </w:r>
          </w:p>
        </w:tc>
        <w:tc>
          <w:tcPr>
            <w:tcW w:w="505" w:type="pct"/>
          </w:tcPr>
          <w:p w14:paraId="4F0ABBF4"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2014</w:t>
            </w:r>
          </w:p>
        </w:tc>
        <w:tc>
          <w:tcPr>
            <w:tcW w:w="955" w:type="pct"/>
          </w:tcPr>
          <w:p w14:paraId="69D9526F"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MJA (2016)</w:t>
            </w:r>
          </w:p>
        </w:tc>
      </w:tr>
      <w:tr w:rsidR="00205F19" w:rsidRPr="00403A68" w14:paraId="7C1FFACC" w14:textId="77777777" w:rsidTr="00995CC6">
        <w:tc>
          <w:tcPr>
            <w:cnfStyle w:val="001000000000" w:firstRow="0" w:lastRow="0" w:firstColumn="1" w:lastColumn="0" w:oddVBand="0" w:evenVBand="0" w:oddHBand="0" w:evenHBand="0" w:firstRowFirstColumn="0" w:firstRowLastColumn="0" w:lastRowFirstColumn="0" w:lastRowLastColumn="0"/>
            <w:tcW w:w="905" w:type="pct"/>
            <w:vMerge/>
          </w:tcPr>
          <w:p w14:paraId="1475BBBB" w14:textId="77777777" w:rsidR="00205F19" w:rsidRPr="00403A68" w:rsidRDefault="00205F19" w:rsidP="00666947">
            <w:pPr>
              <w:pStyle w:val="TableTextLeft"/>
            </w:pPr>
          </w:p>
        </w:tc>
        <w:tc>
          <w:tcPr>
            <w:tcW w:w="1889" w:type="pct"/>
          </w:tcPr>
          <w:p w14:paraId="03AF9FF2"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Great Ocean Road attributable tourism</w:t>
            </w:r>
          </w:p>
        </w:tc>
        <w:tc>
          <w:tcPr>
            <w:tcW w:w="746" w:type="pct"/>
          </w:tcPr>
          <w:p w14:paraId="0397C46F"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$1.1bn/yr</w:t>
            </w:r>
          </w:p>
        </w:tc>
        <w:tc>
          <w:tcPr>
            <w:tcW w:w="505" w:type="pct"/>
          </w:tcPr>
          <w:p w14:paraId="70578EAB"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2018-19</w:t>
            </w:r>
          </w:p>
        </w:tc>
        <w:tc>
          <w:tcPr>
            <w:tcW w:w="955" w:type="pct"/>
          </w:tcPr>
          <w:p w14:paraId="6A0926BC"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DJPR (2020)</w:t>
            </w:r>
          </w:p>
        </w:tc>
      </w:tr>
      <w:tr w:rsidR="00205F19" w:rsidRPr="00403A68" w14:paraId="67DB7E4D" w14:textId="77777777" w:rsidTr="00995CC6">
        <w:tc>
          <w:tcPr>
            <w:cnfStyle w:val="001000000000" w:firstRow="0" w:lastRow="0" w:firstColumn="1" w:lastColumn="0" w:oddVBand="0" w:evenVBand="0" w:oddHBand="0" w:evenHBand="0" w:firstRowFirstColumn="0" w:firstRowLastColumn="0" w:lastRowFirstColumn="0" w:lastRowLastColumn="0"/>
            <w:tcW w:w="905" w:type="pct"/>
          </w:tcPr>
          <w:p w14:paraId="71E551A7" w14:textId="77777777" w:rsidR="00205F19" w:rsidRPr="00403A68" w:rsidRDefault="00205F19" w:rsidP="00666947">
            <w:pPr>
              <w:pStyle w:val="TableTextLeft"/>
            </w:pPr>
            <w:r w:rsidRPr="00403A68">
              <w:t>Expenditure</w:t>
            </w:r>
          </w:p>
        </w:tc>
        <w:tc>
          <w:tcPr>
            <w:tcW w:w="1889" w:type="pct"/>
          </w:tcPr>
          <w:p w14:paraId="057A6317"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Nature-based outdoor activity in Victoria</w:t>
            </w:r>
          </w:p>
        </w:tc>
        <w:tc>
          <w:tcPr>
            <w:tcW w:w="746" w:type="pct"/>
          </w:tcPr>
          <w:p w14:paraId="433820BA"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$7.4bn</w:t>
            </w:r>
          </w:p>
        </w:tc>
        <w:tc>
          <w:tcPr>
            <w:tcW w:w="505" w:type="pct"/>
          </w:tcPr>
          <w:p w14:paraId="5B4C6253"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2014</w:t>
            </w:r>
          </w:p>
        </w:tc>
        <w:tc>
          <w:tcPr>
            <w:tcW w:w="955" w:type="pct"/>
          </w:tcPr>
          <w:p w14:paraId="1C64F36E"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MJA (2016)</w:t>
            </w:r>
          </w:p>
        </w:tc>
      </w:tr>
      <w:tr w:rsidR="00205F19" w:rsidRPr="00403A68" w14:paraId="642F6979" w14:textId="77777777" w:rsidTr="00995CC6">
        <w:tc>
          <w:tcPr>
            <w:cnfStyle w:val="001000000000" w:firstRow="0" w:lastRow="0" w:firstColumn="1" w:lastColumn="0" w:oddVBand="0" w:evenVBand="0" w:oddHBand="0" w:evenHBand="0" w:firstRowFirstColumn="0" w:firstRowLastColumn="0" w:lastRowFirstColumn="0" w:lastRowLastColumn="0"/>
            <w:tcW w:w="905" w:type="pct"/>
            <w:vMerge w:val="restart"/>
          </w:tcPr>
          <w:p w14:paraId="6A894AC7" w14:textId="77777777" w:rsidR="00205F19" w:rsidRPr="00403A68" w:rsidRDefault="00205F19" w:rsidP="00666947">
            <w:pPr>
              <w:pStyle w:val="TableTextLeft"/>
            </w:pPr>
            <w:r w:rsidRPr="00403A68">
              <w:t>Economic contribution</w:t>
            </w:r>
            <w:r w:rsidRPr="00403A68">
              <w:rPr>
                <w:vertAlign w:val="superscript"/>
              </w:rPr>
              <w:footnoteReference w:id="102"/>
            </w:r>
          </w:p>
        </w:tc>
        <w:tc>
          <w:tcPr>
            <w:tcW w:w="1889" w:type="pct"/>
          </w:tcPr>
          <w:p w14:paraId="3006A95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Recreational boating in Port Phillip port</w:t>
            </w:r>
          </w:p>
        </w:tc>
        <w:tc>
          <w:tcPr>
            <w:tcW w:w="746" w:type="pct"/>
          </w:tcPr>
          <w:p w14:paraId="0A9AF11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$35.5m/yr</w:t>
            </w:r>
          </w:p>
        </w:tc>
        <w:tc>
          <w:tcPr>
            <w:tcW w:w="505" w:type="pct"/>
          </w:tcPr>
          <w:p w14:paraId="751F65E0"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n.d.</w:t>
            </w:r>
          </w:p>
        </w:tc>
        <w:tc>
          <w:tcPr>
            <w:tcW w:w="955" w:type="pct"/>
          </w:tcPr>
          <w:p w14:paraId="50944BDE"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DELWP &amp; PV (2015)</w:t>
            </w:r>
          </w:p>
        </w:tc>
      </w:tr>
      <w:tr w:rsidR="00205F19" w:rsidRPr="00403A68" w14:paraId="0B51D22B" w14:textId="77777777" w:rsidTr="00995CC6">
        <w:tc>
          <w:tcPr>
            <w:cnfStyle w:val="001000000000" w:firstRow="0" w:lastRow="0" w:firstColumn="1" w:lastColumn="0" w:oddVBand="0" w:evenVBand="0" w:oddHBand="0" w:evenHBand="0" w:firstRowFirstColumn="0" w:firstRowLastColumn="0" w:lastRowFirstColumn="0" w:lastRowLastColumn="0"/>
            <w:tcW w:w="905" w:type="pct"/>
            <w:vMerge/>
          </w:tcPr>
          <w:p w14:paraId="09EE4165" w14:textId="77777777" w:rsidR="00205F19" w:rsidRPr="00403A68" w:rsidRDefault="00205F19" w:rsidP="00666947">
            <w:pPr>
              <w:pStyle w:val="TableTextLeft"/>
            </w:pPr>
          </w:p>
        </w:tc>
        <w:tc>
          <w:tcPr>
            <w:tcW w:w="1889" w:type="pct"/>
          </w:tcPr>
          <w:p w14:paraId="144F6B87"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Recreational fishing in Port Phillip port</w:t>
            </w:r>
          </w:p>
        </w:tc>
        <w:tc>
          <w:tcPr>
            <w:tcW w:w="746" w:type="pct"/>
          </w:tcPr>
          <w:p w14:paraId="45DCD77C"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$24.5m/yr</w:t>
            </w:r>
          </w:p>
        </w:tc>
        <w:tc>
          <w:tcPr>
            <w:tcW w:w="505" w:type="pct"/>
          </w:tcPr>
          <w:p w14:paraId="444387CA"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n.d.</w:t>
            </w:r>
          </w:p>
        </w:tc>
        <w:tc>
          <w:tcPr>
            <w:tcW w:w="955" w:type="pct"/>
          </w:tcPr>
          <w:p w14:paraId="6DBD1EC1"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DELWP &amp; PV (2015)</w:t>
            </w:r>
          </w:p>
        </w:tc>
      </w:tr>
      <w:tr w:rsidR="00205F19" w:rsidRPr="00403A68" w14:paraId="640424C0" w14:textId="77777777" w:rsidTr="00995CC6">
        <w:tc>
          <w:tcPr>
            <w:cnfStyle w:val="001000000000" w:firstRow="0" w:lastRow="0" w:firstColumn="1" w:lastColumn="0" w:oddVBand="0" w:evenVBand="0" w:oddHBand="0" w:evenHBand="0" w:firstRowFirstColumn="0" w:firstRowLastColumn="0" w:lastRowFirstColumn="0" w:lastRowLastColumn="0"/>
            <w:tcW w:w="905" w:type="pct"/>
            <w:vMerge/>
          </w:tcPr>
          <w:p w14:paraId="5CF87F6E" w14:textId="77777777" w:rsidR="00205F19" w:rsidRPr="00403A68" w:rsidRDefault="00205F19" w:rsidP="00666947">
            <w:pPr>
              <w:pStyle w:val="TableTextLeft"/>
            </w:pPr>
          </w:p>
        </w:tc>
        <w:tc>
          <w:tcPr>
            <w:tcW w:w="1889" w:type="pct"/>
          </w:tcPr>
          <w:p w14:paraId="443D8790"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Recreational tourism in Port Phillip port</w:t>
            </w:r>
          </w:p>
        </w:tc>
        <w:tc>
          <w:tcPr>
            <w:tcW w:w="746" w:type="pct"/>
          </w:tcPr>
          <w:p w14:paraId="078668AC"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$2.25m/yr</w:t>
            </w:r>
          </w:p>
        </w:tc>
        <w:tc>
          <w:tcPr>
            <w:tcW w:w="505" w:type="pct"/>
          </w:tcPr>
          <w:p w14:paraId="4A6A3B4B"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n.d.</w:t>
            </w:r>
          </w:p>
        </w:tc>
        <w:tc>
          <w:tcPr>
            <w:tcW w:w="955" w:type="pct"/>
          </w:tcPr>
          <w:p w14:paraId="6871778C"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DELWP &amp; PV (2015)</w:t>
            </w:r>
          </w:p>
        </w:tc>
      </w:tr>
      <w:tr w:rsidR="00205F19" w:rsidRPr="00403A68" w14:paraId="22BFEC21" w14:textId="77777777" w:rsidTr="00995CC6">
        <w:tc>
          <w:tcPr>
            <w:cnfStyle w:val="001000000000" w:firstRow="0" w:lastRow="0" w:firstColumn="1" w:lastColumn="0" w:oddVBand="0" w:evenVBand="0" w:oddHBand="0" w:evenHBand="0" w:firstRowFirstColumn="0" w:firstRowLastColumn="0" w:lastRowFirstColumn="0" w:lastRowLastColumn="0"/>
            <w:tcW w:w="905" w:type="pct"/>
          </w:tcPr>
          <w:p w14:paraId="0E02D35D" w14:textId="77777777" w:rsidR="00205F19" w:rsidRPr="00403A68" w:rsidRDefault="00205F19" w:rsidP="00666947">
            <w:pPr>
              <w:pStyle w:val="TableTextLeft"/>
            </w:pPr>
            <w:r w:rsidRPr="00403A68">
              <w:t>Employment</w:t>
            </w:r>
          </w:p>
        </w:tc>
        <w:tc>
          <w:tcPr>
            <w:tcW w:w="1889" w:type="pct"/>
          </w:tcPr>
          <w:p w14:paraId="1D7342B2"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Nature-based outdoor activity in Victoria</w:t>
            </w:r>
          </w:p>
        </w:tc>
        <w:tc>
          <w:tcPr>
            <w:tcW w:w="746" w:type="pct"/>
          </w:tcPr>
          <w:p w14:paraId="69D26B12"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71,000 FTE</w:t>
            </w:r>
          </w:p>
        </w:tc>
        <w:tc>
          <w:tcPr>
            <w:tcW w:w="505" w:type="pct"/>
          </w:tcPr>
          <w:p w14:paraId="48628B86"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2014</w:t>
            </w:r>
          </w:p>
        </w:tc>
        <w:tc>
          <w:tcPr>
            <w:tcW w:w="955" w:type="pct"/>
          </w:tcPr>
          <w:p w14:paraId="078F626F"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MJA (2016)</w:t>
            </w:r>
          </w:p>
        </w:tc>
      </w:tr>
    </w:tbl>
    <w:p w14:paraId="220AE931" w14:textId="77777777" w:rsidR="00205F19" w:rsidRPr="00403A68" w:rsidRDefault="00205F19" w:rsidP="000035CB">
      <w:pPr>
        <w:pStyle w:val="AlphaHeading4"/>
        <w:numPr>
          <w:ilvl w:val="0"/>
          <w:numId w:val="59"/>
        </w:numPr>
      </w:pPr>
      <w:r w:rsidRPr="00403A68">
        <w:t>Physical provision of recreation and tourism</w:t>
      </w:r>
    </w:p>
    <w:p w14:paraId="17A0B8AC" w14:textId="77777777" w:rsidR="00205F19" w:rsidRPr="00403A68" w:rsidRDefault="00205F19" w:rsidP="00205F19">
      <w:pPr>
        <w:pStyle w:val="BodyText12ptBefore"/>
        <w:rPr>
          <w:highlight w:val="yellow"/>
        </w:rPr>
      </w:pPr>
      <w:r w:rsidRPr="00403A68">
        <w:t xml:space="preserve">Table A3.21. provides details on the studies that could be used to develop a GOR specific assessment of recreation and tourism and how the approaches and data from these studies are used in the GOR environmental-economic account. </w:t>
      </w:r>
    </w:p>
    <w:p w14:paraId="0BD956FC" w14:textId="77777777" w:rsidR="00205F19" w:rsidRPr="00403A68" w:rsidRDefault="00205F19" w:rsidP="00205F19">
      <w:pPr>
        <w:pStyle w:val="BodyText"/>
        <w:rPr>
          <w:highlight w:val="yellow"/>
        </w:rPr>
        <w:sectPr w:rsidR="00205F19" w:rsidRPr="00403A68" w:rsidSect="00E52A9A">
          <w:headerReference w:type="even" r:id="rId392"/>
          <w:headerReference w:type="default" r:id="rId393"/>
          <w:footerReference w:type="even" r:id="rId394"/>
          <w:footerReference w:type="default" r:id="rId395"/>
          <w:pgSz w:w="11906" w:h="16840" w:code="9"/>
          <w:pgMar w:top="1134" w:right="1134" w:bottom="1134" w:left="1134" w:header="283" w:footer="283" w:gutter="0"/>
          <w:cols w:space="284"/>
          <w:docGrid w:linePitch="360"/>
        </w:sectPr>
      </w:pPr>
    </w:p>
    <w:p w14:paraId="2BEAB360" w14:textId="77777777" w:rsidR="00205F19" w:rsidRPr="00403A68" w:rsidRDefault="00205F19" w:rsidP="00142DF2">
      <w:pPr>
        <w:pStyle w:val="Caption"/>
      </w:pPr>
      <w:r w:rsidRPr="00403A68">
        <w:lastRenderedPageBreak/>
        <w:t>Table A3.21. Review of methods and data used to estimate the physical provision of recreation and tourism from ecosystem assets in Victoria</w:t>
      </w:r>
    </w:p>
    <w:tbl>
      <w:tblPr>
        <w:tblW w:w="5000" w:type="pct"/>
        <w:tblBorders>
          <w:bottom w:val="single" w:sz="4" w:space="0" w:color="auto"/>
          <w:insideH w:val="single" w:sz="4" w:space="0" w:color="auto"/>
        </w:tblBorders>
        <w:tblLook w:val="04A0" w:firstRow="1" w:lastRow="0" w:firstColumn="1" w:lastColumn="0" w:noHBand="0" w:noVBand="1"/>
      </w:tblPr>
      <w:tblGrid>
        <w:gridCol w:w="2974"/>
        <w:gridCol w:w="9668"/>
        <w:gridCol w:w="801"/>
        <w:gridCol w:w="8100"/>
      </w:tblGrid>
      <w:tr w:rsidR="00205F19" w:rsidRPr="00403A68" w14:paraId="0BB5007B" w14:textId="77777777" w:rsidTr="00995CC6">
        <w:trPr>
          <w:trHeight w:val="253"/>
        </w:trPr>
        <w:tc>
          <w:tcPr>
            <w:tcW w:w="690" w:type="pct"/>
            <w:shd w:val="clear" w:color="auto" w:fill="004C97" w:themeFill="accent1"/>
          </w:tcPr>
          <w:p w14:paraId="65F03BB2" w14:textId="77777777" w:rsidR="00205F19" w:rsidRPr="00403A68" w:rsidRDefault="00205F19" w:rsidP="00995CC6">
            <w:pPr>
              <w:pStyle w:val="TableHeadingLeft"/>
            </w:pPr>
            <w:r w:rsidRPr="00403A68">
              <w:t>Source</w:t>
            </w:r>
          </w:p>
        </w:tc>
        <w:tc>
          <w:tcPr>
            <w:tcW w:w="2244" w:type="pct"/>
            <w:shd w:val="clear" w:color="auto" w:fill="004C97" w:themeFill="accent1"/>
          </w:tcPr>
          <w:p w14:paraId="4C2F02FD" w14:textId="77777777" w:rsidR="00205F19" w:rsidRPr="00403A68" w:rsidRDefault="00205F19" w:rsidP="00995CC6">
            <w:pPr>
              <w:pStyle w:val="TableHeadingLeft"/>
            </w:pPr>
            <w:r w:rsidRPr="00403A68">
              <w:t>Description</w:t>
            </w:r>
          </w:p>
        </w:tc>
        <w:tc>
          <w:tcPr>
            <w:tcW w:w="2066" w:type="pct"/>
            <w:gridSpan w:val="2"/>
            <w:shd w:val="clear" w:color="auto" w:fill="004C97" w:themeFill="accent1"/>
          </w:tcPr>
          <w:p w14:paraId="42929042" w14:textId="77777777" w:rsidR="00205F19" w:rsidRPr="00403A68" w:rsidRDefault="00205F19" w:rsidP="00995CC6">
            <w:pPr>
              <w:pStyle w:val="TableHeadingLeft"/>
            </w:pPr>
            <w:r w:rsidRPr="00403A68">
              <w:t>Used in GORCAP EEA?</w:t>
            </w:r>
          </w:p>
        </w:tc>
      </w:tr>
      <w:tr w:rsidR="00205F19" w:rsidRPr="00403A68" w14:paraId="4812B625" w14:textId="77777777" w:rsidTr="00995CC6">
        <w:trPr>
          <w:trHeight w:val="253"/>
        </w:trPr>
        <w:tc>
          <w:tcPr>
            <w:tcW w:w="690" w:type="pct"/>
          </w:tcPr>
          <w:p w14:paraId="39E0339E" w14:textId="77777777" w:rsidR="00205F19" w:rsidRPr="00403A68" w:rsidRDefault="00205F19" w:rsidP="00666947">
            <w:pPr>
              <w:pStyle w:val="TableTextLeft"/>
            </w:pPr>
            <w:r w:rsidRPr="00403A68">
              <w:t>Deloitte Access Economics (2014) The economic contribution of tourist visitation to Victorian parks</w:t>
            </w:r>
          </w:p>
        </w:tc>
        <w:tc>
          <w:tcPr>
            <w:tcW w:w="2244" w:type="pct"/>
          </w:tcPr>
          <w:p w14:paraId="6929126E" w14:textId="77777777" w:rsidR="00205F19" w:rsidRPr="00403A68" w:rsidRDefault="00205F19" w:rsidP="00666947">
            <w:pPr>
              <w:pStyle w:val="TableTextLeft"/>
            </w:pPr>
            <w:r w:rsidRPr="00403A68">
              <w:t xml:space="preserve">This study is quoted in DELWP and Parks Victoria (2015) and includes estimates of the number of domestic day, international overnight and domestic overnight tourism visits to parks in the Great Ocean Road tourism region which total to around 7.3 million visits per year in total and are quoted as having been taken from Parks Victoria data (n.d.). Estimates of jobs supported by park-attributable tourism for the Great Ocean Road tourism region are also provided (from TRA). </w:t>
            </w:r>
          </w:p>
        </w:tc>
        <w:tc>
          <w:tcPr>
            <w:tcW w:w="186" w:type="pct"/>
            <w:shd w:val="clear" w:color="auto" w:fill="FF0000"/>
          </w:tcPr>
          <w:p w14:paraId="67B50496" w14:textId="77777777" w:rsidR="00205F19" w:rsidRPr="00403A68" w:rsidRDefault="00205F19" w:rsidP="00666947">
            <w:pPr>
              <w:pStyle w:val="TableTextLeft"/>
            </w:pPr>
            <w:r w:rsidRPr="00403A68">
              <w:t>No</w:t>
            </w:r>
          </w:p>
        </w:tc>
        <w:tc>
          <w:tcPr>
            <w:tcW w:w="1880" w:type="pct"/>
          </w:tcPr>
          <w:p w14:paraId="267DEDA6" w14:textId="77777777" w:rsidR="00205F19" w:rsidRPr="00403A68" w:rsidRDefault="00205F19" w:rsidP="00666947">
            <w:pPr>
              <w:pStyle w:val="TableTextLeft"/>
            </w:pPr>
            <w:r w:rsidRPr="00403A68">
              <w:t>There is more up-to-date information on recreation and tourism visits from the TRA for the entire GOR tourism region (DJPR, 2020) that will be used for the GORCAP EEA. However, this data could be used in future iterations of the account to distinguish visits to parks within the GOR tourism region from total visits. Estimates of jobs supported by park-attributable tourism could be relevant if the scope of accounts were expanded to include jobs.</w:t>
            </w:r>
          </w:p>
        </w:tc>
      </w:tr>
      <w:tr w:rsidR="00205F19" w:rsidRPr="00403A68" w14:paraId="5F677577" w14:textId="77777777" w:rsidTr="00995CC6">
        <w:trPr>
          <w:trHeight w:val="253"/>
        </w:trPr>
        <w:tc>
          <w:tcPr>
            <w:tcW w:w="690" w:type="pct"/>
          </w:tcPr>
          <w:p w14:paraId="10E2962A" w14:textId="77777777" w:rsidR="00205F19" w:rsidRPr="00403A68" w:rsidRDefault="00205F19" w:rsidP="00666947">
            <w:pPr>
              <w:pStyle w:val="TableTextLeft"/>
            </w:pPr>
            <w:r w:rsidRPr="00403A68">
              <w:t>Deloitte Access Economics (2020) Visitor demand and accommodation forecast. Great Ocean Road</w:t>
            </w:r>
          </w:p>
        </w:tc>
        <w:tc>
          <w:tcPr>
            <w:tcW w:w="2244" w:type="pct"/>
          </w:tcPr>
          <w:p w14:paraId="5FA7923D" w14:textId="77777777" w:rsidR="00205F19" w:rsidRPr="00403A68" w:rsidRDefault="00205F19" w:rsidP="00666947">
            <w:pPr>
              <w:pStyle w:val="TableTextLeft"/>
            </w:pPr>
            <w:r w:rsidRPr="00403A68">
              <w:t xml:space="preserve">This report provides a visitor forecast and accommodation needs analysis for the Great Ocean Road in 2018. It includes 2019 baseline data at sub-regional level based on the Statistical Area 2 (SA2) level to understand the geographic distribution and profile of demand. However, a sample size of 30 or more is required to meet the threshold for reliable modelling according to the Central Limit Theorem. This limits the number of SA2 regions able to be modelled. To overcome the sample size constraint while providing the most detailed regional breakdowns possible, SA2s with insufficient data are further grouped into Great Ocean Road tourism sub-regions.  </w:t>
            </w:r>
          </w:p>
        </w:tc>
        <w:tc>
          <w:tcPr>
            <w:tcW w:w="186" w:type="pct"/>
            <w:shd w:val="clear" w:color="auto" w:fill="92D050"/>
          </w:tcPr>
          <w:p w14:paraId="3AA204DA" w14:textId="77777777" w:rsidR="00205F19" w:rsidRPr="00403A68" w:rsidRDefault="00205F19" w:rsidP="00666947">
            <w:pPr>
              <w:pStyle w:val="TableTextLeft"/>
            </w:pPr>
            <w:r w:rsidRPr="00403A68">
              <w:t>Yes</w:t>
            </w:r>
          </w:p>
        </w:tc>
        <w:tc>
          <w:tcPr>
            <w:tcW w:w="1880" w:type="pct"/>
          </w:tcPr>
          <w:p w14:paraId="74A0FF1A" w14:textId="77777777" w:rsidR="00205F19" w:rsidRPr="00403A68" w:rsidRDefault="00205F19" w:rsidP="00666947">
            <w:pPr>
              <w:pStyle w:val="TableTextLeft"/>
            </w:pPr>
            <w:r w:rsidRPr="00403A68">
              <w:t>Visitor information at sub-region (based on SA2’s) level enabled the presentation of a distribution of aggregated visits across the Great Ocean Road Tourism Region (which are captured in DJPR, 2020 and TRA, 2021).</w:t>
            </w:r>
          </w:p>
        </w:tc>
      </w:tr>
      <w:tr w:rsidR="00205F19" w:rsidRPr="00403A68" w14:paraId="5353A580" w14:textId="77777777" w:rsidTr="00995CC6">
        <w:trPr>
          <w:trHeight w:val="253"/>
        </w:trPr>
        <w:tc>
          <w:tcPr>
            <w:tcW w:w="690" w:type="pct"/>
            <w:shd w:val="clear" w:color="auto" w:fill="FFFFFF"/>
          </w:tcPr>
          <w:p w14:paraId="1F123B29" w14:textId="77777777" w:rsidR="00205F19" w:rsidRPr="00403A68" w:rsidRDefault="00205F19" w:rsidP="00666947">
            <w:pPr>
              <w:pStyle w:val="TableTextLeft"/>
            </w:pPr>
            <w:r w:rsidRPr="00403A68">
              <w:t>DELWP and Parks Victoria (2015) Valuing Victoria’s Parks: Accounting for ecosystems and valuing their benefits</w:t>
            </w:r>
          </w:p>
        </w:tc>
        <w:tc>
          <w:tcPr>
            <w:tcW w:w="2244" w:type="pct"/>
            <w:shd w:val="clear" w:color="auto" w:fill="FFFFFF"/>
          </w:tcPr>
          <w:p w14:paraId="19746113" w14:textId="77777777" w:rsidR="00205F19" w:rsidRPr="00403A68" w:rsidRDefault="00205F19" w:rsidP="00666947">
            <w:pPr>
              <w:pStyle w:val="TableTextLeft"/>
            </w:pPr>
            <w:r w:rsidRPr="00403A68">
              <w:t>This study cites information from Parks Victoria on recreational visits to parks within Victoria, including from the Parks Visitation Monitor Quarter 1-4 (2013) on:</w:t>
            </w:r>
          </w:p>
          <w:p w14:paraId="20BCCCD4" w14:textId="77777777" w:rsidR="00205F19" w:rsidRPr="00403A68" w:rsidRDefault="00205F19" w:rsidP="00666947">
            <w:r w:rsidRPr="00403A68">
              <w:t>ii) Percentage of physically active visits and visitors to national and state parks (including marine parks) within Victoria 2012-13 (can be calculated from total figures presented).</w:t>
            </w:r>
          </w:p>
          <w:p w14:paraId="060A99F7" w14:textId="77777777" w:rsidR="00205F19" w:rsidRPr="00403A68" w:rsidRDefault="00205F19" w:rsidP="00666947">
            <w:r w:rsidRPr="00403A68">
              <w:t xml:space="preserve">iii) Percentage of  national and state park visits (including marine parks) by recreational activity in 2003-13 including (not mutually exclusive) primarily physical activity (walks, fitness, cycling, jogging, walking the dog), physical activity (primary or secondary reason), sightseeing/spectating, eating/drinking, socialising, journey/tour, passive activities, events/markets. </w:t>
            </w:r>
          </w:p>
        </w:tc>
        <w:tc>
          <w:tcPr>
            <w:tcW w:w="186" w:type="pct"/>
            <w:shd w:val="clear" w:color="auto" w:fill="92D050"/>
          </w:tcPr>
          <w:p w14:paraId="5FC14E01" w14:textId="77777777" w:rsidR="00205F19" w:rsidRPr="00403A68" w:rsidRDefault="00205F19" w:rsidP="00666947">
            <w:pPr>
              <w:pStyle w:val="TableTextLeft"/>
            </w:pPr>
            <w:r w:rsidRPr="00403A68">
              <w:t>Yes</w:t>
            </w:r>
          </w:p>
        </w:tc>
        <w:tc>
          <w:tcPr>
            <w:tcW w:w="1880" w:type="pct"/>
            <w:shd w:val="clear" w:color="auto" w:fill="FFFFFF"/>
          </w:tcPr>
          <w:p w14:paraId="15DA5BD3" w14:textId="77777777" w:rsidR="00205F19" w:rsidRPr="00403A68" w:rsidRDefault="00205F19" w:rsidP="00666947">
            <w:pPr>
              <w:pStyle w:val="TableTextLeft"/>
            </w:pPr>
            <w:r w:rsidRPr="00403A68">
              <w:t xml:space="preserve">Parks Victoria were contacted to request information on visits to national and state parks. The information on the percentage of visits that are “active” versus “passive” and/or the type of physical activity was used for valuing the recreational service provided by the national and state parks within the GORCAP region. </w:t>
            </w:r>
          </w:p>
          <w:p w14:paraId="750170DC" w14:textId="77777777" w:rsidR="00205F19" w:rsidRPr="00403A68" w:rsidRDefault="00205F19" w:rsidP="00666947">
            <w:pPr>
              <w:pStyle w:val="TableTextLeft"/>
            </w:pPr>
            <w:r w:rsidRPr="00403A68">
              <w:t xml:space="preserve"> </w:t>
            </w:r>
          </w:p>
        </w:tc>
      </w:tr>
      <w:tr w:rsidR="00205F19" w:rsidRPr="00403A68" w14:paraId="710B0BFB" w14:textId="77777777" w:rsidTr="00995CC6">
        <w:trPr>
          <w:trHeight w:val="253"/>
        </w:trPr>
        <w:tc>
          <w:tcPr>
            <w:tcW w:w="690" w:type="pct"/>
          </w:tcPr>
          <w:p w14:paraId="4B0109D3" w14:textId="77777777" w:rsidR="00205F19" w:rsidRPr="00403A68" w:rsidRDefault="00205F19" w:rsidP="00666947">
            <w:pPr>
              <w:pStyle w:val="TableTextLeft"/>
              <w:rPr>
                <w:highlight w:val="yellow"/>
              </w:rPr>
            </w:pPr>
            <w:r w:rsidRPr="00403A68">
              <w:t>DELWP (2019) Marine and Coastal Community Attitudes and Behaviour Report. Wave 5</w:t>
            </w:r>
          </w:p>
        </w:tc>
        <w:tc>
          <w:tcPr>
            <w:tcW w:w="2244" w:type="pct"/>
          </w:tcPr>
          <w:p w14:paraId="01E2B3D4" w14:textId="77777777" w:rsidR="00205F19" w:rsidRPr="00403A68" w:rsidRDefault="00205F19" w:rsidP="00666947">
            <w:pPr>
              <w:pStyle w:val="TableTextLeft"/>
              <w:rPr>
                <w:highlight w:val="yellow"/>
              </w:rPr>
            </w:pPr>
            <w:r w:rsidRPr="00403A68">
              <w:t xml:space="preserve">This report collates information on various aspects of the visitor economy including how visitors use the coast (i.e. type of activity), the factors that influence the coastal experience, perceived issues/threats and attitudes around coastal management. </w:t>
            </w:r>
          </w:p>
        </w:tc>
        <w:tc>
          <w:tcPr>
            <w:tcW w:w="186" w:type="pct"/>
            <w:shd w:val="clear" w:color="auto" w:fill="FF0000"/>
          </w:tcPr>
          <w:p w14:paraId="71198D20" w14:textId="77777777" w:rsidR="00205F19" w:rsidRPr="00403A68" w:rsidRDefault="00205F19" w:rsidP="00666947">
            <w:pPr>
              <w:pStyle w:val="TableTextLeft"/>
            </w:pPr>
            <w:r w:rsidRPr="00403A68">
              <w:t>No</w:t>
            </w:r>
          </w:p>
        </w:tc>
        <w:tc>
          <w:tcPr>
            <w:tcW w:w="1880" w:type="pct"/>
          </w:tcPr>
          <w:p w14:paraId="7C47FEE8" w14:textId="77777777" w:rsidR="00205F19" w:rsidRPr="00403A68" w:rsidRDefault="00205F19" w:rsidP="00666947">
            <w:pPr>
              <w:pStyle w:val="TableTextLeft"/>
            </w:pPr>
            <w:r w:rsidRPr="00403A68">
              <w:t>This information is not GOR specific but Victoria wide.</w:t>
            </w:r>
          </w:p>
        </w:tc>
      </w:tr>
      <w:tr w:rsidR="00205F19" w:rsidRPr="00403A68" w14:paraId="6E7A1B80" w14:textId="77777777" w:rsidTr="00995CC6">
        <w:trPr>
          <w:trHeight w:val="253"/>
        </w:trPr>
        <w:tc>
          <w:tcPr>
            <w:tcW w:w="690" w:type="pct"/>
          </w:tcPr>
          <w:p w14:paraId="4FD78635" w14:textId="77777777" w:rsidR="00205F19" w:rsidRPr="00403A68" w:rsidRDefault="00205F19" w:rsidP="00666947">
            <w:pPr>
              <w:pStyle w:val="TableTextLeft"/>
            </w:pPr>
            <w:r w:rsidRPr="00403A68">
              <w:t>DELWP (2020) Coastal demographics in Victoria</w:t>
            </w:r>
          </w:p>
        </w:tc>
        <w:tc>
          <w:tcPr>
            <w:tcW w:w="2244" w:type="pct"/>
          </w:tcPr>
          <w:p w14:paraId="1A4479FF" w14:textId="77777777" w:rsidR="00205F19" w:rsidRPr="00403A68" w:rsidRDefault="00205F19" w:rsidP="00666947">
            <w:pPr>
              <w:pStyle w:val="TableTextLeft"/>
            </w:pPr>
            <w:r w:rsidRPr="00403A68">
              <w:t>This report provides information on the population and building stock of coastal areas, issues associated with coastal populations as well as economic activity along the coast from DEDJTR (2018a)</w:t>
            </w:r>
          </w:p>
        </w:tc>
        <w:tc>
          <w:tcPr>
            <w:tcW w:w="186" w:type="pct"/>
            <w:shd w:val="clear" w:color="auto" w:fill="FF0000"/>
          </w:tcPr>
          <w:p w14:paraId="5008DDD7" w14:textId="77777777" w:rsidR="00205F19" w:rsidRPr="00403A68" w:rsidRDefault="00205F19" w:rsidP="00666947">
            <w:pPr>
              <w:pStyle w:val="TableTextLeft"/>
              <w:rPr>
                <w:highlight w:val="yellow"/>
              </w:rPr>
            </w:pPr>
            <w:r w:rsidRPr="00403A68">
              <w:t>No</w:t>
            </w:r>
          </w:p>
        </w:tc>
        <w:tc>
          <w:tcPr>
            <w:tcW w:w="1880" w:type="pct"/>
          </w:tcPr>
          <w:p w14:paraId="7F334F67" w14:textId="77777777" w:rsidR="00205F19" w:rsidRPr="00403A68" w:rsidRDefault="00205F19" w:rsidP="00666947">
            <w:pPr>
              <w:pStyle w:val="TableTextLeft"/>
              <w:rPr>
                <w:highlight w:val="yellow"/>
              </w:rPr>
            </w:pPr>
            <w:r w:rsidRPr="00403A68">
              <w:t>There is more up-to-date information on recreation and tourism visits from the TRA for the entire GOR tourism region (DJPR, 2020) that will be used for the GORCAP EEA.</w:t>
            </w:r>
          </w:p>
        </w:tc>
      </w:tr>
      <w:tr w:rsidR="00205F19" w:rsidRPr="00403A68" w14:paraId="6246424B" w14:textId="77777777" w:rsidTr="00995CC6">
        <w:trPr>
          <w:trHeight w:val="253"/>
        </w:trPr>
        <w:tc>
          <w:tcPr>
            <w:tcW w:w="690" w:type="pct"/>
          </w:tcPr>
          <w:p w14:paraId="5D7DEBB8" w14:textId="77777777" w:rsidR="00205F19" w:rsidRPr="00403A68" w:rsidRDefault="00205F19" w:rsidP="00666947">
            <w:pPr>
              <w:pStyle w:val="TableTextLeft"/>
            </w:pPr>
            <w:r w:rsidRPr="00403A68">
              <w:t>DJPR (2020a) Great Ocean Road. Regional Tourism Summary</w:t>
            </w:r>
          </w:p>
        </w:tc>
        <w:tc>
          <w:tcPr>
            <w:tcW w:w="2244" w:type="pct"/>
          </w:tcPr>
          <w:p w14:paraId="42C8D32D" w14:textId="77777777" w:rsidR="00205F19" w:rsidRPr="00403A68" w:rsidRDefault="00205F19" w:rsidP="00666947">
            <w:pPr>
              <w:pStyle w:val="TableTextLeft"/>
            </w:pPr>
            <w:r w:rsidRPr="00403A68">
              <w:t>This document is developed by DJPR’s Tourism, Events and Visitor Economy (TEVE) Research Unit using information from Tourism Research Australia (TRA). It summarises key regional tourism statistics for the Great Ocean Road Tourism Region annually including details of domestic and international visits and nights from 2015 to 2020 and employment estimates from 2013 to 2018.</w:t>
            </w:r>
          </w:p>
        </w:tc>
        <w:tc>
          <w:tcPr>
            <w:tcW w:w="186" w:type="pct"/>
            <w:vMerge w:val="restart"/>
            <w:shd w:val="clear" w:color="auto" w:fill="92D050"/>
          </w:tcPr>
          <w:p w14:paraId="2D5A3D51" w14:textId="77777777" w:rsidR="00205F19" w:rsidRPr="00403A68" w:rsidRDefault="00205F19" w:rsidP="00666947">
            <w:pPr>
              <w:pStyle w:val="TableTextLeft"/>
              <w:rPr>
                <w:highlight w:val="yellow"/>
              </w:rPr>
            </w:pPr>
            <w:r w:rsidRPr="00403A68">
              <w:t>Yes</w:t>
            </w:r>
          </w:p>
        </w:tc>
        <w:tc>
          <w:tcPr>
            <w:tcW w:w="1880" w:type="pct"/>
            <w:vMerge w:val="restart"/>
          </w:tcPr>
          <w:p w14:paraId="79EF0957" w14:textId="77777777" w:rsidR="00205F19" w:rsidRPr="00403A68" w:rsidRDefault="00205F19" w:rsidP="00666947">
            <w:pPr>
              <w:pStyle w:val="TableTextLeft"/>
              <w:rPr>
                <w:highlight w:val="yellow"/>
              </w:rPr>
            </w:pPr>
            <w:r w:rsidRPr="00403A68">
              <w:t xml:space="preserve">These estimates are the most comprehensive available on visitors, nights and employment (if the latter is to be included within GORCAP EEA) for the Great Ocean Road. However, the figures are for the Great Ocean Road tourism region and not the boundary of the GORCAP EEA. </w:t>
            </w:r>
          </w:p>
        </w:tc>
      </w:tr>
      <w:tr w:rsidR="00205F19" w:rsidRPr="00403A68" w14:paraId="5F4F4944" w14:textId="77777777" w:rsidTr="00995CC6">
        <w:trPr>
          <w:trHeight w:val="253"/>
        </w:trPr>
        <w:tc>
          <w:tcPr>
            <w:tcW w:w="690" w:type="pct"/>
          </w:tcPr>
          <w:p w14:paraId="3C6A2278" w14:textId="77777777" w:rsidR="00205F19" w:rsidRPr="00403A68" w:rsidRDefault="00205F19" w:rsidP="00666947">
            <w:pPr>
              <w:pStyle w:val="TableTextLeft"/>
            </w:pPr>
            <w:r w:rsidRPr="00403A68">
              <w:t>DJPR (2020b) The economic contribution of tourism to Victoria’s regions 2018-19</w:t>
            </w:r>
          </w:p>
        </w:tc>
        <w:tc>
          <w:tcPr>
            <w:tcW w:w="2244" w:type="pct"/>
          </w:tcPr>
          <w:p w14:paraId="4EB92CA9" w14:textId="77777777" w:rsidR="00205F19" w:rsidRPr="00403A68" w:rsidRDefault="00205F19" w:rsidP="00666947">
            <w:pPr>
              <w:pStyle w:val="TableTextLeft"/>
            </w:pPr>
            <w:r w:rsidRPr="00403A68">
              <w:t>This document is developed by DJPR’s Tourism, Events and Visitor Economy (TEVE) Research Unit using results from the 2018-19 Regional Tourism Satellite Accounts, published by Tourism Research Australia. It includes detailed estimates for the Great Ocean Road tourism region from the 2018-19 Regional Tourism Satellite Accounts including direct and indirect employment from 2008 to 2018.</w:t>
            </w:r>
          </w:p>
        </w:tc>
        <w:tc>
          <w:tcPr>
            <w:tcW w:w="186" w:type="pct"/>
            <w:vMerge/>
            <w:shd w:val="clear" w:color="auto" w:fill="92D050"/>
          </w:tcPr>
          <w:p w14:paraId="30F32BC8" w14:textId="77777777" w:rsidR="00205F19" w:rsidRPr="00403A68" w:rsidRDefault="00205F19" w:rsidP="00666947">
            <w:pPr>
              <w:pStyle w:val="TableTextLeft"/>
              <w:rPr>
                <w:highlight w:val="yellow"/>
              </w:rPr>
            </w:pPr>
          </w:p>
        </w:tc>
        <w:tc>
          <w:tcPr>
            <w:tcW w:w="1880" w:type="pct"/>
            <w:vMerge/>
          </w:tcPr>
          <w:p w14:paraId="7BE37011" w14:textId="77777777" w:rsidR="00205F19" w:rsidRPr="00403A68" w:rsidRDefault="00205F19" w:rsidP="00666947">
            <w:pPr>
              <w:pStyle w:val="TableTextLeft"/>
              <w:rPr>
                <w:highlight w:val="yellow"/>
              </w:rPr>
            </w:pPr>
          </w:p>
        </w:tc>
      </w:tr>
      <w:tr w:rsidR="00205F19" w:rsidRPr="00403A68" w14:paraId="7CDEB5DC" w14:textId="77777777" w:rsidTr="00995CC6">
        <w:trPr>
          <w:trHeight w:val="253"/>
        </w:trPr>
        <w:tc>
          <w:tcPr>
            <w:tcW w:w="690" w:type="pct"/>
          </w:tcPr>
          <w:p w14:paraId="7FBA90BD" w14:textId="77777777" w:rsidR="00205F19" w:rsidRPr="00403A68" w:rsidRDefault="00205F19" w:rsidP="00666947">
            <w:pPr>
              <w:pStyle w:val="TableTextLeft"/>
            </w:pPr>
            <w:r w:rsidRPr="00403A68">
              <w:t xml:space="preserve">EY (2010) Economic study of recreational fishing in Victoria </w:t>
            </w:r>
          </w:p>
        </w:tc>
        <w:tc>
          <w:tcPr>
            <w:tcW w:w="2244" w:type="pct"/>
          </w:tcPr>
          <w:p w14:paraId="334F971A" w14:textId="77777777" w:rsidR="00205F19" w:rsidRPr="00403A68" w:rsidRDefault="00205F19" w:rsidP="00666947">
            <w:pPr>
              <w:pStyle w:val="TableTextLeft"/>
            </w:pPr>
            <w:r w:rsidRPr="00403A68">
              <w:t xml:space="preserve">The EY (2010) study estimates the number of recreational fishers in Victoria to be 721,000 in 2008-9.  However, no further geographic breakdown is available. </w:t>
            </w:r>
          </w:p>
        </w:tc>
        <w:tc>
          <w:tcPr>
            <w:tcW w:w="186" w:type="pct"/>
            <w:shd w:val="clear" w:color="auto" w:fill="FF0000"/>
          </w:tcPr>
          <w:p w14:paraId="0F647E6A" w14:textId="77777777" w:rsidR="00205F19" w:rsidRPr="00403A68" w:rsidRDefault="00205F19" w:rsidP="00666947">
            <w:pPr>
              <w:pStyle w:val="TableTextLeft"/>
            </w:pPr>
            <w:r w:rsidRPr="00403A68">
              <w:t>No</w:t>
            </w:r>
          </w:p>
        </w:tc>
        <w:tc>
          <w:tcPr>
            <w:tcW w:w="1880" w:type="pct"/>
          </w:tcPr>
          <w:p w14:paraId="1D52644E" w14:textId="77777777" w:rsidR="00205F19" w:rsidRPr="00403A68" w:rsidRDefault="00205F19" w:rsidP="00666947">
            <w:pPr>
              <w:pStyle w:val="TableTextLeft"/>
            </w:pPr>
            <w:r w:rsidRPr="00403A68">
              <w:t xml:space="preserve">This study does not provide estimates of fishing trips / days / visits for the Great Ocean Road region.  Estimates of fishing visits to the GORCAP EEA region will be included within the recreational trip estimates produced by DJPR (2020). Future work could be undertaken to isolate the different activities / types of visits to the GORCAP EEA region (e.g. fishing, nature watching, swimming, boating, surfing etc), this would provide greater insight into the use of the environment for recreation and enable refinement of the economic value estimated. </w:t>
            </w:r>
          </w:p>
        </w:tc>
      </w:tr>
      <w:tr w:rsidR="00205F19" w:rsidRPr="00403A68" w14:paraId="6B8614FF" w14:textId="77777777" w:rsidTr="00995CC6">
        <w:trPr>
          <w:trHeight w:val="253"/>
        </w:trPr>
        <w:tc>
          <w:tcPr>
            <w:tcW w:w="690" w:type="pct"/>
          </w:tcPr>
          <w:p w14:paraId="06F3BB9A" w14:textId="77777777" w:rsidR="00205F19" w:rsidRPr="00403A68" w:rsidRDefault="00205F19" w:rsidP="00666947">
            <w:pPr>
              <w:pStyle w:val="TableTextLeft"/>
            </w:pPr>
            <w:r w:rsidRPr="00403A68">
              <w:t>Henry and Lyle (2003) The National Recreational and Indigenous Fishing Survey</w:t>
            </w:r>
          </w:p>
        </w:tc>
        <w:tc>
          <w:tcPr>
            <w:tcW w:w="2244" w:type="pct"/>
          </w:tcPr>
          <w:p w14:paraId="4F70AE07" w14:textId="77777777" w:rsidR="00205F19" w:rsidRPr="00403A68" w:rsidRDefault="00205F19" w:rsidP="00666947">
            <w:pPr>
              <w:pStyle w:val="TableTextLeft"/>
              <w:rPr>
                <w:highlight w:val="yellow"/>
              </w:rPr>
            </w:pPr>
            <w:r w:rsidRPr="00403A68">
              <w:t>This study is quoted in URS (2007) as the most comprehensive survey of recreation fishing and provides estimates of fisher numbers, fishing days, motivations and the location of fishing events (e.g. offshore, onshore). It provides estimates of fishers for Barwon (33,905 fishers in 2000) and Western District (18,858 fishers in 2000) which are relevant to the GORCAP EEA boundary but does not provide fishing days.</w:t>
            </w:r>
          </w:p>
        </w:tc>
        <w:tc>
          <w:tcPr>
            <w:tcW w:w="186" w:type="pct"/>
            <w:shd w:val="clear" w:color="auto" w:fill="FF0000"/>
          </w:tcPr>
          <w:p w14:paraId="30D12D64" w14:textId="77777777" w:rsidR="00205F19" w:rsidRPr="00403A68" w:rsidRDefault="00205F19" w:rsidP="00666947">
            <w:pPr>
              <w:pStyle w:val="TableTextLeft"/>
            </w:pPr>
            <w:r w:rsidRPr="00403A68">
              <w:t>No</w:t>
            </w:r>
          </w:p>
        </w:tc>
        <w:tc>
          <w:tcPr>
            <w:tcW w:w="1880" w:type="pct"/>
          </w:tcPr>
          <w:p w14:paraId="63C72FEA" w14:textId="77777777" w:rsidR="00205F19" w:rsidRPr="00403A68" w:rsidRDefault="00205F19" w:rsidP="00666947">
            <w:pPr>
              <w:pStyle w:val="TableTextLeft"/>
            </w:pPr>
            <w:r w:rsidRPr="00403A68">
              <w:t xml:space="preserve">Does not provide estimates of fishing visits / trips / days for the Great Ocean Road specifically. Estimates of fishing visits to the GORCAP EEA region will be included within the recreational trip estimates produced by DJPR (2020). Future work could be undertaken to isolate the different activities / types of visits to the GORCAP EEA region (e.g. fishing, nature watching, swimming, boating, surfing etc),  this would provide greater insight into the use of the environment for recreation and enable refinement of the economic value estimated.  </w:t>
            </w:r>
          </w:p>
        </w:tc>
      </w:tr>
      <w:tr w:rsidR="00205F19" w:rsidRPr="00403A68" w14:paraId="4B229D2F" w14:textId="77777777" w:rsidTr="00995CC6">
        <w:trPr>
          <w:trHeight w:val="50"/>
        </w:trPr>
        <w:tc>
          <w:tcPr>
            <w:tcW w:w="690" w:type="pct"/>
          </w:tcPr>
          <w:p w14:paraId="11E0778C" w14:textId="77777777" w:rsidR="00205F19" w:rsidRPr="00403A68" w:rsidRDefault="00205F19" w:rsidP="00666947">
            <w:pPr>
              <w:pStyle w:val="TableTextLeft"/>
            </w:pPr>
            <w:r w:rsidRPr="00403A68">
              <w:lastRenderedPageBreak/>
              <w:t>MJA (2016) Victoria’s nature-based outdoor economy</w:t>
            </w:r>
          </w:p>
        </w:tc>
        <w:tc>
          <w:tcPr>
            <w:tcW w:w="2244" w:type="pct"/>
          </w:tcPr>
          <w:p w14:paraId="6B56E18A" w14:textId="77777777" w:rsidR="00205F19" w:rsidRPr="00403A68" w:rsidRDefault="00205F19" w:rsidP="00666947">
            <w:pPr>
              <w:pStyle w:val="TableTextLeft"/>
            </w:pPr>
            <w:r w:rsidRPr="00403A68">
              <w:t>This study estimates nature-based outdoor activity participation (number of hours) in Victoria, by Tourism Campaign region including the Great Ocean Road region (n.d.).  These estimates have been developed using regional primary data where available (for example surveys of participation and expenditure completed by an industry group, and Parks Victoria visitor survey data). Where primary data is not available for regions we have used ABS and TRA nature-based outdoor activity data and distributed these activities by region largely based on within-region population. Estimates of jobs supported by nature-based outdoor activity in Victoria are also provided, which could be relevant if the scope of accounts were expanded to include jobs.</w:t>
            </w:r>
          </w:p>
          <w:p w14:paraId="7F17675C" w14:textId="77777777" w:rsidR="00205F19" w:rsidRPr="00403A68" w:rsidRDefault="00205F19" w:rsidP="00666947">
            <w:pPr>
              <w:pStyle w:val="TableTextLeft"/>
            </w:pPr>
          </w:p>
        </w:tc>
        <w:tc>
          <w:tcPr>
            <w:tcW w:w="186" w:type="pct"/>
            <w:shd w:val="clear" w:color="auto" w:fill="FF0000"/>
          </w:tcPr>
          <w:p w14:paraId="3FE53AEB" w14:textId="77777777" w:rsidR="00205F19" w:rsidRPr="00403A68" w:rsidRDefault="00205F19" w:rsidP="00666947">
            <w:pPr>
              <w:pStyle w:val="TableTextLeft"/>
            </w:pPr>
            <w:r w:rsidRPr="00403A68">
              <w:t>No</w:t>
            </w:r>
          </w:p>
        </w:tc>
        <w:tc>
          <w:tcPr>
            <w:tcW w:w="1880" w:type="pct"/>
          </w:tcPr>
          <w:p w14:paraId="58122502" w14:textId="77777777" w:rsidR="00205F19" w:rsidRPr="00403A68" w:rsidRDefault="00205F19" w:rsidP="00666947">
            <w:pPr>
              <w:pStyle w:val="TableTextLeft"/>
            </w:pPr>
            <w:r w:rsidRPr="00403A68">
              <w:t xml:space="preserve">Data on the duration of recreational activity within the GOR tourism region could be useful if it aligns with valuation evidence (i.e. value per hour of recreation activity) as it provides a different perspective / insight to information on number and value of visits. However, this is seen as a potential supplementary approach to be considered in the future rather than a preferred approach for this initial GORCAP EEA. Furthermore, these estimates are not available as a time series (i.e. over a number of years) and the methodology used to estimate these figures is not explained in a way that will enable it to be replicated. This means that changes in the duration of recreation over time cannot be tracked in the GORCAP EEA.  </w:t>
            </w:r>
          </w:p>
        </w:tc>
      </w:tr>
      <w:tr w:rsidR="00205F19" w:rsidRPr="00403A68" w14:paraId="5F345C39" w14:textId="77777777" w:rsidTr="00995CC6">
        <w:trPr>
          <w:trHeight w:val="50"/>
        </w:trPr>
        <w:tc>
          <w:tcPr>
            <w:tcW w:w="690" w:type="pct"/>
          </w:tcPr>
          <w:p w14:paraId="09F4FDA7" w14:textId="77777777" w:rsidR="00205F19" w:rsidRPr="00403A68" w:rsidRDefault="00205F19" w:rsidP="00666947">
            <w:pPr>
              <w:pStyle w:val="TableTextLeft"/>
            </w:pPr>
            <w:r w:rsidRPr="00403A68">
              <w:t xml:space="preserve">Quantum Market Research (2019) Understanding state forest visitation and tourism for DELWP </w:t>
            </w:r>
          </w:p>
        </w:tc>
        <w:tc>
          <w:tcPr>
            <w:tcW w:w="2244" w:type="pct"/>
          </w:tcPr>
          <w:p w14:paraId="16B3A086" w14:textId="77777777" w:rsidR="00205F19" w:rsidRPr="00403A68" w:rsidRDefault="00205F19" w:rsidP="00666947">
            <w:pPr>
              <w:pStyle w:val="TableTextLeft"/>
            </w:pPr>
            <w:r w:rsidRPr="00403A68">
              <w:t xml:space="preserve">This study was used in DELWP (2019) report on ecosystem services from Victoria’s forests to provide estimates of the number of visits to state forests across Victoria. The study team was unable to readily source this report and so it’s unclear if estimates are provided by Tourism Region, including the Great Ocean Road. </w:t>
            </w:r>
          </w:p>
        </w:tc>
        <w:tc>
          <w:tcPr>
            <w:tcW w:w="186" w:type="pct"/>
            <w:shd w:val="clear" w:color="auto" w:fill="FF0000"/>
          </w:tcPr>
          <w:p w14:paraId="0421F8A5" w14:textId="77777777" w:rsidR="00205F19" w:rsidRPr="00403A68" w:rsidRDefault="00205F19" w:rsidP="00666947">
            <w:pPr>
              <w:pStyle w:val="TableTextLeft"/>
            </w:pPr>
            <w:r w:rsidRPr="00403A68">
              <w:t>No</w:t>
            </w:r>
          </w:p>
        </w:tc>
        <w:tc>
          <w:tcPr>
            <w:tcW w:w="1880" w:type="pct"/>
          </w:tcPr>
          <w:p w14:paraId="264C7BC1" w14:textId="77777777" w:rsidR="00205F19" w:rsidRPr="00403A68" w:rsidRDefault="00205F19" w:rsidP="00666947">
            <w:pPr>
              <w:pStyle w:val="TableTextLeft"/>
            </w:pPr>
            <w:r w:rsidRPr="00403A68">
              <w:t>There is more up-to-date information on recreation and tourism visits from the TRA for the entire GOR tourism region (DJPR, 2020) that will be used for the GORCAP EEA. However, this data could be used in future iterations of the account to distinguish visits to state forests within the GOR tourism region from total visits if the original study can be sourced and breakdowns by Tourism Region are provided. Estimates of jobs supported by park-attributable tourism could be relevant if the scope of accounts were expanded to include jobs.</w:t>
            </w:r>
          </w:p>
        </w:tc>
      </w:tr>
      <w:tr w:rsidR="00205F19" w:rsidRPr="00403A68" w14:paraId="131B95AA" w14:textId="77777777" w:rsidTr="00995CC6">
        <w:trPr>
          <w:trHeight w:val="50"/>
        </w:trPr>
        <w:tc>
          <w:tcPr>
            <w:tcW w:w="690" w:type="pct"/>
          </w:tcPr>
          <w:p w14:paraId="76C2F0FD" w14:textId="77777777" w:rsidR="00205F19" w:rsidRPr="00403A68" w:rsidRDefault="00205F19" w:rsidP="00666947">
            <w:pPr>
              <w:pStyle w:val="TableTextLeft"/>
            </w:pPr>
            <w:r w:rsidRPr="00403A68">
              <w:t>Surf Coast Shire (2019) Visitor Insights 2019</w:t>
            </w:r>
          </w:p>
        </w:tc>
        <w:tc>
          <w:tcPr>
            <w:tcW w:w="2244" w:type="pct"/>
          </w:tcPr>
          <w:p w14:paraId="2FA40489" w14:textId="77777777" w:rsidR="00205F19" w:rsidRPr="00403A68" w:rsidRDefault="00205F19" w:rsidP="00666947">
            <w:pPr>
              <w:pStyle w:val="TableTextLeft"/>
            </w:pPr>
            <w:r w:rsidRPr="00403A68">
              <w:t xml:space="preserve">This Visitor Insights report presents key statistics and information about tourism visitation to the Surf Coast Shire for the 2018 calendar year based on SA2 and SA3 level information. This includes numbers of visitors and nights which are captured in other statistics (e.g. DJPR, 2020) but it also includes visitation by quarter/season, the motivation for visits (not mutually exclusive) including the natural environment (74 per cent domestic day visits) and active outdoor/sports (20.6 per cent daytrip visits) and the origin of visitors (68 per cent daytrips from Melbourne, 94 per cent overnight visitors from Victoria, 16 per cent of international visitors from the UK). Such information can provide useful insights to understanding the visitor economy beyond estimates of visits and economic contribution. It also includes details of specific environmental related sporting events and mass participation events that drive the visitor economy. </w:t>
            </w:r>
          </w:p>
        </w:tc>
        <w:tc>
          <w:tcPr>
            <w:tcW w:w="186" w:type="pct"/>
            <w:shd w:val="clear" w:color="auto" w:fill="92D050"/>
          </w:tcPr>
          <w:p w14:paraId="424EC187" w14:textId="77777777" w:rsidR="00205F19" w:rsidRPr="00403A68" w:rsidRDefault="00205F19" w:rsidP="00666947">
            <w:pPr>
              <w:pStyle w:val="TableTextLeft"/>
            </w:pPr>
            <w:r w:rsidRPr="00403A68">
              <w:t>Yes</w:t>
            </w:r>
          </w:p>
        </w:tc>
        <w:tc>
          <w:tcPr>
            <w:tcW w:w="1880" w:type="pct"/>
          </w:tcPr>
          <w:p w14:paraId="62633600" w14:textId="77777777" w:rsidR="00205F19" w:rsidRPr="00403A68" w:rsidRDefault="00205F19" w:rsidP="00666947">
            <w:pPr>
              <w:pStyle w:val="TableTextLeft"/>
            </w:pPr>
            <w:r w:rsidRPr="00403A68">
              <w:t>Visitation information from TRA (2021) has been obtained by the study team for all LGA’s within the GORCAP EEA boundary (not just the Surf Coast) and so the visitor information to Surf Coast from this study is not used. However, broader statistics on percentage of visits undertaking specific activities (notably “active” recreation that meets certain physical activity guidelines to provide a health benefit) were not obtained for all LGA areas within the GORCAP EEA boundary. Therefore, the estimates from Surf Coast Shire (2019) were used to extrapolated to all of the GORCAP EEA visits from DJPR (2020) to enable estimates of economic value by type of activity and location.</w:t>
            </w:r>
          </w:p>
        </w:tc>
      </w:tr>
      <w:tr w:rsidR="00205F19" w:rsidRPr="00403A68" w14:paraId="53E9CFCF" w14:textId="77777777" w:rsidTr="00995CC6">
        <w:trPr>
          <w:trHeight w:val="50"/>
        </w:trPr>
        <w:tc>
          <w:tcPr>
            <w:tcW w:w="690" w:type="pct"/>
          </w:tcPr>
          <w:p w14:paraId="2449514F" w14:textId="77777777" w:rsidR="00205F19" w:rsidRPr="00403A68" w:rsidRDefault="00205F19" w:rsidP="00666947">
            <w:pPr>
              <w:pStyle w:val="TableTextLeft"/>
            </w:pPr>
            <w:r w:rsidRPr="00403A68">
              <w:t>Tourism Research Australia (2013) Great Ocean Road Visitor Profile and Satisfaction Report</w:t>
            </w:r>
          </w:p>
        </w:tc>
        <w:tc>
          <w:tcPr>
            <w:tcW w:w="2244" w:type="pct"/>
          </w:tcPr>
          <w:p w14:paraId="2BC1002B" w14:textId="77777777" w:rsidR="00205F19" w:rsidRPr="00403A68" w:rsidRDefault="00205F19" w:rsidP="00666947">
            <w:pPr>
              <w:pStyle w:val="TableTextLeft"/>
            </w:pPr>
            <w:r w:rsidRPr="00403A68">
              <w:t>This report provides insights into visitor type (domestic day / overnight, international), motivations, expectation and satisfaction with their visit to the Great Ocean Road. 93 per cent of respondents noted great coastal experiences and scenery and 85 per cent noted nature based experiences as something they were expecting to experience. Food and wine experiences were expected by 56 per cent of respondents, which is a noteworthy interaction between tourism and the ecosystem service of biomass for food production (insofar as the value of the environment includes both the direct value of food/wine and indirect value of attracting tourists to experience its production and sample the produce). The nearest other non-environmental related attraction that respondents were expecting was shopping at 42 per cent. This suggests that it is reasonable to assume at least 51 per cent of visitors (93 per cent minus 42 per cent) would not be attracted to the region in the absence of the natural environment (but could still come for shopping or other non-environmentally related activity) and that this figure could be up to 93 per cent of visitors.</w:t>
            </w:r>
          </w:p>
        </w:tc>
        <w:tc>
          <w:tcPr>
            <w:tcW w:w="186" w:type="pct"/>
            <w:shd w:val="clear" w:color="auto" w:fill="92D050"/>
          </w:tcPr>
          <w:p w14:paraId="26303B81" w14:textId="77777777" w:rsidR="00205F19" w:rsidRPr="00403A68" w:rsidRDefault="00205F19" w:rsidP="00666947">
            <w:pPr>
              <w:pStyle w:val="TableTextLeft"/>
            </w:pPr>
            <w:r w:rsidRPr="00403A68">
              <w:t xml:space="preserve">Yes </w:t>
            </w:r>
          </w:p>
        </w:tc>
        <w:tc>
          <w:tcPr>
            <w:tcW w:w="1880" w:type="pct"/>
          </w:tcPr>
          <w:p w14:paraId="23677B16" w14:textId="77777777" w:rsidR="00205F19" w:rsidRPr="00403A68" w:rsidRDefault="00205F19" w:rsidP="00666947">
            <w:pPr>
              <w:pStyle w:val="TableTextLeft"/>
            </w:pPr>
            <w:r w:rsidRPr="00403A68">
              <w:t xml:space="preserve">The attribution of economic value (i.e. Gross Value Add / Gross Regional Product) to the natural environment (see monetary valuation section) is based on the responses to this survey (i.e. between 51 per cent and 93 per cent of visitor economy of the GORCAP region is dependent on the natural environment). In the future, these broader statistics on visitor profile and experience could provide useful insights into the different types of activities that occur along the Great Ocean Road, including attributing economic value by type of activity. </w:t>
            </w:r>
          </w:p>
        </w:tc>
      </w:tr>
      <w:tr w:rsidR="00205F19" w:rsidRPr="00403A68" w14:paraId="1027C757" w14:textId="77777777" w:rsidTr="00995CC6">
        <w:trPr>
          <w:trHeight w:val="50"/>
        </w:trPr>
        <w:tc>
          <w:tcPr>
            <w:tcW w:w="690" w:type="pct"/>
          </w:tcPr>
          <w:p w14:paraId="4BD629B7" w14:textId="77777777" w:rsidR="00205F19" w:rsidRPr="00403A68" w:rsidRDefault="00205F19" w:rsidP="00666947">
            <w:pPr>
              <w:pStyle w:val="TableTextLeft"/>
            </w:pPr>
            <w:r w:rsidRPr="00403A68">
              <w:t>Tourism Research Australia (2021) Local Government Area Profiles 2019</w:t>
            </w:r>
          </w:p>
        </w:tc>
        <w:tc>
          <w:tcPr>
            <w:tcW w:w="2244" w:type="pct"/>
          </w:tcPr>
          <w:p w14:paraId="720B326F" w14:textId="77777777" w:rsidR="00205F19" w:rsidRPr="00403A68" w:rsidRDefault="00205F19" w:rsidP="00666947">
            <w:pPr>
              <w:pStyle w:val="TableTextLeft"/>
            </w:pPr>
            <w:r w:rsidRPr="00403A68">
              <w:t>Tourism Research Australia’s Local Government Area Profiles provide information on international visitation, domestic overnight visitation, and/or domestic day visitation. The profiles are prepared for Local Government Areas with adequate</w:t>
            </w:r>
            <w:r w:rsidRPr="00403A68">
              <w:rPr>
                <w:i/>
              </w:rPr>
              <w:t> International Visitor Survey</w:t>
            </w:r>
            <w:r w:rsidRPr="00403A68">
              <w:t> and/or </w:t>
            </w:r>
            <w:r w:rsidRPr="00403A68">
              <w:rPr>
                <w:i/>
              </w:rPr>
              <w:t>National Visitor Survey</w:t>
            </w:r>
            <w:r w:rsidRPr="00403A68">
              <w:t> sample to produce robust results.  The Local Government boundaries used are as classified in the Australian Statistical Geography Standard (ASGS): Volume 3 from July 2018 and produced by the ABS</w:t>
            </w:r>
          </w:p>
        </w:tc>
        <w:tc>
          <w:tcPr>
            <w:tcW w:w="186" w:type="pct"/>
            <w:shd w:val="clear" w:color="auto" w:fill="92D050"/>
          </w:tcPr>
          <w:p w14:paraId="329ACE2D" w14:textId="77777777" w:rsidR="00205F19" w:rsidRPr="00403A68" w:rsidRDefault="00205F19" w:rsidP="00666947">
            <w:pPr>
              <w:pStyle w:val="TableTextLeft"/>
            </w:pPr>
            <w:r w:rsidRPr="00403A68">
              <w:t>Yes</w:t>
            </w:r>
          </w:p>
        </w:tc>
        <w:tc>
          <w:tcPr>
            <w:tcW w:w="1880" w:type="pct"/>
          </w:tcPr>
          <w:p w14:paraId="77E465F1" w14:textId="77777777" w:rsidR="00205F19" w:rsidRPr="00403A68" w:rsidRDefault="00205F19" w:rsidP="00666947">
            <w:pPr>
              <w:pStyle w:val="TableTextLeft"/>
            </w:pPr>
            <w:r w:rsidRPr="00403A68">
              <w:t>Visitor information at LGA level enabled the presentation of a distribution of aggregated visits across the Great Ocean Road Tourism Region (which are captured in DJPR, 2020).</w:t>
            </w:r>
          </w:p>
        </w:tc>
      </w:tr>
      <w:tr w:rsidR="00205F19" w:rsidRPr="00403A68" w14:paraId="16AE39F2" w14:textId="77777777" w:rsidTr="00995CC6">
        <w:trPr>
          <w:trHeight w:val="50"/>
        </w:trPr>
        <w:tc>
          <w:tcPr>
            <w:tcW w:w="690" w:type="pct"/>
          </w:tcPr>
          <w:p w14:paraId="61170096" w14:textId="77777777" w:rsidR="00205F19" w:rsidRPr="00403A68" w:rsidRDefault="00205F19" w:rsidP="00666947">
            <w:pPr>
              <w:pStyle w:val="TableTextLeft"/>
            </w:pPr>
            <w:r w:rsidRPr="00403A68">
              <w:t>Tourism Victoria (2012) Victoria market profile year ending June 2012</w:t>
            </w:r>
          </w:p>
        </w:tc>
        <w:tc>
          <w:tcPr>
            <w:tcW w:w="2244" w:type="pct"/>
          </w:tcPr>
          <w:p w14:paraId="4A7E6C3C" w14:textId="77777777" w:rsidR="00205F19" w:rsidRPr="00403A68" w:rsidRDefault="00205F19" w:rsidP="00666947">
            <w:pPr>
              <w:pStyle w:val="TableTextLeft"/>
            </w:pPr>
            <w:r w:rsidRPr="00403A68">
              <w:t>This report is used in Worley Parsons (2013) to provide estimates of domestic visitors and activity type for Victoria.</w:t>
            </w:r>
          </w:p>
        </w:tc>
        <w:tc>
          <w:tcPr>
            <w:tcW w:w="186" w:type="pct"/>
            <w:shd w:val="clear" w:color="auto" w:fill="FF0000"/>
          </w:tcPr>
          <w:p w14:paraId="6F0B094B" w14:textId="77777777" w:rsidR="00205F19" w:rsidRPr="00403A68" w:rsidRDefault="00205F19" w:rsidP="00666947">
            <w:pPr>
              <w:pStyle w:val="TableTextLeft"/>
            </w:pPr>
            <w:r w:rsidRPr="00403A68">
              <w:t>No</w:t>
            </w:r>
          </w:p>
        </w:tc>
        <w:tc>
          <w:tcPr>
            <w:tcW w:w="1880" w:type="pct"/>
          </w:tcPr>
          <w:p w14:paraId="157077BD" w14:textId="77777777" w:rsidR="00205F19" w:rsidRPr="00403A68" w:rsidRDefault="00205F19" w:rsidP="00666947">
            <w:pPr>
              <w:pStyle w:val="TableTextLeft"/>
            </w:pPr>
            <w:r w:rsidRPr="00403A68">
              <w:t>This information is not GOR specific but Victoria wide.</w:t>
            </w:r>
          </w:p>
        </w:tc>
      </w:tr>
      <w:tr w:rsidR="00205F19" w:rsidRPr="00403A68" w14:paraId="56F4DF64" w14:textId="77777777" w:rsidTr="00995CC6">
        <w:trPr>
          <w:trHeight w:val="50"/>
        </w:trPr>
        <w:tc>
          <w:tcPr>
            <w:tcW w:w="690" w:type="pct"/>
          </w:tcPr>
          <w:p w14:paraId="34F1B9CE" w14:textId="77777777" w:rsidR="00205F19" w:rsidRPr="00403A68" w:rsidRDefault="00205F19" w:rsidP="00666947">
            <w:pPr>
              <w:pStyle w:val="TableTextLeft"/>
            </w:pPr>
            <w:r w:rsidRPr="00403A68">
              <w:t>VEAC (2020) Assessment of Victoria’s Coastal Reserves</w:t>
            </w:r>
          </w:p>
        </w:tc>
        <w:tc>
          <w:tcPr>
            <w:tcW w:w="2244" w:type="pct"/>
          </w:tcPr>
          <w:p w14:paraId="3871D2DA" w14:textId="77777777" w:rsidR="00205F19" w:rsidRPr="00403A68" w:rsidRDefault="00205F19" w:rsidP="00666947">
            <w:pPr>
              <w:pStyle w:val="TableTextLeft"/>
            </w:pPr>
            <w:r w:rsidRPr="00403A68">
              <w:t xml:space="preserve">This report lists specific environmental related sporting events/mass participation events that drive the visitor economy within the Great Ocean Road region including the annual Pier to Pub swim at Lorne  (the largest ocean water swim in the world) can attract an additional 20,000 visitors and the Rip Curl Pro, an international surf event attended by between 30,000 to 40,000 spectators a year. </w:t>
            </w:r>
          </w:p>
        </w:tc>
        <w:tc>
          <w:tcPr>
            <w:tcW w:w="186" w:type="pct"/>
            <w:shd w:val="clear" w:color="auto" w:fill="FF0000"/>
          </w:tcPr>
          <w:p w14:paraId="01B2C5D3" w14:textId="77777777" w:rsidR="00205F19" w:rsidRPr="00403A68" w:rsidRDefault="00205F19" w:rsidP="00666947">
            <w:pPr>
              <w:pStyle w:val="TableTextLeft"/>
            </w:pPr>
            <w:r w:rsidRPr="00403A68">
              <w:t>No</w:t>
            </w:r>
          </w:p>
        </w:tc>
        <w:tc>
          <w:tcPr>
            <w:tcW w:w="1880" w:type="pct"/>
          </w:tcPr>
          <w:p w14:paraId="425BCDD9" w14:textId="77777777" w:rsidR="00205F19" w:rsidRPr="00403A68" w:rsidRDefault="00205F19" w:rsidP="00666947">
            <w:pPr>
              <w:pStyle w:val="TableTextLeft"/>
            </w:pPr>
            <w:r w:rsidRPr="00403A68">
              <w:t xml:space="preserve">In the future, information on visitors attracted by key events could provide useful insights into what’s driving the visitor economy and attribute value by type of activity and location. Ideally this would include all major events within the GORCAP EEA boundary. </w:t>
            </w:r>
          </w:p>
        </w:tc>
      </w:tr>
    </w:tbl>
    <w:p w14:paraId="0D4F643B" w14:textId="77777777" w:rsidR="00205F19" w:rsidRPr="00403A68" w:rsidRDefault="00205F19" w:rsidP="00205F19">
      <w:pPr>
        <w:pStyle w:val="BodyText"/>
      </w:pPr>
    </w:p>
    <w:p w14:paraId="39C4F504" w14:textId="77777777" w:rsidR="00205F19" w:rsidRPr="00403A68" w:rsidRDefault="00205F19" w:rsidP="00205F19">
      <w:pPr>
        <w:pStyle w:val="BodyText"/>
        <w:sectPr w:rsidR="00205F19" w:rsidRPr="00403A68" w:rsidSect="00E52A9A">
          <w:headerReference w:type="even" r:id="rId396"/>
          <w:headerReference w:type="default" r:id="rId397"/>
          <w:footerReference w:type="even" r:id="rId398"/>
          <w:footerReference w:type="default" r:id="rId399"/>
          <w:pgSz w:w="23811" w:h="16838" w:orient="landscape" w:code="8"/>
          <w:pgMar w:top="1134" w:right="1134" w:bottom="1134" w:left="1134" w:header="283" w:footer="283" w:gutter="0"/>
          <w:cols w:space="284"/>
          <w:docGrid w:linePitch="360"/>
        </w:sectPr>
      </w:pPr>
    </w:p>
    <w:p w14:paraId="53F85C2A" w14:textId="77777777" w:rsidR="00205F19" w:rsidRPr="00403A68" w:rsidRDefault="00205F19" w:rsidP="00205F19">
      <w:pPr>
        <w:pStyle w:val="BodyText"/>
      </w:pPr>
      <w:r w:rsidRPr="00403A68">
        <w:lastRenderedPageBreak/>
        <w:t>Great Ocean Road Tourism Region is shown in Figure A3.4. along with the other regions within Victoria.</w:t>
      </w:r>
    </w:p>
    <w:p w14:paraId="79F49C8F" w14:textId="77777777" w:rsidR="00205F19" w:rsidRPr="00403A68" w:rsidRDefault="00205F19" w:rsidP="00995CC6">
      <w:pPr>
        <w:pStyle w:val="Caption"/>
      </w:pPr>
      <w:r w:rsidRPr="00403A68">
        <w:t>Figure A3.4. Victorian Tourism Regions along the coast (DELWP, 2020)</w:t>
      </w:r>
    </w:p>
    <w:p w14:paraId="382709F8" w14:textId="77777777" w:rsidR="00205F19" w:rsidRPr="00403A68" w:rsidRDefault="00205F19" w:rsidP="00205F19">
      <w:pPr>
        <w:pStyle w:val="BodyText"/>
        <w:rPr>
          <w:b/>
        </w:rPr>
      </w:pPr>
      <w:r w:rsidRPr="00403A68">
        <w:rPr>
          <w:rFonts w:eastAsia="Calibri"/>
          <w:noProof/>
        </w:rPr>
        <w:drawing>
          <wp:inline distT="0" distB="0" distL="0" distR="0" wp14:anchorId="368C084D" wp14:editId="1813A68F">
            <wp:extent cx="6353175" cy="2324100"/>
            <wp:effectExtent l="0" t="0" r="9525"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cstate="print">
                      <a:extLst>
                        <a:ext uri="{28A0092B-C50C-407E-A947-70E740481C1C}">
                          <a14:useLocalDpi xmlns:a14="http://schemas.microsoft.com/office/drawing/2010/main"/>
                        </a:ext>
                      </a:extLst>
                    </a:blip>
                    <a:srcRect/>
                    <a:stretch/>
                  </pic:blipFill>
                  <pic:spPr bwMode="auto">
                    <a:xfrm>
                      <a:off x="0" y="0"/>
                      <a:ext cx="6353175" cy="2324100"/>
                    </a:xfrm>
                    <a:prstGeom prst="rect">
                      <a:avLst/>
                    </a:prstGeom>
                    <a:ln>
                      <a:noFill/>
                    </a:ln>
                    <a:extLst>
                      <a:ext uri="{53640926-AAD7-44D8-BBD7-CCE9431645EC}">
                        <a14:shadowObscured xmlns:a14="http://schemas.microsoft.com/office/drawing/2010/main"/>
                      </a:ext>
                    </a:extLst>
                  </pic:spPr>
                </pic:pic>
              </a:graphicData>
            </a:graphic>
          </wp:inline>
        </w:drawing>
      </w:r>
    </w:p>
    <w:p w14:paraId="058967FC" w14:textId="02D2285D" w:rsidR="00205F19" w:rsidRPr="00403A68" w:rsidRDefault="00205F19" w:rsidP="00995CC6">
      <w:pPr>
        <w:pStyle w:val="BodyText12ptBefore"/>
      </w:pPr>
      <w:r w:rsidRPr="00403A68">
        <w:t xml:space="preserve">Each tourism region is defined using smaller geographical building blocks called Statistical Areas Level 2 (SA2s), developed by the Australian Bureau of Statistics. The following SA2s are included in the Great Ocean Road Tourism Region (DEDJTR, 2018b): </w:t>
      </w:r>
    </w:p>
    <w:tbl>
      <w:tblPr>
        <w:tblW w:w="10917" w:type="dxa"/>
        <w:tblInd w:w="113" w:type="dxa"/>
        <w:shd w:val="clear" w:color="auto" w:fill="FFFFFF"/>
        <w:tblLook w:val="04A0" w:firstRow="1" w:lastRow="0" w:firstColumn="1" w:lastColumn="0" w:noHBand="0" w:noVBand="1"/>
      </w:tblPr>
      <w:tblGrid>
        <w:gridCol w:w="5459"/>
        <w:gridCol w:w="5458"/>
      </w:tblGrid>
      <w:tr w:rsidR="00205F19" w:rsidRPr="00403A68" w14:paraId="2E9E32B0" w14:textId="77777777" w:rsidTr="00666947">
        <w:trPr>
          <w:trHeight w:val="318"/>
        </w:trPr>
        <w:tc>
          <w:tcPr>
            <w:tcW w:w="5459" w:type="dxa"/>
            <w:shd w:val="clear" w:color="auto" w:fill="FFFFFF"/>
          </w:tcPr>
          <w:p w14:paraId="0366F476" w14:textId="77777777" w:rsidR="00205F19" w:rsidRPr="00403A68" w:rsidRDefault="00205F19" w:rsidP="00666947">
            <w:pPr>
              <w:pStyle w:val="TableTextBullet"/>
            </w:pPr>
            <w:r w:rsidRPr="00403A68">
              <w:t>Camperdown</w:t>
            </w:r>
          </w:p>
        </w:tc>
        <w:tc>
          <w:tcPr>
            <w:tcW w:w="5458" w:type="dxa"/>
            <w:shd w:val="clear" w:color="auto" w:fill="FFFFFF"/>
          </w:tcPr>
          <w:p w14:paraId="1FBCF20A" w14:textId="77777777" w:rsidR="00205F19" w:rsidRPr="00403A68" w:rsidRDefault="00205F19" w:rsidP="00666947">
            <w:pPr>
              <w:pStyle w:val="TableTextBullet"/>
            </w:pPr>
            <w:r w:rsidRPr="00403A68">
              <w:t>Moyne – West</w:t>
            </w:r>
          </w:p>
        </w:tc>
      </w:tr>
      <w:tr w:rsidR="00205F19" w:rsidRPr="00403A68" w14:paraId="49EFE78B" w14:textId="77777777" w:rsidTr="00666947">
        <w:trPr>
          <w:trHeight w:val="299"/>
        </w:trPr>
        <w:tc>
          <w:tcPr>
            <w:tcW w:w="5459" w:type="dxa"/>
            <w:shd w:val="clear" w:color="auto" w:fill="FFFFFF"/>
          </w:tcPr>
          <w:p w14:paraId="060B679A" w14:textId="77777777" w:rsidR="00205F19" w:rsidRPr="00403A68" w:rsidRDefault="00205F19" w:rsidP="00666947">
            <w:pPr>
              <w:pStyle w:val="TableTextBullet"/>
            </w:pPr>
            <w:r w:rsidRPr="00403A68">
              <w:t>Colac</w:t>
            </w:r>
          </w:p>
        </w:tc>
        <w:tc>
          <w:tcPr>
            <w:tcW w:w="5458" w:type="dxa"/>
            <w:shd w:val="clear" w:color="auto" w:fill="FFFFFF"/>
          </w:tcPr>
          <w:p w14:paraId="7E92345E" w14:textId="77777777" w:rsidR="00205F19" w:rsidRPr="00403A68" w:rsidRDefault="00205F19" w:rsidP="00666947">
            <w:pPr>
              <w:pStyle w:val="TableTextBullet"/>
            </w:pPr>
            <w:r w:rsidRPr="00403A68">
              <w:t>Otway</w:t>
            </w:r>
          </w:p>
        </w:tc>
      </w:tr>
      <w:tr w:rsidR="00205F19" w:rsidRPr="00403A68" w14:paraId="17CECC77" w14:textId="77777777" w:rsidTr="00666947">
        <w:trPr>
          <w:trHeight w:val="318"/>
        </w:trPr>
        <w:tc>
          <w:tcPr>
            <w:tcW w:w="5459" w:type="dxa"/>
            <w:shd w:val="clear" w:color="auto" w:fill="FFFFFF"/>
          </w:tcPr>
          <w:p w14:paraId="1392A0D5" w14:textId="77777777" w:rsidR="00205F19" w:rsidRPr="00403A68" w:rsidRDefault="00205F19" w:rsidP="00666947">
            <w:pPr>
              <w:pStyle w:val="TableTextBullet"/>
            </w:pPr>
            <w:r w:rsidRPr="00403A68">
              <w:t>Colac Region</w:t>
            </w:r>
          </w:p>
        </w:tc>
        <w:tc>
          <w:tcPr>
            <w:tcW w:w="5458" w:type="dxa"/>
            <w:shd w:val="clear" w:color="auto" w:fill="FFFFFF"/>
          </w:tcPr>
          <w:p w14:paraId="7B30BCFA" w14:textId="77777777" w:rsidR="00205F19" w:rsidRPr="00403A68" w:rsidRDefault="00205F19" w:rsidP="00666947">
            <w:pPr>
              <w:pStyle w:val="TableTextBullet"/>
            </w:pPr>
            <w:r w:rsidRPr="00403A68">
              <w:t>Portland</w:t>
            </w:r>
          </w:p>
        </w:tc>
      </w:tr>
      <w:tr w:rsidR="00205F19" w:rsidRPr="00403A68" w14:paraId="695B9E28" w14:textId="77777777" w:rsidTr="00666947">
        <w:trPr>
          <w:trHeight w:val="299"/>
        </w:trPr>
        <w:tc>
          <w:tcPr>
            <w:tcW w:w="5459" w:type="dxa"/>
            <w:shd w:val="clear" w:color="auto" w:fill="FFFFFF"/>
          </w:tcPr>
          <w:p w14:paraId="7386BEA1" w14:textId="77777777" w:rsidR="00205F19" w:rsidRPr="00403A68" w:rsidRDefault="00205F19" w:rsidP="00666947">
            <w:pPr>
              <w:pStyle w:val="TableTextBullet"/>
            </w:pPr>
            <w:r w:rsidRPr="00403A68">
              <w:t>Corangamite – North</w:t>
            </w:r>
          </w:p>
        </w:tc>
        <w:tc>
          <w:tcPr>
            <w:tcW w:w="5458" w:type="dxa"/>
            <w:shd w:val="clear" w:color="auto" w:fill="FFFFFF"/>
          </w:tcPr>
          <w:p w14:paraId="134C18AF" w14:textId="77777777" w:rsidR="00205F19" w:rsidRPr="00403A68" w:rsidRDefault="00205F19" w:rsidP="00666947">
            <w:pPr>
              <w:pStyle w:val="TableTextBullet"/>
            </w:pPr>
            <w:r w:rsidRPr="00403A68">
              <w:t>Torquay</w:t>
            </w:r>
          </w:p>
        </w:tc>
      </w:tr>
      <w:tr w:rsidR="00205F19" w:rsidRPr="00403A68" w14:paraId="7433CA46" w14:textId="77777777" w:rsidTr="00666947">
        <w:trPr>
          <w:trHeight w:val="318"/>
        </w:trPr>
        <w:tc>
          <w:tcPr>
            <w:tcW w:w="5459" w:type="dxa"/>
            <w:shd w:val="clear" w:color="auto" w:fill="FFFFFF"/>
          </w:tcPr>
          <w:p w14:paraId="7ACF414A" w14:textId="77777777" w:rsidR="00205F19" w:rsidRPr="00403A68" w:rsidRDefault="00205F19" w:rsidP="00666947">
            <w:pPr>
              <w:pStyle w:val="TableTextBullet"/>
            </w:pPr>
            <w:r w:rsidRPr="00403A68">
              <w:t>Corangamite – South</w:t>
            </w:r>
          </w:p>
        </w:tc>
        <w:tc>
          <w:tcPr>
            <w:tcW w:w="5458" w:type="dxa"/>
            <w:shd w:val="clear" w:color="auto" w:fill="FFFFFF"/>
          </w:tcPr>
          <w:p w14:paraId="7C08AF23" w14:textId="77777777" w:rsidR="00205F19" w:rsidRPr="00403A68" w:rsidRDefault="00205F19" w:rsidP="00666947">
            <w:pPr>
              <w:pStyle w:val="TableTextBullet"/>
            </w:pPr>
            <w:r w:rsidRPr="00403A68">
              <w:t>Warrnambool – North</w:t>
            </w:r>
          </w:p>
        </w:tc>
      </w:tr>
      <w:tr w:rsidR="00205F19" w:rsidRPr="00403A68" w14:paraId="3DC24246" w14:textId="77777777" w:rsidTr="00666947">
        <w:trPr>
          <w:trHeight w:val="318"/>
        </w:trPr>
        <w:tc>
          <w:tcPr>
            <w:tcW w:w="5459" w:type="dxa"/>
            <w:shd w:val="clear" w:color="auto" w:fill="FFFFFF"/>
          </w:tcPr>
          <w:p w14:paraId="01E3C350" w14:textId="77777777" w:rsidR="00205F19" w:rsidRPr="00403A68" w:rsidRDefault="00205F19" w:rsidP="00666947">
            <w:pPr>
              <w:pStyle w:val="TableTextBullet"/>
            </w:pPr>
            <w:r w:rsidRPr="00403A68">
              <w:t>Glenelg</w:t>
            </w:r>
          </w:p>
        </w:tc>
        <w:tc>
          <w:tcPr>
            <w:tcW w:w="5458" w:type="dxa"/>
            <w:shd w:val="clear" w:color="auto" w:fill="FFFFFF"/>
          </w:tcPr>
          <w:p w14:paraId="19C88C7C" w14:textId="77777777" w:rsidR="00205F19" w:rsidRPr="00403A68" w:rsidRDefault="00205F19" w:rsidP="00666947">
            <w:pPr>
              <w:pStyle w:val="TableTextBullet"/>
            </w:pPr>
            <w:r w:rsidRPr="00403A68">
              <w:t>Warrnambool – South</w:t>
            </w:r>
          </w:p>
        </w:tc>
      </w:tr>
      <w:tr w:rsidR="00205F19" w:rsidRPr="00403A68" w14:paraId="75BBFF25" w14:textId="77777777" w:rsidTr="00666947">
        <w:trPr>
          <w:trHeight w:val="299"/>
        </w:trPr>
        <w:tc>
          <w:tcPr>
            <w:tcW w:w="5459" w:type="dxa"/>
            <w:shd w:val="clear" w:color="auto" w:fill="FFFFFF"/>
          </w:tcPr>
          <w:p w14:paraId="60753E03" w14:textId="77777777" w:rsidR="00205F19" w:rsidRPr="00403A68" w:rsidRDefault="00205F19" w:rsidP="00666947">
            <w:pPr>
              <w:pStyle w:val="TableTextBullet"/>
            </w:pPr>
            <w:r w:rsidRPr="00403A68">
              <w:t>Lorne – Anglesea</w:t>
            </w:r>
          </w:p>
        </w:tc>
        <w:tc>
          <w:tcPr>
            <w:tcW w:w="5458" w:type="dxa"/>
            <w:shd w:val="clear" w:color="auto" w:fill="FFFFFF"/>
          </w:tcPr>
          <w:p w14:paraId="0CD8D6FA" w14:textId="77777777" w:rsidR="00205F19" w:rsidRPr="00403A68" w:rsidRDefault="00205F19" w:rsidP="00666947">
            <w:pPr>
              <w:pStyle w:val="TableTextBullet"/>
            </w:pPr>
            <w:r w:rsidRPr="00403A68">
              <w:t>Winchelsea</w:t>
            </w:r>
          </w:p>
        </w:tc>
      </w:tr>
      <w:tr w:rsidR="00205F19" w:rsidRPr="00403A68" w14:paraId="64E692CC" w14:textId="77777777" w:rsidTr="00666947">
        <w:trPr>
          <w:trHeight w:val="318"/>
        </w:trPr>
        <w:tc>
          <w:tcPr>
            <w:tcW w:w="5459" w:type="dxa"/>
            <w:shd w:val="clear" w:color="auto" w:fill="FFFFFF"/>
          </w:tcPr>
          <w:p w14:paraId="483835D6" w14:textId="77777777" w:rsidR="00205F19" w:rsidRPr="00403A68" w:rsidRDefault="00205F19" w:rsidP="00666947">
            <w:pPr>
              <w:pStyle w:val="TableTextBullet"/>
            </w:pPr>
            <w:r w:rsidRPr="00403A68">
              <w:t>Moyne – East</w:t>
            </w:r>
          </w:p>
        </w:tc>
        <w:tc>
          <w:tcPr>
            <w:tcW w:w="5458" w:type="dxa"/>
            <w:shd w:val="clear" w:color="auto" w:fill="FFFFFF"/>
          </w:tcPr>
          <w:p w14:paraId="2F763546" w14:textId="77777777" w:rsidR="00205F19" w:rsidRPr="00403A68" w:rsidRDefault="00205F19" w:rsidP="00666947">
            <w:pPr>
              <w:pStyle w:val="TableTextLeft"/>
            </w:pPr>
          </w:p>
        </w:tc>
      </w:tr>
    </w:tbl>
    <w:p w14:paraId="4FB3DA08" w14:textId="77777777" w:rsidR="00205F19" w:rsidRPr="00403A68" w:rsidRDefault="00205F19" w:rsidP="00205F19">
      <w:pPr>
        <w:pStyle w:val="BodyText"/>
      </w:pPr>
      <w:r w:rsidRPr="00403A68">
        <w:t>SA2s do not precisely align with the boundaries of Local Government Areas (LGAs). The Local Government Areas (LGA’s) within the GOR Tourism Region are as follows, note that these are an approximate guide only and not an exact fit due to differences in regional boundaries (DEDJTR, 2018):</w:t>
      </w:r>
    </w:p>
    <w:tbl>
      <w:tblPr>
        <w:tblW w:w="10850" w:type="dxa"/>
        <w:tblInd w:w="113" w:type="dxa"/>
        <w:shd w:val="clear" w:color="auto" w:fill="FFFFFF"/>
        <w:tblLook w:val="04A0" w:firstRow="1" w:lastRow="0" w:firstColumn="1" w:lastColumn="0" w:noHBand="0" w:noVBand="1"/>
      </w:tblPr>
      <w:tblGrid>
        <w:gridCol w:w="5426"/>
        <w:gridCol w:w="5424"/>
      </w:tblGrid>
      <w:tr w:rsidR="00205F19" w:rsidRPr="00403A68" w14:paraId="60FE2BB5" w14:textId="77777777" w:rsidTr="00666947">
        <w:trPr>
          <w:trHeight w:val="321"/>
        </w:trPr>
        <w:tc>
          <w:tcPr>
            <w:tcW w:w="5426" w:type="dxa"/>
            <w:shd w:val="clear" w:color="auto" w:fill="FFFFFF"/>
          </w:tcPr>
          <w:p w14:paraId="071CF819" w14:textId="77777777" w:rsidR="00205F19" w:rsidRPr="00403A68" w:rsidRDefault="00205F19" w:rsidP="00666947">
            <w:pPr>
              <w:pStyle w:val="TableTextBullet"/>
            </w:pPr>
            <w:r w:rsidRPr="00403A68">
              <w:t>Glenelg</w:t>
            </w:r>
          </w:p>
        </w:tc>
        <w:tc>
          <w:tcPr>
            <w:tcW w:w="5424" w:type="dxa"/>
            <w:shd w:val="clear" w:color="auto" w:fill="FFFFFF"/>
          </w:tcPr>
          <w:p w14:paraId="7D6684B6" w14:textId="77777777" w:rsidR="00205F19" w:rsidRPr="00403A68" w:rsidRDefault="00205F19" w:rsidP="00666947">
            <w:pPr>
              <w:pStyle w:val="TableTextBullet"/>
            </w:pPr>
            <w:r w:rsidRPr="00403A68">
              <w:t>Colac Otway</w:t>
            </w:r>
          </w:p>
        </w:tc>
      </w:tr>
      <w:tr w:rsidR="00205F19" w:rsidRPr="00403A68" w14:paraId="3F2957AA" w14:textId="77777777" w:rsidTr="00666947">
        <w:trPr>
          <w:trHeight w:val="302"/>
        </w:trPr>
        <w:tc>
          <w:tcPr>
            <w:tcW w:w="5426" w:type="dxa"/>
            <w:shd w:val="clear" w:color="auto" w:fill="FFFFFF"/>
          </w:tcPr>
          <w:p w14:paraId="11DFA6AF" w14:textId="77777777" w:rsidR="00205F19" w:rsidRPr="00403A68" w:rsidRDefault="00205F19" w:rsidP="00666947">
            <w:pPr>
              <w:pStyle w:val="TableTextBullet"/>
            </w:pPr>
            <w:r w:rsidRPr="00403A68">
              <w:t>Moyne</w:t>
            </w:r>
          </w:p>
        </w:tc>
        <w:tc>
          <w:tcPr>
            <w:tcW w:w="5424" w:type="dxa"/>
            <w:shd w:val="clear" w:color="auto" w:fill="FFFFFF"/>
          </w:tcPr>
          <w:p w14:paraId="4C0A3894" w14:textId="77777777" w:rsidR="00205F19" w:rsidRPr="00403A68" w:rsidRDefault="00205F19" w:rsidP="00666947">
            <w:pPr>
              <w:pStyle w:val="TableTextBullet"/>
            </w:pPr>
            <w:r w:rsidRPr="00403A68">
              <w:t>Surf Coast</w:t>
            </w:r>
          </w:p>
        </w:tc>
      </w:tr>
      <w:tr w:rsidR="00205F19" w:rsidRPr="00403A68" w14:paraId="17D4FC23" w14:textId="77777777" w:rsidTr="00666947">
        <w:trPr>
          <w:trHeight w:val="321"/>
        </w:trPr>
        <w:tc>
          <w:tcPr>
            <w:tcW w:w="5426" w:type="dxa"/>
            <w:shd w:val="clear" w:color="auto" w:fill="FFFFFF"/>
          </w:tcPr>
          <w:p w14:paraId="3014DCB1" w14:textId="77777777" w:rsidR="00205F19" w:rsidRPr="00403A68" w:rsidRDefault="00205F19" w:rsidP="00666947">
            <w:pPr>
              <w:pStyle w:val="TableTextBullet"/>
            </w:pPr>
            <w:r w:rsidRPr="00403A68">
              <w:t>Corangamite</w:t>
            </w:r>
          </w:p>
        </w:tc>
        <w:tc>
          <w:tcPr>
            <w:tcW w:w="5424" w:type="dxa"/>
            <w:shd w:val="clear" w:color="auto" w:fill="FFFFFF"/>
          </w:tcPr>
          <w:p w14:paraId="2B63342A" w14:textId="77777777" w:rsidR="00205F19" w:rsidRPr="00403A68" w:rsidRDefault="00205F19" w:rsidP="00666947">
            <w:pPr>
              <w:pStyle w:val="TableTextBullet"/>
            </w:pPr>
            <w:r w:rsidRPr="00403A68">
              <w:t>Warrnambool</w:t>
            </w:r>
          </w:p>
        </w:tc>
      </w:tr>
    </w:tbl>
    <w:p w14:paraId="14E1976C" w14:textId="57B4AB2F" w:rsidR="00A459D5" w:rsidRDefault="00205F19" w:rsidP="00205F19">
      <w:pPr>
        <w:pStyle w:val="BodyText"/>
      </w:pPr>
      <w:r w:rsidRPr="00403A68">
        <w:t>For the Deloitte Access Economics (2020) analysis, 2019 baseline data was developed at sub-regional level based on the Statistical Area 2 (SA2) level to understand the geographic distribution and profile of demand. However, a sample size of 30 or more is required to meet the threshold for reliable modelling according to the Central Limit Theorem. This limits the number of SA2 regions able to be modelled. To overcome the sample size constraint while providing the most detailed regional breakdowns possible, SA2s with insufficient data are further grouped into Great Ocean Road tourism sub-regions, as shown in Table A3.21 and Figure A3.5:</w:t>
      </w:r>
      <w:r w:rsidR="00A459D5">
        <w:br w:type="page"/>
      </w:r>
    </w:p>
    <w:p w14:paraId="7B268655" w14:textId="77777777" w:rsidR="00205F19" w:rsidRPr="00403A68" w:rsidRDefault="00205F19" w:rsidP="00995CC6">
      <w:pPr>
        <w:pStyle w:val="Caption"/>
      </w:pPr>
      <w:r w:rsidRPr="00403A68">
        <w:lastRenderedPageBreak/>
        <w:t>Table A3.22. List of SA2’s within each sub-region (Deloitte Access Economics, 2020)</w:t>
      </w:r>
    </w:p>
    <w:tbl>
      <w:tblPr>
        <w:tblStyle w:val="TableGrid"/>
        <w:tblW w:w="5000" w:type="pct"/>
        <w:tblLook w:val="04A0" w:firstRow="1" w:lastRow="0" w:firstColumn="1" w:lastColumn="0" w:noHBand="0" w:noVBand="1"/>
      </w:tblPr>
      <w:tblGrid>
        <w:gridCol w:w="3510"/>
        <w:gridCol w:w="6128"/>
      </w:tblGrid>
      <w:tr w:rsidR="00205F19" w:rsidRPr="00403A68" w14:paraId="5AD46FA3" w14:textId="77777777" w:rsidTr="00995CC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1" w:type="pct"/>
          </w:tcPr>
          <w:p w14:paraId="6020C7C2" w14:textId="77777777" w:rsidR="00205F19" w:rsidRPr="00403A68" w:rsidRDefault="00205F19" w:rsidP="00205F19">
            <w:pPr>
              <w:pStyle w:val="TableTextLeft"/>
              <w:keepNext w:val="0"/>
            </w:pPr>
            <w:r w:rsidRPr="00403A68">
              <w:rPr>
                <w:b/>
              </w:rPr>
              <w:t>Sub-region modelled</w:t>
            </w:r>
          </w:p>
        </w:tc>
        <w:tc>
          <w:tcPr>
            <w:tcW w:w="3179" w:type="pct"/>
          </w:tcPr>
          <w:p w14:paraId="649C4A1F" w14:textId="77777777" w:rsidR="00205F19" w:rsidRPr="00403A68" w:rsidRDefault="00205F19" w:rsidP="00205F19">
            <w:pPr>
              <w:pStyle w:val="TableTextLeft"/>
              <w:keepNext w:val="0"/>
              <w:cnfStyle w:val="100000000000" w:firstRow="1" w:lastRow="0" w:firstColumn="0" w:lastColumn="0" w:oddVBand="0" w:evenVBand="0" w:oddHBand="0" w:evenHBand="0" w:firstRowFirstColumn="0" w:firstRowLastColumn="0" w:lastRowFirstColumn="0" w:lastRowLastColumn="0"/>
              <w:rPr>
                <w:b/>
              </w:rPr>
            </w:pPr>
            <w:r w:rsidRPr="00403A68">
              <w:rPr>
                <w:b/>
              </w:rPr>
              <w:t>SA2’s within sub-region</w:t>
            </w:r>
          </w:p>
        </w:tc>
      </w:tr>
      <w:tr w:rsidR="00205F19" w:rsidRPr="00403A68" w14:paraId="48723872" w14:textId="77777777" w:rsidTr="00995CC6">
        <w:tc>
          <w:tcPr>
            <w:cnfStyle w:val="001000000000" w:firstRow="0" w:lastRow="0" w:firstColumn="1" w:lastColumn="0" w:oddVBand="0" w:evenVBand="0" w:oddHBand="0" w:evenHBand="0" w:firstRowFirstColumn="0" w:firstRowLastColumn="0" w:lastRowFirstColumn="0" w:lastRowLastColumn="0"/>
            <w:tcW w:w="1821" w:type="pct"/>
          </w:tcPr>
          <w:p w14:paraId="22CB9B08" w14:textId="77777777" w:rsidR="00205F19" w:rsidRPr="00403A68" w:rsidRDefault="00205F19" w:rsidP="00666947">
            <w:pPr>
              <w:pStyle w:val="TableTextLeft"/>
            </w:pPr>
            <w:r w:rsidRPr="00403A68">
              <w:t>Lorne-Anglesea</w:t>
            </w:r>
          </w:p>
        </w:tc>
        <w:tc>
          <w:tcPr>
            <w:tcW w:w="3179" w:type="pct"/>
          </w:tcPr>
          <w:p w14:paraId="78073B13"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Lorne-Anglesea</w:t>
            </w:r>
          </w:p>
        </w:tc>
      </w:tr>
      <w:tr w:rsidR="00205F19" w:rsidRPr="00403A68" w14:paraId="663E1587" w14:textId="77777777" w:rsidTr="00995CC6">
        <w:tc>
          <w:tcPr>
            <w:cnfStyle w:val="001000000000" w:firstRow="0" w:lastRow="0" w:firstColumn="1" w:lastColumn="0" w:oddVBand="0" w:evenVBand="0" w:oddHBand="0" w:evenHBand="0" w:firstRowFirstColumn="0" w:firstRowLastColumn="0" w:lastRowFirstColumn="0" w:lastRowLastColumn="0"/>
            <w:tcW w:w="1821" w:type="pct"/>
          </w:tcPr>
          <w:p w14:paraId="60EC40A8" w14:textId="77777777" w:rsidR="00205F19" w:rsidRPr="00403A68" w:rsidRDefault="00205F19" w:rsidP="00666947">
            <w:pPr>
              <w:pStyle w:val="TableTextLeft"/>
            </w:pPr>
            <w:r w:rsidRPr="00403A68">
              <w:t>Warrnambool</w:t>
            </w:r>
          </w:p>
        </w:tc>
        <w:tc>
          <w:tcPr>
            <w:tcW w:w="3179" w:type="pct"/>
          </w:tcPr>
          <w:p w14:paraId="627965AA"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Warrnambool - North, Warrnambool - South, Moyne - East</w:t>
            </w:r>
          </w:p>
        </w:tc>
      </w:tr>
      <w:tr w:rsidR="00205F19" w:rsidRPr="003D4383" w14:paraId="2874A87E" w14:textId="77777777" w:rsidTr="00995CC6">
        <w:tc>
          <w:tcPr>
            <w:cnfStyle w:val="001000000000" w:firstRow="0" w:lastRow="0" w:firstColumn="1" w:lastColumn="0" w:oddVBand="0" w:evenVBand="0" w:oddHBand="0" w:evenHBand="0" w:firstRowFirstColumn="0" w:firstRowLastColumn="0" w:lastRowFirstColumn="0" w:lastRowLastColumn="0"/>
            <w:tcW w:w="1821" w:type="pct"/>
          </w:tcPr>
          <w:p w14:paraId="76CCD606" w14:textId="77777777" w:rsidR="00205F19" w:rsidRPr="00403A68" w:rsidRDefault="00205F19" w:rsidP="00666947">
            <w:pPr>
              <w:pStyle w:val="TableTextLeft"/>
            </w:pPr>
            <w:r w:rsidRPr="00403A68">
              <w:t>Otway</w:t>
            </w:r>
          </w:p>
        </w:tc>
        <w:tc>
          <w:tcPr>
            <w:tcW w:w="3179" w:type="pct"/>
          </w:tcPr>
          <w:p w14:paraId="2B3B994B"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Otway</w:t>
            </w:r>
          </w:p>
        </w:tc>
      </w:tr>
      <w:tr w:rsidR="00205F19" w:rsidRPr="00403A68" w14:paraId="06B8BE4D" w14:textId="77777777" w:rsidTr="00995CC6">
        <w:tc>
          <w:tcPr>
            <w:cnfStyle w:val="001000000000" w:firstRow="0" w:lastRow="0" w:firstColumn="1" w:lastColumn="0" w:oddVBand="0" w:evenVBand="0" w:oddHBand="0" w:evenHBand="0" w:firstRowFirstColumn="0" w:firstRowLastColumn="0" w:lastRowFirstColumn="0" w:lastRowLastColumn="0"/>
            <w:tcW w:w="1821" w:type="pct"/>
          </w:tcPr>
          <w:p w14:paraId="1E709FE0" w14:textId="77777777" w:rsidR="00205F19" w:rsidRPr="00403A68" w:rsidRDefault="00205F19" w:rsidP="00666947">
            <w:pPr>
              <w:pStyle w:val="TableTextLeft"/>
            </w:pPr>
            <w:r w:rsidRPr="00403A68">
              <w:t>Torquay</w:t>
            </w:r>
          </w:p>
        </w:tc>
        <w:tc>
          <w:tcPr>
            <w:tcW w:w="3179" w:type="pct"/>
          </w:tcPr>
          <w:p w14:paraId="61B20D6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Torquay</w:t>
            </w:r>
          </w:p>
        </w:tc>
      </w:tr>
      <w:tr w:rsidR="00205F19" w:rsidRPr="00403A68" w14:paraId="4693AF21" w14:textId="77777777" w:rsidTr="00995CC6">
        <w:tc>
          <w:tcPr>
            <w:cnfStyle w:val="001000000000" w:firstRow="0" w:lastRow="0" w:firstColumn="1" w:lastColumn="0" w:oddVBand="0" w:evenVBand="0" w:oddHBand="0" w:evenHBand="0" w:firstRowFirstColumn="0" w:firstRowLastColumn="0" w:lastRowFirstColumn="0" w:lastRowLastColumn="0"/>
            <w:tcW w:w="1821" w:type="pct"/>
          </w:tcPr>
          <w:p w14:paraId="786944F2" w14:textId="77777777" w:rsidR="00205F19" w:rsidRPr="00403A68" w:rsidRDefault="00205F19" w:rsidP="00666947">
            <w:pPr>
              <w:pStyle w:val="TableTextLeft"/>
            </w:pPr>
            <w:r w:rsidRPr="00403A68">
              <w:t>Western Great Ocean Road</w:t>
            </w:r>
          </w:p>
        </w:tc>
        <w:tc>
          <w:tcPr>
            <w:tcW w:w="3179" w:type="pct"/>
          </w:tcPr>
          <w:p w14:paraId="7986E1DC"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Glenelg (Vic.), Portland, Moyne - West</w:t>
            </w:r>
          </w:p>
        </w:tc>
      </w:tr>
      <w:tr w:rsidR="00205F19" w:rsidRPr="00403A68" w14:paraId="4C5E1EE5" w14:textId="77777777" w:rsidTr="00995CC6">
        <w:tc>
          <w:tcPr>
            <w:cnfStyle w:val="001000000000" w:firstRow="0" w:lastRow="0" w:firstColumn="1" w:lastColumn="0" w:oddVBand="0" w:evenVBand="0" w:oddHBand="0" w:evenHBand="0" w:firstRowFirstColumn="0" w:firstRowLastColumn="0" w:lastRowFirstColumn="0" w:lastRowLastColumn="0"/>
            <w:tcW w:w="1821" w:type="pct"/>
          </w:tcPr>
          <w:p w14:paraId="2AB268B8" w14:textId="77777777" w:rsidR="00205F19" w:rsidRPr="00403A68" w:rsidRDefault="00205F19" w:rsidP="00666947">
            <w:pPr>
              <w:pStyle w:val="TableTextLeft"/>
            </w:pPr>
            <w:r w:rsidRPr="00403A68">
              <w:t>Northern Great Ocean Road</w:t>
            </w:r>
          </w:p>
        </w:tc>
        <w:tc>
          <w:tcPr>
            <w:tcW w:w="3179" w:type="pct"/>
          </w:tcPr>
          <w:p w14:paraId="19682B9E"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Winchelsea, Camperdown, Colac, Colac Region, Corangamite - North</w:t>
            </w:r>
          </w:p>
        </w:tc>
      </w:tr>
      <w:tr w:rsidR="00205F19" w:rsidRPr="00403A68" w14:paraId="7EF3EEEB" w14:textId="77777777" w:rsidTr="00995CC6">
        <w:tc>
          <w:tcPr>
            <w:cnfStyle w:val="001000000000" w:firstRow="0" w:lastRow="0" w:firstColumn="1" w:lastColumn="0" w:oddVBand="0" w:evenVBand="0" w:oddHBand="0" w:evenHBand="0" w:firstRowFirstColumn="0" w:firstRowLastColumn="0" w:lastRowFirstColumn="0" w:lastRowLastColumn="0"/>
            <w:tcW w:w="1821" w:type="pct"/>
          </w:tcPr>
          <w:p w14:paraId="51D41081" w14:textId="77777777" w:rsidR="00205F19" w:rsidRPr="00403A68" w:rsidRDefault="00205F19" w:rsidP="00666947">
            <w:pPr>
              <w:pStyle w:val="TableTextLeft"/>
            </w:pPr>
            <w:r w:rsidRPr="00403A68">
              <w:t>Corangamite - South</w:t>
            </w:r>
          </w:p>
        </w:tc>
        <w:tc>
          <w:tcPr>
            <w:tcW w:w="3179" w:type="pct"/>
          </w:tcPr>
          <w:p w14:paraId="4F8A127C"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Corangamite - South</w:t>
            </w:r>
          </w:p>
        </w:tc>
      </w:tr>
    </w:tbl>
    <w:p w14:paraId="77EA8AB8" w14:textId="77777777" w:rsidR="00205F19" w:rsidRPr="00403A68" w:rsidRDefault="00205F19" w:rsidP="00995CC6">
      <w:pPr>
        <w:pStyle w:val="Caption"/>
      </w:pPr>
      <w:r w:rsidRPr="00403A68">
        <w:t>Figure A3.5. Map of sub-regions within the Great Ocean Road Coast and Parks (Deloitte Access Economics, 2020)</w:t>
      </w:r>
    </w:p>
    <w:p w14:paraId="7BD8A502" w14:textId="77777777" w:rsidR="00205F19" w:rsidRPr="00403A68" w:rsidRDefault="00205F19" w:rsidP="00205F19">
      <w:pPr>
        <w:pStyle w:val="BodyText"/>
        <w:rPr>
          <w:highlight w:val="yellow"/>
        </w:rPr>
      </w:pPr>
      <w:r w:rsidRPr="00403A68">
        <w:rPr>
          <w:highlight w:val="yellow"/>
        </w:rPr>
        <w:t xml:space="preserve"> </w:t>
      </w:r>
      <w:r w:rsidRPr="00403A68">
        <w:rPr>
          <w:noProof/>
        </w:rPr>
        <w:drawing>
          <wp:inline distT="0" distB="0" distL="0" distR="0" wp14:anchorId="3B5E4CBB" wp14:editId="22FC1E08">
            <wp:extent cx="6479539" cy="4460240"/>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pic:nvPicPr>
                  <pic:blipFill>
                    <a:blip r:embed="rId106" cstate="email">
                      <a:extLst>
                        <a:ext uri="{28A0092B-C50C-407E-A947-70E740481C1C}">
                          <a14:useLocalDpi xmlns:a14="http://schemas.microsoft.com/office/drawing/2010/main"/>
                        </a:ext>
                      </a:extLst>
                    </a:blip>
                    <a:stretch>
                      <a:fillRect/>
                    </a:stretch>
                  </pic:blipFill>
                  <pic:spPr>
                    <a:xfrm>
                      <a:off x="0" y="0"/>
                      <a:ext cx="6479539" cy="4460240"/>
                    </a:xfrm>
                    <a:prstGeom prst="rect">
                      <a:avLst/>
                    </a:prstGeom>
                  </pic:spPr>
                </pic:pic>
              </a:graphicData>
            </a:graphic>
          </wp:inline>
        </w:drawing>
      </w:r>
    </w:p>
    <w:p w14:paraId="413F3AC8" w14:textId="77777777" w:rsidR="00205F19" w:rsidRPr="00403A68" w:rsidRDefault="00205F19" w:rsidP="00A2745D">
      <w:pPr>
        <w:pStyle w:val="AlphaHeading4"/>
      </w:pPr>
      <w:r w:rsidRPr="00403A68">
        <w:t>Monetary value of recreation and tourism</w:t>
      </w:r>
    </w:p>
    <w:p w14:paraId="31BEEAA4" w14:textId="77777777" w:rsidR="00205F19" w:rsidRPr="00403A68" w:rsidRDefault="00205F19" w:rsidP="00205F19">
      <w:pPr>
        <w:pStyle w:val="BodyText12ptBefore"/>
        <w:sectPr w:rsidR="00205F19" w:rsidRPr="00403A68" w:rsidSect="00E52A9A">
          <w:headerReference w:type="even" r:id="rId400"/>
          <w:headerReference w:type="default" r:id="rId401"/>
          <w:footerReference w:type="even" r:id="rId402"/>
          <w:footerReference w:type="default" r:id="rId403"/>
          <w:pgSz w:w="11906" w:h="16838" w:code="9"/>
          <w:pgMar w:top="1134" w:right="1134" w:bottom="1134" w:left="1134" w:header="283" w:footer="283" w:gutter="0"/>
          <w:cols w:space="284"/>
          <w:docGrid w:linePitch="360"/>
        </w:sectPr>
      </w:pPr>
      <w:r w:rsidRPr="00403A68">
        <w:t>Table A3.23. provides details of the existing data and analyses that was reviewed for considerations to estimate the monetary value ($AUD) of recreation and tourism that is supported by ecosystem assets within the Great Ocean Road region.</w:t>
      </w:r>
    </w:p>
    <w:p w14:paraId="043C6335" w14:textId="77777777" w:rsidR="00205F19" w:rsidRPr="00403A68" w:rsidRDefault="00205F19" w:rsidP="00995CC6">
      <w:pPr>
        <w:pStyle w:val="Caption"/>
      </w:pPr>
      <w:r w:rsidRPr="00403A68">
        <w:lastRenderedPageBreak/>
        <w:t>Table A3.23. Review of methods and data used to estimate the monetary value of recreation and tourism from ecosystem assets in Victoria</w:t>
      </w:r>
    </w:p>
    <w:tbl>
      <w:tblPr>
        <w:tblW w:w="5000" w:type="pct"/>
        <w:tblBorders>
          <w:bottom w:val="single" w:sz="4" w:space="0" w:color="auto"/>
          <w:insideH w:val="single" w:sz="4" w:space="0" w:color="auto"/>
        </w:tblBorders>
        <w:tblLook w:val="04A0" w:firstRow="1" w:lastRow="0" w:firstColumn="1" w:lastColumn="0" w:noHBand="0" w:noVBand="1"/>
      </w:tblPr>
      <w:tblGrid>
        <w:gridCol w:w="2972"/>
        <w:gridCol w:w="10186"/>
        <w:gridCol w:w="707"/>
        <w:gridCol w:w="7678"/>
      </w:tblGrid>
      <w:tr w:rsidR="00205F19" w:rsidRPr="00403A68" w14:paraId="58F630E8" w14:textId="77777777" w:rsidTr="00995CC6">
        <w:trPr>
          <w:trHeight w:val="253"/>
        </w:trPr>
        <w:tc>
          <w:tcPr>
            <w:tcW w:w="690" w:type="pct"/>
            <w:shd w:val="clear" w:color="auto" w:fill="004C97" w:themeFill="accent1"/>
          </w:tcPr>
          <w:p w14:paraId="1BB6A2A0" w14:textId="77777777" w:rsidR="00205F19" w:rsidRPr="00403A68" w:rsidRDefault="00205F19" w:rsidP="00995CC6">
            <w:pPr>
              <w:pStyle w:val="TableHeadingLeft"/>
            </w:pPr>
            <w:r w:rsidRPr="00403A68">
              <w:t>Source</w:t>
            </w:r>
          </w:p>
        </w:tc>
        <w:tc>
          <w:tcPr>
            <w:tcW w:w="2364" w:type="pct"/>
            <w:shd w:val="clear" w:color="auto" w:fill="004C97" w:themeFill="accent1"/>
          </w:tcPr>
          <w:p w14:paraId="48899AB5" w14:textId="77777777" w:rsidR="00205F19" w:rsidRPr="00403A68" w:rsidRDefault="00205F19" w:rsidP="00995CC6">
            <w:pPr>
              <w:pStyle w:val="TableHeadingLeft"/>
            </w:pPr>
            <w:r w:rsidRPr="00403A68">
              <w:t>Description</w:t>
            </w:r>
          </w:p>
        </w:tc>
        <w:tc>
          <w:tcPr>
            <w:tcW w:w="1946" w:type="pct"/>
            <w:gridSpan w:val="2"/>
            <w:shd w:val="clear" w:color="auto" w:fill="004C97" w:themeFill="accent1"/>
          </w:tcPr>
          <w:p w14:paraId="6200EFA3" w14:textId="77777777" w:rsidR="00205F19" w:rsidRPr="00403A68" w:rsidRDefault="00205F19" w:rsidP="00995CC6">
            <w:pPr>
              <w:pStyle w:val="TableHeadingLeft"/>
            </w:pPr>
            <w:r w:rsidRPr="00403A68">
              <w:t>Used in GORCAP EEA?</w:t>
            </w:r>
          </w:p>
        </w:tc>
      </w:tr>
      <w:tr w:rsidR="00205F19" w:rsidRPr="00403A68" w14:paraId="65C61CBF" w14:textId="77777777" w:rsidTr="00995CC6">
        <w:trPr>
          <w:trHeight w:val="253"/>
        </w:trPr>
        <w:tc>
          <w:tcPr>
            <w:tcW w:w="690" w:type="pct"/>
          </w:tcPr>
          <w:p w14:paraId="77BF154F" w14:textId="77777777" w:rsidR="00205F19" w:rsidRPr="00403A68" w:rsidRDefault="00205F19" w:rsidP="00666947">
            <w:pPr>
              <w:pStyle w:val="TableTextLeft"/>
              <w:rPr>
                <w:b/>
              </w:rPr>
            </w:pPr>
            <w:r w:rsidRPr="00403A68">
              <w:t>BDA Group (2015) Valuing the benefits of Victorian waterway management</w:t>
            </w:r>
          </w:p>
        </w:tc>
        <w:tc>
          <w:tcPr>
            <w:tcW w:w="2364" w:type="pct"/>
          </w:tcPr>
          <w:p w14:paraId="78A18084" w14:textId="77777777" w:rsidR="00205F19" w:rsidRPr="00403A68" w:rsidRDefault="00205F19" w:rsidP="00666947">
            <w:pPr>
              <w:pStyle w:val="TableTextLeft"/>
            </w:pPr>
            <w:r w:rsidRPr="00403A68">
              <w:t>This study provides estimates of the value of waterway (freshwater i.e. rivers, dams) benefits associated with waterway management investments using an ecosystem services framework. Estimates of unit values which are relevant for environmental-economic accounts (i.e. the total value of visits not the marginal value of improvements in waterway management) include:</w:t>
            </w:r>
          </w:p>
          <w:p w14:paraId="66CC3BDD" w14:textId="77777777" w:rsidR="00205F19" w:rsidRPr="00403A68" w:rsidRDefault="00205F19" w:rsidP="00666947">
            <w:r w:rsidRPr="00403A68">
              <w:t>i) $40 per visit for incremental waterway visitation at regionally significant sites which is a generalised value based on the available literature from Victoria and NSW to provide an indicative figure for use by CMA’s in rural Victoria. It is considered appropriate for this value to be directly transferred for use in this GORCAP EEA (if data on waterway visits exists) as a predominately rural setting in Victoria, but with accompanying explanation including that the values are based on (some) studies undertaken in NSW.</w:t>
            </w:r>
          </w:p>
          <w:p w14:paraId="44218D7D" w14:textId="77777777" w:rsidR="00205F19" w:rsidRPr="00403A68" w:rsidRDefault="00205F19" w:rsidP="00666947">
            <w:pPr>
              <w:pStyle w:val="TableTextLeft"/>
              <w:rPr>
                <w:b/>
              </w:rPr>
            </w:pPr>
            <w:r w:rsidRPr="00403A68">
              <w:t xml:space="preserve">ii) $60 per fishing trip based on a value in Rolfe and </w:t>
            </w:r>
            <w:proofErr w:type="spellStart"/>
            <w:r w:rsidRPr="00403A68">
              <w:t>Prayaga</w:t>
            </w:r>
            <w:proofErr w:type="spellEnd"/>
            <w:r w:rsidRPr="00403A68">
              <w:t xml:space="preserve"> (2007) which valued recreational fishing at three freshwater impoundments (i.e. dams) in Queensland.  The $60 value was the most conservative value from the study (based on the lower bound estimate of consumer surplus per person per trip for occasional anglers) and has been used by the BDA Group (2015) to account for the fact that on average respondents spent around a week fishing per trip and this is unlikely to be the case in most instances where this value is used for benefit transfer. However, longer fishing trip duration could be relevant for the GORCAP region and so values for frequent anglers of between $220 and $440 per person per trip and for occasional anglers of between $60 to $904 per person per trip could be relevant (if information on the number of frequent/occasional anglers visits to the GOR for extended fishing trips exists).  It detailed information on fishers to the GORCAP EEA region doesn’t exist, then it is proposed that the lower bound value ($60 per person per trip) is used in this GORCAP EEA (if data on fishing in GORCAP EEA region exists) to provide an indicative value for recreational fishing in the GORCAP EEA region but with necessary caveats including that this value has been estimated for NSW.</w:t>
            </w:r>
          </w:p>
        </w:tc>
        <w:tc>
          <w:tcPr>
            <w:tcW w:w="164" w:type="pct"/>
            <w:shd w:val="clear" w:color="auto" w:fill="FF0000"/>
          </w:tcPr>
          <w:p w14:paraId="563DC615" w14:textId="77777777" w:rsidR="00205F19" w:rsidRPr="00403A68" w:rsidRDefault="00205F19" w:rsidP="00666947">
            <w:pPr>
              <w:pStyle w:val="TableTextLeft"/>
            </w:pPr>
            <w:r w:rsidRPr="00403A68">
              <w:t>No</w:t>
            </w:r>
          </w:p>
          <w:p w14:paraId="1AE4ED05" w14:textId="77777777" w:rsidR="00205F19" w:rsidRPr="00403A68" w:rsidRDefault="00205F19" w:rsidP="00666947">
            <w:pPr>
              <w:pStyle w:val="TableTextLeft"/>
            </w:pPr>
          </w:p>
        </w:tc>
        <w:tc>
          <w:tcPr>
            <w:tcW w:w="1782" w:type="pct"/>
          </w:tcPr>
          <w:p w14:paraId="5B65A70A" w14:textId="77777777" w:rsidR="00205F19" w:rsidRPr="00403A68" w:rsidRDefault="00205F19" w:rsidP="00666947">
            <w:pPr>
              <w:pStyle w:val="TableTextLeft"/>
              <w:rPr>
                <w:b/>
              </w:rPr>
            </w:pPr>
            <w:r w:rsidRPr="00403A68">
              <w:rPr>
                <w:b/>
              </w:rPr>
              <w:t xml:space="preserve">Welfare: </w:t>
            </w:r>
            <w:r w:rsidRPr="00403A68">
              <w:t xml:space="preserve"> The estimates of the welfare value of freshwater recreation will not be used in the GORCAP EEA as there are more relevant / readily applicable estimates to the GOR context (i.e. URS (2007) values for coastal recreation in Victoria). In the future, if information on recreational visits to freshwater bodies (i.e. rivers, lakes, dams) within the GORCAP EEA region can be obtained including fishing trips, then the “welfare” values (utility / consumer surplus) from this study could be used, with appropriate caveats (i.e. noting the potential issue of transferring NSW values to Victoria, see description section).    </w:t>
            </w:r>
          </w:p>
        </w:tc>
      </w:tr>
      <w:tr w:rsidR="00205F19" w:rsidRPr="00403A68" w14:paraId="53E80C9A" w14:textId="77777777" w:rsidTr="00995CC6">
        <w:trPr>
          <w:trHeight w:val="253"/>
        </w:trPr>
        <w:tc>
          <w:tcPr>
            <w:tcW w:w="690" w:type="pct"/>
          </w:tcPr>
          <w:p w14:paraId="7C49BDB9" w14:textId="77777777" w:rsidR="00205F19" w:rsidRPr="00403A68" w:rsidRDefault="00205F19" w:rsidP="00666947">
            <w:pPr>
              <w:pStyle w:val="TableTextLeft"/>
              <w:rPr>
                <w:b/>
              </w:rPr>
            </w:pPr>
            <w:proofErr w:type="spellStart"/>
            <w:r w:rsidRPr="00403A68">
              <w:t>Cadilhac</w:t>
            </w:r>
            <w:proofErr w:type="spellEnd"/>
            <w:r w:rsidRPr="00403A68">
              <w:t xml:space="preserve"> et al. (2011) The economic benefits of reducing physical inactivity: an Australian example </w:t>
            </w:r>
          </w:p>
        </w:tc>
        <w:tc>
          <w:tcPr>
            <w:tcW w:w="2364" w:type="pct"/>
          </w:tcPr>
          <w:p w14:paraId="34006974" w14:textId="77777777" w:rsidR="00205F19" w:rsidRPr="00403A68" w:rsidRDefault="00205F19" w:rsidP="00666947">
            <w:pPr>
              <w:pStyle w:val="TableTextLeft"/>
              <w:rPr>
                <w:b/>
              </w:rPr>
            </w:pPr>
            <w:r w:rsidRPr="00403A68">
              <w:t>This study provides dose-response functions linking avoided physical inactivity to health outcomes and costs in Australia. This study is quoted in VicHealth (2016) Physical activity and sedentary behaviour. For example, reducing the prevalence of physical inactivity among Australian adults by 10 per cent would reduce (a) deaths attributed to physical inactivity by 15 per cent per year (b) disability adjusted life years lost by 14 per cent (c) new cases of physical inactivity-related diseases by 13 per cent per year. Reducing physical inactivity in Australia by 10 per cent is estimated to reduce health sector costs by $96 million per year and increase workforce productivity by $12 million (</w:t>
            </w:r>
            <w:proofErr w:type="spellStart"/>
            <w:r w:rsidRPr="00403A68">
              <w:t>Cadilhac</w:t>
            </w:r>
            <w:proofErr w:type="spellEnd"/>
            <w:r w:rsidRPr="00403A68">
              <w:t xml:space="preserve"> et al. 2011).</w:t>
            </w:r>
          </w:p>
        </w:tc>
        <w:tc>
          <w:tcPr>
            <w:tcW w:w="164" w:type="pct"/>
            <w:shd w:val="clear" w:color="auto" w:fill="FF0000"/>
          </w:tcPr>
          <w:p w14:paraId="0EDA5BBD" w14:textId="77777777" w:rsidR="00205F19" w:rsidRPr="00403A68" w:rsidRDefault="00205F19" w:rsidP="00666947">
            <w:pPr>
              <w:pStyle w:val="TableTextLeft"/>
            </w:pPr>
            <w:r w:rsidRPr="00403A68">
              <w:t>No</w:t>
            </w:r>
          </w:p>
        </w:tc>
        <w:tc>
          <w:tcPr>
            <w:tcW w:w="1782" w:type="pct"/>
          </w:tcPr>
          <w:p w14:paraId="69FE17E8" w14:textId="77777777" w:rsidR="00205F19" w:rsidRPr="00403A68" w:rsidRDefault="00205F19" w:rsidP="00666947">
            <w:pPr>
              <w:pStyle w:val="TableTextLeft"/>
              <w:rPr>
                <w:b/>
              </w:rPr>
            </w:pPr>
            <w:r w:rsidRPr="00403A68">
              <w:rPr>
                <w:b/>
              </w:rPr>
              <w:t>Avoided medical cost and productivity:</w:t>
            </w:r>
            <w:r w:rsidRPr="00403A68">
              <w:t xml:space="preserve"> Although it provides a potential method to link active recreational visits to improved health and productivity outcomes (assuming a  measurement baseline  of sedentary activity i.e. without the ecosystems of the GOR these active visits would not occur) there is other information that combines more easily to produce an initial estimate for this study. This information could be considered for use in future iterations of the account. </w:t>
            </w:r>
          </w:p>
        </w:tc>
      </w:tr>
      <w:tr w:rsidR="00205F19" w:rsidRPr="00403A68" w14:paraId="1FFE4E61" w14:textId="77777777" w:rsidTr="00995CC6">
        <w:trPr>
          <w:trHeight w:val="253"/>
        </w:trPr>
        <w:tc>
          <w:tcPr>
            <w:tcW w:w="690" w:type="pct"/>
          </w:tcPr>
          <w:p w14:paraId="08384A50" w14:textId="77777777" w:rsidR="00205F19" w:rsidRPr="00403A68" w:rsidRDefault="00205F19" w:rsidP="00666947">
            <w:pPr>
              <w:pStyle w:val="TableTextLeft"/>
            </w:pPr>
            <w:r w:rsidRPr="00403A68">
              <w:t>Carnell et al (2019) Mapping Ocean Wealth Australia</w:t>
            </w:r>
          </w:p>
        </w:tc>
        <w:tc>
          <w:tcPr>
            <w:tcW w:w="2364" w:type="pct"/>
          </w:tcPr>
          <w:p w14:paraId="728794C9" w14:textId="77777777" w:rsidR="00205F19" w:rsidRPr="00403A68" w:rsidRDefault="00205F19" w:rsidP="00666947">
            <w:pPr>
              <w:pStyle w:val="TableTextLeft"/>
            </w:pPr>
            <w:r w:rsidRPr="00403A68">
              <w:t>This study uses a travel costs methodology to estimate non-market values for anglers and birdwatchers associated with the existence of ecosystem assets in Westernport and Port Phillip Bay. It estimates that that extensive areas of saltmarsh provide habitat for birds and attract birdwatchers who have an estimated average willingness-to-pay of $158 per trip. It also estimates that anglers prefer to travel to areas near or in seagrass because of the higher likelihood of catching fish. The additional travel costs associated with fishing in seagrass are valued at between $13 per trip and $85 per trip.</w:t>
            </w:r>
          </w:p>
        </w:tc>
        <w:tc>
          <w:tcPr>
            <w:tcW w:w="164" w:type="pct"/>
            <w:shd w:val="clear" w:color="auto" w:fill="FF0000"/>
          </w:tcPr>
          <w:p w14:paraId="5663C5ED" w14:textId="77777777" w:rsidR="00205F19" w:rsidRPr="00403A68" w:rsidRDefault="00205F19" w:rsidP="00666947">
            <w:pPr>
              <w:pStyle w:val="TableTextLeft"/>
            </w:pPr>
          </w:p>
        </w:tc>
        <w:tc>
          <w:tcPr>
            <w:tcW w:w="1782" w:type="pct"/>
          </w:tcPr>
          <w:p w14:paraId="4CACE5F2" w14:textId="77777777" w:rsidR="00205F19" w:rsidRPr="00403A68" w:rsidRDefault="00205F19" w:rsidP="00666947">
            <w:pPr>
              <w:pStyle w:val="TableTextLeft"/>
            </w:pPr>
            <w:r w:rsidRPr="00403A68">
              <w:rPr>
                <w:b/>
              </w:rPr>
              <w:t xml:space="preserve">Welfare: </w:t>
            </w:r>
            <w:r w:rsidRPr="00403A68">
              <w:t xml:space="preserve"> The estimates of the welfare values of angling and birdwatching recreational activities supported by ecosystem assets will not be used in the GORCAP EEA as this would require information on the number of angling and birdwatching trips to saltmarsh and seagrass areas in the GORCAP EEA. The estimates of recreational value are also based specifically on information on people’s travel to Westernport and Port Phillip Bay and so are not directly relevant to GORCAP EEA. In the future, if information on angling and birdwatching recreational visits to saltmarsh and seagrass areas within the GORCAP EEA region can be obtained, then the “welfare” values (utility / consumer surplus) from this study could be used to provide indicative estimates. </w:t>
            </w:r>
          </w:p>
        </w:tc>
      </w:tr>
      <w:tr w:rsidR="00205F19" w:rsidRPr="00403A68" w14:paraId="5BCF4B26" w14:textId="77777777" w:rsidTr="00995CC6">
        <w:trPr>
          <w:trHeight w:val="253"/>
        </w:trPr>
        <w:tc>
          <w:tcPr>
            <w:tcW w:w="690" w:type="pct"/>
          </w:tcPr>
          <w:p w14:paraId="7A11B46E" w14:textId="77777777" w:rsidR="00205F19" w:rsidRPr="00403A68" w:rsidRDefault="00205F19" w:rsidP="00666947">
            <w:pPr>
              <w:pStyle w:val="TableTextLeft"/>
              <w:rPr>
                <w:b/>
              </w:rPr>
            </w:pPr>
            <w:r w:rsidRPr="00403A68">
              <w:t>Dedman (2011) Greening the West: a public health perspective</w:t>
            </w:r>
          </w:p>
        </w:tc>
        <w:tc>
          <w:tcPr>
            <w:tcW w:w="2364" w:type="pct"/>
          </w:tcPr>
          <w:p w14:paraId="1443CDF5" w14:textId="77777777" w:rsidR="00205F19" w:rsidRPr="00403A68" w:rsidRDefault="00205F19" w:rsidP="00666947">
            <w:pPr>
              <w:pStyle w:val="TableTextLeft"/>
              <w:rPr>
                <w:b/>
              </w:rPr>
            </w:pPr>
            <w:r w:rsidRPr="00403A68">
              <w:t>This reference has been mentioned/adopted in various other studies to value the avoided health impacts of recreation in Victoria but the original source - a Department of Health presentation in 2011 - cannot be found online. However, details of the study are provided where this source is referenced elsewhere (see Mekala et al, 2015 and Frontier, 2019) suggesting that the Dedman (2011) study estimated the cost of a physically inactive person in Australia to be $757 per year. However, it is unclear if this is just avoided medical costs or includes other costs (other sources would suggest that avoided costs are an order-of-magnitude smaller than this).</w:t>
            </w:r>
          </w:p>
        </w:tc>
        <w:tc>
          <w:tcPr>
            <w:tcW w:w="164" w:type="pct"/>
            <w:shd w:val="clear" w:color="auto" w:fill="FF0000"/>
          </w:tcPr>
          <w:p w14:paraId="0840FC5C" w14:textId="77777777" w:rsidR="00205F19" w:rsidRPr="00403A68" w:rsidRDefault="00205F19" w:rsidP="00666947">
            <w:pPr>
              <w:pStyle w:val="TableTextLeft"/>
            </w:pPr>
            <w:r w:rsidRPr="00403A68">
              <w:t>No</w:t>
            </w:r>
          </w:p>
        </w:tc>
        <w:tc>
          <w:tcPr>
            <w:tcW w:w="1782" w:type="pct"/>
          </w:tcPr>
          <w:p w14:paraId="401E0C6B" w14:textId="77777777" w:rsidR="00205F19" w:rsidRPr="00403A68" w:rsidRDefault="00205F19" w:rsidP="00666947">
            <w:pPr>
              <w:pStyle w:val="TableTextLeft"/>
              <w:rPr>
                <w:b/>
              </w:rPr>
            </w:pPr>
            <w:r w:rsidRPr="00403A68">
              <w:rPr>
                <w:b/>
              </w:rPr>
              <w:t>Avoided medical cost:</w:t>
            </w:r>
            <w:r w:rsidRPr="00403A68">
              <w:t xml:space="preserve"> The original source (Dedman, 2011) cannot be found to confirm study details and scope of what’s include within avoided cost.</w:t>
            </w:r>
          </w:p>
        </w:tc>
      </w:tr>
      <w:tr w:rsidR="00205F19" w:rsidRPr="00403A68" w14:paraId="564A0DF7" w14:textId="77777777" w:rsidTr="00995CC6">
        <w:trPr>
          <w:trHeight w:val="253"/>
        </w:trPr>
        <w:tc>
          <w:tcPr>
            <w:tcW w:w="690" w:type="pct"/>
          </w:tcPr>
          <w:p w14:paraId="3A82C852" w14:textId="77777777" w:rsidR="00205F19" w:rsidRPr="00403A68" w:rsidRDefault="00205F19" w:rsidP="00666947">
            <w:pPr>
              <w:pStyle w:val="TableTextLeft"/>
            </w:pPr>
            <w:r w:rsidRPr="00403A68">
              <w:t>Deloitte Access Economics (2014), The economic contribution of tourist visitation to Victorian parks</w:t>
            </w:r>
          </w:p>
        </w:tc>
        <w:tc>
          <w:tcPr>
            <w:tcW w:w="2364" w:type="pct"/>
          </w:tcPr>
          <w:p w14:paraId="464BD19F" w14:textId="77777777" w:rsidR="00205F19" w:rsidRPr="00403A68" w:rsidRDefault="00205F19" w:rsidP="00666947">
            <w:pPr>
              <w:pStyle w:val="TableTextLeft"/>
            </w:pPr>
            <w:r w:rsidRPr="00403A68">
              <w:t xml:space="preserve">This study is quoted in DELWP and Parks Victoria (2015) and includes estimates of the direct Gross Value Added  and Gross Regional Product attributable to parks in the Great Ocean Road tourism region which total to around $36m (GVA) and $40 (GRP) in 2010-11 based on modelling by Deloitte Access Economics. </w:t>
            </w:r>
          </w:p>
        </w:tc>
        <w:tc>
          <w:tcPr>
            <w:tcW w:w="164" w:type="pct"/>
            <w:shd w:val="clear" w:color="auto" w:fill="FF0000"/>
          </w:tcPr>
          <w:p w14:paraId="65B5A6D0" w14:textId="77777777" w:rsidR="00205F19" w:rsidRPr="00403A68" w:rsidRDefault="00205F19" w:rsidP="00666947">
            <w:pPr>
              <w:pStyle w:val="TableTextLeft"/>
            </w:pPr>
            <w:r w:rsidRPr="00403A68">
              <w:t>No</w:t>
            </w:r>
          </w:p>
        </w:tc>
        <w:tc>
          <w:tcPr>
            <w:tcW w:w="1782" w:type="pct"/>
          </w:tcPr>
          <w:p w14:paraId="04CD628A" w14:textId="77777777" w:rsidR="00205F19" w:rsidRPr="00403A68" w:rsidRDefault="00205F19" w:rsidP="00666947">
            <w:pPr>
              <w:pStyle w:val="TableTextLeft"/>
            </w:pPr>
            <w:r w:rsidRPr="00403A68">
              <w:rPr>
                <w:b/>
              </w:rPr>
              <w:t>GVA / GRP:</w:t>
            </w:r>
            <w:r w:rsidRPr="00403A68">
              <w:t xml:space="preserve"> There is more up-to-date information on Gross Value Added and Gross Regional Product from the TRA for the entire GOR tourism region (DJPR, 2020) that will be used for the GORCAP EEA. However, this data could be used in future iterations of the account to distinguish park attributable GVA/GRP estimates within the GOR tourism region from total figures. </w:t>
            </w:r>
          </w:p>
        </w:tc>
      </w:tr>
      <w:tr w:rsidR="00205F19" w:rsidRPr="00403A68" w14:paraId="5B135049" w14:textId="77777777" w:rsidTr="00995CC6">
        <w:trPr>
          <w:trHeight w:val="1751"/>
        </w:trPr>
        <w:tc>
          <w:tcPr>
            <w:tcW w:w="690" w:type="pct"/>
            <w:vMerge w:val="restart"/>
            <w:shd w:val="clear" w:color="auto" w:fill="FFFFFF"/>
          </w:tcPr>
          <w:p w14:paraId="7206A1A8" w14:textId="77777777" w:rsidR="00205F19" w:rsidRPr="00403A68" w:rsidRDefault="00205F19" w:rsidP="00666947">
            <w:pPr>
              <w:pStyle w:val="TableTextLeft"/>
            </w:pPr>
            <w:r w:rsidRPr="00403A68">
              <w:lastRenderedPageBreak/>
              <w:t>DELWP and Parks Victoria (2015), Valuing Victoria’s Parks: Accounting for ecosystems and valuing their benefits</w:t>
            </w:r>
          </w:p>
        </w:tc>
        <w:tc>
          <w:tcPr>
            <w:tcW w:w="2364" w:type="pct"/>
            <w:vMerge w:val="restart"/>
            <w:shd w:val="clear" w:color="auto" w:fill="FFFFFF"/>
          </w:tcPr>
          <w:p w14:paraId="03749D93" w14:textId="77777777" w:rsidR="00205F19" w:rsidRPr="00403A68" w:rsidRDefault="00205F19" w:rsidP="00666947">
            <w:r w:rsidRPr="00403A68">
              <w:t xml:space="preserve">This study uses estimates by Read et al (1999) of the recreational value of different parks/reserves in Victoria ranging from $32 to $9 per visit, including the following which are of relevance to the GORCAP EEA region: national parks ($32 per visit), natural features wildlife hunting reserves ($27 per visit), wilderness parks ($20 per visit), port and coastal facilities ($16 per visit), reservoir parks ($14 per visit), natural features reserves ($13 per visit), historic reserves ($12 per visit), State parks ($11 per visit) and other terrestrial parks ($9 per visit). It also uses a value of physical inactivity of $1,660 per person per year (2014 prices) for each physically inactive person (including medical costs, lost productivity and welfare loss) based on a Medibank (2008) study (the study notes the potential for overlap in these values) and the proportion of the Australian population (above 15 years old) that is physically inactive. The study also includes estimates of the economic contribution (GVA) of coastal recreation, specifically recreational fishing, recreational boating and tourism in Port Phillip port based on analysis from SKM (2010) and Deloitte Access Economics (2013) which include the value of direct, indirect and induced output </w:t>
            </w:r>
            <w:r w:rsidRPr="00403A68">
              <w:rPr>
                <w:i/>
              </w:rPr>
              <w:t xml:space="preserve">and </w:t>
            </w:r>
            <w:r w:rsidRPr="00403A68">
              <w:t>consumer surplus. However, it’s not clear how these values have been estimated and from the description provided there could be double counting of value. It’s not possible to split out these values from the figures provided, so these estimates are not deemed to be reliable for use in this GORCAP EEA but are presented here for purpose of completeness of the literature review.</w:t>
            </w:r>
          </w:p>
        </w:tc>
        <w:tc>
          <w:tcPr>
            <w:tcW w:w="164" w:type="pct"/>
            <w:shd w:val="clear" w:color="auto" w:fill="FF0000"/>
          </w:tcPr>
          <w:p w14:paraId="2BCDC77A" w14:textId="77777777" w:rsidR="00205F19" w:rsidRPr="00403A68" w:rsidRDefault="00205F19" w:rsidP="00666947">
            <w:pPr>
              <w:pStyle w:val="TableTextLeft"/>
            </w:pPr>
            <w:r w:rsidRPr="00403A68">
              <w:t>No</w:t>
            </w:r>
          </w:p>
        </w:tc>
        <w:tc>
          <w:tcPr>
            <w:tcW w:w="1782" w:type="pct"/>
            <w:shd w:val="clear" w:color="auto" w:fill="FFFFFF"/>
          </w:tcPr>
          <w:p w14:paraId="106A5A35" w14:textId="77777777" w:rsidR="00205F19" w:rsidRPr="00403A68" w:rsidRDefault="00205F19" w:rsidP="00666947">
            <w:pPr>
              <w:pStyle w:val="TableTextLeft"/>
            </w:pPr>
            <w:r w:rsidRPr="00403A68">
              <w:rPr>
                <w:b/>
              </w:rPr>
              <w:t>Welfare:</w:t>
            </w:r>
            <w:r w:rsidRPr="00403A68">
              <w:t xml:space="preserve">  Neither Read et al (1999) or Medibank (2008) welfare values of recreation will not be used to estimate the individual “welfare” (utility / consumer surplus) value associated with recreational visits to the GORCAP region as there are more relevant estimates to the GOR context (i.e. URS (2007) values for coastal recreation in Victoria).</w:t>
            </w:r>
          </w:p>
        </w:tc>
      </w:tr>
      <w:tr w:rsidR="00205F19" w:rsidRPr="00403A68" w14:paraId="7DB9D9E9" w14:textId="77777777" w:rsidTr="00995CC6">
        <w:trPr>
          <w:trHeight w:val="984"/>
        </w:trPr>
        <w:tc>
          <w:tcPr>
            <w:tcW w:w="690" w:type="pct"/>
            <w:vMerge/>
            <w:shd w:val="clear" w:color="auto" w:fill="FFFFFF"/>
          </w:tcPr>
          <w:p w14:paraId="0EFBE0BB" w14:textId="77777777" w:rsidR="00205F19" w:rsidRPr="00403A68" w:rsidRDefault="00205F19" w:rsidP="00666947">
            <w:pPr>
              <w:pStyle w:val="TableTextLeft"/>
            </w:pPr>
          </w:p>
        </w:tc>
        <w:tc>
          <w:tcPr>
            <w:tcW w:w="2364" w:type="pct"/>
            <w:vMerge/>
            <w:shd w:val="clear" w:color="auto" w:fill="FFFFFF"/>
          </w:tcPr>
          <w:p w14:paraId="6FE92219" w14:textId="77777777" w:rsidR="00205F19" w:rsidRPr="00403A68" w:rsidRDefault="00205F19" w:rsidP="00666947"/>
        </w:tc>
        <w:tc>
          <w:tcPr>
            <w:tcW w:w="164" w:type="pct"/>
            <w:shd w:val="clear" w:color="auto" w:fill="92D050"/>
          </w:tcPr>
          <w:p w14:paraId="5DCE13D0" w14:textId="77777777" w:rsidR="00205F19" w:rsidRPr="00403A68" w:rsidRDefault="00205F19" w:rsidP="00666947">
            <w:pPr>
              <w:pStyle w:val="TableTextLeft"/>
            </w:pPr>
            <w:r w:rsidRPr="00403A68">
              <w:t>Yes</w:t>
            </w:r>
          </w:p>
        </w:tc>
        <w:tc>
          <w:tcPr>
            <w:tcW w:w="1782" w:type="pct"/>
            <w:shd w:val="clear" w:color="auto" w:fill="FFFFFF"/>
          </w:tcPr>
          <w:p w14:paraId="45DB00C8" w14:textId="77777777" w:rsidR="00205F19" w:rsidRPr="00403A68" w:rsidRDefault="00205F19" w:rsidP="00666947">
            <w:pPr>
              <w:pStyle w:val="TableTextLeft"/>
            </w:pPr>
            <w:r w:rsidRPr="00403A68">
              <w:rPr>
                <w:b/>
              </w:rPr>
              <w:t>Productivity and Avoided medical cost:</w:t>
            </w:r>
            <w:r w:rsidRPr="00403A68">
              <w:t xml:space="preserve"> Medibank (2008) figures for avoided medical costs and lost productivity of physical inactivity (see Medibank (2008) below) are used to estimate the value of “active” visits to GORCAP region that meet certain physical activity guidelines.</w:t>
            </w:r>
          </w:p>
        </w:tc>
      </w:tr>
      <w:tr w:rsidR="00205F19" w:rsidRPr="00403A68" w14:paraId="0D234886" w14:textId="77777777" w:rsidTr="00995CC6">
        <w:trPr>
          <w:trHeight w:val="770"/>
        </w:trPr>
        <w:tc>
          <w:tcPr>
            <w:tcW w:w="690" w:type="pct"/>
            <w:vMerge w:val="restart"/>
          </w:tcPr>
          <w:p w14:paraId="5DE9B701" w14:textId="77777777" w:rsidR="00205F19" w:rsidRPr="00403A68" w:rsidRDefault="00205F19" w:rsidP="00666947">
            <w:pPr>
              <w:pStyle w:val="TableTextLeft"/>
            </w:pPr>
            <w:r w:rsidRPr="00403A68">
              <w:t>DELWP (2016)  Marine and Coastal Environmental-economic accounting: Port Phillip Bay</w:t>
            </w:r>
          </w:p>
        </w:tc>
        <w:tc>
          <w:tcPr>
            <w:tcW w:w="2364" w:type="pct"/>
            <w:vMerge w:val="restart"/>
          </w:tcPr>
          <w:p w14:paraId="6A1E88D6" w14:textId="77777777" w:rsidR="00205F19" w:rsidRPr="00403A68" w:rsidRDefault="00205F19" w:rsidP="00666947">
            <w:pPr>
              <w:pStyle w:val="TableTextLeft"/>
            </w:pPr>
            <w:r w:rsidRPr="00403A68">
              <w:t xml:space="preserve">This study uses estimates by Read et al (1999) of the recreational value of different parks/reserves which included willingness to pay to visit piers and jetties around Port Phillip Bay. This study also references the Victorian Recreational Fishing Survey 2014 estimates of expenditure by the average adult fisher in Victoria of $326 per trip (excluding boat purchase), with the majority of this expenditure going to food, accommodation and transport to and from the fishing location. </w:t>
            </w:r>
          </w:p>
        </w:tc>
        <w:tc>
          <w:tcPr>
            <w:tcW w:w="164" w:type="pct"/>
            <w:shd w:val="clear" w:color="auto" w:fill="FF0000"/>
          </w:tcPr>
          <w:p w14:paraId="30747407" w14:textId="77777777" w:rsidR="00205F19" w:rsidRPr="00403A68" w:rsidRDefault="00205F19" w:rsidP="00666947">
            <w:pPr>
              <w:pStyle w:val="TableTextLeft"/>
            </w:pPr>
            <w:r w:rsidRPr="00403A68">
              <w:t>No</w:t>
            </w:r>
          </w:p>
        </w:tc>
        <w:tc>
          <w:tcPr>
            <w:tcW w:w="1782" w:type="pct"/>
          </w:tcPr>
          <w:p w14:paraId="7E93F4CD" w14:textId="77777777" w:rsidR="00205F19" w:rsidRPr="00403A68" w:rsidRDefault="00205F19" w:rsidP="00666947">
            <w:pPr>
              <w:pStyle w:val="TableTextLeft"/>
              <w:rPr>
                <w:b/>
              </w:rPr>
            </w:pPr>
            <w:r w:rsidRPr="00403A68">
              <w:rPr>
                <w:b/>
              </w:rPr>
              <w:t>Welfare:</w:t>
            </w:r>
            <w:r w:rsidRPr="00403A68">
              <w:t xml:space="preserve">  Read et al (1999) welfare values of recreation will not be used to estimate the individual “welfare” (utility / consumer surplus) value associated with recreational visits to the GORCAP region as there are more relevant estimates to the GOR context (i.e. URS (2007) values for coastal recreation in Victoria).</w:t>
            </w:r>
          </w:p>
        </w:tc>
      </w:tr>
      <w:tr w:rsidR="00205F19" w:rsidRPr="00403A68" w14:paraId="638B2E12" w14:textId="77777777" w:rsidTr="00995CC6">
        <w:trPr>
          <w:trHeight w:val="770"/>
        </w:trPr>
        <w:tc>
          <w:tcPr>
            <w:tcW w:w="690" w:type="pct"/>
            <w:vMerge/>
          </w:tcPr>
          <w:p w14:paraId="1DA1ED76" w14:textId="77777777" w:rsidR="00205F19" w:rsidRPr="00403A68" w:rsidRDefault="00205F19" w:rsidP="00666947">
            <w:pPr>
              <w:pStyle w:val="TableTextLeft"/>
            </w:pPr>
          </w:p>
        </w:tc>
        <w:tc>
          <w:tcPr>
            <w:tcW w:w="2364" w:type="pct"/>
            <w:vMerge/>
          </w:tcPr>
          <w:p w14:paraId="681F84DB" w14:textId="77777777" w:rsidR="00205F19" w:rsidRPr="00403A68" w:rsidRDefault="00205F19" w:rsidP="00666947">
            <w:pPr>
              <w:pStyle w:val="TableTextLeft"/>
            </w:pPr>
          </w:p>
        </w:tc>
        <w:tc>
          <w:tcPr>
            <w:tcW w:w="164" w:type="pct"/>
            <w:shd w:val="clear" w:color="auto" w:fill="FF0000"/>
          </w:tcPr>
          <w:p w14:paraId="1C38C038" w14:textId="77777777" w:rsidR="00205F19" w:rsidRPr="00403A68" w:rsidRDefault="00205F19" w:rsidP="00666947">
            <w:pPr>
              <w:pStyle w:val="TableTextLeft"/>
            </w:pPr>
            <w:r w:rsidRPr="00403A68">
              <w:t>No</w:t>
            </w:r>
          </w:p>
        </w:tc>
        <w:tc>
          <w:tcPr>
            <w:tcW w:w="1782" w:type="pct"/>
          </w:tcPr>
          <w:p w14:paraId="4832E515" w14:textId="77777777" w:rsidR="00205F19" w:rsidRPr="00403A68" w:rsidRDefault="00205F19" w:rsidP="00666947">
            <w:pPr>
              <w:pStyle w:val="TableTextLeft"/>
              <w:rPr>
                <w:b/>
              </w:rPr>
            </w:pPr>
            <w:r w:rsidRPr="00403A68">
              <w:rPr>
                <w:b/>
              </w:rPr>
              <w:t>Expenditure:</w:t>
            </w:r>
            <w:r w:rsidRPr="00403A68">
              <w:t xml:space="preserve"> The aggregate expenditure by daytrip, overnight and international visitors is already estimated in DJPR (2020). In the future, if information on fishing recreation visits within the GORCAP EEA region can be obtained then expenditure estimates from this study could be used.    </w:t>
            </w:r>
          </w:p>
        </w:tc>
      </w:tr>
      <w:tr w:rsidR="00205F19" w:rsidRPr="00403A68" w14:paraId="07E0E0DB" w14:textId="77777777" w:rsidTr="00995CC6">
        <w:trPr>
          <w:trHeight w:val="253"/>
        </w:trPr>
        <w:tc>
          <w:tcPr>
            <w:tcW w:w="690" w:type="pct"/>
          </w:tcPr>
          <w:p w14:paraId="6D734167" w14:textId="77777777" w:rsidR="00205F19" w:rsidRPr="00403A68" w:rsidRDefault="00205F19" w:rsidP="00666947">
            <w:pPr>
              <w:pStyle w:val="TableTextLeft"/>
            </w:pPr>
            <w:r w:rsidRPr="00403A68">
              <w:t>DJPR (2020) Great Ocean Road. Regional Tourism Summary</w:t>
            </w:r>
          </w:p>
        </w:tc>
        <w:tc>
          <w:tcPr>
            <w:tcW w:w="2364" w:type="pct"/>
          </w:tcPr>
          <w:p w14:paraId="79A0F697" w14:textId="77777777" w:rsidR="00205F19" w:rsidRPr="00403A68" w:rsidRDefault="00205F19" w:rsidP="00666947">
            <w:pPr>
              <w:pStyle w:val="TableTextLeft"/>
            </w:pPr>
            <w:r w:rsidRPr="00403A68">
              <w:t>This document is developed by DJPR’s Tourism, Events and Visitor Economy (TEVE) Research Unit using information from Tourism Research Australia (TRA). It summarises key regional tourism statistics for the Great Ocean Road Tourism Region annually including Gross Regional Product estimates from 2013 to 2018 and details of domestic and international expenditures from 2015 to 2020.</w:t>
            </w:r>
          </w:p>
        </w:tc>
        <w:tc>
          <w:tcPr>
            <w:tcW w:w="164" w:type="pct"/>
            <w:vMerge w:val="restart"/>
            <w:shd w:val="clear" w:color="auto" w:fill="92D050"/>
          </w:tcPr>
          <w:p w14:paraId="2F20E788" w14:textId="77777777" w:rsidR="00205F19" w:rsidRPr="00403A68" w:rsidRDefault="00205F19" w:rsidP="00666947">
            <w:pPr>
              <w:pStyle w:val="TableTextLeft"/>
            </w:pPr>
            <w:r w:rsidRPr="00403A68">
              <w:t>Yes</w:t>
            </w:r>
          </w:p>
        </w:tc>
        <w:tc>
          <w:tcPr>
            <w:tcW w:w="1782" w:type="pct"/>
            <w:vMerge w:val="restart"/>
          </w:tcPr>
          <w:p w14:paraId="1C5F1CCF" w14:textId="77777777" w:rsidR="00205F19" w:rsidRPr="00403A68" w:rsidRDefault="00205F19" w:rsidP="00666947">
            <w:pPr>
              <w:pStyle w:val="TableTextLeft"/>
            </w:pPr>
            <w:r w:rsidRPr="00403A68">
              <w:rPr>
                <w:b/>
              </w:rPr>
              <w:t>GVA / GRP / Expenditure:</w:t>
            </w:r>
            <w:r w:rsidRPr="00403A68">
              <w:t xml:space="preserve"> These estimates are the most comprehensive available on GRP, GVA and expenditures for the Great Ocean Road. However, the figures are for the Great Ocean Road tourism region and not the boundary of the GORCAP EEA.  </w:t>
            </w:r>
          </w:p>
        </w:tc>
      </w:tr>
      <w:tr w:rsidR="00205F19" w:rsidRPr="00403A68" w14:paraId="3EB560F0" w14:textId="77777777" w:rsidTr="00995CC6">
        <w:trPr>
          <w:trHeight w:val="253"/>
        </w:trPr>
        <w:tc>
          <w:tcPr>
            <w:tcW w:w="690" w:type="pct"/>
          </w:tcPr>
          <w:p w14:paraId="591EF91D" w14:textId="77777777" w:rsidR="00205F19" w:rsidRPr="00403A68" w:rsidRDefault="00205F19" w:rsidP="00666947">
            <w:pPr>
              <w:pStyle w:val="TableTextLeft"/>
            </w:pPr>
            <w:r w:rsidRPr="00403A68">
              <w:t>DJPR (2020) The economic contribution of tourism to Victoria’s regions 2018-19</w:t>
            </w:r>
          </w:p>
        </w:tc>
        <w:tc>
          <w:tcPr>
            <w:tcW w:w="2364" w:type="pct"/>
          </w:tcPr>
          <w:p w14:paraId="1447B949" w14:textId="77777777" w:rsidR="00205F19" w:rsidRPr="00403A68" w:rsidRDefault="00205F19" w:rsidP="00666947">
            <w:pPr>
              <w:pStyle w:val="TableTextLeft"/>
            </w:pPr>
            <w:r w:rsidRPr="00403A68">
              <w:t>This document is developed by DJPR’s Tourism, Events and Visitor Economy (TEVE) Research Unit using results from the 2018-19 Regional Tourism Satellite Accounts, published by Tourism Research Australia. It includes detailed estimates for the Great Ocean Road tourism region from the 2018-19 Regional Tourism Satellite Accounts including direct and indirect Gross Regional Product and Gross Value Added from 2008 to 2018. For 2018 the direct GRP figures for the GORCAP region are $586m.</w:t>
            </w:r>
          </w:p>
        </w:tc>
        <w:tc>
          <w:tcPr>
            <w:tcW w:w="164" w:type="pct"/>
            <w:vMerge/>
            <w:shd w:val="clear" w:color="auto" w:fill="92D050"/>
          </w:tcPr>
          <w:p w14:paraId="1E9BE0A4" w14:textId="77777777" w:rsidR="00205F19" w:rsidRPr="00403A68" w:rsidRDefault="00205F19" w:rsidP="00666947">
            <w:pPr>
              <w:pStyle w:val="TableTextLeft"/>
            </w:pPr>
          </w:p>
        </w:tc>
        <w:tc>
          <w:tcPr>
            <w:tcW w:w="1782" w:type="pct"/>
            <w:vMerge/>
          </w:tcPr>
          <w:p w14:paraId="5D05B31E" w14:textId="77777777" w:rsidR="00205F19" w:rsidRPr="00403A68" w:rsidRDefault="00205F19" w:rsidP="00666947">
            <w:pPr>
              <w:pStyle w:val="TableTextLeft"/>
            </w:pPr>
          </w:p>
        </w:tc>
      </w:tr>
      <w:tr w:rsidR="00205F19" w:rsidRPr="00403A68" w14:paraId="336E917B" w14:textId="77777777" w:rsidTr="00995CC6">
        <w:trPr>
          <w:trHeight w:val="253"/>
        </w:trPr>
        <w:tc>
          <w:tcPr>
            <w:tcW w:w="690" w:type="pct"/>
          </w:tcPr>
          <w:p w14:paraId="4F54A543" w14:textId="77777777" w:rsidR="00205F19" w:rsidRPr="00403A68" w:rsidRDefault="00205F19" w:rsidP="00666947">
            <w:pPr>
              <w:pStyle w:val="TableTextLeft"/>
            </w:pPr>
            <w:r w:rsidRPr="00403A68">
              <w:t xml:space="preserve">EY (2010; 2015) Economic study of recreational fishing in Victoria </w:t>
            </w:r>
          </w:p>
        </w:tc>
        <w:tc>
          <w:tcPr>
            <w:tcW w:w="2364" w:type="pct"/>
          </w:tcPr>
          <w:p w14:paraId="7D54DF84" w14:textId="77777777" w:rsidR="00205F19" w:rsidRPr="00403A68" w:rsidRDefault="00205F19" w:rsidP="00666947">
            <w:pPr>
              <w:pStyle w:val="TableTextLeft"/>
            </w:pPr>
            <w:r w:rsidRPr="00403A68">
              <w:t>The EY (2015) study was used in DELWP (2016b) to estimate the value of recreational fishing in Port Phillip Bay. Whilst this study cannot be located by the study team, an earlier report (EY, 2010) has been sourced. This study estimates the economic contribution of recreational fishing to Victoria and provides estimates for different regions including “South-West” which can reasonably be assumed to include the Great Ocean Road tourism region. It is estimated that recreational fishing in the South-West region contributed $188 million to Gross State Product and employs 1,200 people in 2008-9. No further geographic breakdown is available. The average expenditure per trip per fisher is estimated to be $250 inclusive of variable costs (such as accommodation, bait, fuel etc) and fixed costs (such as equipment and capital) in 2008-9</w:t>
            </w:r>
          </w:p>
        </w:tc>
        <w:tc>
          <w:tcPr>
            <w:tcW w:w="164" w:type="pct"/>
            <w:shd w:val="clear" w:color="auto" w:fill="FF0000"/>
          </w:tcPr>
          <w:p w14:paraId="3C0FC589" w14:textId="77777777" w:rsidR="00205F19" w:rsidRPr="00403A68" w:rsidRDefault="00205F19" w:rsidP="00666947">
            <w:pPr>
              <w:pStyle w:val="TableTextLeft"/>
            </w:pPr>
            <w:r w:rsidRPr="00403A68">
              <w:t>No</w:t>
            </w:r>
          </w:p>
        </w:tc>
        <w:tc>
          <w:tcPr>
            <w:tcW w:w="1782" w:type="pct"/>
          </w:tcPr>
          <w:p w14:paraId="4419F8E7" w14:textId="77777777" w:rsidR="00205F19" w:rsidRPr="00403A68" w:rsidRDefault="00205F19" w:rsidP="00666947">
            <w:pPr>
              <w:pStyle w:val="TableTextLeft"/>
            </w:pPr>
            <w:r w:rsidRPr="00403A68">
              <w:rPr>
                <w:b/>
              </w:rPr>
              <w:t>GRP / Expenditure:</w:t>
            </w:r>
            <w:r w:rsidRPr="00403A68">
              <w:t xml:space="preserve"> This study does not provide estimates for the Great Ocean Road region. Furthermore, the economic contribution of recreational fishing will be included within the tourism estimates produced by DJPR (2020). Future work could be undertaken in the future to estimate the economic contribution of different sectors of the tourism industry including fishing that is attributable to ecosystem assets within the GORCAP EEA boundary.</w:t>
            </w:r>
          </w:p>
        </w:tc>
      </w:tr>
      <w:tr w:rsidR="00205F19" w:rsidRPr="00403A68" w14:paraId="38A982C8" w14:textId="77777777" w:rsidTr="00995CC6">
        <w:trPr>
          <w:trHeight w:val="824"/>
        </w:trPr>
        <w:tc>
          <w:tcPr>
            <w:tcW w:w="690" w:type="pct"/>
            <w:vMerge w:val="restart"/>
          </w:tcPr>
          <w:p w14:paraId="33CFF42D" w14:textId="77777777" w:rsidR="00205F19" w:rsidRPr="00403A68" w:rsidRDefault="00205F19" w:rsidP="00666947">
            <w:pPr>
              <w:pStyle w:val="TableTextLeft"/>
            </w:pPr>
            <w:r w:rsidRPr="00403A68">
              <w:t>Medibank (2008) The cost of physical inactivity</w:t>
            </w:r>
          </w:p>
        </w:tc>
        <w:tc>
          <w:tcPr>
            <w:tcW w:w="2364" w:type="pct"/>
            <w:vMerge w:val="restart"/>
          </w:tcPr>
          <w:p w14:paraId="4BD729AE" w14:textId="77777777" w:rsidR="00205F19" w:rsidRPr="00403A68" w:rsidRDefault="00205F19" w:rsidP="00666947">
            <w:pPr>
              <w:pStyle w:val="TableTextLeft"/>
            </w:pPr>
            <w:r w:rsidRPr="00403A68">
              <w:t>This reference has been mentioned/adopted in various other studies to value avoided cost of physical inactivity which can be used to estimate the avoided health impacts of recreation in GOR ecosystem assets. This includes use/reference in DELWP and Parks Victoria (2015) and MJA (2016). The study estimates the cost of physical inactivity was costing the Australian economy $13.8 billion per year including medical costs ($719m/yr), GDP impacts ($9,299m/yr) and welfare (avoided burden of disease or mortality) value ($3,812m/yr) of avoiding the burden of disease or mortality in 2008. The labour productivity impacts are stated as being a direct cost of $458 per employee per year based on a reduction of 1.8 working days per employee per year.</w:t>
            </w:r>
          </w:p>
          <w:p w14:paraId="1866CF0E" w14:textId="77777777" w:rsidR="00205F19" w:rsidRPr="00403A68" w:rsidRDefault="00205F19" w:rsidP="00666947">
            <w:pPr>
              <w:pStyle w:val="TableTextLeft"/>
            </w:pPr>
            <w:r w:rsidRPr="00403A68">
              <w:t xml:space="preserve"> </w:t>
            </w:r>
          </w:p>
          <w:p w14:paraId="3B221391" w14:textId="77777777" w:rsidR="00205F19" w:rsidRPr="00403A68" w:rsidRDefault="00205F19" w:rsidP="00666947">
            <w:pPr>
              <w:pStyle w:val="TableTextLeft"/>
              <w:rPr>
                <w:highlight w:val="yellow"/>
              </w:rPr>
            </w:pPr>
            <w:r w:rsidRPr="00403A68">
              <w:t>DELWP and Parks Victoria (2015) calculate the marginal value to be $1,660 per person per year (2014 prices) for all three socio-economic benefits (which is $86/person/yr on medical costs, $1,116/person/yr on lost GDP and $458/person/yr on welfare assuming 17.15m people are above 15 years old in Australia in 2008 and 56 per cent are physical inactive/sedentary from ABS statistics and uprating for inflation to 2014 values).  The larger effect on labour productivity (compared to the $458 estimated by Medibank (2008) is assumed to be because the total effect on GDP is captured (i.e. including indirect and induced effects) rather than just the value of lost labour input.</w:t>
            </w:r>
          </w:p>
        </w:tc>
        <w:tc>
          <w:tcPr>
            <w:tcW w:w="164" w:type="pct"/>
            <w:shd w:val="clear" w:color="auto" w:fill="FF0000"/>
          </w:tcPr>
          <w:p w14:paraId="25558675" w14:textId="77777777" w:rsidR="00205F19" w:rsidRPr="00403A68" w:rsidRDefault="00205F19" w:rsidP="00666947">
            <w:pPr>
              <w:pStyle w:val="TableTextLeft"/>
              <w:rPr>
                <w:highlight w:val="yellow"/>
              </w:rPr>
            </w:pPr>
            <w:r w:rsidRPr="00403A68">
              <w:t>No</w:t>
            </w:r>
          </w:p>
        </w:tc>
        <w:tc>
          <w:tcPr>
            <w:tcW w:w="1782" w:type="pct"/>
          </w:tcPr>
          <w:p w14:paraId="5D13F5BE" w14:textId="77777777" w:rsidR="00205F19" w:rsidRPr="00403A68" w:rsidRDefault="00205F19" w:rsidP="00666947">
            <w:pPr>
              <w:pStyle w:val="TableTextLeft"/>
              <w:rPr>
                <w:b/>
              </w:rPr>
            </w:pPr>
            <w:r w:rsidRPr="00403A68">
              <w:rPr>
                <w:b/>
              </w:rPr>
              <w:t>Welfare:</w:t>
            </w:r>
            <w:r w:rsidRPr="00403A68">
              <w:t xml:space="preserve"> The Medibank (2008) welfare value of recreation will not be used as there are more relevant estimates to the GOR context (i.e. URS (2007) values for coastal recreation in Victoria).</w:t>
            </w:r>
          </w:p>
          <w:p w14:paraId="61C75F8D" w14:textId="77777777" w:rsidR="00205F19" w:rsidRPr="00403A68" w:rsidRDefault="00205F19" w:rsidP="00666947">
            <w:pPr>
              <w:pStyle w:val="TableTextLeft"/>
              <w:rPr>
                <w:highlight w:val="yellow"/>
              </w:rPr>
            </w:pPr>
          </w:p>
        </w:tc>
      </w:tr>
      <w:tr w:rsidR="00205F19" w:rsidRPr="00403A68" w14:paraId="5AE6C0CB" w14:textId="77777777" w:rsidTr="00995CC6">
        <w:trPr>
          <w:trHeight w:val="1124"/>
        </w:trPr>
        <w:tc>
          <w:tcPr>
            <w:tcW w:w="690" w:type="pct"/>
            <w:vMerge/>
          </w:tcPr>
          <w:p w14:paraId="5A0B1556" w14:textId="77777777" w:rsidR="00205F19" w:rsidRPr="00403A68" w:rsidRDefault="00205F19" w:rsidP="00666947">
            <w:pPr>
              <w:pStyle w:val="TableTextLeft"/>
            </w:pPr>
          </w:p>
        </w:tc>
        <w:tc>
          <w:tcPr>
            <w:tcW w:w="2364" w:type="pct"/>
            <w:vMerge/>
          </w:tcPr>
          <w:p w14:paraId="763E668C" w14:textId="77777777" w:rsidR="00205F19" w:rsidRPr="00403A68" w:rsidRDefault="00205F19" w:rsidP="00666947">
            <w:pPr>
              <w:pStyle w:val="TableTextLeft"/>
            </w:pPr>
          </w:p>
        </w:tc>
        <w:tc>
          <w:tcPr>
            <w:tcW w:w="164" w:type="pct"/>
            <w:shd w:val="clear" w:color="auto" w:fill="92D050"/>
          </w:tcPr>
          <w:p w14:paraId="52F0EEB0" w14:textId="77777777" w:rsidR="00205F19" w:rsidRPr="00403A68" w:rsidRDefault="00205F19" w:rsidP="00666947">
            <w:pPr>
              <w:pStyle w:val="TableTextLeft"/>
            </w:pPr>
            <w:r w:rsidRPr="00403A68">
              <w:t>Yes</w:t>
            </w:r>
          </w:p>
        </w:tc>
        <w:tc>
          <w:tcPr>
            <w:tcW w:w="1782" w:type="pct"/>
          </w:tcPr>
          <w:p w14:paraId="0001AA16" w14:textId="77777777" w:rsidR="00205F19" w:rsidRPr="00403A68" w:rsidRDefault="00205F19" w:rsidP="00666947">
            <w:pPr>
              <w:pStyle w:val="TableTextLeft"/>
              <w:rPr>
                <w:b/>
              </w:rPr>
            </w:pPr>
            <w:r w:rsidRPr="00403A68">
              <w:rPr>
                <w:b/>
              </w:rPr>
              <w:t>Productivity and Avoided medical cost:</w:t>
            </w:r>
            <w:r w:rsidRPr="00403A68">
              <w:t xml:space="preserve"> Medibank (2008) figures for avoided medical costs (calculated by DELWP and PV (2015) based on Medibank (2008)), and lost productivity of physical inactivity are used to estimate the value of “active” visits to GORCAP region that meet certain physical activity guidelines.</w:t>
            </w:r>
          </w:p>
        </w:tc>
      </w:tr>
      <w:tr w:rsidR="00205F19" w:rsidRPr="00403A68" w14:paraId="492ECC74" w14:textId="77777777" w:rsidTr="00995CC6">
        <w:trPr>
          <w:trHeight w:val="253"/>
        </w:trPr>
        <w:tc>
          <w:tcPr>
            <w:tcW w:w="690" w:type="pct"/>
          </w:tcPr>
          <w:p w14:paraId="617F0B6E" w14:textId="77777777" w:rsidR="00205F19" w:rsidRPr="00403A68" w:rsidRDefault="00205F19" w:rsidP="00666947">
            <w:pPr>
              <w:pStyle w:val="TableTextLeft"/>
            </w:pPr>
            <w:r w:rsidRPr="00403A68">
              <w:lastRenderedPageBreak/>
              <w:t>Mekala et al. (2015) Valuing the Benefits of Creek Rehabilitation</w:t>
            </w:r>
          </w:p>
        </w:tc>
        <w:tc>
          <w:tcPr>
            <w:tcW w:w="2364" w:type="pct"/>
          </w:tcPr>
          <w:p w14:paraId="61E660F0" w14:textId="77777777" w:rsidR="00205F19" w:rsidRPr="00403A68" w:rsidRDefault="00205F19" w:rsidP="00666947">
            <w:pPr>
              <w:pStyle w:val="TableTextLeft"/>
              <w:rPr>
                <w:highlight w:val="yellow"/>
              </w:rPr>
            </w:pPr>
            <w:r w:rsidRPr="00403A68">
              <w:t>Uses value transfer from a Spanish study to estimate the value of a park visit to the community which will not be relevant for the Great Ocean Road. Also estimates the avoided cost of physical inactivity from Dedman (2011) (see above) which estimates the cost of a physically inactive person in Australia of $757 per year (assuming the number of physically active people in the project catchment increases by 10 per cent to 15 per cent).</w:t>
            </w:r>
          </w:p>
        </w:tc>
        <w:tc>
          <w:tcPr>
            <w:tcW w:w="164" w:type="pct"/>
            <w:shd w:val="clear" w:color="auto" w:fill="FF0000"/>
          </w:tcPr>
          <w:p w14:paraId="5E21B931" w14:textId="77777777" w:rsidR="00205F19" w:rsidRPr="00403A68" w:rsidRDefault="00205F19" w:rsidP="00666947">
            <w:pPr>
              <w:pStyle w:val="TableTextLeft"/>
              <w:rPr>
                <w:highlight w:val="yellow"/>
              </w:rPr>
            </w:pPr>
            <w:r w:rsidRPr="00403A68">
              <w:t>No</w:t>
            </w:r>
          </w:p>
        </w:tc>
        <w:tc>
          <w:tcPr>
            <w:tcW w:w="1782" w:type="pct"/>
          </w:tcPr>
          <w:p w14:paraId="4ECA7D1E" w14:textId="77777777" w:rsidR="00205F19" w:rsidRPr="00403A68" w:rsidRDefault="00205F19" w:rsidP="00666947">
            <w:pPr>
              <w:pStyle w:val="TableTextLeft"/>
              <w:rPr>
                <w:highlight w:val="yellow"/>
              </w:rPr>
            </w:pPr>
            <w:r w:rsidRPr="00403A68">
              <w:rPr>
                <w:b/>
              </w:rPr>
              <w:t>Avoided medical cost:</w:t>
            </w:r>
            <w:r w:rsidRPr="00403A68">
              <w:t xml:space="preserve">  Original source (Dedman, 2011) cannot be found to confirm study details and scope of what is included within the avoided cost estimate.</w:t>
            </w:r>
          </w:p>
        </w:tc>
      </w:tr>
      <w:tr w:rsidR="00205F19" w:rsidRPr="00403A68" w14:paraId="59D0FCEA" w14:textId="77777777" w:rsidTr="00995CC6">
        <w:trPr>
          <w:trHeight w:val="831"/>
        </w:trPr>
        <w:tc>
          <w:tcPr>
            <w:tcW w:w="690" w:type="pct"/>
            <w:vMerge w:val="restart"/>
          </w:tcPr>
          <w:p w14:paraId="23664ED7" w14:textId="77777777" w:rsidR="00205F19" w:rsidRPr="00403A68" w:rsidRDefault="00205F19" w:rsidP="00666947">
            <w:pPr>
              <w:pStyle w:val="TableTextLeft"/>
            </w:pPr>
            <w:r w:rsidRPr="00403A68">
              <w:t>MJA (2016), Victoria’s nature-based outdoor economy</w:t>
            </w:r>
          </w:p>
        </w:tc>
        <w:tc>
          <w:tcPr>
            <w:tcW w:w="2364" w:type="pct"/>
            <w:vMerge w:val="restart"/>
          </w:tcPr>
          <w:p w14:paraId="26EB59A3" w14:textId="77777777" w:rsidR="00205F19" w:rsidRPr="00403A68" w:rsidRDefault="00205F19" w:rsidP="00666947">
            <w:pPr>
              <w:pStyle w:val="TableTextLeft"/>
            </w:pPr>
            <w:r w:rsidRPr="00403A68">
              <w:t xml:space="preserve">This study estimates regional nature-based outdoor activity Gross Value-Added (GVA, direct and indirect, $ billion) by Tourism Campaign region including Great Ocean Road ($1.1billion / year) using input-output models and region specific data on expenditure or population weighted distribution of expenditure by activity. </w:t>
            </w:r>
          </w:p>
          <w:p w14:paraId="2DDA794A" w14:textId="77777777" w:rsidR="00205F19" w:rsidRPr="00403A68" w:rsidRDefault="00205F19" w:rsidP="00666947">
            <w:pPr>
              <w:pStyle w:val="TableTextLeft"/>
            </w:pPr>
            <w:r w:rsidRPr="00403A68">
              <w:t>Net (adjusted for injury of activity) avoided healthcare costs by recreational activity are also estimated for Victorian parks (walking $4/hr; running, $15/hr; swimming $15/hr and cycling $15/hr) based on an SKM and PwC study for the Queensland Department of Transport and Main Roads (2011) quoted in Department of Infrastructure and Transport (2012) report which estimates of the value of walking and cycling to work (the MJA (2016) study assumes running, swimming, surfing and triathlons are equivalent to cycling in terms of being high energy activities and that horse riding is equivalent to walking as a low energy activity. It also assumes that the Queensland Government study can be directly transferred to Victoria).</w:t>
            </w:r>
          </w:p>
          <w:p w14:paraId="316BD2C4" w14:textId="77777777" w:rsidR="00205F19" w:rsidRPr="00403A68" w:rsidRDefault="00205F19" w:rsidP="00666947">
            <w:pPr>
              <w:pStyle w:val="TableTextLeft"/>
            </w:pPr>
            <w:r w:rsidRPr="00403A68">
              <w:t>These values are high compared to the Medibank (2008) estimates (of healthcare costs) and on consulting the SKM and PwC study for the Queensland Department of Transport and Main Roads (2011) it appears to include both direct ($171.32/person/yr or 8 per cent of total health value) and indirect ($1,941/person/yr or 92 per cent of total health value) costs measured by disability life years which are welfare based values (i.e. measured through individual willingness-to-pay to reduce risk of death). The figures used by MJA (2016) can be adjusted to isolate the direct health benefits of recreation (i.e. 8 per cent of total health costs associated with walking $0.3/hr; horse riding $0.3/hr; running, $1.2/hr; swimming $1.2/hr; cycling $1.2/hr, surfing $1.2/hr and triathlons $1.2/hr) and welfare (i.e. 92 per cent of total health costs associated with walking $3.7/hr; horse riding $3.7/hr; running, $13.8/hr; swimming $13.8/hr; cycling $13.8/hr; surfing $13.8/hr and triathlons $13.8/hr) for use in the GORCAP EEA. The study also uses avoided productivity estimates of $458 based on the Medibank (2008) study (see above) which only captures the direct productivity impacts, not the indirect and induced effects (see Medicare (2008) above). A welfare value for recreation of $50 per day is assumed in the analysis but with little justification and so this is not considered further for use in the GORCAP EEA.</w:t>
            </w:r>
          </w:p>
        </w:tc>
        <w:tc>
          <w:tcPr>
            <w:tcW w:w="164" w:type="pct"/>
            <w:shd w:val="clear" w:color="auto" w:fill="FF0000"/>
          </w:tcPr>
          <w:p w14:paraId="10817C9A" w14:textId="77777777" w:rsidR="00205F19" w:rsidRPr="00403A68" w:rsidRDefault="00205F19" w:rsidP="00666947">
            <w:pPr>
              <w:pStyle w:val="TableTextLeft"/>
            </w:pPr>
            <w:r w:rsidRPr="00403A68">
              <w:t>No</w:t>
            </w:r>
          </w:p>
        </w:tc>
        <w:tc>
          <w:tcPr>
            <w:tcW w:w="1782" w:type="pct"/>
          </w:tcPr>
          <w:p w14:paraId="5295D9CA" w14:textId="77777777" w:rsidR="00205F19" w:rsidRPr="00403A68" w:rsidRDefault="00205F19" w:rsidP="00666947">
            <w:pPr>
              <w:pStyle w:val="TableTextLeft"/>
            </w:pPr>
            <w:r w:rsidRPr="00403A68">
              <w:rPr>
                <w:b/>
              </w:rPr>
              <w:t>GVA</w:t>
            </w:r>
            <w:r w:rsidRPr="00403A68">
              <w:t xml:space="preserve">: </w:t>
            </w:r>
            <w:r w:rsidRPr="00403A68">
              <w:rPr>
                <w:b/>
              </w:rPr>
              <w:t xml:space="preserve"> </w:t>
            </w:r>
            <w:r w:rsidRPr="00403A68">
              <w:t xml:space="preserve">There is more up-to-date information on Gross Value Added from the TRA for the entire GOR tourism region (DJPR, 2020) that will be used for the GORCAP EEA. </w:t>
            </w:r>
          </w:p>
        </w:tc>
      </w:tr>
      <w:tr w:rsidR="00205F19" w:rsidRPr="00403A68" w14:paraId="4AAD43BB" w14:textId="77777777" w:rsidTr="00995CC6">
        <w:trPr>
          <w:trHeight w:val="1679"/>
        </w:trPr>
        <w:tc>
          <w:tcPr>
            <w:tcW w:w="690" w:type="pct"/>
            <w:vMerge/>
          </w:tcPr>
          <w:p w14:paraId="41837161" w14:textId="77777777" w:rsidR="00205F19" w:rsidRPr="00403A68" w:rsidRDefault="00205F19" w:rsidP="00666947">
            <w:pPr>
              <w:pStyle w:val="TableTextLeft"/>
              <w:rPr>
                <w:highlight w:val="yellow"/>
              </w:rPr>
            </w:pPr>
          </w:p>
        </w:tc>
        <w:tc>
          <w:tcPr>
            <w:tcW w:w="2364" w:type="pct"/>
            <w:vMerge/>
          </w:tcPr>
          <w:p w14:paraId="6AA15DF1" w14:textId="77777777" w:rsidR="00205F19" w:rsidRPr="00403A68" w:rsidRDefault="00205F19" w:rsidP="00666947">
            <w:pPr>
              <w:pStyle w:val="TableTextLeft"/>
            </w:pPr>
          </w:p>
        </w:tc>
        <w:tc>
          <w:tcPr>
            <w:tcW w:w="164" w:type="pct"/>
            <w:shd w:val="clear" w:color="auto" w:fill="92D050"/>
          </w:tcPr>
          <w:p w14:paraId="4B9DE03C" w14:textId="77777777" w:rsidR="00205F19" w:rsidRPr="00403A68" w:rsidRDefault="00205F19" w:rsidP="00666947">
            <w:pPr>
              <w:pStyle w:val="TableTextLeft"/>
            </w:pPr>
            <w:r w:rsidRPr="00403A68">
              <w:t>Yes</w:t>
            </w:r>
          </w:p>
        </w:tc>
        <w:tc>
          <w:tcPr>
            <w:tcW w:w="1782" w:type="pct"/>
          </w:tcPr>
          <w:p w14:paraId="02B0370A" w14:textId="77777777" w:rsidR="00205F19" w:rsidRPr="00403A68" w:rsidRDefault="00205F19" w:rsidP="00666947">
            <w:pPr>
              <w:pStyle w:val="TableTextLeft"/>
            </w:pPr>
            <w:r w:rsidRPr="00403A68">
              <w:rPr>
                <w:b/>
              </w:rPr>
              <w:t>Productivity:</w:t>
            </w:r>
            <w:r w:rsidRPr="00403A68">
              <w:t xml:space="preserve"> Medibank (2008) figures for avoided lost productivity of physical inactivity (see Medibank (2008) below) are used to estimate the value of “active” visits to GORCAP region that meet certain physical activity guidelines. </w:t>
            </w:r>
          </w:p>
          <w:p w14:paraId="3D3C3AEC" w14:textId="77777777" w:rsidR="00205F19" w:rsidRPr="00403A68" w:rsidRDefault="00205F19" w:rsidP="00666947">
            <w:pPr>
              <w:pStyle w:val="TableTextLeft"/>
            </w:pPr>
          </w:p>
        </w:tc>
      </w:tr>
      <w:tr w:rsidR="00205F19" w:rsidRPr="00403A68" w14:paraId="78D3B7F9" w14:textId="77777777" w:rsidTr="00995CC6">
        <w:trPr>
          <w:trHeight w:val="3606"/>
        </w:trPr>
        <w:tc>
          <w:tcPr>
            <w:tcW w:w="690" w:type="pct"/>
            <w:vMerge/>
          </w:tcPr>
          <w:p w14:paraId="740C3F29" w14:textId="77777777" w:rsidR="00205F19" w:rsidRPr="00403A68" w:rsidRDefault="00205F19" w:rsidP="00666947">
            <w:pPr>
              <w:pStyle w:val="TableTextLeft"/>
              <w:rPr>
                <w:highlight w:val="yellow"/>
              </w:rPr>
            </w:pPr>
          </w:p>
        </w:tc>
        <w:tc>
          <w:tcPr>
            <w:tcW w:w="2364" w:type="pct"/>
            <w:vMerge/>
          </w:tcPr>
          <w:p w14:paraId="14E00D1F" w14:textId="77777777" w:rsidR="00205F19" w:rsidRPr="00403A68" w:rsidRDefault="00205F19" w:rsidP="00666947">
            <w:pPr>
              <w:pStyle w:val="TableTextLeft"/>
            </w:pPr>
          </w:p>
        </w:tc>
        <w:tc>
          <w:tcPr>
            <w:tcW w:w="164" w:type="pct"/>
            <w:shd w:val="clear" w:color="auto" w:fill="FF0000"/>
          </w:tcPr>
          <w:p w14:paraId="7264103C" w14:textId="77777777" w:rsidR="00205F19" w:rsidRPr="00403A68" w:rsidRDefault="00205F19" w:rsidP="00666947">
            <w:pPr>
              <w:pStyle w:val="TableTextLeft"/>
            </w:pPr>
            <w:r w:rsidRPr="00403A68">
              <w:t>No</w:t>
            </w:r>
          </w:p>
        </w:tc>
        <w:tc>
          <w:tcPr>
            <w:tcW w:w="1782" w:type="pct"/>
          </w:tcPr>
          <w:p w14:paraId="03CFD3EC" w14:textId="77777777" w:rsidR="00205F19" w:rsidRPr="00403A68" w:rsidRDefault="00205F19" w:rsidP="00666947">
            <w:pPr>
              <w:pStyle w:val="TableTextLeft"/>
            </w:pPr>
            <w:r w:rsidRPr="00403A68">
              <w:rPr>
                <w:b/>
              </w:rPr>
              <w:t xml:space="preserve">Avoided medical cost and welfare: </w:t>
            </w:r>
            <w:r w:rsidRPr="00403A68">
              <w:t xml:space="preserve"> Splitting out the direct and indirect health values from the estimates developed by MJA (2016) using SKM and PWC for Queensland Department of Transport and Main Roads (2011) provides some marginal values ($/hr) by activity type. These estimates will not be used for the GORCAP EEA as there are more relevant or directly applicable estimates to the GOR context (i.e. URS (2007) welfare values for coastal recreation in Victoria and Medibank (2008) values for avoided medical costs). </w:t>
            </w:r>
          </w:p>
          <w:p w14:paraId="5701BD9B" w14:textId="77777777" w:rsidR="00205F19" w:rsidRPr="00403A68" w:rsidRDefault="00205F19" w:rsidP="00666947">
            <w:pPr>
              <w:pStyle w:val="TableTextLeft"/>
              <w:rPr>
                <w:b/>
              </w:rPr>
            </w:pPr>
            <w:r w:rsidRPr="00403A68">
              <w:t>These figures could be considered for future application to the GORCAP EEA region (noting potential issues of transferring Queensland values ($) to Victoria) if the duration of nature based recreation activities (walking, running, swimming, surfing, triathlons, cycling, horse riding) within the boundary of the account can be estimated, using data or assuming no. hours by activity as per MJA (2016).</w:t>
            </w:r>
          </w:p>
        </w:tc>
      </w:tr>
      <w:tr w:rsidR="00205F19" w:rsidRPr="00403A68" w14:paraId="5C20AABB" w14:textId="77777777" w:rsidTr="00995CC6">
        <w:trPr>
          <w:trHeight w:val="50"/>
        </w:trPr>
        <w:tc>
          <w:tcPr>
            <w:tcW w:w="690" w:type="pct"/>
          </w:tcPr>
          <w:p w14:paraId="6D45D566" w14:textId="77777777" w:rsidR="00205F19" w:rsidRPr="00403A68" w:rsidRDefault="00205F19" w:rsidP="00666947">
            <w:pPr>
              <w:pStyle w:val="TableTextLeft"/>
            </w:pPr>
            <w:r w:rsidRPr="00403A68">
              <w:t xml:space="preserve">Quantum Market Research (2019) Understanding state forest visitation and tourism for DELWP </w:t>
            </w:r>
          </w:p>
        </w:tc>
        <w:tc>
          <w:tcPr>
            <w:tcW w:w="2364" w:type="pct"/>
          </w:tcPr>
          <w:p w14:paraId="2B189355" w14:textId="77777777" w:rsidR="00205F19" w:rsidRPr="00403A68" w:rsidRDefault="00205F19" w:rsidP="00666947">
            <w:pPr>
              <w:pStyle w:val="TableTextLeft"/>
            </w:pPr>
            <w:r w:rsidRPr="00403A68">
              <w:t xml:space="preserve">This study was used in DELWP (2019) to provides estimated for the economic contribution of tourism associated with state forests across Victoria. The study team was unable to readily source this report and so it’s unclear if estimates are provided by Tourism Region, including the Great Ocean Road. </w:t>
            </w:r>
          </w:p>
        </w:tc>
        <w:tc>
          <w:tcPr>
            <w:tcW w:w="164" w:type="pct"/>
            <w:shd w:val="clear" w:color="auto" w:fill="FF0000"/>
          </w:tcPr>
          <w:p w14:paraId="68D8DF4B" w14:textId="77777777" w:rsidR="00205F19" w:rsidRPr="00403A68" w:rsidRDefault="00205F19" w:rsidP="00666947">
            <w:pPr>
              <w:pStyle w:val="TableTextLeft"/>
            </w:pPr>
            <w:r w:rsidRPr="00403A68">
              <w:t>No</w:t>
            </w:r>
          </w:p>
        </w:tc>
        <w:tc>
          <w:tcPr>
            <w:tcW w:w="1782" w:type="pct"/>
          </w:tcPr>
          <w:p w14:paraId="62FB4205" w14:textId="77777777" w:rsidR="00205F19" w:rsidRPr="00403A68" w:rsidRDefault="00205F19" w:rsidP="00666947">
            <w:pPr>
              <w:pStyle w:val="TableTextLeft"/>
            </w:pPr>
            <w:r w:rsidRPr="00403A68">
              <w:rPr>
                <w:b/>
              </w:rPr>
              <w:t>GVA / GRP:</w:t>
            </w:r>
            <w:r w:rsidRPr="00403A68">
              <w:t xml:space="preserve"> There is more up-to-date information on Gross Value Added and Gross Regional Product from the TRA for the entire GOR tourism region (DJPR, 2020) that will be used for the GORCAP EEA. However, this data could be used in future iterations of the account to distinguish state forest attributable GVA/GRP estimates within the GOR tourism region from total figures. </w:t>
            </w:r>
          </w:p>
        </w:tc>
      </w:tr>
      <w:tr w:rsidR="00205F19" w:rsidRPr="00403A68" w14:paraId="2172F09D" w14:textId="77777777" w:rsidTr="00995CC6">
        <w:trPr>
          <w:trHeight w:val="50"/>
        </w:trPr>
        <w:tc>
          <w:tcPr>
            <w:tcW w:w="690" w:type="pct"/>
          </w:tcPr>
          <w:p w14:paraId="6C42BDDE" w14:textId="77777777" w:rsidR="00205F19" w:rsidRPr="00403A68" w:rsidRDefault="00205F19" w:rsidP="00666947">
            <w:pPr>
              <w:pStyle w:val="TableTextLeft"/>
            </w:pPr>
            <w:r w:rsidRPr="00403A68">
              <w:t>Raybould et al (2013) Beach and surf tourism and recreation in Australia: Vulnerability and adaptation</w:t>
            </w:r>
          </w:p>
        </w:tc>
        <w:tc>
          <w:tcPr>
            <w:tcW w:w="2364" w:type="pct"/>
          </w:tcPr>
          <w:p w14:paraId="577AEA1A" w14:textId="77777777" w:rsidR="00205F19" w:rsidRPr="00403A68" w:rsidRDefault="00205F19" w:rsidP="00666947">
            <w:pPr>
              <w:pStyle w:val="TableTextLeft"/>
            </w:pPr>
            <w:r w:rsidRPr="00403A68">
              <w:t>This study estimates the welfare (consumer surplus) value of beach recreation for residents using the Travel Cost Method for different case study locations, including the Surf Coast, Victoria (which is part of the GORCAP EEA region) which was estimated as being between $3.27 and $5.15 per person per day. Note that these values are only for residents of an area, although the definition of what constitutes a “resident” (i.e. within a certain proximity to the beach) is not clearly explained within the report which presents an issue if this value is to be applied to the correct beneficiary population.</w:t>
            </w:r>
          </w:p>
        </w:tc>
        <w:tc>
          <w:tcPr>
            <w:tcW w:w="164" w:type="pct"/>
            <w:shd w:val="clear" w:color="auto" w:fill="FF0000"/>
          </w:tcPr>
          <w:p w14:paraId="2173DC69" w14:textId="77777777" w:rsidR="00205F19" w:rsidRPr="00403A68" w:rsidRDefault="00205F19" w:rsidP="00666947">
            <w:pPr>
              <w:pStyle w:val="TableTextLeft"/>
            </w:pPr>
            <w:r w:rsidRPr="00403A68">
              <w:t>No</w:t>
            </w:r>
          </w:p>
        </w:tc>
        <w:tc>
          <w:tcPr>
            <w:tcW w:w="1782" w:type="pct"/>
          </w:tcPr>
          <w:p w14:paraId="74DB705F" w14:textId="77777777" w:rsidR="00205F19" w:rsidRPr="00403A68" w:rsidRDefault="00205F19" w:rsidP="00666947">
            <w:pPr>
              <w:pStyle w:val="TableTextLeft"/>
              <w:rPr>
                <w:b/>
              </w:rPr>
            </w:pPr>
            <w:r w:rsidRPr="00403A68">
              <w:rPr>
                <w:b/>
              </w:rPr>
              <w:t xml:space="preserve">Welfare: </w:t>
            </w:r>
            <w:r w:rsidRPr="00403A68">
              <w:t xml:space="preserve">the apply this estimate would require data on the number of annual beach visits by residents. Such data has not been identified by the study team for the Great Ocean Road region. If information on the number of resident visits to beaches over a year could be obtained in the future, then this value could be applied in the GORCAP EEA. </w:t>
            </w:r>
          </w:p>
        </w:tc>
      </w:tr>
      <w:tr w:rsidR="00205F19" w:rsidRPr="00403A68" w14:paraId="515FECED" w14:textId="77777777" w:rsidTr="00995CC6">
        <w:trPr>
          <w:trHeight w:val="50"/>
        </w:trPr>
        <w:tc>
          <w:tcPr>
            <w:tcW w:w="690" w:type="pct"/>
          </w:tcPr>
          <w:p w14:paraId="51857380" w14:textId="77777777" w:rsidR="00205F19" w:rsidRPr="00403A68" w:rsidRDefault="00205F19" w:rsidP="00666947">
            <w:pPr>
              <w:pStyle w:val="TableTextLeft"/>
            </w:pPr>
            <w:r w:rsidRPr="00403A68">
              <w:t>Read et al (1999) Economic assessment of the recreational values of Victorian Parks</w:t>
            </w:r>
          </w:p>
        </w:tc>
        <w:tc>
          <w:tcPr>
            <w:tcW w:w="2364" w:type="pct"/>
          </w:tcPr>
          <w:p w14:paraId="07ACE5BF" w14:textId="77777777" w:rsidR="00205F19" w:rsidRPr="00403A68" w:rsidRDefault="00205F19" w:rsidP="00666947">
            <w:pPr>
              <w:pStyle w:val="TableTextLeft"/>
            </w:pPr>
            <w:r w:rsidRPr="00403A68">
              <w:t xml:space="preserve">This reference has been mentioned/adopted in various other studies to value the welfare value of park/reserve recreation but the original source - a report for Department of Natural Resources and Environment (April 1999) - cannot be found online. However, details of the study are provided where this source is referenced elsewhere (DELWP and Parks Victoria (2015) and URS (2007)) suggesting that the Read et al (1999) study estimated the recreational value of different parks/reserves in Victoria ranging from $32 to $9 per visit (see DELWP and Parks Victoria (2015) for estimates by park/reserve type). URS (2007) provide more detail on regional national parks suggesting that the value ranges from $8 to $46 per visitor day (in 1999 value). </w:t>
            </w:r>
          </w:p>
        </w:tc>
        <w:tc>
          <w:tcPr>
            <w:tcW w:w="164" w:type="pct"/>
            <w:shd w:val="clear" w:color="auto" w:fill="FF0000"/>
          </w:tcPr>
          <w:p w14:paraId="0EF6879D" w14:textId="77777777" w:rsidR="00205F19" w:rsidRPr="00403A68" w:rsidRDefault="00205F19" w:rsidP="00666947">
            <w:pPr>
              <w:pStyle w:val="TableTextLeft"/>
            </w:pPr>
            <w:r w:rsidRPr="00403A68">
              <w:t>No</w:t>
            </w:r>
          </w:p>
        </w:tc>
        <w:tc>
          <w:tcPr>
            <w:tcW w:w="1782" w:type="pct"/>
          </w:tcPr>
          <w:p w14:paraId="22BD407E" w14:textId="77777777" w:rsidR="00205F19" w:rsidRPr="00403A68" w:rsidRDefault="00205F19" w:rsidP="00666947">
            <w:pPr>
              <w:pStyle w:val="TableTextLeft"/>
            </w:pPr>
            <w:r w:rsidRPr="00403A68">
              <w:rPr>
                <w:b/>
              </w:rPr>
              <w:t>Welfare:</w:t>
            </w:r>
            <w:r w:rsidRPr="00403A68">
              <w:t xml:space="preserve"> The Read et al (1999) welfare value of recreation will not be used as the original source cannot be found and also there are more relevant estimates to the GOR context (i.e. URS (2007) values for coastal recreation in Victoria). </w:t>
            </w:r>
          </w:p>
        </w:tc>
      </w:tr>
      <w:tr w:rsidR="00205F19" w:rsidRPr="00403A68" w14:paraId="2369F7B1" w14:textId="77777777" w:rsidTr="00995CC6">
        <w:trPr>
          <w:trHeight w:val="50"/>
        </w:trPr>
        <w:tc>
          <w:tcPr>
            <w:tcW w:w="690" w:type="pct"/>
          </w:tcPr>
          <w:p w14:paraId="6811210E" w14:textId="77777777" w:rsidR="00205F19" w:rsidRPr="00403A68" w:rsidRDefault="00205F19" w:rsidP="00666947">
            <w:pPr>
              <w:pStyle w:val="TableTextLeft"/>
            </w:pPr>
            <w:r w:rsidRPr="00403A68">
              <w:t>Sinden (1990) Valuation of the Recreational Benefits of River Management</w:t>
            </w:r>
          </w:p>
        </w:tc>
        <w:tc>
          <w:tcPr>
            <w:tcW w:w="2364" w:type="pct"/>
          </w:tcPr>
          <w:p w14:paraId="742DF192" w14:textId="77777777" w:rsidR="00205F19" w:rsidRPr="00403A68" w:rsidRDefault="00205F19" w:rsidP="00666947">
            <w:pPr>
              <w:pStyle w:val="TableTextLeft"/>
            </w:pPr>
            <w:r w:rsidRPr="00403A68">
              <w:t xml:space="preserve">This study is used in URS (2007) and quoted as the most applicable study available on the non-market value of recreational fishing (as opposed to expenditure related to fishing). It is a travel cost study based on Oven and King rivers in Victoria and estimates welfare (utility / consumer surplus) to be $65 per person per fishing day to inland rivers by specialist anglers (1990 value). This study is also quoted in Aither (2015) as estimating the welfare value of river recreation as $22 per day visit to inland rivers. </w:t>
            </w:r>
          </w:p>
        </w:tc>
        <w:tc>
          <w:tcPr>
            <w:tcW w:w="164" w:type="pct"/>
            <w:shd w:val="clear" w:color="auto" w:fill="FF0000"/>
          </w:tcPr>
          <w:p w14:paraId="219965ED" w14:textId="77777777" w:rsidR="00205F19" w:rsidRPr="00403A68" w:rsidRDefault="00205F19" w:rsidP="00666947">
            <w:pPr>
              <w:pStyle w:val="TableTextLeft"/>
            </w:pPr>
            <w:r w:rsidRPr="00403A68">
              <w:t>No</w:t>
            </w:r>
          </w:p>
        </w:tc>
        <w:tc>
          <w:tcPr>
            <w:tcW w:w="1782" w:type="pct"/>
          </w:tcPr>
          <w:p w14:paraId="14E8008E" w14:textId="77777777" w:rsidR="00205F19" w:rsidRPr="00403A68" w:rsidRDefault="00205F19" w:rsidP="00666947">
            <w:pPr>
              <w:pStyle w:val="TableTextLeft"/>
              <w:rPr>
                <w:b/>
              </w:rPr>
            </w:pPr>
            <w:r w:rsidRPr="00403A68">
              <w:rPr>
                <w:b/>
              </w:rPr>
              <w:t>Welfare:</w:t>
            </w:r>
            <w:r w:rsidRPr="00403A68">
              <w:t xml:space="preserve"> The estimates of the welfare value of freshwater recreation including fishing will not be used in the GORCAP EEA as there are more relevant / readily applicable estimates to the GOR context (i.e. URS (2007) values for coastal recreation in Victoria). In the future, if information on recreational visits to freshwater bodies (i.e. rivers, lakes, dams) within the GORCAP EEA region can be obtained including fishing trips, then the “welfare” values (utility / consumer surplus) from this study could be used, with appropriate caveats (i.e. noting the potential issue of transferring NSW values to Victoria, see description section).    </w:t>
            </w:r>
          </w:p>
        </w:tc>
      </w:tr>
      <w:tr w:rsidR="00205F19" w:rsidRPr="00403A68" w14:paraId="75BF602D" w14:textId="77777777" w:rsidTr="00995CC6">
        <w:trPr>
          <w:trHeight w:val="50"/>
        </w:trPr>
        <w:tc>
          <w:tcPr>
            <w:tcW w:w="690" w:type="pct"/>
          </w:tcPr>
          <w:p w14:paraId="33500C4E" w14:textId="77777777" w:rsidR="00205F19" w:rsidRPr="00403A68" w:rsidRDefault="00205F19" w:rsidP="00666947">
            <w:pPr>
              <w:pStyle w:val="TableTextLeft"/>
            </w:pPr>
            <w:r w:rsidRPr="00403A68">
              <w:lastRenderedPageBreak/>
              <w:t>Surf Coast Shire (2019) Visitor Insights 2019</w:t>
            </w:r>
          </w:p>
        </w:tc>
        <w:tc>
          <w:tcPr>
            <w:tcW w:w="2364" w:type="pct"/>
          </w:tcPr>
          <w:p w14:paraId="20F4DF5C" w14:textId="77777777" w:rsidR="00205F19" w:rsidRPr="00403A68" w:rsidRDefault="00205F19" w:rsidP="00666947">
            <w:pPr>
              <w:pStyle w:val="TableTextLeft"/>
            </w:pPr>
            <w:r w:rsidRPr="00403A68">
              <w:t>This Visitor Insights report presents key statistics and information about tourism visitation to the Surf Coast Shire for the 2018 calendar year based on SA2 and SA3 level information. This includes total expenditure ($544m in 2018 for Surf Coast Shire) which are captured in other statistics (e.g. DJPR, 2020) as well as marginal expenditure (i.e. per visitor per day) for different types of visitors (day trip $99 per visitor per day, domestic overnight $147 per visitor per day / $367 per visitor per trip and international $109 per visitor per day / $425 per visitor per trip).</w:t>
            </w:r>
          </w:p>
        </w:tc>
        <w:tc>
          <w:tcPr>
            <w:tcW w:w="164" w:type="pct"/>
            <w:shd w:val="clear" w:color="auto" w:fill="FF0000"/>
          </w:tcPr>
          <w:p w14:paraId="6D2989C9" w14:textId="77777777" w:rsidR="00205F19" w:rsidRPr="00403A68" w:rsidRDefault="00205F19" w:rsidP="00666947">
            <w:pPr>
              <w:pStyle w:val="TableTextLeft"/>
            </w:pPr>
            <w:r w:rsidRPr="00403A68">
              <w:t>No</w:t>
            </w:r>
          </w:p>
        </w:tc>
        <w:tc>
          <w:tcPr>
            <w:tcW w:w="1782" w:type="pct"/>
          </w:tcPr>
          <w:p w14:paraId="6D97DB27" w14:textId="77777777" w:rsidR="00205F19" w:rsidRPr="00403A68" w:rsidRDefault="00205F19" w:rsidP="00666947">
            <w:pPr>
              <w:pStyle w:val="TableTextLeft"/>
              <w:rPr>
                <w:b/>
              </w:rPr>
            </w:pPr>
            <w:r w:rsidRPr="00403A68">
              <w:rPr>
                <w:b/>
              </w:rPr>
              <w:t>Expenditure:</w:t>
            </w:r>
            <w:r w:rsidRPr="00403A68">
              <w:t xml:space="preserve"> The aggregate expenditure by daytrip, overnight and international visitors is already estimated in DJPR (2020).  Expenditure information is not being used within this GORCAP EEA but is included in this review in case useful for future work.</w:t>
            </w:r>
          </w:p>
        </w:tc>
      </w:tr>
      <w:tr w:rsidR="00205F19" w:rsidRPr="00403A68" w14:paraId="349E7C82" w14:textId="77777777" w:rsidTr="00995CC6">
        <w:trPr>
          <w:trHeight w:val="50"/>
        </w:trPr>
        <w:tc>
          <w:tcPr>
            <w:tcW w:w="690" w:type="pct"/>
          </w:tcPr>
          <w:p w14:paraId="49D985AC" w14:textId="77777777" w:rsidR="00205F19" w:rsidRPr="00403A68" w:rsidRDefault="00205F19" w:rsidP="00666947">
            <w:pPr>
              <w:pStyle w:val="TableTextLeft"/>
            </w:pPr>
            <w:r w:rsidRPr="00403A68">
              <w:t>Tourism Research Australia (2011) The Economic Importance of Tourism in Australia’s Regions</w:t>
            </w:r>
          </w:p>
        </w:tc>
        <w:tc>
          <w:tcPr>
            <w:tcW w:w="2364" w:type="pct"/>
          </w:tcPr>
          <w:p w14:paraId="38EA03E8" w14:textId="77777777" w:rsidR="00205F19" w:rsidRPr="00403A68" w:rsidRDefault="00205F19" w:rsidP="00666947">
            <w:pPr>
              <w:pStyle w:val="TableTextLeft"/>
            </w:pPr>
            <w:r w:rsidRPr="00403A68">
              <w:t>This report is quoted in Worley Parsons (2013) and provides estimates of tourism expenditure / GSP for Victoria’s 21 tourism regions (in 2013 which did not include the Great Ocean Road.</w:t>
            </w:r>
          </w:p>
        </w:tc>
        <w:tc>
          <w:tcPr>
            <w:tcW w:w="164" w:type="pct"/>
            <w:shd w:val="clear" w:color="auto" w:fill="FF0000"/>
          </w:tcPr>
          <w:p w14:paraId="04A4AEC1" w14:textId="77777777" w:rsidR="00205F19" w:rsidRPr="00403A68" w:rsidRDefault="00205F19" w:rsidP="00666947">
            <w:pPr>
              <w:pStyle w:val="TableTextLeft"/>
            </w:pPr>
            <w:r w:rsidRPr="00403A68">
              <w:t xml:space="preserve">No </w:t>
            </w:r>
          </w:p>
        </w:tc>
        <w:tc>
          <w:tcPr>
            <w:tcW w:w="1782" w:type="pct"/>
          </w:tcPr>
          <w:p w14:paraId="3CD0E2ED" w14:textId="77777777" w:rsidR="00205F19" w:rsidRPr="00403A68" w:rsidRDefault="00205F19" w:rsidP="00666947">
            <w:pPr>
              <w:pStyle w:val="TableTextLeft"/>
            </w:pPr>
            <w:r w:rsidRPr="00403A68">
              <w:rPr>
                <w:b/>
              </w:rPr>
              <w:t>GRP / Expenditure:</w:t>
            </w:r>
            <w:r w:rsidRPr="00403A68">
              <w:t xml:space="preserve"> There is more up-to-date information on Gross Regional Product from the TRA for the entire GOR tourism region (DJPR, 2020) that will be used for the GORCAP EEA.</w:t>
            </w:r>
          </w:p>
        </w:tc>
      </w:tr>
      <w:tr w:rsidR="00205F19" w:rsidRPr="00403A68" w14:paraId="29A32F7D" w14:textId="77777777" w:rsidTr="00995CC6">
        <w:trPr>
          <w:trHeight w:val="50"/>
        </w:trPr>
        <w:tc>
          <w:tcPr>
            <w:tcW w:w="690" w:type="pct"/>
          </w:tcPr>
          <w:p w14:paraId="3F1B5BF9" w14:textId="77777777" w:rsidR="00205F19" w:rsidRPr="00403A68" w:rsidRDefault="00205F19" w:rsidP="00666947">
            <w:pPr>
              <w:pStyle w:val="TableTextLeft"/>
            </w:pPr>
            <w:r w:rsidRPr="00403A68">
              <w:t>Tourism Research Australia (2021) Local Government Area Profiles 2019</w:t>
            </w:r>
          </w:p>
        </w:tc>
        <w:tc>
          <w:tcPr>
            <w:tcW w:w="2364" w:type="pct"/>
          </w:tcPr>
          <w:p w14:paraId="17A423A5" w14:textId="77777777" w:rsidR="00205F19" w:rsidRPr="00403A68" w:rsidRDefault="00205F19" w:rsidP="00666947">
            <w:pPr>
              <w:pStyle w:val="TableTextLeft"/>
            </w:pPr>
            <w:r w:rsidRPr="00403A68">
              <w:t>Tourism Research Australia’s Local Government Area Profiles provide information on visitor expenditures by LGA. The profiles are prepared for Local Government Areas with adequate</w:t>
            </w:r>
            <w:r w:rsidRPr="00403A68">
              <w:rPr>
                <w:i/>
              </w:rPr>
              <w:t> International Visitor Survey</w:t>
            </w:r>
            <w:r w:rsidRPr="00403A68">
              <w:t> and/or </w:t>
            </w:r>
            <w:r w:rsidRPr="00403A68">
              <w:rPr>
                <w:i/>
              </w:rPr>
              <w:t>National Visitor Survey</w:t>
            </w:r>
            <w:r w:rsidRPr="00403A68">
              <w:t> sample to produce robust results.  The Local Government boundaries used are as classified in the Australian Statistical Geography Standard (ASGS): Volume 3 from July 2018 and produced by the ABS</w:t>
            </w:r>
          </w:p>
        </w:tc>
        <w:tc>
          <w:tcPr>
            <w:tcW w:w="164" w:type="pct"/>
            <w:shd w:val="clear" w:color="auto" w:fill="FF0000"/>
          </w:tcPr>
          <w:p w14:paraId="0EF82FA9" w14:textId="77777777" w:rsidR="00205F19" w:rsidRPr="00403A68" w:rsidRDefault="00205F19" w:rsidP="00666947">
            <w:pPr>
              <w:pStyle w:val="TableTextLeft"/>
            </w:pPr>
            <w:r w:rsidRPr="00403A68">
              <w:t>No</w:t>
            </w:r>
          </w:p>
        </w:tc>
        <w:tc>
          <w:tcPr>
            <w:tcW w:w="1782" w:type="pct"/>
          </w:tcPr>
          <w:p w14:paraId="62491B24" w14:textId="77777777" w:rsidR="00205F19" w:rsidRPr="00403A68" w:rsidRDefault="00205F19" w:rsidP="00666947">
            <w:pPr>
              <w:pStyle w:val="TableTextLeft"/>
              <w:rPr>
                <w:b/>
              </w:rPr>
            </w:pPr>
            <w:r w:rsidRPr="00403A68">
              <w:rPr>
                <w:b/>
              </w:rPr>
              <w:t>Expenditure:</w:t>
            </w:r>
            <w:r w:rsidRPr="00403A68">
              <w:t xml:space="preserve">  Expenditure information is not being used within this GORCAP EEA but is included in this review in case useful for future work.</w:t>
            </w:r>
          </w:p>
        </w:tc>
      </w:tr>
      <w:tr w:rsidR="00205F19" w:rsidRPr="00403A68" w14:paraId="1EC1E999" w14:textId="77777777" w:rsidTr="00995CC6">
        <w:trPr>
          <w:trHeight w:val="783"/>
        </w:trPr>
        <w:tc>
          <w:tcPr>
            <w:tcW w:w="690" w:type="pct"/>
          </w:tcPr>
          <w:p w14:paraId="7461881A" w14:textId="77777777" w:rsidR="00205F19" w:rsidRPr="00403A68" w:rsidRDefault="00205F19" w:rsidP="00666947">
            <w:pPr>
              <w:pStyle w:val="TableTextLeft"/>
            </w:pPr>
            <w:r w:rsidRPr="00403A68">
              <w:t>Tourism Research Australia (2021) Regional Tourism Satellite Account 2018–19</w:t>
            </w:r>
          </w:p>
        </w:tc>
        <w:tc>
          <w:tcPr>
            <w:tcW w:w="2364" w:type="pct"/>
          </w:tcPr>
          <w:p w14:paraId="5CAF4867" w14:textId="77777777" w:rsidR="00205F19" w:rsidRPr="00403A68" w:rsidRDefault="00205F19" w:rsidP="00666947">
            <w:pPr>
              <w:pStyle w:val="TableTextLeft"/>
            </w:pPr>
            <w:r w:rsidRPr="00403A68">
              <w:t xml:space="preserve">This account provides estimates for the Great Ocean Road tourism region for direct and indirect Gross Regional Product and Gross Value Added for 2018-19. It has a breakdown by tourism industry. It is used by DJPR (2020) to estimate the economic contribution of tourism to Victoria’s regions 2018-19. </w:t>
            </w:r>
          </w:p>
          <w:p w14:paraId="4B79741B" w14:textId="77777777" w:rsidR="00205F19" w:rsidRPr="00403A68" w:rsidRDefault="00205F19" w:rsidP="00666947">
            <w:pPr>
              <w:pStyle w:val="TableTextLeft"/>
            </w:pPr>
          </w:p>
        </w:tc>
        <w:tc>
          <w:tcPr>
            <w:tcW w:w="164" w:type="pct"/>
            <w:shd w:val="clear" w:color="auto" w:fill="92D050"/>
          </w:tcPr>
          <w:p w14:paraId="0D67FDBD" w14:textId="77777777" w:rsidR="00205F19" w:rsidRPr="00403A68" w:rsidRDefault="00205F19" w:rsidP="00666947">
            <w:pPr>
              <w:pStyle w:val="TableTextLeft"/>
            </w:pPr>
            <w:r w:rsidRPr="00403A68">
              <w:t>Yes</w:t>
            </w:r>
          </w:p>
        </w:tc>
        <w:tc>
          <w:tcPr>
            <w:tcW w:w="1782" w:type="pct"/>
          </w:tcPr>
          <w:p w14:paraId="697DEB8A" w14:textId="77777777" w:rsidR="00205F19" w:rsidRPr="00403A68" w:rsidRDefault="00205F19" w:rsidP="00666947">
            <w:pPr>
              <w:pStyle w:val="TableTextLeft"/>
              <w:rPr>
                <w:b/>
              </w:rPr>
            </w:pPr>
            <w:r w:rsidRPr="00403A68">
              <w:rPr>
                <w:b/>
              </w:rPr>
              <w:t xml:space="preserve">GVA / GRP / Tourism Consumption: </w:t>
            </w:r>
            <w:r w:rsidRPr="00403A68">
              <w:t xml:space="preserve"> These estimates are the most comprehensive available on GVA for the Great Ocean Road and provide a breakdown of GVA by tourism industry. However, the figures are for the Great Ocean Road tourism region and not the boundary of the GORCAP EEA.  </w:t>
            </w:r>
          </w:p>
        </w:tc>
      </w:tr>
      <w:tr w:rsidR="00205F19" w:rsidRPr="00403A68" w14:paraId="58B6CB66" w14:textId="77777777" w:rsidTr="00995CC6">
        <w:trPr>
          <w:trHeight w:val="50"/>
        </w:trPr>
        <w:tc>
          <w:tcPr>
            <w:tcW w:w="690" w:type="pct"/>
          </w:tcPr>
          <w:p w14:paraId="102B4B9B" w14:textId="77777777" w:rsidR="00205F19" w:rsidRPr="00403A68" w:rsidRDefault="00205F19" w:rsidP="00666947">
            <w:pPr>
              <w:pStyle w:val="TableTextLeft"/>
            </w:pPr>
            <w:r w:rsidRPr="00403A68">
              <w:t>Tourism Victoria (2014) Economic importance of tourism to Victoria’s regions</w:t>
            </w:r>
          </w:p>
        </w:tc>
        <w:tc>
          <w:tcPr>
            <w:tcW w:w="2364" w:type="pct"/>
          </w:tcPr>
          <w:p w14:paraId="6800358C" w14:textId="77777777" w:rsidR="00205F19" w:rsidRPr="00403A68" w:rsidRDefault="00205F19" w:rsidP="00666947">
            <w:pPr>
              <w:pStyle w:val="TableTextLeft"/>
            </w:pPr>
            <w:r w:rsidRPr="00403A68">
              <w:t>This report provides estimates of tourism GRP for Victoria’s tourism regions including the Great Ocean Road.</w:t>
            </w:r>
          </w:p>
        </w:tc>
        <w:tc>
          <w:tcPr>
            <w:tcW w:w="164" w:type="pct"/>
            <w:shd w:val="clear" w:color="auto" w:fill="FF0000"/>
          </w:tcPr>
          <w:p w14:paraId="6B133D8F" w14:textId="77777777" w:rsidR="00205F19" w:rsidRPr="00403A68" w:rsidRDefault="00205F19" w:rsidP="00666947">
            <w:pPr>
              <w:pStyle w:val="TableTextLeft"/>
            </w:pPr>
            <w:r w:rsidRPr="00403A68">
              <w:t>No</w:t>
            </w:r>
          </w:p>
        </w:tc>
        <w:tc>
          <w:tcPr>
            <w:tcW w:w="1782" w:type="pct"/>
          </w:tcPr>
          <w:p w14:paraId="5C2D80E5" w14:textId="77777777" w:rsidR="00205F19" w:rsidRPr="00403A68" w:rsidRDefault="00205F19" w:rsidP="00666947">
            <w:pPr>
              <w:pStyle w:val="TableTextLeft"/>
              <w:rPr>
                <w:b/>
              </w:rPr>
            </w:pPr>
            <w:r w:rsidRPr="00403A68">
              <w:rPr>
                <w:b/>
              </w:rPr>
              <w:t>GRP:</w:t>
            </w:r>
            <w:r w:rsidRPr="00403A68">
              <w:t xml:space="preserve"> There is more up-to-date information on Gross Regional Product from the TRA for the entire GOR tourism region (DJPR, 2020) that will be used for the GORCAP EEA.</w:t>
            </w:r>
          </w:p>
        </w:tc>
      </w:tr>
      <w:tr w:rsidR="00205F19" w:rsidRPr="00403A68" w14:paraId="7CC85335" w14:textId="77777777" w:rsidTr="00995CC6">
        <w:trPr>
          <w:trHeight w:val="50"/>
        </w:trPr>
        <w:tc>
          <w:tcPr>
            <w:tcW w:w="690" w:type="pct"/>
          </w:tcPr>
          <w:p w14:paraId="77A5EBB5" w14:textId="77777777" w:rsidR="00205F19" w:rsidRPr="00403A68" w:rsidRDefault="00205F19" w:rsidP="00666947">
            <w:pPr>
              <w:pStyle w:val="TableTextLeft"/>
            </w:pPr>
            <w:r w:rsidRPr="00403A68">
              <w:t>URS (2007) Assessing the Value of Coast to Victoria</w:t>
            </w:r>
          </w:p>
        </w:tc>
        <w:tc>
          <w:tcPr>
            <w:tcW w:w="2364" w:type="pct"/>
          </w:tcPr>
          <w:p w14:paraId="33506EEC" w14:textId="77777777" w:rsidR="00205F19" w:rsidRPr="00403A68" w:rsidRDefault="00205F19" w:rsidP="00666947">
            <w:pPr>
              <w:pStyle w:val="TableTextLeft"/>
            </w:pPr>
            <w:r w:rsidRPr="00403A68">
              <w:t>This study estimates welfare values (utility / consumer surplus) for coastal recreation in Victoria of $154 per trip (at least 1 night) for the average individual and $48 per visitor day trip using a travel cost methodology. The results showed that people valued the possibility of doing coastal sporting activities (e.g. surfing) and nature watching highly. The study also quotes estimates by Read et al (1999) of the recreational value of national parks in Victoria of between $10 and $59 per visitor day ($8 and $46 in 1999 terms) for comparison.</w:t>
            </w:r>
          </w:p>
          <w:p w14:paraId="2FBC2A6D" w14:textId="77777777" w:rsidR="00205F19" w:rsidRPr="00403A68" w:rsidRDefault="00205F19" w:rsidP="00666947">
            <w:pPr>
              <w:pStyle w:val="TableTextLeft"/>
            </w:pPr>
            <w:r w:rsidRPr="00403A68">
              <w:t xml:space="preserve">This study also presents values for recreational fishing from the literature for comparison to the coastal travel cost study undertaken. This includes estimates from Sinden (1990) (see above) of $65  per person per fishing day to inland rivers by specialist anglers and the Queensland specific study by Rolfe and </w:t>
            </w:r>
            <w:proofErr w:type="spellStart"/>
            <w:r w:rsidRPr="00403A68">
              <w:t>Prayaga</w:t>
            </w:r>
            <w:proofErr w:type="spellEnd"/>
            <w:r w:rsidRPr="00403A68">
              <w:t xml:space="preserve"> (2006) (see BDA Group, 2015) which estimates welfare values of $60 - $900 per person per fishing trip for occasional fishers and $220 to $440 per person per fishing day for frequent fishers (2006 values).  </w:t>
            </w:r>
          </w:p>
        </w:tc>
        <w:tc>
          <w:tcPr>
            <w:tcW w:w="164" w:type="pct"/>
            <w:shd w:val="clear" w:color="auto" w:fill="92D050"/>
          </w:tcPr>
          <w:p w14:paraId="60B47781" w14:textId="77777777" w:rsidR="00205F19" w:rsidRPr="00403A68" w:rsidRDefault="00205F19" w:rsidP="00666947">
            <w:pPr>
              <w:pStyle w:val="TableTextLeft"/>
            </w:pPr>
            <w:r w:rsidRPr="00403A68">
              <w:t>Yes</w:t>
            </w:r>
          </w:p>
        </w:tc>
        <w:tc>
          <w:tcPr>
            <w:tcW w:w="1782" w:type="pct"/>
          </w:tcPr>
          <w:p w14:paraId="06597CE3" w14:textId="77777777" w:rsidR="00205F19" w:rsidRPr="00403A68" w:rsidRDefault="00205F19" w:rsidP="00666947">
            <w:pPr>
              <w:pStyle w:val="TableTextLeft"/>
            </w:pPr>
            <w:r w:rsidRPr="00403A68">
              <w:rPr>
                <w:b/>
              </w:rPr>
              <w:t xml:space="preserve">Welfare: </w:t>
            </w:r>
            <w:r w:rsidRPr="00403A68">
              <w:t>URS (2007) welfare values for coastal recreational day trips and overnight trips in Victoria are used as these are the most relevant to the GORCAP EEA region.</w:t>
            </w:r>
          </w:p>
          <w:p w14:paraId="3218CEF5" w14:textId="77777777" w:rsidR="00205F19" w:rsidRPr="00403A68" w:rsidRDefault="00205F19" w:rsidP="00666947">
            <w:pPr>
              <w:pStyle w:val="TableTextLeft"/>
            </w:pPr>
            <w:r w:rsidRPr="00403A68">
              <w:t xml:space="preserve">The more specific welfare estimates of recreational fishing are not adopted in this GORCAP EEA as there are more relevant / readily applicable estimates to the GOR context (i.e. URS (2007) values for coastal recreation in Victoria). In the future, if information on recreational visits to freshwater bodies (i.e. rivers, lakes, dams) within the GORCAP EEA region can be obtained including fishing trips, then the “welfare” values (utility / consumer surplus) from this study could be used, with appropriate caveats (i.e. noting the potential issue of transferring Queensland values to Victoria, see description section).    </w:t>
            </w:r>
          </w:p>
        </w:tc>
      </w:tr>
    </w:tbl>
    <w:p w14:paraId="2C2D2007" w14:textId="77777777" w:rsidR="00205F19" w:rsidRPr="00403A68" w:rsidRDefault="00205F19" w:rsidP="00205F19">
      <w:pPr>
        <w:pStyle w:val="BodyText"/>
        <w:rPr>
          <w:highlight w:val="yellow"/>
        </w:rPr>
      </w:pPr>
    </w:p>
    <w:p w14:paraId="5A32651D" w14:textId="77777777" w:rsidR="00205F19" w:rsidRPr="00403A68" w:rsidRDefault="00205F19" w:rsidP="00205F19">
      <w:pPr>
        <w:pStyle w:val="Heading2"/>
        <w:sectPr w:rsidR="00205F19" w:rsidRPr="00403A68" w:rsidSect="00E52A9A">
          <w:headerReference w:type="even" r:id="rId404"/>
          <w:headerReference w:type="default" r:id="rId405"/>
          <w:footerReference w:type="even" r:id="rId406"/>
          <w:footerReference w:type="default" r:id="rId407"/>
          <w:pgSz w:w="23811" w:h="16838" w:orient="landscape" w:code="8"/>
          <w:pgMar w:top="1134" w:right="1134" w:bottom="1134" w:left="1134" w:header="283" w:footer="283" w:gutter="0"/>
          <w:cols w:space="284"/>
          <w:docGrid w:linePitch="360"/>
        </w:sectPr>
      </w:pPr>
    </w:p>
    <w:p w14:paraId="5A5DE8B1" w14:textId="77777777" w:rsidR="00205F19" w:rsidRPr="00403A68" w:rsidRDefault="00205F19" w:rsidP="00995CC6">
      <w:pPr>
        <w:pStyle w:val="Heading2"/>
        <w:numPr>
          <w:ilvl w:val="0"/>
          <w:numId w:val="0"/>
        </w:numPr>
      </w:pPr>
      <w:bookmarkStart w:id="439" w:name="_Toc163547109"/>
      <w:r w:rsidRPr="00403A68">
        <w:lastRenderedPageBreak/>
        <w:t>A3.7. Aesthetics</w:t>
      </w:r>
      <w:bookmarkEnd w:id="439"/>
    </w:p>
    <w:p w14:paraId="5FB4C25D" w14:textId="77777777" w:rsidR="00205F19" w:rsidRPr="00403A68" w:rsidRDefault="00205F19" w:rsidP="00205F19">
      <w:pPr>
        <w:pStyle w:val="BodyText"/>
      </w:pPr>
      <w:r w:rsidRPr="00403A68">
        <w:t xml:space="preserve">A landscape assessment review for the GORCAP region was undertaken by Clare Scott Planning (2019), to input to the definition of a ‘Great Ocean Road Scenic Landscapes Area’ (‘scenic landscapes area’) which will be subject to new planning controls. Some initial GIS mapping was undertaken to inform the future boundaries of the scenic landscapes area, see Figure A3.6. </w:t>
      </w:r>
    </w:p>
    <w:p w14:paraId="3491517D" w14:textId="77777777" w:rsidR="00205F19" w:rsidRPr="00403A68" w:rsidRDefault="00205F19" w:rsidP="00420484">
      <w:pPr>
        <w:pStyle w:val="Caption"/>
      </w:pPr>
      <w:r w:rsidRPr="00403A68">
        <w:t xml:space="preserve">Figure A3.6. Indicative </w:t>
      </w:r>
      <w:proofErr w:type="spellStart"/>
      <w:r w:rsidRPr="00403A68">
        <w:t>viewscape</w:t>
      </w:r>
      <w:proofErr w:type="spellEnd"/>
      <w:r w:rsidRPr="00403A68">
        <w:t xml:space="preserve"> analysis (Clare Scott Planning, 2019)</w:t>
      </w:r>
    </w:p>
    <w:p w14:paraId="45EFEADF" w14:textId="77777777" w:rsidR="00205F19" w:rsidRPr="00403A68" w:rsidRDefault="00205F19" w:rsidP="00205F19">
      <w:pPr>
        <w:pStyle w:val="BodyText"/>
      </w:pPr>
      <w:r w:rsidRPr="00403A68">
        <w:rPr>
          <w:noProof/>
        </w:rPr>
        <w:drawing>
          <wp:inline distT="0" distB="0" distL="0" distR="0" wp14:anchorId="7AD2BA9F" wp14:editId="1CCDECA4">
            <wp:extent cx="6246421" cy="3947022"/>
            <wp:effectExtent l="0" t="0" r="254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8" cstate="email">
                      <a:extLst>
                        <a:ext uri="{28A0092B-C50C-407E-A947-70E740481C1C}">
                          <a14:useLocalDpi xmlns:a14="http://schemas.microsoft.com/office/drawing/2010/main"/>
                        </a:ext>
                      </a:extLst>
                    </a:blip>
                    <a:srcRect/>
                    <a:stretch/>
                  </pic:blipFill>
                  <pic:spPr bwMode="auto">
                    <a:xfrm>
                      <a:off x="0" y="0"/>
                      <a:ext cx="6367371" cy="4023449"/>
                    </a:xfrm>
                    <a:prstGeom prst="rect">
                      <a:avLst/>
                    </a:prstGeom>
                    <a:ln>
                      <a:noFill/>
                    </a:ln>
                    <a:extLst>
                      <a:ext uri="{53640926-AAD7-44D8-BBD7-CCE9431645EC}">
                        <a14:shadowObscured xmlns:a14="http://schemas.microsoft.com/office/drawing/2010/main"/>
                      </a:ext>
                    </a:extLst>
                  </pic:spPr>
                </pic:pic>
              </a:graphicData>
            </a:graphic>
          </wp:inline>
        </w:drawing>
      </w:r>
    </w:p>
    <w:p w14:paraId="20124B46" w14:textId="77777777" w:rsidR="00205F19" w:rsidRPr="00403A68" w:rsidRDefault="00205F19" w:rsidP="00420484">
      <w:pPr>
        <w:pStyle w:val="BodyText12ptBefore"/>
      </w:pPr>
      <w:r w:rsidRPr="00403A68">
        <w:t>The purple viewshed area in Figure A3.6 is what is visible (on the land not the sea) from the Surf Coast Highway between Geelong and Torquay, and thereafter what is visible from the Great Ocean Road</w:t>
      </w:r>
      <w:r w:rsidRPr="00403A68">
        <w:rPr>
          <w:vertAlign w:val="superscript"/>
        </w:rPr>
        <w:footnoteReference w:id="103"/>
      </w:r>
      <w:r w:rsidRPr="00403A68">
        <w:t xml:space="preserve">. This initial mapping only considers the landscape viewshed and not the seascape viewshed. This is likely to be because the digital elevation model ends at the coast. </w:t>
      </w:r>
    </w:p>
    <w:p w14:paraId="78DE833C" w14:textId="77777777" w:rsidR="00205F19" w:rsidRPr="00403A68" w:rsidRDefault="00205F19" w:rsidP="00205F19">
      <w:pPr>
        <w:pStyle w:val="Heading2"/>
        <w:sectPr w:rsidR="00205F19" w:rsidRPr="00403A68" w:rsidSect="00E52A9A">
          <w:headerReference w:type="even" r:id="rId409"/>
          <w:headerReference w:type="default" r:id="rId410"/>
          <w:footerReference w:type="even" r:id="rId411"/>
          <w:footerReference w:type="default" r:id="rId412"/>
          <w:pgSz w:w="11906" w:h="16838" w:code="9"/>
          <w:pgMar w:top="1134" w:right="1134" w:bottom="1134" w:left="1134" w:header="283" w:footer="283" w:gutter="0"/>
          <w:cols w:space="284"/>
          <w:docGrid w:linePitch="360"/>
        </w:sectPr>
      </w:pPr>
    </w:p>
    <w:p w14:paraId="0B5D8797" w14:textId="77777777" w:rsidR="00205F19" w:rsidRPr="00403A68" w:rsidRDefault="00205F19" w:rsidP="00420484">
      <w:pPr>
        <w:pStyle w:val="Heading1"/>
        <w:numPr>
          <w:ilvl w:val="0"/>
          <w:numId w:val="0"/>
        </w:numPr>
      </w:pPr>
      <w:bookmarkStart w:id="440" w:name="_Toc98854714"/>
      <w:bookmarkStart w:id="441" w:name="_Toc163547110"/>
      <w:r w:rsidRPr="003632AC">
        <w:lastRenderedPageBreak/>
        <w:t>Annex</w:t>
      </w:r>
      <w:r w:rsidRPr="00403A68">
        <w:t xml:space="preserve"> 4. Scoping phase approach</w:t>
      </w:r>
      <w:bookmarkEnd w:id="440"/>
      <w:bookmarkEnd w:id="441"/>
      <w:r w:rsidRPr="00403A68">
        <w:t xml:space="preserve"> </w:t>
      </w:r>
    </w:p>
    <w:p w14:paraId="1E2769D3" w14:textId="77777777" w:rsidR="00205F19" w:rsidRPr="00403A68" w:rsidRDefault="00205F19" w:rsidP="00205F19">
      <w:pPr>
        <w:pStyle w:val="BodyText"/>
      </w:pPr>
      <w:r w:rsidRPr="00403A68">
        <w:t xml:space="preserve">A review of relevant literature was undertaken in the scoping phase through the following sub-tasks that were undertaken in parallel:  </w:t>
      </w:r>
    </w:p>
    <w:p w14:paraId="69137F71" w14:textId="77777777" w:rsidR="00205F19" w:rsidRPr="00403A68" w:rsidRDefault="00205F19" w:rsidP="000035CB">
      <w:pPr>
        <w:pStyle w:val="ListAlpha"/>
        <w:numPr>
          <w:ilvl w:val="0"/>
          <w:numId w:val="44"/>
        </w:numPr>
      </w:pPr>
      <w:r w:rsidRPr="00A459D5">
        <w:rPr>
          <w:b/>
        </w:rPr>
        <w:t>Review economic assessments of coastal, marine and protected area assets globally</w:t>
      </w:r>
      <w:r w:rsidRPr="00403A68">
        <w:t>: consider the breadth of approaches, principles and concepts as well as the type of data and evidence that is used in existing economic assessments of coastal, marine and protected area assets. The review focused on economic assessments of the natural environment that use the SEEA-EA framework (i.e. assets stocks and ecosystem service flows) in order to remain manageable. The geographic location of the reviewed assessments is set out in Table A4.1.</w:t>
      </w:r>
    </w:p>
    <w:p w14:paraId="0C375CA7" w14:textId="00F0D91D" w:rsidR="00205F19" w:rsidRPr="00403A68" w:rsidRDefault="00205F19" w:rsidP="00420484">
      <w:pPr>
        <w:pStyle w:val="Caption"/>
      </w:pPr>
      <w:r w:rsidRPr="00403A68">
        <w:t>Table A4.1.</w:t>
      </w:r>
      <w:r w:rsidR="00420484">
        <w:tab/>
      </w:r>
      <w:r w:rsidRPr="00403A68">
        <w:t>List of reviewed global assessments of coastal, marine and protected area assets by country</w:t>
      </w:r>
    </w:p>
    <w:tbl>
      <w:tblPr>
        <w:tblStyle w:val="TableGrid"/>
        <w:tblW w:w="5000" w:type="pct"/>
        <w:tblLook w:val="04A0" w:firstRow="1" w:lastRow="0" w:firstColumn="1" w:lastColumn="0" w:noHBand="0" w:noVBand="1"/>
      </w:tblPr>
      <w:tblGrid>
        <w:gridCol w:w="1590"/>
        <w:gridCol w:w="8048"/>
      </w:tblGrid>
      <w:tr w:rsidR="00205F19" w:rsidRPr="00403A68" w14:paraId="4DA8CB9D" w14:textId="77777777" w:rsidTr="0042048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5" w:type="pct"/>
          </w:tcPr>
          <w:p w14:paraId="2A843999" w14:textId="77777777" w:rsidR="00205F19" w:rsidRPr="00403A68" w:rsidRDefault="00205F19" w:rsidP="00666947">
            <w:pPr>
              <w:pStyle w:val="TableTextLeft"/>
              <w:keepNext w:val="0"/>
            </w:pPr>
            <w:r w:rsidRPr="00403A68">
              <w:rPr>
                <w:b/>
              </w:rPr>
              <w:t>Country</w:t>
            </w:r>
          </w:p>
        </w:tc>
        <w:tc>
          <w:tcPr>
            <w:tcW w:w="4175" w:type="pct"/>
          </w:tcPr>
          <w:p w14:paraId="2DA27D2C" w14:textId="77777777" w:rsidR="00205F19" w:rsidRPr="00403A68" w:rsidRDefault="00205F19" w:rsidP="00666947">
            <w:pPr>
              <w:pStyle w:val="TableTextLeft"/>
              <w:keepNext w:val="0"/>
              <w:cnfStyle w:val="100000000000" w:firstRow="1" w:lastRow="0" w:firstColumn="0" w:lastColumn="0" w:oddVBand="0" w:evenVBand="0" w:oddHBand="0" w:evenHBand="0" w:firstRowFirstColumn="0" w:firstRowLastColumn="0" w:lastRowFirstColumn="0" w:lastRowLastColumn="0"/>
              <w:rPr>
                <w:b/>
              </w:rPr>
            </w:pPr>
            <w:r w:rsidRPr="00403A68">
              <w:rPr>
                <w:b/>
              </w:rPr>
              <w:t>Source</w:t>
            </w:r>
          </w:p>
        </w:tc>
      </w:tr>
      <w:tr w:rsidR="00205F19" w:rsidRPr="00403A68" w14:paraId="0C8F322B" w14:textId="77777777" w:rsidTr="00420484">
        <w:trPr>
          <w:trHeight w:val="999"/>
        </w:trPr>
        <w:tc>
          <w:tcPr>
            <w:cnfStyle w:val="001000000000" w:firstRow="0" w:lastRow="0" w:firstColumn="1" w:lastColumn="0" w:oddVBand="0" w:evenVBand="0" w:oddHBand="0" w:evenHBand="0" w:firstRowFirstColumn="0" w:firstRowLastColumn="0" w:lastRowFirstColumn="0" w:lastRowLastColumn="0"/>
            <w:tcW w:w="825" w:type="pct"/>
          </w:tcPr>
          <w:p w14:paraId="5F981C93" w14:textId="77777777" w:rsidR="00205F19" w:rsidRPr="00403A68" w:rsidRDefault="00205F19" w:rsidP="00666947">
            <w:pPr>
              <w:pStyle w:val="TableTextLeft"/>
            </w:pPr>
            <w:r w:rsidRPr="00403A68">
              <w:t>Australia</w:t>
            </w:r>
          </w:p>
        </w:tc>
        <w:tc>
          <w:tcPr>
            <w:tcW w:w="4175" w:type="pct"/>
          </w:tcPr>
          <w:p w14:paraId="698D2BBC" w14:textId="77777777" w:rsidR="00205F19" w:rsidRPr="00403A68" w:rsidRDefault="00205F19" w:rsidP="00420484">
            <w:pPr>
              <w:pStyle w:val="TableTextLeft"/>
              <w:cnfStyle w:val="000000000000" w:firstRow="0" w:lastRow="0" w:firstColumn="0" w:lastColumn="0" w:oddVBand="0" w:evenVBand="0" w:oddHBand="0" w:evenHBand="0" w:firstRowFirstColumn="0" w:firstRowLastColumn="0" w:lastRowFirstColumn="0" w:lastRowLastColumn="0"/>
            </w:pPr>
            <w:r w:rsidRPr="00403A68">
              <w:t>ABS (2015) An Experimental Environmental-economic account for the Great Barrier Reef Region</w:t>
            </w:r>
          </w:p>
          <w:p w14:paraId="67D3C08F" w14:textId="77777777" w:rsidR="00205F19" w:rsidRPr="00403A68" w:rsidRDefault="00205F19" w:rsidP="00420484">
            <w:pPr>
              <w:pStyle w:val="TableTextLeft"/>
              <w:cnfStyle w:val="000000000000" w:firstRow="0" w:lastRow="0" w:firstColumn="0" w:lastColumn="0" w:oddVBand="0" w:evenVBand="0" w:oddHBand="0" w:evenHBand="0" w:firstRowFirstColumn="0" w:firstRowLastColumn="0" w:lastRowFirstColumn="0" w:lastRowLastColumn="0"/>
            </w:pPr>
            <w:r w:rsidRPr="00403A68">
              <w:t>DELWP (2016) Marine and Coastal Environmental-economic accounting: Port Phillip Bay</w:t>
            </w:r>
            <w:r w:rsidRPr="00403A68">
              <w:rPr>
                <w:vertAlign w:val="superscript"/>
              </w:rPr>
              <w:footnoteReference w:id="104"/>
            </w:r>
          </w:p>
          <w:p w14:paraId="418F120E" w14:textId="77777777" w:rsidR="00205F19" w:rsidRPr="00403A68" w:rsidRDefault="00205F19" w:rsidP="00420484">
            <w:pPr>
              <w:pStyle w:val="TableTextLeft"/>
              <w:cnfStyle w:val="000000000000" w:firstRow="0" w:lastRow="0" w:firstColumn="0" w:lastColumn="0" w:oddVBand="0" w:evenVBand="0" w:oddHBand="0" w:evenHBand="0" w:firstRowFirstColumn="0" w:firstRowLastColumn="0" w:lastRowFirstColumn="0" w:lastRowLastColumn="0"/>
            </w:pPr>
            <w:r w:rsidRPr="00403A68">
              <w:t>DELWP and PV (2015) Valuing Victoria's Parks</w:t>
            </w:r>
          </w:p>
          <w:p w14:paraId="28B47057" w14:textId="77777777" w:rsidR="00205F19" w:rsidRPr="00403A68" w:rsidRDefault="00205F19" w:rsidP="00420484">
            <w:pPr>
              <w:pStyle w:val="TableTextLeft"/>
              <w:cnfStyle w:val="000000000000" w:firstRow="0" w:lastRow="0" w:firstColumn="0" w:lastColumn="0" w:oddVBand="0" w:evenVBand="0" w:oddHBand="0" w:evenHBand="0" w:firstRowFirstColumn="0" w:firstRowLastColumn="0" w:lastRowFirstColumn="0" w:lastRowLastColumn="0"/>
            </w:pPr>
            <w:r w:rsidRPr="00403A68">
              <w:t>URS (2007) Assessing the Value of Coast to Victoria</w:t>
            </w:r>
          </w:p>
          <w:p w14:paraId="2D46777F" w14:textId="77777777" w:rsidR="00205F19" w:rsidRPr="00403A68" w:rsidRDefault="00205F19" w:rsidP="00420484">
            <w:pPr>
              <w:pStyle w:val="TableTextLeft"/>
              <w:cnfStyle w:val="000000000000" w:firstRow="0" w:lastRow="0" w:firstColumn="0" w:lastColumn="0" w:oddVBand="0" w:evenVBand="0" w:oddHBand="0" w:evenHBand="0" w:firstRowFirstColumn="0" w:firstRowLastColumn="0" w:lastRowFirstColumn="0" w:lastRowLastColumn="0"/>
            </w:pPr>
            <w:r w:rsidRPr="00403A68">
              <w:t>VEAC (2019) Assessment of the Values of Victoria’s Marine Environment</w:t>
            </w:r>
          </w:p>
          <w:p w14:paraId="03631E54" w14:textId="77777777" w:rsidR="00205F19" w:rsidRPr="00403A68" w:rsidRDefault="00205F19" w:rsidP="00420484">
            <w:pPr>
              <w:pStyle w:val="TableTextLeft"/>
              <w:cnfStyle w:val="000000000000" w:firstRow="0" w:lastRow="0" w:firstColumn="0" w:lastColumn="0" w:oddVBand="0" w:evenVBand="0" w:oddHBand="0" w:evenHBand="0" w:firstRowFirstColumn="0" w:firstRowLastColumn="0" w:lastRowFirstColumn="0" w:lastRowLastColumn="0"/>
            </w:pPr>
            <w:r w:rsidRPr="00403A68">
              <w:t>Worley Parsons (2013) Assessing the value of Coastal Resources in Victoria</w:t>
            </w:r>
          </w:p>
        </w:tc>
      </w:tr>
      <w:tr w:rsidR="00205F19" w:rsidRPr="00403A68" w14:paraId="4876B197" w14:textId="77777777" w:rsidTr="00420484">
        <w:trPr>
          <w:trHeight w:val="436"/>
        </w:trPr>
        <w:tc>
          <w:tcPr>
            <w:cnfStyle w:val="001000000000" w:firstRow="0" w:lastRow="0" w:firstColumn="1" w:lastColumn="0" w:oddVBand="0" w:evenVBand="0" w:oddHBand="0" w:evenHBand="0" w:firstRowFirstColumn="0" w:firstRowLastColumn="0" w:lastRowFirstColumn="0" w:lastRowLastColumn="0"/>
            <w:tcW w:w="825" w:type="pct"/>
          </w:tcPr>
          <w:p w14:paraId="6C845131" w14:textId="77777777" w:rsidR="00205F19" w:rsidRPr="00403A68" w:rsidRDefault="00205F19" w:rsidP="00666947">
            <w:pPr>
              <w:pStyle w:val="TableTextLeft"/>
            </w:pPr>
            <w:r w:rsidRPr="00403A68">
              <w:t>Canada</w:t>
            </w:r>
          </w:p>
        </w:tc>
        <w:tc>
          <w:tcPr>
            <w:tcW w:w="4175" w:type="pct"/>
          </w:tcPr>
          <w:p w14:paraId="2B2BC022" w14:textId="77777777" w:rsidR="00205F19" w:rsidRPr="00403A68" w:rsidRDefault="00205F19" w:rsidP="00420484">
            <w:pPr>
              <w:pStyle w:val="TableTextLeft"/>
              <w:cnfStyle w:val="000000000000" w:firstRow="0" w:lastRow="0" w:firstColumn="0" w:lastColumn="0" w:oddVBand="0" w:evenVBand="0" w:oddHBand="0" w:evenHBand="0" w:firstRowFirstColumn="0" w:firstRowLastColumn="0" w:lastRowFirstColumn="0" w:lastRowLastColumn="0"/>
            </w:pPr>
            <w:r w:rsidRPr="00403A68">
              <w:t>Guerry et al (2012) Modelling benefits from nature: using ecosystem services to inform coastal and marine spatial planning</w:t>
            </w:r>
          </w:p>
        </w:tc>
      </w:tr>
      <w:tr w:rsidR="00205F19" w:rsidRPr="00403A68" w14:paraId="0BB57CF0" w14:textId="77777777" w:rsidTr="00420484">
        <w:trPr>
          <w:trHeight w:val="266"/>
        </w:trPr>
        <w:tc>
          <w:tcPr>
            <w:cnfStyle w:val="001000000000" w:firstRow="0" w:lastRow="0" w:firstColumn="1" w:lastColumn="0" w:oddVBand="0" w:evenVBand="0" w:oddHBand="0" w:evenHBand="0" w:firstRowFirstColumn="0" w:firstRowLastColumn="0" w:lastRowFirstColumn="0" w:lastRowLastColumn="0"/>
            <w:tcW w:w="825" w:type="pct"/>
          </w:tcPr>
          <w:p w14:paraId="0C87D483" w14:textId="77777777" w:rsidR="00205F19" w:rsidRPr="00403A68" w:rsidRDefault="00205F19" w:rsidP="00666947">
            <w:pPr>
              <w:pStyle w:val="TableTextLeft"/>
            </w:pPr>
            <w:r w:rsidRPr="00403A68">
              <w:t>Mexico</w:t>
            </w:r>
          </w:p>
        </w:tc>
        <w:tc>
          <w:tcPr>
            <w:tcW w:w="4175" w:type="pct"/>
          </w:tcPr>
          <w:p w14:paraId="51F05338" w14:textId="77777777" w:rsidR="00205F19" w:rsidRPr="00403A68" w:rsidRDefault="00205F19" w:rsidP="00420484">
            <w:pPr>
              <w:pStyle w:val="TableTextLeft"/>
              <w:cnfStyle w:val="000000000000" w:firstRow="0" w:lastRow="0" w:firstColumn="0" w:lastColumn="0" w:oddVBand="0" w:evenVBand="0" w:oddHBand="0" w:evenHBand="0" w:firstRowFirstColumn="0" w:firstRowLastColumn="0" w:lastRowFirstColumn="0" w:lastRowLastColumn="0"/>
            </w:pPr>
            <w:r w:rsidRPr="00403A68">
              <w:t>Figueroa (2019) SEEA-EEA Mx and Natural Protected Areas (NPA)</w:t>
            </w:r>
          </w:p>
        </w:tc>
      </w:tr>
      <w:tr w:rsidR="00205F19" w:rsidRPr="00403A68" w14:paraId="77013DCB" w14:textId="77777777" w:rsidTr="00420484">
        <w:tc>
          <w:tcPr>
            <w:cnfStyle w:val="001000000000" w:firstRow="0" w:lastRow="0" w:firstColumn="1" w:lastColumn="0" w:oddVBand="0" w:evenVBand="0" w:oddHBand="0" w:evenHBand="0" w:firstRowFirstColumn="0" w:firstRowLastColumn="0" w:lastRowFirstColumn="0" w:lastRowLastColumn="0"/>
            <w:tcW w:w="825" w:type="pct"/>
          </w:tcPr>
          <w:p w14:paraId="4C86C4C0" w14:textId="77777777" w:rsidR="00205F19" w:rsidRPr="00403A68" w:rsidRDefault="00205F19" w:rsidP="00666947">
            <w:pPr>
              <w:pStyle w:val="TableTextLeft"/>
            </w:pPr>
            <w:r w:rsidRPr="00403A68">
              <w:t>Norway</w:t>
            </w:r>
          </w:p>
        </w:tc>
        <w:tc>
          <w:tcPr>
            <w:tcW w:w="4175" w:type="pct"/>
          </w:tcPr>
          <w:p w14:paraId="6936D11D" w14:textId="77777777" w:rsidR="00205F19" w:rsidRPr="00403A68" w:rsidRDefault="00205F19" w:rsidP="00420484">
            <w:pPr>
              <w:pStyle w:val="TableTextLeft"/>
              <w:cnfStyle w:val="000000000000" w:firstRow="0" w:lastRow="0" w:firstColumn="0" w:lastColumn="0" w:oddVBand="0" w:evenVBand="0" w:oddHBand="0" w:evenHBand="0" w:firstRowFirstColumn="0" w:firstRowLastColumn="0" w:lastRowFirstColumn="0" w:lastRowLastColumn="0"/>
            </w:pPr>
            <w:r w:rsidRPr="00403A68">
              <w:t>Chen et al (2020) Environmental-economic accounting's potential to support coastal and marine governance</w:t>
            </w:r>
          </w:p>
        </w:tc>
      </w:tr>
      <w:tr w:rsidR="00205F19" w:rsidRPr="00403A68" w14:paraId="20DD0ACD" w14:textId="77777777" w:rsidTr="00420484">
        <w:tc>
          <w:tcPr>
            <w:cnfStyle w:val="001000000000" w:firstRow="0" w:lastRow="0" w:firstColumn="1" w:lastColumn="0" w:oddVBand="0" w:evenVBand="0" w:oddHBand="0" w:evenHBand="0" w:firstRowFirstColumn="0" w:firstRowLastColumn="0" w:lastRowFirstColumn="0" w:lastRowLastColumn="0"/>
            <w:tcW w:w="825" w:type="pct"/>
          </w:tcPr>
          <w:p w14:paraId="05AC830B" w14:textId="77777777" w:rsidR="00205F19" w:rsidRPr="00403A68" w:rsidRDefault="00205F19" w:rsidP="00666947">
            <w:pPr>
              <w:pStyle w:val="TableTextLeft"/>
            </w:pPr>
            <w:r w:rsidRPr="00403A68">
              <w:t>Portugal</w:t>
            </w:r>
          </w:p>
        </w:tc>
        <w:tc>
          <w:tcPr>
            <w:tcW w:w="4175" w:type="pct"/>
          </w:tcPr>
          <w:p w14:paraId="462BFEDC" w14:textId="77777777" w:rsidR="00205F19" w:rsidRPr="00403A68" w:rsidRDefault="00205F19" w:rsidP="00420484">
            <w:pPr>
              <w:pStyle w:val="TableTextLeft"/>
              <w:cnfStyle w:val="000000000000" w:firstRow="0" w:lastRow="0" w:firstColumn="0" w:lastColumn="0" w:oddVBand="0" w:evenVBand="0" w:oddHBand="0" w:evenHBand="0" w:firstRowFirstColumn="0" w:firstRowLastColumn="0" w:lastRowFirstColumn="0" w:lastRowLastColumn="0"/>
            </w:pPr>
            <w:r w:rsidRPr="00403A68">
              <w:t>Sousa et al (2016) Ecosystem services provided by a complex coastal region: challenges of classification and mapping</w:t>
            </w:r>
          </w:p>
        </w:tc>
      </w:tr>
      <w:tr w:rsidR="00205F19" w:rsidRPr="00403A68" w14:paraId="3435D755" w14:textId="77777777" w:rsidTr="00420484">
        <w:tc>
          <w:tcPr>
            <w:cnfStyle w:val="001000000000" w:firstRow="0" w:lastRow="0" w:firstColumn="1" w:lastColumn="0" w:oddVBand="0" w:evenVBand="0" w:oddHBand="0" w:evenHBand="0" w:firstRowFirstColumn="0" w:firstRowLastColumn="0" w:lastRowFirstColumn="0" w:lastRowLastColumn="0"/>
            <w:tcW w:w="825" w:type="pct"/>
          </w:tcPr>
          <w:p w14:paraId="5AF41BE2" w14:textId="77777777" w:rsidR="00205F19" w:rsidRPr="00403A68" w:rsidRDefault="00205F19" w:rsidP="00666947">
            <w:pPr>
              <w:pStyle w:val="TableTextLeft"/>
            </w:pPr>
            <w:r w:rsidRPr="00403A68">
              <w:t>Samoa</w:t>
            </w:r>
          </w:p>
        </w:tc>
        <w:tc>
          <w:tcPr>
            <w:tcW w:w="4175" w:type="pct"/>
          </w:tcPr>
          <w:p w14:paraId="61DE9CE5" w14:textId="77777777" w:rsidR="00205F19" w:rsidRPr="00403A68" w:rsidRDefault="00205F19" w:rsidP="00420484">
            <w:pPr>
              <w:pStyle w:val="TableTextLeft"/>
              <w:cnfStyle w:val="000000000000" w:firstRow="0" w:lastRow="0" w:firstColumn="0" w:lastColumn="0" w:oddVBand="0" w:evenVBand="0" w:oddHBand="0" w:evenHBand="0" w:firstRowFirstColumn="0" w:firstRowLastColumn="0" w:lastRowFirstColumn="0" w:lastRowLastColumn="0"/>
            </w:pPr>
            <w:r w:rsidRPr="00403A68">
              <w:t>Topeto (2019) Status of Samoa’s Ocean Account ‘PILOT’ Project</w:t>
            </w:r>
          </w:p>
        </w:tc>
      </w:tr>
      <w:tr w:rsidR="00205F19" w:rsidRPr="00403A68" w14:paraId="1401EF92" w14:textId="77777777" w:rsidTr="00420484">
        <w:tc>
          <w:tcPr>
            <w:cnfStyle w:val="001000000000" w:firstRow="0" w:lastRow="0" w:firstColumn="1" w:lastColumn="0" w:oddVBand="0" w:evenVBand="0" w:oddHBand="0" w:evenHBand="0" w:firstRowFirstColumn="0" w:firstRowLastColumn="0" w:lastRowFirstColumn="0" w:lastRowLastColumn="0"/>
            <w:tcW w:w="825" w:type="pct"/>
          </w:tcPr>
          <w:p w14:paraId="10929F10" w14:textId="77777777" w:rsidR="00205F19" w:rsidRPr="00403A68" w:rsidRDefault="00205F19" w:rsidP="00666947">
            <w:pPr>
              <w:pStyle w:val="TableTextLeft"/>
            </w:pPr>
            <w:r w:rsidRPr="00403A68">
              <w:t>Solomon Islands</w:t>
            </w:r>
          </w:p>
        </w:tc>
        <w:tc>
          <w:tcPr>
            <w:tcW w:w="4175" w:type="pct"/>
          </w:tcPr>
          <w:p w14:paraId="63ECF1B7" w14:textId="77777777" w:rsidR="00205F19" w:rsidRPr="00403A68" w:rsidRDefault="00205F19" w:rsidP="00420484">
            <w:pPr>
              <w:pStyle w:val="TableTextLeft"/>
              <w:cnfStyle w:val="000000000000" w:firstRow="0" w:lastRow="0" w:firstColumn="0" w:lastColumn="0" w:oddVBand="0" w:evenVBand="0" w:oddHBand="0" w:evenHBand="0" w:firstRowFirstColumn="0" w:firstRowLastColumn="0" w:lastRowFirstColumn="0" w:lastRowLastColumn="0"/>
            </w:pPr>
            <w:r w:rsidRPr="00403A68">
              <w:t>Arena et al (2015) National Marine Ecosystem Service Valuation: Solomon Islands</w:t>
            </w:r>
          </w:p>
        </w:tc>
      </w:tr>
      <w:tr w:rsidR="00205F19" w:rsidRPr="00403A68" w14:paraId="074688A6" w14:textId="77777777" w:rsidTr="00420484">
        <w:tc>
          <w:tcPr>
            <w:cnfStyle w:val="001000000000" w:firstRow="0" w:lastRow="0" w:firstColumn="1" w:lastColumn="0" w:oddVBand="0" w:evenVBand="0" w:oddHBand="0" w:evenHBand="0" w:firstRowFirstColumn="0" w:firstRowLastColumn="0" w:lastRowFirstColumn="0" w:lastRowLastColumn="0"/>
            <w:tcW w:w="825" w:type="pct"/>
          </w:tcPr>
          <w:p w14:paraId="295071B5" w14:textId="77777777" w:rsidR="00205F19" w:rsidRPr="00403A68" w:rsidRDefault="00205F19" w:rsidP="00666947">
            <w:pPr>
              <w:pStyle w:val="TableTextLeft"/>
            </w:pPr>
            <w:r w:rsidRPr="00403A68">
              <w:t>South Africa</w:t>
            </w:r>
          </w:p>
        </w:tc>
        <w:tc>
          <w:tcPr>
            <w:tcW w:w="4175" w:type="pct"/>
          </w:tcPr>
          <w:p w14:paraId="0E26F30A" w14:textId="77777777" w:rsidR="00205F19" w:rsidRPr="00403A68" w:rsidRDefault="00205F19" w:rsidP="00420484">
            <w:pPr>
              <w:pStyle w:val="TableTextLeft"/>
              <w:cnfStyle w:val="000000000000" w:firstRow="0" w:lastRow="0" w:firstColumn="0" w:lastColumn="0" w:oddVBand="0" w:evenVBand="0" w:oddHBand="0" w:evenHBand="0" w:firstRowFirstColumn="0" w:firstRowLastColumn="0" w:lastRowFirstColumn="0" w:lastRowLastColumn="0"/>
            </w:pPr>
            <w:r w:rsidRPr="00403A68">
              <w:t>Driver and Nel (2019) Plans for Protected Area Accounts in South Africa</w:t>
            </w:r>
          </w:p>
        </w:tc>
      </w:tr>
      <w:tr w:rsidR="00205F19" w:rsidRPr="00403A68" w14:paraId="53CE44DA" w14:textId="77777777" w:rsidTr="00420484">
        <w:tc>
          <w:tcPr>
            <w:cnfStyle w:val="001000000000" w:firstRow="0" w:lastRow="0" w:firstColumn="1" w:lastColumn="0" w:oddVBand="0" w:evenVBand="0" w:oddHBand="0" w:evenHBand="0" w:firstRowFirstColumn="0" w:firstRowLastColumn="0" w:lastRowFirstColumn="0" w:lastRowLastColumn="0"/>
            <w:tcW w:w="825" w:type="pct"/>
          </w:tcPr>
          <w:p w14:paraId="37F4FCC1" w14:textId="77777777" w:rsidR="00205F19" w:rsidRPr="00403A68" w:rsidRDefault="00205F19" w:rsidP="00666947">
            <w:pPr>
              <w:pStyle w:val="TableTextLeft"/>
            </w:pPr>
            <w:r w:rsidRPr="00403A68">
              <w:t>UK</w:t>
            </w:r>
          </w:p>
        </w:tc>
        <w:tc>
          <w:tcPr>
            <w:tcW w:w="4175" w:type="pct"/>
          </w:tcPr>
          <w:p w14:paraId="4C9157A5" w14:textId="77777777" w:rsidR="00205F19" w:rsidRPr="00403A68" w:rsidRDefault="00205F19" w:rsidP="00420484">
            <w:pPr>
              <w:pStyle w:val="TableTextLeft"/>
              <w:cnfStyle w:val="000000000000" w:firstRow="0" w:lastRow="0" w:firstColumn="0" w:lastColumn="0" w:oddVBand="0" w:evenVBand="0" w:oddHBand="0" w:evenHBand="0" w:firstRowFirstColumn="0" w:firstRowLastColumn="0" w:lastRowFirstColumn="0" w:lastRowLastColumn="0"/>
            </w:pPr>
            <w:r w:rsidRPr="00403A68">
              <w:t>ONS (2016) Scoping UK coastal margin environmental-economic accounts</w:t>
            </w:r>
          </w:p>
          <w:p w14:paraId="7EDC457B" w14:textId="77777777" w:rsidR="00205F19" w:rsidRPr="00403A68" w:rsidRDefault="00205F19" w:rsidP="00420484">
            <w:pPr>
              <w:pStyle w:val="TableTextLeft"/>
              <w:cnfStyle w:val="000000000000" w:firstRow="0" w:lastRow="0" w:firstColumn="0" w:lastColumn="0" w:oddVBand="0" w:evenVBand="0" w:oddHBand="0" w:evenHBand="0" w:firstRowFirstColumn="0" w:firstRowLastColumn="0" w:lastRowFirstColumn="0" w:lastRowLastColumn="0"/>
            </w:pPr>
            <w:proofErr w:type="spellStart"/>
            <w:r w:rsidRPr="00403A68">
              <w:t>eftec</w:t>
            </w:r>
            <w:proofErr w:type="spellEnd"/>
            <w:r w:rsidRPr="00403A68">
              <w:t xml:space="preserve"> (2015) Developing UK Natural Capital Accounts: Marine Scoping Study</w:t>
            </w:r>
          </w:p>
          <w:p w14:paraId="63627924" w14:textId="77777777" w:rsidR="00205F19" w:rsidRPr="00403A68" w:rsidRDefault="00205F19" w:rsidP="00420484">
            <w:pPr>
              <w:pStyle w:val="TableTextLeft"/>
              <w:cnfStyle w:val="000000000000" w:firstRow="0" w:lastRow="0" w:firstColumn="0" w:lastColumn="0" w:oddVBand="0" w:evenVBand="0" w:oddHBand="0" w:evenHBand="0" w:firstRowFirstColumn="0" w:firstRowLastColumn="0" w:lastRowFirstColumn="0" w:lastRowLastColumn="0"/>
            </w:pPr>
            <w:r w:rsidRPr="00403A68">
              <w:t>AECOM (2015) Developing environmental-economic accounts for Protected Areas in England and Scotland</w:t>
            </w:r>
          </w:p>
        </w:tc>
      </w:tr>
      <w:tr w:rsidR="00205F19" w:rsidRPr="00403A68" w14:paraId="49D3A504" w14:textId="77777777" w:rsidTr="00420484">
        <w:tc>
          <w:tcPr>
            <w:cnfStyle w:val="001000000000" w:firstRow="0" w:lastRow="0" w:firstColumn="1" w:lastColumn="0" w:oddVBand="0" w:evenVBand="0" w:oddHBand="0" w:evenHBand="0" w:firstRowFirstColumn="0" w:firstRowLastColumn="0" w:lastRowFirstColumn="0" w:lastRowLastColumn="0"/>
            <w:tcW w:w="825" w:type="pct"/>
          </w:tcPr>
          <w:p w14:paraId="2B3432D1" w14:textId="77777777" w:rsidR="00205F19" w:rsidRPr="00403A68" w:rsidRDefault="00205F19" w:rsidP="00666947">
            <w:pPr>
              <w:pStyle w:val="TableTextLeft"/>
              <w:rPr>
                <w:highlight w:val="yellow"/>
              </w:rPr>
            </w:pPr>
            <w:r w:rsidRPr="00403A68">
              <w:t>USA</w:t>
            </w:r>
          </w:p>
        </w:tc>
        <w:tc>
          <w:tcPr>
            <w:tcW w:w="4175" w:type="pct"/>
          </w:tcPr>
          <w:p w14:paraId="0C8E4AAE" w14:textId="77777777" w:rsidR="00205F19" w:rsidRPr="00403A68" w:rsidRDefault="00205F19" w:rsidP="00420484">
            <w:pPr>
              <w:pStyle w:val="TableTextLeft"/>
              <w:cnfStyle w:val="000000000000" w:firstRow="0" w:lastRow="0" w:firstColumn="0" w:lastColumn="0" w:oddVBand="0" w:evenVBand="0" w:oddHBand="0" w:evenHBand="0" w:firstRowFirstColumn="0" w:firstRowLastColumn="0" w:lastRowFirstColumn="0" w:lastRowLastColumn="0"/>
            </w:pPr>
            <w:proofErr w:type="spellStart"/>
            <w:r w:rsidRPr="00403A68">
              <w:t>Dvarskas</w:t>
            </w:r>
            <w:proofErr w:type="spellEnd"/>
            <w:r w:rsidRPr="00403A68">
              <w:t xml:space="preserve"> (2018) Applying SEEA EEA to Marine and Coastal Areas: Long Island Bays</w:t>
            </w:r>
          </w:p>
        </w:tc>
      </w:tr>
    </w:tbl>
    <w:p w14:paraId="4063AA6B" w14:textId="77777777" w:rsidR="00205F19" w:rsidRPr="00403A68" w:rsidRDefault="00205F19" w:rsidP="00A459D5">
      <w:pPr>
        <w:pStyle w:val="ListAlpha"/>
      </w:pPr>
      <w:r w:rsidRPr="00420484">
        <w:rPr>
          <w:b/>
          <w:bCs/>
        </w:rPr>
        <w:t>Review international guidance on environmental-economic accounting</w:t>
      </w:r>
      <w:r w:rsidRPr="00403A68">
        <w:t xml:space="preserve">: consider the international best practice guidance on environmental-economic accounting including that specifically related to coastal, marine and protected area account development. This includes (but is not limited to) the UN System of Environmental-Economic Accounting – Environmental-economic accounts (SEEA-EA) technical guidance and discussion papers, the UN Global Ocean Accounts Partnership Technical </w:t>
      </w:r>
      <w:r w:rsidRPr="00403A68">
        <w:lastRenderedPageBreak/>
        <w:t>Guidance on Ocean Accounting (UN, 2019) and the WRI (Waite et al., 2014) and MACBIO (</w:t>
      </w:r>
      <w:proofErr w:type="spellStart"/>
      <w:r w:rsidRPr="00403A68">
        <w:t>Salcone</w:t>
      </w:r>
      <w:proofErr w:type="spellEnd"/>
      <w:r w:rsidRPr="00403A68">
        <w:t xml:space="preserve"> et al., 2016) guidebooks on coastal ecosystem valuation in the Caribbean and Pacific respectively.</w:t>
      </w:r>
    </w:p>
    <w:p w14:paraId="4A8DAD1A" w14:textId="77777777" w:rsidR="00205F19" w:rsidRPr="00403A68" w:rsidRDefault="00205F19" w:rsidP="00205F19">
      <w:pPr>
        <w:pStyle w:val="BodyText"/>
      </w:pPr>
      <w:r w:rsidRPr="00403A68">
        <w:t xml:space="preserve">The above tasks were used, along with project team experience in developing environmental-economic accounts, to form a framework for the GOR account that is consistent with global best practice, setting out the </w:t>
      </w:r>
      <w:r w:rsidRPr="00403A68">
        <w:rPr>
          <w:i/>
        </w:rPr>
        <w:t>potential</w:t>
      </w:r>
      <w:r w:rsidRPr="00403A68">
        <w:t xml:space="preserve"> scope of the account. The following task then outlined the </w:t>
      </w:r>
      <w:r w:rsidRPr="00403A68">
        <w:rPr>
          <w:i/>
        </w:rPr>
        <w:t>proposed</w:t>
      </w:r>
      <w:r w:rsidRPr="00403A68">
        <w:t xml:space="preserve"> scope of the account (i.e. mapping the detail against the framework) based on the specific Great Ocean Road context given the data and methods available for this initial account. Taken together, these tasks were important in establishing data and evidence gaps that could be filled in the future to expand and/or refine the Great Ocean Road Coast and Parks environmental-economic account  (GORCAP EEA). </w:t>
      </w:r>
    </w:p>
    <w:p w14:paraId="38369D4E" w14:textId="77777777" w:rsidR="00205F19" w:rsidRPr="00403A68" w:rsidRDefault="00205F19" w:rsidP="00A459D5">
      <w:pPr>
        <w:pStyle w:val="ListAlpha"/>
        <w:rPr>
          <w:b/>
        </w:rPr>
      </w:pPr>
      <w:r w:rsidRPr="00403A68">
        <w:rPr>
          <w:b/>
        </w:rPr>
        <w:t xml:space="preserve">Review existing information on the Great Ocean Road: </w:t>
      </w:r>
      <w:r w:rsidRPr="00403A68">
        <w:t>undertake a review of existing data and methods used  in existing economics assessments of coastal, marine and protected areas in Victoria/Australia,  utilise project team knowledge of existing data and methods and consult with DELWP colleagues</w:t>
      </w:r>
      <w:r w:rsidRPr="00403A68">
        <w:rPr>
          <w:vertAlign w:val="superscript"/>
        </w:rPr>
        <w:footnoteReference w:id="105"/>
      </w:r>
      <w:r w:rsidRPr="00403A68">
        <w:t xml:space="preserve"> to identify and review existing data, evidence and analysis on the Great Ocean Road that could be useful for developing an environmental-economic account for the region.  </w:t>
      </w:r>
    </w:p>
    <w:p w14:paraId="223D9187" w14:textId="77777777" w:rsidR="00205F19" w:rsidRPr="00403A68" w:rsidRDefault="00205F19" w:rsidP="00205F19">
      <w:pPr>
        <w:pStyle w:val="BodyText"/>
        <w:sectPr w:rsidR="00205F19" w:rsidRPr="00403A68" w:rsidSect="00E52A9A">
          <w:headerReference w:type="default" r:id="rId413"/>
          <w:footerReference w:type="even" r:id="rId414"/>
          <w:footerReference w:type="default" r:id="rId415"/>
          <w:pgSz w:w="11906" w:h="16838" w:code="9"/>
          <w:pgMar w:top="1134" w:right="1134" w:bottom="1134" w:left="1134" w:header="283" w:footer="283" w:gutter="0"/>
          <w:cols w:space="284"/>
          <w:docGrid w:linePitch="360"/>
        </w:sectPr>
      </w:pPr>
    </w:p>
    <w:p w14:paraId="2F04B9DE" w14:textId="77777777" w:rsidR="00205F19" w:rsidRPr="00403A68" w:rsidRDefault="00205F19" w:rsidP="009E38E5">
      <w:pPr>
        <w:pStyle w:val="Heading1"/>
        <w:numPr>
          <w:ilvl w:val="0"/>
          <w:numId w:val="0"/>
        </w:numPr>
      </w:pPr>
      <w:bookmarkStart w:id="442" w:name="_Toc98854715"/>
      <w:bookmarkStart w:id="443" w:name="_Toc163547111"/>
      <w:r w:rsidRPr="00403A68">
        <w:lastRenderedPageBreak/>
        <w:t xml:space="preserve">Annex 5. Ecosystem </w:t>
      </w:r>
      <w:r w:rsidRPr="003632AC">
        <w:t>asset</w:t>
      </w:r>
      <w:r w:rsidRPr="00403A68">
        <w:t xml:space="preserve"> extent - Review of global literature</w:t>
      </w:r>
      <w:bookmarkEnd w:id="442"/>
      <w:bookmarkEnd w:id="443"/>
    </w:p>
    <w:p w14:paraId="635B3A9C" w14:textId="77777777" w:rsidR="00205F19" w:rsidRPr="00403A68" w:rsidRDefault="00205F19" w:rsidP="00205F19">
      <w:pPr>
        <w:pStyle w:val="BodyText"/>
      </w:pPr>
      <w:r w:rsidRPr="00403A68">
        <w:t>The reviewed studies (see Annex 4) adopted bespoke classifications of ecosystem assets as the SEEA does not provide a classification of coastal and marine ecosystems/land covers (Bordt, 2019). Whilst is it understood that the SEEA Revision process is considering the IUCN Global Ecosystem Typology (GET)</w:t>
      </w:r>
      <w:r w:rsidRPr="00403A68">
        <w:rPr>
          <w:vertAlign w:val="superscript"/>
        </w:rPr>
        <w:footnoteReference w:id="106"/>
      </w:r>
      <w:r w:rsidRPr="00403A68">
        <w:t xml:space="preserve"> as a “reference classification” to use in the absence of a national classification of ecosystems (UN, 2019), this is yet to be confirmed and there are other potential classifications being considered including the US Coastal and Marine Ecological Classification System (CMECS) (Bordt, 2019; UN, 2019). The study team will keep abreast of developments in the SEEA Revision process and ensure that the ecosystem classification adopted in the GORCAP EEA is sufficiently broad to align with the IUCN GET or the CMECS should either be established as a reference classification by SEEA. The classifications used in the reviewed studies, in order of relevance to the GORCAP region, are as follows:</w:t>
      </w:r>
    </w:p>
    <w:p w14:paraId="3DE45F05" w14:textId="77777777" w:rsidR="00205F19" w:rsidRPr="00403A68" w:rsidRDefault="00205F19" w:rsidP="00205F19">
      <w:pPr>
        <w:pStyle w:val="ListBullet"/>
      </w:pPr>
      <w:r w:rsidRPr="00403A68">
        <w:t>URS (2007) assessment uses following classification of ecosystem assets in Victoria and sets out a table explaining ecosystem services provided by each: estuaries and salt marshes; mangroves; rocky shore, sandy beaches and mudflats; dunes; seagrass; kelp forests; coastal scrubs, heaths and woodland; inland ecosystems (which includes forests and woodland; freshwater wetland, lakes and other water bodies; inland grassland, heath and shrub; plantations). GIS data layers for describing ecosystem assets along with Victorian coast include Ecological Vegetation Classes</w:t>
      </w:r>
      <w:r w:rsidRPr="00403A68">
        <w:rPr>
          <w:vertAlign w:val="superscript"/>
        </w:rPr>
        <w:footnoteReference w:id="107"/>
      </w:r>
      <w:r w:rsidRPr="00403A68">
        <w:t xml:space="preserve"> (EVC’s), Victorian Bioregions and Bioregional Conservation Status, and for land management: Public Land Management (designations) and Land Use Layer (agriculture and forestry). </w:t>
      </w:r>
    </w:p>
    <w:p w14:paraId="7D1E0F51" w14:textId="77777777" w:rsidR="00205F19" w:rsidRPr="00403A68" w:rsidRDefault="00205F19" w:rsidP="00205F19">
      <w:pPr>
        <w:pStyle w:val="ListBullet"/>
      </w:pPr>
      <w:r w:rsidRPr="00403A68">
        <w:t xml:space="preserve">Worley Parsons (2013) assessment of the value of Victoria’s coast classifies ecosystems as follows and sets out a table explaining ecosystem services provided by each: beaches, forest, grassland/heathland, wetlands/marshes, estuaries/rivers (all rivers/lakes within 5km of coast are assumed to be estuarine), mangrove and saltmarsh, seagrass, other marine (includes sandy/rocky bed and reef habitats). A range of spatial data sets were examined to determine the area of broad habitat types considered. Ecological Vegetation Classes (EVC’s) were used to classify the habitats on the landward side of the shoreline. To determine the area of general forest, grassland/heathland, marsh and estuarine habitats, the area of each EVC was extracted from the spatial data layers using GIS software, for the coastal strip and EVC’s were assigned to each of these categories, thus each habitat comprised a number of EVC’s. For example, the forest category consisted of 71 forest and woodland EVCs. For marine habitats, the total area of seagrass habitat was obtained from the LCC Coastal Classification with the remainder of the marine area considered as a single category called “other marine”. The Directory of Important Wetlands Australia data identifies large areas of important wetland and estuaries (for additional wetland (onshore) or estuary (marine) areas where there is poor coverage of the EVC data). </w:t>
      </w:r>
      <w:proofErr w:type="spellStart"/>
      <w:r w:rsidRPr="00403A68">
        <w:t>Smartline</w:t>
      </w:r>
      <w:proofErr w:type="spellEnd"/>
      <w:r w:rsidRPr="00403A68">
        <w:t xml:space="preserve"> spatial data incorporates detailed coastal landform information for the Australian coast was used to determine the length of beach habitat and rocky shoreline along the Victorian coastline. All data was obtained from the Department of Sustainability and Environment, under license, except the </w:t>
      </w:r>
      <w:proofErr w:type="spellStart"/>
      <w:r w:rsidRPr="00403A68">
        <w:t>Smartline</w:t>
      </w:r>
      <w:proofErr w:type="spellEnd"/>
      <w:r w:rsidRPr="00403A68">
        <w:t xml:space="preserve">, which was obtained from Geoscience Australia. </w:t>
      </w:r>
    </w:p>
    <w:p w14:paraId="053E81BA" w14:textId="77777777" w:rsidR="00205F19" w:rsidRPr="00403A68" w:rsidRDefault="00205F19" w:rsidP="00205F19">
      <w:pPr>
        <w:pStyle w:val="ListBullet"/>
      </w:pPr>
      <w:r w:rsidRPr="00403A68">
        <w:t>The Port Phillip Bay account (DELWP, 2016) adopts the Combined Biotope Classification Scheme (</w:t>
      </w:r>
      <w:proofErr w:type="spellStart"/>
      <w:r w:rsidRPr="00403A68">
        <w:t>CBiCS</w:t>
      </w:r>
      <w:proofErr w:type="spellEnd"/>
      <w:r w:rsidRPr="00403A68">
        <w:t>)</w:t>
      </w:r>
      <w:r w:rsidRPr="00403A68">
        <w:rPr>
          <w:vertAlign w:val="superscript"/>
        </w:rPr>
        <w:footnoteReference w:id="108"/>
      </w:r>
      <w:r w:rsidRPr="00403A68">
        <w:t xml:space="preserve"> which is a classification hierarchy for all marine habitats and biotopes that enables the incorporation of a variety of information sources of disparate types and levels of resolution. The hierarchical classification enables disaggregation from marine (Level 1) to broad habitat (Level 2), habitat complex (Level 3), biotope complexes (Level 4) and biotopes (Level 5) where this is useful for assessments of ecosystem services and benefits and aggregation for reporting purposes. The study notes that from a marine and coastal environmental-economic accounting perspective, information at the habitat complex level (Level 3) is often most useful, as it identifies different ecosystem assets such as </w:t>
      </w:r>
      <w:r w:rsidRPr="00403A68">
        <w:lastRenderedPageBreak/>
        <w:t>seagrass or mangroves which provide different types / levels of ecosystem services</w:t>
      </w:r>
      <w:r w:rsidRPr="00403A68">
        <w:rPr>
          <w:vertAlign w:val="superscript"/>
        </w:rPr>
        <w:footnoteReference w:id="109"/>
      </w:r>
      <w:r w:rsidRPr="00403A68">
        <w:t xml:space="preserve">. </w:t>
      </w:r>
      <w:proofErr w:type="spellStart"/>
      <w:r w:rsidRPr="00403A68">
        <w:t>CBiCS</w:t>
      </w:r>
      <w:proofErr w:type="spellEnd"/>
      <w:r w:rsidRPr="00403A68">
        <w:t xml:space="preserve"> is consistent with the terrestrial classification of vegetation biotopes and biotope complexes (e.g. Ecological Vegetation Classes (EVCs) and EVC communities in Victoria). The classification of ecosystems for the GOR draws on existing classifications that are used by the Victorian Government (including </w:t>
      </w:r>
      <w:proofErr w:type="spellStart"/>
      <w:r w:rsidRPr="00403A68">
        <w:t>CBiCS</w:t>
      </w:r>
      <w:proofErr w:type="spellEnd"/>
      <w:r w:rsidRPr="00403A68">
        <w:t xml:space="preserve"> and EVCs) where this is useful for the purposes of environmental-economic accounting (i.e. there are clear links to ecosystem service provision). </w:t>
      </w:r>
    </w:p>
    <w:p w14:paraId="4A03743E" w14:textId="77777777" w:rsidR="00205F19" w:rsidRPr="00403A68" w:rsidRDefault="00205F19" w:rsidP="00205F19">
      <w:pPr>
        <w:pStyle w:val="ListBullet"/>
      </w:pPr>
      <w:r w:rsidRPr="00403A68">
        <w:t xml:space="preserve">Ecosystem extent in the Victorian Parks account (PV and DELWP, 2014) does not utilise a single classification system / dataset. Extent of ecosystems is reported according to the different IUCN protected area classification as well as for Ecological Vegetation Divisions (representative of different native vegetation types and are a broader classification of EVC’s), RAMSAR designated wetlands and marine habitats including mangrove, saltmarsh, seagrass, soft sediment, sub-tidal reef and intertidal reef. The report also notes how the Victorian parks network includes a diverse range of ecosystem assets including the majority of the State’s natural ecosystems) covering: alpine, heathland, grassland, forest (wet forest, rainforest, dry forest and woodland), coastal, rivers/wetlands and marine ecosystems. These habitat types could be a useful broad classification for the purpose of developing comprehensive, non-overlapping environmental-economic accounts in Victoria. </w:t>
      </w:r>
    </w:p>
    <w:p w14:paraId="018F46CB" w14:textId="77777777" w:rsidR="00205F19" w:rsidRPr="00403A68" w:rsidRDefault="00205F19" w:rsidP="00205F19">
      <w:pPr>
        <w:pStyle w:val="ListBullet"/>
      </w:pPr>
      <w:r w:rsidRPr="00403A68">
        <w:t xml:space="preserve">Mapping Ocean Wealth Australia (2019) focuses specifically on coastal wetland habitats - mangroves, seagrasses and saltmarshes without reference to an ecosystem classification system / dataset. </w:t>
      </w:r>
    </w:p>
    <w:p w14:paraId="709B8C2C" w14:textId="77777777" w:rsidR="00205F19" w:rsidRPr="00403A68" w:rsidRDefault="00205F19" w:rsidP="00205F19">
      <w:pPr>
        <w:pStyle w:val="ListBullet"/>
      </w:pPr>
      <w:r w:rsidRPr="00403A68">
        <w:t>The US marine account case study in New York (</w:t>
      </w:r>
      <w:proofErr w:type="spellStart"/>
      <w:r w:rsidRPr="00403A68">
        <w:t>Dvarskas</w:t>
      </w:r>
      <w:proofErr w:type="spellEnd"/>
      <w:r w:rsidRPr="00403A68">
        <w:t>, 2018) adopts the US Geological Survey’s (USGS) National Land Cover Database.</w:t>
      </w:r>
    </w:p>
    <w:p w14:paraId="1A5D5731" w14:textId="77777777" w:rsidR="00205F19" w:rsidRPr="00403A68" w:rsidRDefault="00205F19" w:rsidP="00205F19">
      <w:pPr>
        <w:pStyle w:val="ListBullet"/>
      </w:pPr>
      <w:r w:rsidRPr="00403A68">
        <w:t>The UK study for coastal margin (ONS, 2016) proposes the adoption of a comprehensive land cover map to estimate extent of the 8 broad habitats (including coastal margins) set out in the UK National Ecosystem Assessment. The UKNEA defines coastal margins through six main habitats: Sand Dunes, Machair, Shingle, Saltmarsh, Sea Cliffs and Coastal Lagoons. This excludes some geographic areas that people associate with “the coast” including coastal towns and harbours, estuaries, coastal grasslands and rocky shores. The intention is that this will facilitate the development of a suite of mutually exclusive, comprehensive</w:t>
      </w:r>
      <w:r w:rsidRPr="00403A68">
        <w:rPr>
          <w:vertAlign w:val="superscript"/>
        </w:rPr>
        <w:footnoteReference w:id="110"/>
      </w:r>
      <w:r w:rsidRPr="00403A68">
        <w:t xml:space="preserve"> accounts for the UK (Defra and ONS, 2014), so these other geographic areas will be accounted for in other complementary (i.e. non-overlapping) environmental-economic accounts. In the absence of a comprehensive land cover dataset in the UK, initial accounts for the UK (ONS, 2016; AECOM, 2016) are dependent upon a variety of other sources including information on land use. A similar approach could be relevant for the GORCAP EEA if there is no comprehensive land cover dataset available. </w:t>
      </w:r>
    </w:p>
    <w:p w14:paraId="09E6C4B3" w14:textId="77777777" w:rsidR="00205F19" w:rsidRPr="00403A68" w:rsidRDefault="00205F19" w:rsidP="00205F19">
      <w:pPr>
        <w:pStyle w:val="ListBullet"/>
      </w:pPr>
      <w:r w:rsidRPr="00403A68">
        <w:t xml:space="preserve">South African protected area accounts (Driver and Nel, 2019) plan to use the national land accounts as a basis for classifying land cover and understanding change over time. </w:t>
      </w:r>
    </w:p>
    <w:p w14:paraId="3A54753B" w14:textId="3E6B0A43" w:rsidR="00205F19" w:rsidRPr="00403A68" w:rsidRDefault="00205F19" w:rsidP="003632AC">
      <w:pPr>
        <w:pStyle w:val="BodyText12ptBefore"/>
      </w:pPr>
      <w:r w:rsidRPr="00403A68">
        <w:t xml:space="preserve">The UK, US and South African assessments all utilise land cover datasets to define ecosystems on the basis that this will provide comprehensive information on ecosystem extent. Geoscience Australia (an Australian Government agency) has been working with the Australian Government’s Department of the Environment and Energy to develop national land cover datasets utilising the Food and Agriculture Organisation of the United Nations’ Land Cover Classification System. The </w:t>
      </w:r>
      <w:proofErr w:type="spellStart"/>
      <w:r w:rsidRPr="00403A68">
        <w:t>GeoScience</w:t>
      </w:r>
      <w:proofErr w:type="spellEnd"/>
      <w:r w:rsidRPr="00403A68">
        <w:t xml:space="preserve"> Australia land cover dataset is not currently available for the GORCAP EEA , but the study team will continue to keep abreast of developments in this initiative to see if / how the GORCAP EEA can align with and potentially make use of the classification as appropriate.</w:t>
      </w:r>
    </w:p>
    <w:p w14:paraId="55222562" w14:textId="77777777" w:rsidR="00205F19" w:rsidRPr="00403A68" w:rsidRDefault="00205F19" w:rsidP="00205F19">
      <w:pPr>
        <w:pStyle w:val="BodyText"/>
      </w:pPr>
      <w:r w:rsidRPr="00403A68">
        <w:t xml:space="preserve">Whilst the </w:t>
      </w:r>
      <w:r w:rsidRPr="00403A68">
        <w:rPr>
          <w:i/>
        </w:rPr>
        <w:t>extent</w:t>
      </w:r>
      <w:r w:rsidRPr="00403A68">
        <w:t xml:space="preserve"> of ecosystems in the reviewed studies is reported as comprehensively as possible (i.e. covering the entire terrestrial / marine area), only a subset of habitats are focused on in the other sub-accounts developed. </w:t>
      </w:r>
    </w:p>
    <w:p w14:paraId="1A010F59" w14:textId="77777777" w:rsidR="00205F19" w:rsidRPr="00403A68" w:rsidRDefault="00205F19" w:rsidP="00205F19">
      <w:pPr>
        <w:pStyle w:val="BodyText"/>
      </w:pPr>
      <w:r w:rsidRPr="00403A68">
        <w:t>For example:</w:t>
      </w:r>
    </w:p>
    <w:p w14:paraId="35B68EA4" w14:textId="77777777" w:rsidR="00205F19" w:rsidRPr="00403A68" w:rsidRDefault="00205F19" w:rsidP="00205F19">
      <w:pPr>
        <w:pStyle w:val="ListBullet"/>
      </w:pPr>
      <w:r w:rsidRPr="00403A68">
        <w:t xml:space="preserve">Ecosystems in Port Phillip Bay were mapped comprehensively (i.e. covering the entire Bay) using the </w:t>
      </w:r>
      <w:proofErr w:type="spellStart"/>
      <w:r w:rsidRPr="00403A68">
        <w:t>CBiCS</w:t>
      </w:r>
      <w:proofErr w:type="spellEnd"/>
      <w:r w:rsidRPr="00403A68">
        <w:t xml:space="preserve"> classification in the DELWP (2016) study, but quantification and valuation of ecosystem services within the Bay was estimated for seagrass habitat only (due to data constraints). </w:t>
      </w:r>
    </w:p>
    <w:p w14:paraId="378B0418" w14:textId="77777777" w:rsidR="00205F19" w:rsidRPr="00403A68" w:rsidRDefault="00205F19" w:rsidP="00205F19">
      <w:pPr>
        <w:pStyle w:val="ListBullet"/>
      </w:pPr>
      <w:r w:rsidRPr="00403A68">
        <w:lastRenderedPageBreak/>
        <w:t xml:space="preserve">The ongoing European Commission Knowledge Innovation Project for an Integrated System for Natural Capital and Ecosystem Services Accounting (KIP INCA) is focusing on developing experiment marine environmental-economic accounts for seagrass habitat only (Chen et al, 2020). </w:t>
      </w:r>
    </w:p>
    <w:p w14:paraId="6B28D060" w14:textId="77777777" w:rsidR="00205F19" w:rsidRPr="00403A68" w:rsidRDefault="00205F19" w:rsidP="00205F19">
      <w:pPr>
        <w:pStyle w:val="ListBullet"/>
      </w:pPr>
      <w:r w:rsidRPr="00403A68">
        <w:t>The Victorian Parks account (PV and DELWP, 2014) only estimated ecosystem service provision for the parks network as a whole without attribution to different ecosystem types (other than some breakdown for carbon storage and food provision in terms of fish stock enhancement from Marine Protected Areas).</w:t>
      </w:r>
    </w:p>
    <w:p w14:paraId="17CEF3E8" w14:textId="77777777" w:rsidR="00205F19" w:rsidRPr="00403A68" w:rsidRDefault="00205F19" w:rsidP="00205F19">
      <w:pPr>
        <w:pStyle w:val="ListBullet"/>
      </w:pPr>
      <w:r w:rsidRPr="00403A68">
        <w:t>The US marine and coastal assessment (</w:t>
      </w:r>
      <w:proofErr w:type="spellStart"/>
      <w:r w:rsidRPr="00403A68">
        <w:t>Dvarskas</w:t>
      </w:r>
      <w:proofErr w:type="spellEnd"/>
      <w:r w:rsidRPr="00403A68">
        <w:t xml:space="preserve">, 2018) adopts the US Geological Survey’s (USGS) National Land Cover Database to comprehensively map ecosystem extent within the Long Island Bays area of New York, but only assesses condition for wetland, seagrass, beach and water column habitats.  </w:t>
      </w:r>
    </w:p>
    <w:p w14:paraId="796FB6A9" w14:textId="77777777" w:rsidR="00205F19" w:rsidRPr="00403A68" w:rsidRDefault="00205F19" w:rsidP="00205F19">
      <w:pPr>
        <w:pStyle w:val="BodyText12ptBefore"/>
      </w:pPr>
      <w:r w:rsidRPr="00403A68">
        <w:t>In order to facilitate the development of accounts where information on ecosystem asset extent provides an understanding of the capacity of a geographic area to support human health and wellbeing through the provision of ecosystem services, it is recommended that ecosystem assets are classified in a way that provides clear and logical links to ecosystem services as much as possible. For example:</w:t>
      </w:r>
    </w:p>
    <w:p w14:paraId="4DBF781D" w14:textId="77777777" w:rsidR="00205F19" w:rsidRPr="00403A68" w:rsidRDefault="00205F19" w:rsidP="00205F19">
      <w:pPr>
        <w:pStyle w:val="ListBullet"/>
      </w:pPr>
      <w:r w:rsidRPr="00403A68">
        <w:t>The Millennium Ecosystem Assessment uses a biophysical definition of “coastal systems”, including areas up to 100km inland (or 50m in elevation, whichever comes first) and to 50m in depth seaward, with marine systems being defined at depths greater than 50m (MEA 2005). The MEA (2005) then classifies coastal system subtypes (i.e. habitats) in a way that aligns with differences in ecosystem service provision, an approach which is also taken throughout the literature (Milon and Alvarez, 2019; URS, 2007; Worley Parsons, 2013), see Table A5.1. The classification of ecosystem services and ecosystem assets differs across the studies reviewed, as does the range of ecosystem services provided by each asset</w:t>
      </w:r>
      <w:r w:rsidRPr="00403A68">
        <w:rPr>
          <w:vertAlign w:val="superscript"/>
        </w:rPr>
        <w:footnoteReference w:id="111"/>
      </w:r>
      <w:r w:rsidRPr="00403A68">
        <w:t xml:space="preserve">. This is an appealing approach to classification of coastal ecosystems for accounting on the basis that it is simple and non-technical and the links to ecosystem services are logical. </w:t>
      </w:r>
    </w:p>
    <w:p w14:paraId="34411103" w14:textId="779B963B" w:rsidR="00205F19" w:rsidRPr="00403A68" w:rsidRDefault="00205F19" w:rsidP="003632AC">
      <w:pPr>
        <w:pStyle w:val="Caption"/>
      </w:pPr>
      <w:r w:rsidRPr="00403A68">
        <w:t>Table A5.1.</w:t>
      </w:r>
      <w:r w:rsidR="00420484">
        <w:tab/>
      </w:r>
      <w:r w:rsidRPr="00403A68">
        <w:t>Indicative coastal ecosystem classification and link to ecosystem services (Milon and Alvarez, 2019)</w:t>
      </w:r>
      <w:r w:rsidRPr="00403A68">
        <w:rPr>
          <w:vertAlign w:val="superscript"/>
        </w:rPr>
        <w:t>a</w:t>
      </w:r>
      <w:r w:rsidRPr="00403A68">
        <w:t xml:space="preserve"> </w:t>
      </w:r>
    </w:p>
    <w:tbl>
      <w:tblPr>
        <w:tblStyle w:val="TableGrid"/>
        <w:tblW w:w="5000" w:type="pct"/>
        <w:tblLook w:val="04A0" w:firstRow="1" w:lastRow="0" w:firstColumn="1" w:lastColumn="0" w:noHBand="0" w:noVBand="1"/>
      </w:tblPr>
      <w:tblGrid>
        <w:gridCol w:w="2269"/>
        <w:gridCol w:w="930"/>
        <w:gridCol w:w="1116"/>
        <w:gridCol w:w="1198"/>
        <w:gridCol w:w="1199"/>
        <w:gridCol w:w="877"/>
        <w:gridCol w:w="923"/>
        <w:gridCol w:w="1126"/>
      </w:tblGrid>
      <w:tr w:rsidR="00205F19" w:rsidRPr="00403A68" w14:paraId="41E16511" w14:textId="77777777" w:rsidTr="003632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1" w:type="pct"/>
          </w:tcPr>
          <w:p w14:paraId="2607C71F" w14:textId="77777777" w:rsidR="00205F19" w:rsidRPr="00403A68" w:rsidRDefault="00205F19" w:rsidP="00666947">
            <w:pPr>
              <w:pStyle w:val="TableTextLeft"/>
            </w:pPr>
          </w:p>
        </w:tc>
        <w:tc>
          <w:tcPr>
            <w:tcW w:w="486" w:type="pct"/>
          </w:tcPr>
          <w:p w14:paraId="136EAD55" w14:textId="77777777" w:rsidR="00205F19" w:rsidRPr="00403A68" w:rsidRDefault="00205F19" w:rsidP="00666947">
            <w:pPr>
              <w:pStyle w:val="TableTextLeft"/>
              <w:cnfStyle w:val="100000000000" w:firstRow="1" w:lastRow="0" w:firstColumn="0" w:lastColumn="0" w:oddVBand="0" w:evenVBand="0" w:oddHBand="0" w:evenHBand="0" w:firstRowFirstColumn="0" w:firstRowLastColumn="0" w:lastRowFirstColumn="0" w:lastRowLastColumn="0"/>
            </w:pPr>
            <w:r w:rsidRPr="00403A68">
              <w:rPr>
                <w:b/>
              </w:rPr>
              <w:t>Coral reefs</w:t>
            </w:r>
          </w:p>
        </w:tc>
        <w:tc>
          <w:tcPr>
            <w:tcW w:w="556" w:type="pct"/>
          </w:tcPr>
          <w:p w14:paraId="17FC4AC8" w14:textId="77777777" w:rsidR="00205F19" w:rsidRPr="00403A68" w:rsidRDefault="00205F19" w:rsidP="00666947">
            <w:pPr>
              <w:pStyle w:val="TableTextLeft"/>
              <w:cnfStyle w:val="100000000000" w:firstRow="1" w:lastRow="0" w:firstColumn="0" w:lastColumn="0" w:oddVBand="0" w:evenVBand="0" w:oddHBand="0" w:evenHBand="0" w:firstRowFirstColumn="0" w:firstRowLastColumn="0" w:lastRowFirstColumn="0" w:lastRowLastColumn="0"/>
            </w:pPr>
            <w:r w:rsidRPr="00403A68">
              <w:rPr>
                <w:b/>
              </w:rPr>
              <w:t xml:space="preserve">Seagrass beds </w:t>
            </w:r>
          </w:p>
        </w:tc>
        <w:tc>
          <w:tcPr>
            <w:tcW w:w="625" w:type="pct"/>
          </w:tcPr>
          <w:p w14:paraId="44CD9746" w14:textId="77777777" w:rsidR="00205F19" w:rsidRPr="00403A68" w:rsidRDefault="00205F19" w:rsidP="00666947">
            <w:pPr>
              <w:pStyle w:val="TableTextLeft"/>
              <w:cnfStyle w:val="100000000000" w:firstRow="1" w:lastRow="0" w:firstColumn="0" w:lastColumn="0" w:oddVBand="0" w:evenVBand="0" w:oddHBand="0" w:evenHBand="0" w:firstRowFirstColumn="0" w:firstRowLastColumn="0" w:lastRowFirstColumn="0" w:lastRowLastColumn="0"/>
            </w:pPr>
            <w:r w:rsidRPr="00403A68">
              <w:rPr>
                <w:b/>
              </w:rPr>
              <w:t>Saltmarsh</w:t>
            </w:r>
          </w:p>
        </w:tc>
        <w:tc>
          <w:tcPr>
            <w:tcW w:w="625" w:type="pct"/>
          </w:tcPr>
          <w:p w14:paraId="1E31303F" w14:textId="77777777" w:rsidR="00205F19" w:rsidRPr="00403A68" w:rsidRDefault="00205F19" w:rsidP="00666947">
            <w:pPr>
              <w:pStyle w:val="TableTextLeft"/>
              <w:cnfStyle w:val="100000000000" w:firstRow="1" w:lastRow="0" w:firstColumn="0" w:lastColumn="0" w:oddVBand="0" w:evenVBand="0" w:oddHBand="0" w:evenHBand="0" w:firstRowFirstColumn="0" w:firstRowLastColumn="0" w:lastRowFirstColumn="0" w:lastRowLastColumn="0"/>
            </w:pPr>
            <w:r w:rsidRPr="00403A68">
              <w:rPr>
                <w:b/>
              </w:rPr>
              <w:t>Mangrove</w:t>
            </w:r>
          </w:p>
        </w:tc>
        <w:tc>
          <w:tcPr>
            <w:tcW w:w="458" w:type="pct"/>
          </w:tcPr>
          <w:p w14:paraId="6014B63A" w14:textId="77777777" w:rsidR="00205F19" w:rsidRPr="00403A68" w:rsidRDefault="00205F19" w:rsidP="00666947">
            <w:pPr>
              <w:pStyle w:val="TableTextLeft"/>
              <w:cnfStyle w:val="100000000000" w:firstRow="1" w:lastRow="0" w:firstColumn="0" w:lastColumn="0" w:oddVBand="0" w:evenVBand="0" w:oddHBand="0" w:evenHBand="0" w:firstRowFirstColumn="0" w:firstRowLastColumn="0" w:lastRowFirstColumn="0" w:lastRowLastColumn="0"/>
            </w:pPr>
            <w:r w:rsidRPr="00403A68">
              <w:rPr>
                <w:b/>
              </w:rPr>
              <w:t>Oyster reefs</w:t>
            </w:r>
          </w:p>
        </w:tc>
        <w:tc>
          <w:tcPr>
            <w:tcW w:w="482" w:type="pct"/>
          </w:tcPr>
          <w:p w14:paraId="159FCB01" w14:textId="77777777" w:rsidR="00205F19" w:rsidRPr="00403A68" w:rsidRDefault="00205F19" w:rsidP="00666947">
            <w:pPr>
              <w:pStyle w:val="TableTextLeft"/>
              <w:cnfStyle w:val="100000000000" w:firstRow="1" w:lastRow="0" w:firstColumn="0" w:lastColumn="0" w:oddVBand="0" w:evenVBand="0" w:oddHBand="0" w:evenHBand="0" w:firstRowFirstColumn="0" w:firstRowLastColumn="0" w:lastRowFirstColumn="0" w:lastRowLastColumn="0"/>
            </w:pPr>
            <w:r w:rsidRPr="00403A68">
              <w:rPr>
                <w:b/>
              </w:rPr>
              <w:t>Beach, dune, shore</w:t>
            </w:r>
          </w:p>
        </w:tc>
        <w:tc>
          <w:tcPr>
            <w:tcW w:w="588" w:type="pct"/>
          </w:tcPr>
          <w:p w14:paraId="2E3BA979" w14:textId="77777777" w:rsidR="00205F19" w:rsidRPr="00403A68" w:rsidRDefault="00205F19" w:rsidP="00666947">
            <w:pPr>
              <w:pStyle w:val="TableTextLeft"/>
              <w:cnfStyle w:val="100000000000" w:firstRow="1" w:lastRow="0" w:firstColumn="0" w:lastColumn="0" w:oddVBand="0" w:evenVBand="0" w:oddHBand="0" w:evenHBand="0" w:firstRowFirstColumn="0" w:firstRowLastColumn="0" w:lastRowFirstColumn="0" w:lastRowLastColumn="0"/>
              <w:rPr>
                <w:b/>
              </w:rPr>
            </w:pPr>
            <w:r w:rsidRPr="00403A68">
              <w:rPr>
                <w:b/>
              </w:rPr>
              <w:t>Bays and estuaries</w:t>
            </w:r>
          </w:p>
        </w:tc>
      </w:tr>
      <w:tr w:rsidR="00205F19" w:rsidRPr="00403A68" w14:paraId="4A81D6B2" w14:textId="77777777" w:rsidTr="003632AC">
        <w:tc>
          <w:tcPr>
            <w:cnfStyle w:val="001000000000" w:firstRow="0" w:lastRow="0" w:firstColumn="1" w:lastColumn="0" w:oddVBand="0" w:evenVBand="0" w:oddHBand="0" w:evenHBand="0" w:firstRowFirstColumn="0" w:firstRowLastColumn="0" w:lastRowFirstColumn="0" w:lastRowLastColumn="0"/>
            <w:tcW w:w="1181" w:type="pct"/>
          </w:tcPr>
          <w:p w14:paraId="7EEF1C68" w14:textId="77777777" w:rsidR="00205F19" w:rsidRPr="00403A68" w:rsidRDefault="00205F19" w:rsidP="00666947">
            <w:pPr>
              <w:pStyle w:val="TableTextLeft"/>
            </w:pPr>
            <w:r w:rsidRPr="00403A68">
              <w:t xml:space="preserve">Food </w:t>
            </w:r>
          </w:p>
        </w:tc>
        <w:tc>
          <w:tcPr>
            <w:tcW w:w="486" w:type="pct"/>
          </w:tcPr>
          <w:p w14:paraId="3621BCD0"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556" w:type="pct"/>
          </w:tcPr>
          <w:p w14:paraId="47555B4B"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625" w:type="pct"/>
          </w:tcPr>
          <w:p w14:paraId="309C1D0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625" w:type="pct"/>
          </w:tcPr>
          <w:p w14:paraId="70121B4F"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458" w:type="pct"/>
          </w:tcPr>
          <w:p w14:paraId="01AEA562"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482" w:type="pct"/>
          </w:tcPr>
          <w:p w14:paraId="240B417F"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588" w:type="pct"/>
          </w:tcPr>
          <w:p w14:paraId="5EDC7503"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r>
      <w:tr w:rsidR="00205F19" w:rsidRPr="00403A68" w14:paraId="451D25F8" w14:textId="77777777" w:rsidTr="003632AC">
        <w:tc>
          <w:tcPr>
            <w:cnfStyle w:val="001000000000" w:firstRow="0" w:lastRow="0" w:firstColumn="1" w:lastColumn="0" w:oddVBand="0" w:evenVBand="0" w:oddHBand="0" w:evenHBand="0" w:firstRowFirstColumn="0" w:firstRowLastColumn="0" w:lastRowFirstColumn="0" w:lastRowLastColumn="0"/>
            <w:tcW w:w="1181" w:type="pct"/>
          </w:tcPr>
          <w:p w14:paraId="72164600" w14:textId="77777777" w:rsidR="00205F19" w:rsidRPr="00403A68" w:rsidRDefault="00205F19" w:rsidP="00666947">
            <w:pPr>
              <w:pStyle w:val="TableTextLeft"/>
            </w:pPr>
            <w:r w:rsidRPr="00403A68">
              <w:t>Raw materials</w:t>
            </w:r>
          </w:p>
        </w:tc>
        <w:tc>
          <w:tcPr>
            <w:tcW w:w="486" w:type="pct"/>
          </w:tcPr>
          <w:p w14:paraId="5B8857F2"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556" w:type="pct"/>
          </w:tcPr>
          <w:p w14:paraId="18A2D920"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625" w:type="pct"/>
          </w:tcPr>
          <w:p w14:paraId="3A705DEB"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625" w:type="pct"/>
          </w:tcPr>
          <w:p w14:paraId="03CFCA2E"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458" w:type="pct"/>
          </w:tcPr>
          <w:p w14:paraId="558BF6F7"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482" w:type="pct"/>
          </w:tcPr>
          <w:p w14:paraId="758E3AAB"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588" w:type="pct"/>
          </w:tcPr>
          <w:p w14:paraId="6C6DA343"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r>
      <w:tr w:rsidR="00205F19" w:rsidRPr="00403A68" w14:paraId="44F1D465" w14:textId="77777777" w:rsidTr="003632AC">
        <w:tc>
          <w:tcPr>
            <w:cnfStyle w:val="001000000000" w:firstRow="0" w:lastRow="0" w:firstColumn="1" w:lastColumn="0" w:oddVBand="0" w:evenVBand="0" w:oddHBand="0" w:evenHBand="0" w:firstRowFirstColumn="0" w:firstRowLastColumn="0" w:lastRowFirstColumn="0" w:lastRowLastColumn="0"/>
            <w:tcW w:w="1181" w:type="pct"/>
          </w:tcPr>
          <w:p w14:paraId="0A4672D7" w14:textId="77777777" w:rsidR="00205F19" w:rsidRPr="00403A68" w:rsidRDefault="00205F19" w:rsidP="00666947">
            <w:pPr>
              <w:pStyle w:val="TableTextLeft"/>
            </w:pPr>
            <w:r w:rsidRPr="00403A68">
              <w:t>Hazard protection</w:t>
            </w:r>
          </w:p>
        </w:tc>
        <w:tc>
          <w:tcPr>
            <w:tcW w:w="486" w:type="pct"/>
          </w:tcPr>
          <w:p w14:paraId="4BB04A1E"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556" w:type="pct"/>
          </w:tcPr>
          <w:p w14:paraId="45183A96"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625" w:type="pct"/>
          </w:tcPr>
          <w:p w14:paraId="4D8C7697"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625" w:type="pct"/>
          </w:tcPr>
          <w:p w14:paraId="20AE607D"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458" w:type="pct"/>
          </w:tcPr>
          <w:p w14:paraId="5CB868E2"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482" w:type="pct"/>
          </w:tcPr>
          <w:p w14:paraId="299C9F43"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588" w:type="pct"/>
          </w:tcPr>
          <w:p w14:paraId="78969C29"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r>
      <w:tr w:rsidR="00205F19" w:rsidRPr="00403A68" w14:paraId="56B59381" w14:textId="77777777" w:rsidTr="003632AC">
        <w:tc>
          <w:tcPr>
            <w:cnfStyle w:val="001000000000" w:firstRow="0" w:lastRow="0" w:firstColumn="1" w:lastColumn="0" w:oddVBand="0" w:evenVBand="0" w:oddHBand="0" w:evenHBand="0" w:firstRowFirstColumn="0" w:firstRowLastColumn="0" w:lastRowFirstColumn="0" w:lastRowLastColumn="0"/>
            <w:tcW w:w="1181" w:type="pct"/>
          </w:tcPr>
          <w:p w14:paraId="0C6DF824" w14:textId="77777777" w:rsidR="00205F19" w:rsidRPr="00403A68" w:rsidRDefault="00205F19" w:rsidP="00666947">
            <w:pPr>
              <w:pStyle w:val="TableTextLeft"/>
            </w:pPr>
            <w:r w:rsidRPr="00403A68">
              <w:t>Clean water</w:t>
            </w:r>
          </w:p>
        </w:tc>
        <w:tc>
          <w:tcPr>
            <w:tcW w:w="486" w:type="pct"/>
          </w:tcPr>
          <w:p w14:paraId="71D5418F"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556" w:type="pct"/>
          </w:tcPr>
          <w:p w14:paraId="1D410BE7"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625" w:type="pct"/>
          </w:tcPr>
          <w:p w14:paraId="6372679F"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625" w:type="pct"/>
          </w:tcPr>
          <w:p w14:paraId="36FE1C46"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458" w:type="pct"/>
          </w:tcPr>
          <w:p w14:paraId="4D8F7748"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482" w:type="pct"/>
          </w:tcPr>
          <w:p w14:paraId="13DFD46F"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588" w:type="pct"/>
          </w:tcPr>
          <w:p w14:paraId="0CE5608C"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r>
      <w:tr w:rsidR="00205F19" w:rsidRPr="00403A68" w14:paraId="7FB80178" w14:textId="77777777" w:rsidTr="003632AC">
        <w:tc>
          <w:tcPr>
            <w:cnfStyle w:val="001000000000" w:firstRow="0" w:lastRow="0" w:firstColumn="1" w:lastColumn="0" w:oddVBand="0" w:evenVBand="0" w:oddHBand="0" w:evenHBand="0" w:firstRowFirstColumn="0" w:firstRowLastColumn="0" w:lastRowFirstColumn="0" w:lastRowLastColumn="0"/>
            <w:tcW w:w="1181" w:type="pct"/>
          </w:tcPr>
          <w:p w14:paraId="0EE8A1FE" w14:textId="77777777" w:rsidR="00205F19" w:rsidRPr="00403A68" w:rsidRDefault="00205F19" w:rsidP="00666947">
            <w:pPr>
              <w:pStyle w:val="TableTextLeft"/>
            </w:pPr>
            <w:r w:rsidRPr="00403A68">
              <w:t>Global climate regulation</w:t>
            </w:r>
          </w:p>
        </w:tc>
        <w:tc>
          <w:tcPr>
            <w:tcW w:w="486" w:type="pct"/>
          </w:tcPr>
          <w:p w14:paraId="0D9B56DB"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556" w:type="pct"/>
          </w:tcPr>
          <w:p w14:paraId="1B5FD146"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625" w:type="pct"/>
          </w:tcPr>
          <w:p w14:paraId="45EC295F"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625" w:type="pct"/>
          </w:tcPr>
          <w:p w14:paraId="0FFBEB2B"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458" w:type="pct"/>
          </w:tcPr>
          <w:p w14:paraId="4E79994D"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482" w:type="pct"/>
          </w:tcPr>
          <w:p w14:paraId="29FB0028"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588" w:type="pct"/>
          </w:tcPr>
          <w:p w14:paraId="1D41C890"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r>
      <w:tr w:rsidR="00205F19" w:rsidRPr="00403A68" w14:paraId="1608BA2B" w14:textId="77777777" w:rsidTr="003632AC">
        <w:tc>
          <w:tcPr>
            <w:cnfStyle w:val="001000000000" w:firstRow="0" w:lastRow="0" w:firstColumn="1" w:lastColumn="0" w:oddVBand="0" w:evenVBand="0" w:oddHBand="0" w:evenHBand="0" w:firstRowFirstColumn="0" w:firstRowLastColumn="0" w:lastRowFirstColumn="0" w:lastRowLastColumn="0"/>
            <w:tcW w:w="1181" w:type="pct"/>
          </w:tcPr>
          <w:p w14:paraId="511D4B88" w14:textId="77777777" w:rsidR="00205F19" w:rsidRPr="00403A68" w:rsidRDefault="00205F19" w:rsidP="00666947">
            <w:pPr>
              <w:pStyle w:val="TableTextLeft"/>
            </w:pPr>
            <w:r w:rsidRPr="00403A68">
              <w:t>Recreation / tourism</w:t>
            </w:r>
          </w:p>
        </w:tc>
        <w:tc>
          <w:tcPr>
            <w:tcW w:w="486" w:type="pct"/>
          </w:tcPr>
          <w:p w14:paraId="6BE792D2"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556" w:type="pct"/>
          </w:tcPr>
          <w:p w14:paraId="2DF86A24"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625" w:type="pct"/>
          </w:tcPr>
          <w:p w14:paraId="2E0CB7A1"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625" w:type="pct"/>
          </w:tcPr>
          <w:p w14:paraId="38ED591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458" w:type="pct"/>
          </w:tcPr>
          <w:p w14:paraId="047F39F3"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482" w:type="pct"/>
          </w:tcPr>
          <w:p w14:paraId="1FDEBF0D"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588" w:type="pct"/>
          </w:tcPr>
          <w:p w14:paraId="3F5409CC"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r>
      <w:tr w:rsidR="00205F19" w:rsidRPr="00403A68" w14:paraId="3FB941CE" w14:textId="77777777" w:rsidTr="003632AC">
        <w:tc>
          <w:tcPr>
            <w:cnfStyle w:val="001000000000" w:firstRow="0" w:lastRow="0" w:firstColumn="1" w:lastColumn="0" w:oddVBand="0" w:evenVBand="0" w:oddHBand="0" w:evenHBand="0" w:firstRowFirstColumn="0" w:firstRowLastColumn="0" w:lastRowFirstColumn="0" w:lastRowLastColumn="0"/>
            <w:tcW w:w="1181" w:type="pct"/>
          </w:tcPr>
          <w:p w14:paraId="67DABC0A" w14:textId="77777777" w:rsidR="00205F19" w:rsidRPr="00403A68" w:rsidRDefault="00205F19" w:rsidP="00666947">
            <w:pPr>
              <w:pStyle w:val="TableTextLeft"/>
            </w:pPr>
            <w:r w:rsidRPr="00403A68">
              <w:t>Aesthetics</w:t>
            </w:r>
          </w:p>
        </w:tc>
        <w:tc>
          <w:tcPr>
            <w:tcW w:w="486" w:type="pct"/>
          </w:tcPr>
          <w:p w14:paraId="4D6CC338"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556" w:type="pct"/>
          </w:tcPr>
          <w:p w14:paraId="608A1149"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625" w:type="pct"/>
          </w:tcPr>
          <w:p w14:paraId="2BC60479"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625" w:type="pct"/>
          </w:tcPr>
          <w:p w14:paraId="66A65F76"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458" w:type="pct"/>
          </w:tcPr>
          <w:p w14:paraId="17A912FA"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482" w:type="pct"/>
          </w:tcPr>
          <w:p w14:paraId="4C49C3E1"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588" w:type="pct"/>
          </w:tcPr>
          <w:p w14:paraId="44EC7E62"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r>
      <w:tr w:rsidR="00205F19" w:rsidRPr="00403A68" w14:paraId="7C1CD853" w14:textId="77777777" w:rsidTr="003632AC">
        <w:tc>
          <w:tcPr>
            <w:cnfStyle w:val="001000000000" w:firstRow="0" w:lastRow="0" w:firstColumn="1" w:lastColumn="0" w:oddVBand="0" w:evenVBand="0" w:oddHBand="0" w:evenHBand="0" w:firstRowFirstColumn="0" w:firstRowLastColumn="0" w:lastRowFirstColumn="0" w:lastRowLastColumn="0"/>
            <w:tcW w:w="1181" w:type="pct"/>
          </w:tcPr>
          <w:p w14:paraId="411E4B43" w14:textId="77777777" w:rsidR="00205F19" w:rsidRPr="00403A68" w:rsidRDefault="00205F19" w:rsidP="00666947">
            <w:pPr>
              <w:pStyle w:val="TableTextLeft"/>
            </w:pPr>
            <w:r w:rsidRPr="00403A68">
              <w:t>Education</w:t>
            </w:r>
          </w:p>
        </w:tc>
        <w:tc>
          <w:tcPr>
            <w:tcW w:w="486" w:type="pct"/>
          </w:tcPr>
          <w:p w14:paraId="423A117F"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556" w:type="pct"/>
          </w:tcPr>
          <w:p w14:paraId="48BE0BE7"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625" w:type="pct"/>
          </w:tcPr>
          <w:p w14:paraId="3DDB83CC"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625" w:type="pct"/>
          </w:tcPr>
          <w:p w14:paraId="295BEBA6"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458" w:type="pct"/>
          </w:tcPr>
          <w:p w14:paraId="466BFE2B"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482" w:type="pct"/>
          </w:tcPr>
          <w:p w14:paraId="3802A0AC"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588" w:type="pct"/>
          </w:tcPr>
          <w:p w14:paraId="57DAB349"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r>
      <w:tr w:rsidR="00205F19" w:rsidRPr="00403A68" w14:paraId="3170E3E4" w14:textId="77777777" w:rsidTr="003632AC">
        <w:tc>
          <w:tcPr>
            <w:cnfStyle w:val="001000000000" w:firstRow="0" w:lastRow="0" w:firstColumn="1" w:lastColumn="0" w:oddVBand="0" w:evenVBand="0" w:oddHBand="0" w:evenHBand="0" w:firstRowFirstColumn="0" w:firstRowLastColumn="0" w:lastRowFirstColumn="0" w:lastRowLastColumn="0"/>
            <w:tcW w:w="1181" w:type="pct"/>
            <w:shd w:val="clear" w:color="auto" w:fill="CCDBEA" w:themeFill="background2"/>
          </w:tcPr>
          <w:p w14:paraId="79A3DC10" w14:textId="77777777" w:rsidR="00205F19" w:rsidRPr="00403A68" w:rsidRDefault="00205F19" w:rsidP="00666947">
            <w:pPr>
              <w:pStyle w:val="TableTextLeft"/>
              <w:rPr>
                <w:i/>
              </w:rPr>
            </w:pPr>
            <w:r w:rsidRPr="00403A68">
              <w:rPr>
                <w:i/>
              </w:rPr>
              <w:t>Biodiversity</w:t>
            </w:r>
          </w:p>
        </w:tc>
        <w:tc>
          <w:tcPr>
            <w:tcW w:w="486" w:type="pct"/>
            <w:shd w:val="clear" w:color="auto" w:fill="CCDBEA" w:themeFill="background2"/>
          </w:tcPr>
          <w:p w14:paraId="1E3E5204"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556" w:type="pct"/>
            <w:shd w:val="clear" w:color="auto" w:fill="CCDBEA" w:themeFill="background2"/>
          </w:tcPr>
          <w:p w14:paraId="57DD3533"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625" w:type="pct"/>
            <w:shd w:val="clear" w:color="auto" w:fill="CCDBEA" w:themeFill="background2"/>
          </w:tcPr>
          <w:p w14:paraId="5C4EC5E2"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625" w:type="pct"/>
            <w:shd w:val="clear" w:color="auto" w:fill="CCDBEA" w:themeFill="background2"/>
          </w:tcPr>
          <w:p w14:paraId="550A5F91"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458" w:type="pct"/>
            <w:shd w:val="clear" w:color="auto" w:fill="CCDBEA" w:themeFill="background2"/>
          </w:tcPr>
          <w:p w14:paraId="0A01302B"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482" w:type="pct"/>
            <w:shd w:val="clear" w:color="auto" w:fill="CCDBEA" w:themeFill="background2"/>
          </w:tcPr>
          <w:p w14:paraId="6AA1AA13"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588" w:type="pct"/>
            <w:shd w:val="clear" w:color="auto" w:fill="CCDBEA" w:themeFill="background2"/>
          </w:tcPr>
          <w:p w14:paraId="57068D8B"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r>
      <w:tr w:rsidR="00205F19" w:rsidRPr="00403A68" w14:paraId="121A219D" w14:textId="77777777" w:rsidTr="003632AC">
        <w:tc>
          <w:tcPr>
            <w:cnfStyle w:val="001000000000" w:firstRow="0" w:lastRow="0" w:firstColumn="1" w:lastColumn="0" w:oddVBand="0" w:evenVBand="0" w:oddHBand="0" w:evenHBand="0" w:firstRowFirstColumn="0" w:firstRowLastColumn="0" w:lastRowFirstColumn="0" w:lastRowLastColumn="0"/>
            <w:tcW w:w="1181" w:type="pct"/>
            <w:shd w:val="clear" w:color="auto" w:fill="CCDBEA" w:themeFill="background2"/>
          </w:tcPr>
          <w:p w14:paraId="52E365DD" w14:textId="77777777" w:rsidR="00205F19" w:rsidRPr="00403A68" w:rsidRDefault="00205F19" w:rsidP="00666947">
            <w:pPr>
              <w:pStyle w:val="TableTextLeft"/>
              <w:rPr>
                <w:i/>
              </w:rPr>
            </w:pPr>
            <w:r w:rsidRPr="00403A68">
              <w:rPr>
                <w:i/>
              </w:rPr>
              <w:t>Ecological connectivity</w:t>
            </w:r>
          </w:p>
        </w:tc>
        <w:tc>
          <w:tcPr>
            <w:tcW w:w="486" w:type="pct"/>
            <w:shd w:val="clear" w:color="auto" w:fill="CCDBEA" w:themeFill="background2"/>
          </w:tcPr>
          <w:p w14:paraId="78C7A66C"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556" w:type="pct"/>
            <w:shd w:val="clear" w:color="auto" w:fill="CCDBEA" w:themeFill="background2"/>
          </w:tcPr>
          <w:p w14:paraId="1E4886F4"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625" w:type="pct"/>
            <w:shd w:val="clear" w:color="auto" w:fill="CCDBEA" w:themeFill="background2"/>
          </w:tcPr>
          <w:p w14:paraId="5F6E131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625" w:type="pct"/>
            <w:shd w:val="clear" w:color="auto" w:fill="CCDBEA" w:themeFill="background2"/>
          </w:tcPr>
          <w:p w14:paraId="1CDF01AB"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458" w:type="pct"/>
            <w:shd w:val="clear" w:color="auto" w:fill="CCDBEA" w:themeFill="background2"/>
          </w:tcPr>
          <w:p w14:paraId="324FCC52"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482" w:type="pct"/>
            <w:shd w:val="clear" w:color="auto" w:fill="CCDBEA" w:themeFill="background2"/>
          </w:tcPr>
          <w:p w14:paraId="3A5E3F67"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588" w:type="pct"/>
            <w:shd w:val="clear" w:color="auto" w:fill="CCDBEA" w:themeFill="background2"/>
          </w:tcPr>
          <w:p w14:paraId="4CB3358C"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r>
      <w:tr w:rsidR="00205F19" w:rsidRPr="00403A68" w14:paraId="0DE1C157" w14:textId="77777777" w:rsidTr="003632AC">
        <w:tc>
          <w:tcPr>
            <w:cnfStyle w:val="001000000000" w:firstRow="0" w:lastRow="0" w:firstColumn="1" w:lastColumn="0" w:oddVBand="0" w:evenVBand="0" w:oddHBand="0" w:evenHBand="0" w:firstRowFirstColumn="0" w:firstRowLastColumn="0" w:lastRowFirstColumn="0" w:lastRowLastColumn="0"/>
            <w:tcW w:w="1181" w:type="pct"/>
            <w:shd w:val="clear" w:color="auto" w:fill="CCDBEA" w:themeFill="background2"/>
          </w:tcPr>
          <w:p w14:paraId="0F885124" w14:textId="77777777" w:rsidR="00205F19" w:rsidRPr="00403A68" w:rsidRDefault="00205F19" w:rsidP="00666947">
            <w:pPr>
              <w:pStyle w:val="TableTextLeft"/>
              <w:rPr>
                <w:i/>
              </w:rPr>
            </w:pPr>
            <w:r w:rsidRPr="00403A68">
              <w:rPr>
                <w:i/>
              </w:rPr>
              <w:t>Habitat provision</w:t>
            </w:r>
          </w:p>
        </w:tc>
        <w:tc>
          <w:tcPr>
            <w:tcW w:w="486" w:type="pct"/>
            <w:shd w:val="clear" w:color="auto" w:fill="CCDBEA" w:themeFill="background2"/>
          </w:tcPr>
          <w:p w14:paraId="7B9D8207"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556" w:type="pct"/>
            <w:shd w:val="clear" w:color="auto" w:fill="CCDBEA" w:themeFill="background2"/>
          </w:tcPr>
          <w:p w14:paraId="64925056"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625" w:type="pct"/>
            <w:shd w:val="clear" w:color="auto" w:fill="CCDBEA" w:themeFill="background2"/>
          </w:tcPr>
          <w:p w14:paraId="5C20CE94"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625" w:type="pct"/>
            <w:shd w:val="clear" w:color="auto" w:fill="CCDBEA" w:themeFill="background2"/>
          </w:tcPr>
          <w:p w14:paraId="71A1EDB6"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458" w:type="pct"/>
            <w:shd w:val="clear" w:color="auto" w:fill="CCDBEA" w:themeFill="background2"/>
          </w:tcPr>
          <w:p w14:paraId="6C29592C"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482" w:type="pct"/>
            <w:shd w:val="clear" w:color="auto" w:fill="CCDBEA" w:themeFill="background2"/>
          </w:tcPr>
          <w:p w14:paraId="094EE92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588" w:type="pct"/>
            <w:shd w:val="clear" w:color="auto" w:fill="CCDBEA" w:themeFill="background2"/>
          </w:tcPr>
          <w:p w14:paraId="3352E32B"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r>
      <w:tr w:rsidR="00205F19" w:rsidRPr="00403A68" w14:paraId="4896A66F" w14:textId="77777777" w:rsidTr="003632AC">
        <w:tc>
          <w:tcPr>
            <w:cnfStyle w:val="001000000000" w:firstRow="0" w:lastRow="0" w:firstColumn="1" w:lastColumn="0" w:oddVBand="0" w:evenVBand="0" w:oddHBand="0" w:evenHBand="0" w:firstRowFirstColumn="0" w:firstRowLastColumn="0" w:lastRowFirstColumn="0" w:lastRowLastColumn="0"/>
            <w:tcW w:w="1181" w:type="pct"/>
            <w:shd w:val="clear" w:color="auto" w:fill="CCDBEA" w:themeFill="background2"/>
          </w:tcPr>
          <w:p w14:paraId="28C2DC7B" w14:textId="77777777" w:rsidR="00205F19" w:rsidRPr="00403A68" w:rsidRDefault="00205F19" w:rsidP="00666947">
            <w:pPr>
              <w:pStyle w:val="TableTextLeft"/>
              <w:rPr>
                <w:i/>
              </w:rPr>
            </w:pPr>
            <w:r w:rsidRPr="00403A68">
              <w:rPr>
                <w:i/>
              </w:rPr>
              <w:t>Nursery populations</w:t>
            </w:r>
          </w:p>
        </w:tc>
        <w:tc>
          <w:tcPr>
            <w:tcW w:w="486" w:type="pct"/>
            <w:shd w:val="clear" w:color="auto" w:fill="CCDBEA" w:themeFill="background2"/>
          </w:tcPr>
          <w:p w14:paraId="56912529"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556" w:type="pct"/>
            <w:shd w:val="clear" w:color="auto" w:fill="CCDBEA" w:themeFill="background2"/>
          </w:tcPr>
          <w:p w14:paraId="194B84DE"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625" w:type="pct"/>
            <w:shd w:val="clear" w:color="auto" w:fill="CCDBEA" w:themeFill="background2"/>
          </w:tcPr>
          <w:p w14:paraId="0134EC81"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625" w:type="pct"/>
            <w:shd w:val="clear" w:color="auto" w:fill="CCDBEA" w:themeFill="background2"/>
          </w:tcPr>
          <w:p w14:paraId="6661B8A6"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458" w:type="pct"/>
            <w:shd w:val="clear" w:color="auto" w:fill="CCDBEA" w:themeFill="background2"/>
          </w:tcPr>
          <w:p w14:paraId="4DF5A374"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482" w:type="pct"/>
            <w:shd w:val="clear" w:color="auto" w:fill="CCDBEA" w:themeFill="background2"/>
          </w:tcPr>
          <w:p w14:paraId="638C74B3"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588" w:type="pct"/>
            <w:shd w:val="clear" w:color="auto" w:fill="CCDBEA" w:themeFill="background2"/>
          </w:tcPr>
          <w:p w14:paraId="1E65F5E2"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r>
      <w:tr w:rsidR="00205F19" w:rsidRPr="00403A68" w14:paraId="548E70ED" w14:textId="77777777" w:rsidTr="003632AC">
        <w:tc>
          <w:tcPr>
            <w:cnfStyle w:val="001000000000" w:firstRow="0" w:lastRow="0" w:firstColumn="1" w:lastColumn="0" w:oddVBand="0" w:evenVBand="0" w:oddHBand="0" w:evenHBand="0" w:firstRowFirstColumn="0" w:firstRowLastColumn="0" w:lastRowFirstColumn="0" w:lastRowLastColumn="0"/>
            <w:tcW w:w="1181" w:type="pct"/>
            <w:shd w:val="clear" w:color="auto" w:fill="CCDBEA" w:themeFill="background2"/>
          </w:tcPr>
          <w:p w14:paraId="567BC72A" w14:textId="77777777" w:rsidR="00205F19" w:rsidRPr="00403A68" w:rsidRDefault="00205F19" w:rsidP="00666947">
            <w:pPr>
              <w:pStyle w:val="TableTextLeft"/>
              <w:rPr>
                <w:i/>
              </w:rPr>
            </w:pPr>
            <w:r w:rsidRPr="00403A68">
              <w:rPr>
                <w:i/>
              </w:rPr>
              <w:t>Water cycle regulation</w:t>
            </w:r>
          </w:p>
        </w:tc>
        <w:tc>
          <w:tcPr>
            <w:tcW w:w="486" w:type="pct"/>
            <w:shd w:val="clear" w:color="auto" w:fill="CCDBEA" w:themeFill="background2"/>
          </w:tcPr>
          <w:p w14:paraId="6594841A"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556" w:type="pct"/>
            <w:shd w:val="clear" w:color="auto" w:fill="CCDBEA" w:themeFill="background2"/>
          </w:tcPr>
          <w:p w14:paraId="0D9CBE3A"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625" w:type="pct"/>
            <w:shd w:val="clear" w:color="auto" w:fill="CCDBEA" w:themeFill="background2"/>
          </w:tcPr>
          <w:p w14:paraId="513A764F"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625" w:type="pct"/>
            <w:shd w:val="clear" w:color="auto" w:fill="CCDBEA" w:themeFill="background2"/>
          </w:tcPr>
          <w:p w14:paraId="4AD99A3A"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458" w:type="pct"/>
            <w:shd w:val="clear" w:color="auto" w:fill="CCDBEA" w:themeFill="background2"/>
          </w:tcPr>
          <w:p w14:paraId="18FE81A2"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482" w:type="pct"/>
            <w:shd w:val="clear" w:color="auto" w:fill="CCDBEA" w:themeFill="background2"/>
          </w:tcPr>
          <w:p w14:paraId="76BFE02A"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588" w:type="pct"/>
            <w:shd w:val="clear" w:color="auto" w:fill="CCDBEA" w:themeFill="background2"/>
          </w:tcPr>
          <w:p w14:paraId="3A07B3ED"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r>
      <w:tr w:rsidR="00205F19" w:rsidRPr="00403A68" w14:paraId="3EE57DDD" w14:textId="77777777" w:rsidTr="003632AC">
        <w:tc>
          <w:tcPr>
            <w:cnfStyle w:val="001000000000" w:firstRow="0" w:lastRow="0" w:firstColumn="1" w:lastColumn="0" w:oddVBand="0" w:evenVBand="0" w:oddHBand="0" w:evenHBand="0" w:firstRowFirstColumn="0" w:firstRowLastColumn="0" w:lastRowFirstColumn="0" w:lastRowLastColumn="0"/>
            <w:tcW w:w="1181" w:type="pct"/>
            <w:shd w:val="clear" w:color="auto" w:fill="CCDBEA" w:themeFill="background2"/>
          </w:tcPr>
          <w:p w14:paraId="778F082A" w14:textId="77777777" w:rsidR="00205F19" w:rsidRPr="00403A68" w:rsidRDefault="00205F19" w:rsidP="00666947">
            <w:pPr>
              <w:pStyle w:val="TableTextLeft"/>
              <w:rPr>
                <w:i/>
              </w:rPr>
            </w:pPr>
            <w:r w:rsidRPr="00403A68">
              <w:rPr>
                <w:i/>
              </w:rPr>
              <w:t>Nutrient cycling</w:t>
            </w:r>
          </w:p>
        </w:tc>
        <w:tc>
          <w:tcPr>
            <w:tcW w:w="486" w:type="pct"/>
            <w:shd w:val="clear" w:color="auto" w:fill="CCDBEA" w:themeFill="background2"/>
          </w:tcPr>
          <w:p w14:paraId="45392BD1"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556" w:type="pct"/>
            <w:shd w:val="clear" w:color="auto" w:fill="CCDBEA" w:themeFill="background2"/>
          </w:tcPr>
          <w:p w14:paraId="3D52D4CE"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625" w:type="pct"/>
            <w:shd w:val="clear" w:color="auto" w:fill="CCDBEA" w:themeFill="background2"/>
          </w:tcPr>
          <w:p w14:paraId="2DBAC18C"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625" w:type="pct"/>
            <w:shd w:val="clear" w:color="auto" w:fill="CCDBEA" w:themeFill="background2"/>
          </w:tcPr>
          <w:p w14:paraId="709FE21C"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458" w:type="pct"/>
            <w:shd w:val="clear" w:color="auto" w:fill="CCDBEA" w:themeFill="background2"/>
          </w:tcPr>
          <w:p w14:paraId="40B24C99"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c>
          <w:tcPr>
            <w:tcW w:w="482" w:type="pct"/>
            <w:shd w:val="clear" w:color="auto" w:fill="CCDBEA" w:themeFill="background2"/>
          </w:tcPr>
          <w:p w14:paraId="13317050"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588" w:type="pct"/>
            <w:shd w:val="clear" w:color="auto" w:fill="CCDBEA" w:themeFill="background2"/>
          </w:tcPr>
          <w:p w14:paraId="6AAE61A9"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rFonts w:eastAsia="Wingdings"/>
              </w:rPr>
              <w:t>□</w:t>
            </w:r>
          </w:p>
        </w:tc>
      </w:tr>
    </w:tbl>
    <w:p w14:paraId="6237A156" w14:textId="77777777" w:rsidR="00205F19" w:rsidRPr="00403A68" w:rsidRDefault="00205F19" w:rsidP="003632AC">
      <w:pPr>
        <w:pStyle w:val="NoteHeading"/>
      </w:pPr>
      <w:proofErr w:type="gramStart"/>
      <w:r w:rsidRPr="00403A68">
        <w:rPr>
          <w:vertAlign w:val="superscript"/>
        </w:rPr>
        <w:lastRenderedPageBreak/>
        <w:t>a</w:t>
      </w:r>
      <w:proofErr w:type="gramEnd"/>
      <w:r w:rsidRPr="00403A68">
        <w:rPr>
          <w:vertAlign w:val="superscript"/>
        </w:rPr>
        <w:t xml:space="preserve"> </w:t>
      </w:r>
      <w:r w:rsidRPr="00403A68">
        <w:t>Italics are used to identify supporting services and distinguish these from final ecosystem services</w:t>
      </w:r>
    </w:p>
    <w:p w14:paraId="0B3543E6" w14:textId="77777777" w:rsidR="00205F19" w:rsidRPr="00403A68" w:rsidRDefault="00205F19" w:rsidP="003632AC">
      <w:pPr>
        <w:pStyle w:val="BodyText12ptBefore"/>
      </w:pPr>
      <w:r w:rsidRPr="00403A68">
        <w:t xml:space="preserve">It is recommended that classification of ecosystems in the GORCAP EEA links as far as possible to ecosystem service provision (i.e. in order to be comprehensive, the classification adopted will need to include other habitat/ecosystems where the link to ecosystem service provision is less clear). Without this link to service provision, the accounts do not provide any additional insight to other reports that compile information on ecosystem extent (which are largely reporting from an ecological / biodiversity perspective). </w:t>
      </w:r>
    </w:p>
    <w:p w14:paraId="157A985D" w14:textId="77777777" w:rsidR="00205F19" w:rsidRPr="00403A68" w:rsidRDefault="00205F19" w:rsidP="00205F19">
      <w:pPr>
        <w:pStyle w:val="BodyText"/>
      </w:pPr>
      <w:r w:rsidRPr="00403A68">
        <w:t xml:space="preserve">Finally, the European Commission’s MAES initiative distinguishes between structural and functional classifications for ecosystem assets, noting </w:t>
      </w:r>
      <w:r w:rsidRPr="00403A68">
        <w:rPr>
          <w:i/>
        </w:rPr>
        <w:t>“often, classifications adopt a structural classification approach, a functional approach or both”</w:t>
      </w:r>
      <w:r w:rsidRPr="00403A68">
        <w:t xml:space="preserve">. Structural classifications are based on land cover type or vegetation characteristics (e.g. grassland), whereas functional classifications are based on land use types (e.g. pastoral agriculture). The description / classification of assets in the GORCAP EEA  combines both land cover </w:t>
      </w:r>
      <w:r w:rsidRPr="00403A68">
        <w:rPr>
          <w:i/>
        </w:rPr>
        <w:t>and</w:t>
      </w:r>
      <w:r w:rsidRPr="00403A68">
        <w:t xml:space="preserve"> land use classifications by making it clear what the ecosystem type is (e.g. forest) but also how that ecosystem is used (e.g. plantation, open access recreation, mixed use; national park).</w:t>
      </w:r>
    </w:p>
    <w:p w14:paraId="1B33D80B" w14:textId="77777777" w:rsidR="00205F19" w:rsidRPr="00403A68" w:rsidRDefault="00205F19" w:rsidP="00205F19">
      <w:pPr>
        <w:pStyle w:val="BodyText"/>
      </w:pPr>
      <w:r w:rsidRPr="00403A68">
        <w:t xml:space="preserve">Table A5.2. details a non-exhaustive list of potential metrics and data sources for the extent assessment within the GOR Coast and Parks Area boundary. The remainder of this section outlines the proposed datasets to use in the GORCAP EEA to capture the broad, narrow and other classifications of assets within the GOR Coast and Parks area.  </w:t>
      </w:r>
    </w:p>
    <w:p w14:paraId="67BE1887" w14:textId="77777777" w:rsidR="00205F19" w:rsidRPr="00403A68" w:rsidRDefault="00205F19" w:rsidP="003632AC">
      <w:pPr>
        <w:pStyle w:val="Caption"/>
        <w:rPr>
          <w:rFonts w:eastAsia="Arial"/>
        </w:rPr>
      </w:pPr>
      <w:r w:rsidRPr="00403A68">
        <w:rPr>
          <w:rFonts w:eastAsia="Arial"/>
        </w:rPr>
        <w:t xml:space="preserve">Table </w:t>
      </w:r>
      <w:r w:rsidRPr="00403A68">
        <w:t>A5.2</w:t>
      </w:r>
      <w:r w:rsidRPr="00403A68">
        <w:rPr>
          <w:rFonts w:eastAsia="Arial"/>
        </w:rPr>
        <w:t xml:space="preserve">. Extent assessment - non-exhaustive list of potential metrics and data sources </w:t>
      </w:r>
    </w:p>
    <w:tbl>
      <w:tblPr>
        <w:tblStyle w:val="TableGrid"/>
        <w:tblW w:w="5000" w:type="pct"/>
        <w:tblLook w:val="04A0" w:firstRow="1" w:lastRow="0" w:firstColumn="1" w:lastColumn="0" w:noHBand="0" w:noVBand="1"/>
      </w:tblPr>
      <w:tblGrid>
        <w:gridCol w:w="988"/>
        <w:gridCol w:w="232"/>
        <w:gridCol w:w="1327"/>
        <w:gridCol w:w="816"/>
        <w:gridCol w:w="838"/>
        <w:gridCol w:w="1282"/>
        <w:gridCol w:w="3297"/>
        <w:gridCol w:w="858"/>
      </w:tblGrid>
      <w:tr w:rsidR="00205F19" w:rsidRPr="00403A68" w14:paraId="75585132" w14:textId="77777777" w:rsidTr="003632AC">
        <w:trPr>
          <w:cnfStyle w:val="100000000000" w:firstRow="1" w:lastRow="0" w:firstColumn="0" w:lastColumn="0" w:oddVBand="0" w:evenVBand="0" w:oddHBand="0"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428" w:type="pct"/>
          </w:tcPr>
          <w:p w14:paraId="175C9B26" w14:textId="77777777" w:rsidR="00205F19" w:rsidRPr="00403A68" w:rsidRDefault="00205F19" w:rsidP="00666947">
            <w:pPr>
              <w:pStyle w:val="TableTextLeft"/>
            </w:pPr>
            <w:r w:rsidRPr="00403A68">
              <w:rPr>
                <w:b/>
              </w:rPr>
              <w:t>Data</w:t>
            </w:r>
          </w:p>
        </w:tc>
        <w:tc>
          <w:tcPr>
            <w:tcW w:w="119" w:type="pct"/>
          </w:tcPr>
          <w:p w14:paraId="56B8CB36" w14:textId="77777777" w:rsidR="00205F19" w:rsidRPr="00403A68" w:rsidRDefault="00205F19" w:rsidP="00666947">
            <w:pPr>
              <w:pStyle w:val="TableTextLeft"/>
              <w:cnfStyle w:val="100000000000" w:firstRow="1" w:lastRow="0" w:firstColumn="0" w:lastColumn="0" w:oddVBand="0" w:evenVBand="0" w:oddHBand="0" w:evenHBand="0" w:firstRowFirstColumn="0" w:firstRowLastColumn="0" w:lastRowFirstColumn="0" w:lastRowLastColumn="0"/>
            </w:pPr>
          </w:p>
        </w:tc>
        <w:tc>
          <w:tcPr>
            <w:tcW w:w="637" w:type="pct"/>
          </w:tcPr>
          <w:p w14:paraId="0A58AF43" w14:textId="77777777" w:rsidR="00205F19" w:rsidRPr="00403A68" w:rsidRDefault="00205F19" w:rsidP="00666947">
            <w:pPr>
              <w:pStyle w:val="TableTextLeft"/>
              <w:cnfStyle w:val="100000000000" w:firstRow="1" w:lastRow="0" w:firstColumn="0" w:lastColumn="0" w:oddVBand="0" w:evenVBand="0" w:oddHBand="0" w:evenHBand="0" w:firstRowFirstColumn="0" w:firstRowLastColumn="0" w:lastRowFirstColumn="0" w:lastRowLastColumn="0"/>
            </w:pPr>
            <w:r w:rsidRPr="00403A68">
              <w:rPr>
                <w:b/>
              </w:rPr>
              <w:t>Description</w:t>
            </w:r>
          </w:p>
        </w:tc>
        <w:tc>
          <w:tcPr>
            <w:tcW w:w="337" w:type="pct"/>
          </w:tcPr>
          <w:p w14:paraId="07484C40" w14:textId="77777777" w:rsidR="00205F19" w:rsidRPr="00403A68" w:rsidRDefault="00205F19" w:rsidP="00666947">
            <w:pPr>
              <w:pStyle w:val="TableTextLeft"/>
              <w:cnfStyle w:val="100000000000" w:firstRow="1" w:lastRow="0" w:firstColumn="0" w:lastColumn="0" w:oddVBand="0" w:evenVBand="0" w:oddHBand="0" w:evenHBand="0" w:firstRowFirstColumn="0" w:firstRowLastColumn="0" w:lastRowFirstColumn="0" w:lastRowLastColumn="0"/>
            </w:pPr>
            <w:r w:rsidRPr="00403A68">
              <w:rPr>
                <w:b/>
              </w:rPr>
              <w:t>Metric</w:t>
            </w:r>
          </w:p>
        </w:tc>
        <w:tc>
          <w:tcPr>
            <w:tcW w:w="404" w:type="pct"/>
          </w:tcPr>
          <w:p w14:paraId="7BA1DB7C" w14:textId="77777777" w:rsidR="00205F19" w:rsidRPr="00403A68" w:rsidRDefault="00205F19" w:rsidP="00666947">
            <w:pPr>
              <w:pStyle w:val="TableTextLeft"/>
              <w:cnfStyle w:val="100000000000" w:firstRow="1" w:lastRow="0" w:firstColumn="0" w:lastColumn="0" w:oddVBand="0" w:evenVBand="0" w:oddHBand="0" w:evenHBand="0" w:firstRowFirstColumn="0" w:firstRowLastColumn="0" w:lastRowFirstColumn="0" w:lastRowLastColumn="0"/>
            </w:pPr>
            <w:r w:rsidRPr="00403A68">
              <w:rPr>
                <w:b/>
              </w:rPr>
              <w:t>Type</w:t>
            </w:r>
          </w:p>
        </w:tc>
        <w:tc>
          <w:tcPr>
            <w:tcW w:w="604" w:type="pct"/>
          </w:tcPr>
          <w:p w14:paraId="0B6E12A5" w14:textId="77777777" w:rsidR="00205F19" w:rsidRPr="00403A68" w:rsidRDefault="00205F19" w:rsidP="00666947">
            <w:pPr>
              <w:pStyle w:val="TableTextLeft"/>
              <w:cnfStyle w:val="100000000000" w:firstRow="1" w:lastRow="0" w:firstColumn="0" w:lastColumn="0" w:oddVBand="0" w:evenVBand="0" w:oddHBand="0" w:evenHBand="0" w:firstRowFirstColumn="0" w:firstRowLastColumn="0" w:lastRowFirstColumn="0" w:lastRowLastColumn="0"/>
            </w:pPr>
            <w:r w:rsidRPr="00403A68">
              <w:rPr>
                <w:b/>
              </w:rPr>
              <w:t>Geography</w:t>
            </w:r>
          </w:p>
        </w:tc>
        <w:tc>
          <w:tcPr>
            <w:tcW w:w="1868" w:type="pct"/>
          </w:tcPr>
          <w:p w14:paraId="18CDFB51" w14:textId="77777777" w:rsidR="00205F19" w:rsidRPr="00403A68" w:rsidRDefault="00205F19" w:rsidP="00666947">
            <w:pPr>
              <w:pStyle w:val="TableTextLeft"/>
              <w:cnfStyle w:val="100000000000" w:firstRow="1" w:lastRow="0" w:firstColumn="0" w:lastColumn="0" w:oddVBand="0" w:evenVBand="0" w:oddHBand="0" w:evenHBand="0" w:firstRowFirstColumn="0" w:firstRowLastColumn="0" w:lastRowFirstColumn="0" w:lastRowLastColumn="0"/>
            </w:pPr>
            <w:r w:rsidRPr="00403A68">
              <w:rPr>
                <w:b/>
              </w:rPr>
              <w:t>Source</w:t>
            </w:r>
          </w:p>
        </w:tc>
        <w:tc>
          <w:tcPr>
            <w:tcW w:w="604" w:type="pct"/>
          </w:tcPr>
          <w:p w14:paraId="312F0ED2" w14:textId="77777777" w:rsidR="00205F19" w:rsidRPr="00403A68" w:rsidRDefault="00205F19" w:rsidP="00666947">
            <w:pPr>
              <w:pStyle w:val="TableTextLeft"/>
              <w:cnfStyle w:val="100000000000" w:firstRow="1" w:lastRow="0" w:firstColumn="0" w:lastColumn="0" w:oddVBand="0" w:evenVBand="0" w:oddHBand="0" w:evenHBand="0" w:firstRowFirstColumn="0" w:firstRowLastColumn="0" w:lastRowFirstColumn="0" w:lastRowLastColumn="0"/>
              <w:rPr>
                <w:b/>
              </w:rPr>
            </w:pPr>
            <w:r w:rsidRPr="00403A68">
              <w:rPr>
                <w:b/>
              </w:rPr>
              <w:t>Year</w:t>
            </w:r>
          </w:p>
        </w:tc>
      </w:tr>
      <w:tr w:rsidR="00205F19" w:rsidRPr="00403A68" w14:paraId="65EE6B0A" w14:textId="77777777" w:rsidTr="003632AC">
        <w:trPr>
          <w:trHeight w:val="221"/>
        </w:trPr>
        <w:tc>
          <w:tcPr>
            <w:cnfStyle w:val="001000000000" w:firstRow="0" w:lastRow="0" w:firstColumn="1" w:lastColumn="0" w:oddVBand="0" w:evenVBand="0" w:oddHBand="0" w:evenHBand="0" w:firstRowFirstColumn="0" w:firstRowLastColumn="0" w:lastRowFirstColumn="0" w:lastRowLastColumn="0"/>
            <w:tcW w:w="428" w:type="pct"/>
            <w:vMerge w:val="restart"/>
          </w:tcPr>
          <w:p w14:paraId="582FF33C" w14:textId="77777777" w:rsidR="00205F19" w:rsidRPr="00403A68" w:rsidRDefault="00205F19" w:rsidP="00666947">
            <w:pPr>
              <w:pStyle w:val="TableTextLeft"/>
            </w:pPr>
            <w:r w:rsidRPr="00403A68">
              <w:t>Broad / narrow asset extent</w:t>
            </w:r>
            <w:r w:rsidRPr="00403A68">
              <w:rPr>
                <w:vertAlign w:val="superscript"/>
              </w:rPr>
              <w:footnoteReference w:id="112"/>
            </w:r>
          </w:p>
        </w:tc>
        <w:tc>
          <w:tcPr>
            <w:tcW w:w="756" w:type="pct"/>
            <w:gridSpan w:val="2"/>
          </w:tcPr>
          <w:p w14:paraId="4293193E"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 xml:space="preserve">Land cover </w:t>
            </w:r>
          </w:p>
        </w:tc>
        <w:tc>
          <w:tcPr>
            <w:tcW w:w="337" w:type="pct"/>
          </w:tcPr>
          <w:p w14:paraId="203C2E33"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Ha</w:t>
            </w:r>
          </w:p>
        </w:tc>
        <w:tc>
          <w:tcPr>
            <w:tcW w:w="404" w:type="pct"/>
          </w:tcPr>
          <w:p w14:paraId="3FC529BA"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Spatial</w:t>
            </w:r>
          </w:p>
        </w:tc>
        <w:tc>
          <w:tcPr>
            <w:tcW w:w="604" w:type="pct"/>
          </w:tcPr>
          <w:p w14:paraId="09DE9E30"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Victoria</w:t>
            </w:r>
          </w:p>
        </w:tc>
        <w:tc>
          <w:tcPr>
            <w:tcW w:w="1868" w:type="pct"/>
          </w:tcPr>
          <w:p w14:paraId="3C675434"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DELWP (2020) Victorian Land Cover Time Series</w:t>
            </w:r>
          </w:p>
        </w:tc>
        <w:tc>
          <w:tcPr>
            <w:tcW w:w="604" w:type="pct"/>
          </w:tcPr>
          <w:p w14:paraId="631634A4"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2015- 2019</w:t>
            </w:r>
          </w:p>
        </w:tc>
      </w:tr>
      <w:tr w:rsidR="00205F19" w:rsidRPr="00403A68" w14:paraId="7C58B559" w14:textId="77777777" w:rsidTr="003632AC">
        <w:trPr>
          <w:trHeight w:val="221"/>
        </w:trPr>
        <w:tc>
          <w:tcPr>
            <w:cnfStyle w:val="001000000000" w:firstRow="0" w:lastRow="0" w:firstColumn="1" w:lastColumn="0" w:oddVBand="0" w:evenVBand="0" w:oddHBand="0" w:evenHBand="0" w:firstRowFirstColumn="0" w:firstRowLastColumn="0" w:lastRowFirstColumn="0" w:lastRowLastColumn="0"/>
            <w:tcW w:w="428" w:type="pct"/>
            <w:vMerge/>
          </w:tcPr>
          <w:p w14:paraId="068D5B51" w14:textId="77777777" w:rsidR="00205F19" w:rsidRPr="00403A68" w:rsidRDefault="00205F19" w:rsidP="00666947">
            <w:pPr>
              <w:pStyle w:val="TableTextLeft"/>
            </w:pPr>
          </w:p>
        </w:tc>
        <w:tc>
          <w:tcPr>
            <w:tcW w:w="756" w:type="pct"/>
            <w:gridSpan w:val="2"/>
          </w:tcPr>
          <w:p w14:paraId="77F4EF7D"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 xml:space="preserve">Forests </w:t>
            </w:r>
          </w:p>
        </w:tc>
        <w:tc>
          <w:tcPr>
            <w:tcW w:w="337" w:type="pct"/>
          </w:tcPr>
          <w:p w14:paraId="0A94900A"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Ha</w:t>
            </w:r>
          </w:p>
        </w:tc>
        <w:tc>
          <w:tcPr>
            <w:tcW w:w="404" w:type="pct"/>
          </w:tcPr>
          <w:p w14:paraId="00668C67"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Spatial</w:t>
            </w:r>
          </w:p>
        </w:tc>
        <w:tc>
          <w:tcPr>
            <w:tcW w:w="604" w:type="pct"/>
          </w:tcPr>
          <w:p w14:paraId="79250ACE"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Victoria</w:t>
            </w:r>
          </w:p>
        </w:tc>
        <w:tc>
          <w:tcPr>
            <w:tcW w:w="1868" w:type="pct"/>
          </w:tcPr>
          <w:p w14:paraId="1D1C744E"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 xml:space="preserve">DELWP (2019) Forest Extent, Victorian Forest Monitoring Program </w:t>
            </w:r>
          </w:p>
        </w:tc>
        <w:tc>
          <w:tcPr>
            <w:tcW w:w="604" w:type="pct"/>
          </w:tcPr>
          <w:p w14:paraId="67A692C0"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2013 &amp; 2018</w:t>
            </w:r>
          </w:p>
        </w:tc>
      </w:tr>
      <w:tr w:rsidR="00205F19" w:rsidRPr="00403A68" w14:paraId="521E2F99" w14:textId="77777777" w:rsidTr="003632AC">
        <w:trPr>
          <w:trHeight w:val="221"/>
        </w:trPr>
        <w:tc>
          <w:tcPr>
            <w:cnfStyle w:val="001000000000" w:firstRow="0" w:lastRow="0" w:firstColumn="1" w:lastColumn="0" w:oddVBand="0" w:evenVBand="0" w:oddHBand="0" w:evenHBand="0" w:firstRowFirstColumn="0" w:firstRowLastColumn="0" w:lastRowFirstColumn="0" w:lastRowLastColumn="0"/>
            <w:tcW w:w="428" w:type="pct"/>
            <w:vMerge/>
          </w:tcPr>
          <w:p w14:paraId="72322338" w14:textId="77777777" w:rsidR="00205F19" w:rsidRPr="00403A68" w:rsidRDefault="00205F19" w:rsidP="00666947">
            <w:pPr>
              <w:pStyle w:val="TableTextLeft"/>
              <w:rPr>
                <w:highlight w:val="yellow"/>
              </w:rPr>
            </w:pPr>
          </w:p>
        </w:tc>
        <w:tc>
          <w:tcPr>
            <w:tcW w:w="756" w:type="pct"/>
            <w:gridSpan w:val="2"/>
            <w:vMerge w:val="restart"/>
          </w:tcPr>
          <w:p w14:paraId="087E2058"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 xml:space="preserve">Terrestrial assets </w:t>
            </w:r>
          </w:p>
        </w:tc>
        <w:tc>
          <w:tcPr>
            <w:tcW w:w="337" w:type="pct"/>
          </w:tcPr>
          <w:p w14:paraId="69AB9354"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Ha</w:t>
            </w:r>
          </w:p>
        </w:tc>
        <w:tc>
          <w:tcPr>
            <w:tcW w:w="404" w:type="pct"/>
          </w:tcPr>
          <w:p w14:paraId="763FE2AA"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Spatial</w:t>
            </w:r>
          </w:p>
        </w:tc>
        <w:tc>
          <w:tcPr>
            <w:tcW w:w="604" w:type="pct"/>
          </w:tcPr>
          <w:p w14:paraId="0BE79C3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Victoria</w:t>
            </w:r>
          </w:p>
        </w:tc>
        <w:tc>
          <w:tcPr>
            <w:tcW w:w="1868" w:type="pct"/>
          </w:tcPr>
          <w:p w14:paraId="4F6047E3"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DELWP (2018) Ecological Vegetation Classes</w:t>
            </w:r>
          </w:p>
        </w:tc>
        <w:tc>
          <w:tcPr>
            <w:tcW w:w="604" w:type="pct"/>
          </w:tcPr>
          <w:p w14:paraId="3BB2B6DE"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Pre-1750</w:t>
            </w:r>
          </w:p>
        </w:tc>
      </w:tr>
      <w:tr w:rsidR="00205F19" w:rsidRPr="00403A68" w14:paraId="2A8924B8" w14:textId="77777777" w:rsidTr="003632AC">
        <w:trPr>
          <w:trHeight w:val="221"/>
        </w:trPr>
        <w:tc>
          <w:tcPr>
            <w:cnfStyle w:val="001000000000" w:firstRow="0" w:lastRow="0" w:firstColumn="1" w:lastColumn="0" w:oddVBand="0" w:evenVBand="0" w:oddHBand="0" w:evenHBand="0" w:firstRowFirstColumn="0" w:firstRowLastColumn="0" w:lastRowFirstColumn="0" w:lastRowLastColumn="0"/>
            <w:tcW w:w="428" w:type="pct"/>
            <w:vMerge/>
          </w:tcPr>
          <w:p w14:paraId="6B14EF53" w14:textId="77777777" w:rsidR="00205F19" w:rsidRPr="00403A68" w:rsidRDefault="00205F19" w:rsidP="00666947">
            <w:pPr>
              <w:pStyle w:val="TableTextLeft"/>
            </w:pPr>
          </w:p>
        </w:tc>
        <w:tc>
          <w:tcPr>
            <w:tcW w:w="756" w:type="pct"/>
            <w:gridSpan w:val="2"/>
            <w:vMerge/>
          </w:tcPr>
          <w:p w14:paraId="1D2E2ED4"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337" w:type="pct"/>
          </w:tcPr>
          <w:p w14:paraId="0FC72F3E"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Ha</w:t>
            </w:r>
          </w:p>
        </w:tc>
        <w:tc>
          <w:tcPr>
            <w:tcW w:w="404" w:type="pct"/>
          </w:tcPr>
          <w:p w14:paraId="676C2826"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Spatial</w:t>
            </w:r>
          </w:p>
        </w:tc>
        <w:tc>
          <w:tcPr>
            <w:tcW w:w="604" w:type="pct"/>
          </w:tcPr>
          <w:p w14:paraId="3B4D36B6"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Australia</w:t>
            </w:r>
          </w:p>
        </w:tc>
        <w:tc>
          <w:tcPr>
            <w:tcW w:w="1868" w:type="pct"/>
          </w:tcPr>
          <w:p w14:paraId="1C38B617"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DAWE (2018) National Vegetation Information System</w:t>
            </w:r>
          </w:p>
        </w:tc>
        <w:tc>
          <w:tcPr>
            <w:tcW w:w="604" w:type="pct"/>
          </w:tcPr>
          <w:p w14:paraId="46AE5F41"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2001</w:t>
            </w:r>
          </w:p>
        </w:tc>
      </w:tr>
      <w:tr w:rsidR="00205F19" w:rsidRPr="00403A68" w14:paraId="2B42190D" w14:textId="77777777" w:rsidTr="003632AC">
        <w:trPr>
          <w:trHeight w:val="81"/>
        </w:trPr>
        <w:tc>
          <w:tcPr>
            <w:cnfStyle w:val="001000000000" w:firstRow="0" w:lastRow="0" w:firstColumn="1" w:lastColumn="0" w:oddVBand="0" w:evenVBand="0" w:oddHBand="0" w:evenHBand="0" w:firstRowFirstColumn="0" w:firstRowLastColumn="0" w:lastRowFirstColumn="0" w:lastRowLastColumn="0"/>
            <w:tcW w:w="428" w:type="pct"/>
            <w:vMerge/>
          </w:tcPr>
          <w:p w14:paraId="6A527418" w14:textId="77777777" w:rsidR="00205F19" w:rsidRPr="00403A68" w:rsidRDefault="00205F19" w:rsidP="00666947">
            <w:pPr>
              <w:pStyle w:val="TableTextLeft"/>
            </w:pPr>
          </w:p>
        </w:tc>
        <w:tc>
          <w:tcPr>
            <w:tcW w:w="756" w:type="pct"/>
            <w:gridSpan w:val="2"/>
          </w:tcPr>
          <w:p w14:paraId="783CA0F8"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Agricultural land</w:t>
            </w:r>
          </w:p>
        </w:tc>
        <w:tc>
          <w:tcPr>
            <w:tcW w:w="337" w:type="pct"/>
          </w:tcPr>
          <w:p w14:paraId="48F84BA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Ha</w:t>
            </w:r>
          </w:p>
        </w:tc>
        <w:tc>
          <w:tcPr>
            <w:tcW w:w="404" w:type="pct"/>
          </w:tcPr>
          <w:p w14:paraId="787AD506"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Spatial</w:t>
            </w:r>
          </w:p>
        </w:tc>
        <w:tc>
          <w:tcPr>
            <w:tcW w:w="604" w:type="pct"/>
          </w:tcPr>
          <w:p w14:paraId="1B4B5073"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Victoria</w:t>
            </w:r>
          </w:p>
        </w:tc>
        <w:tc>
          <w:tcPr>
            <w:tcW w:w="1868" w:type="pct"/>
          </w:tcPr>
          <w:p w14:paraId="335A1CA0"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 xml:space="preserve">VLUIS mapping (2017) Victorian </w:t>
            </w:r>
            <w:proofErr w:type="spellStart"/>
            <w:r w:rsidRPr="00403A68">
              <w:t>Landuse</w:t>
            </w:r>
            <w:proofErr w:type="spellEnd"/>
            <w:r w:rsidRPr="00403A68">
              <w:t xml:space="preserve"> Mapping System</w:t>
            </w:r>
          </w:p>
        </w:tc>
        <w:tc>
          <w:tcPr>
            <w:tcW w:w="604" w:type="pct"/>
          </w:tcPr>
          <w:p w14:paraId="2308FF97"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2015 - 2017</w:t>
            </w:r>
          </w:p>
        </w:tc>
      </w:tr>
      <w:tr w:rsidR="00205F19" w:rsidRPr="00403A68" w14:paraId="660FF9E7" w14:textId="77777777" w:rsidTr="003632AC">
        <w:trPr>
          <w:trHeight w:val="221"/>
        </w:trPr>
        <w:tc>
          <w:tcPr>
            <w:cnfStyle w:val="001000000000" w:firstRow="0" w:lastRow="0" w:firstColumn="1" w:lastColumn="0" w:oddVBand="0" w:evenVBand="0" w:oddHBand="0" w:evenHBand="0" w:firstRowFirstColumn="0" w:firstRowLastColumn="0" w:lastRowFirstColumn="0" w:lastRowLastColumn="0"/>
            <w:tcW w:w="428" w:type="pct"/>
            <w:vMerge/>
          </w:tcPr>
          <w:p w14:paraId="21C7CF5B" w14:textId="77777777" w:rsidR="00205F19" w:rsidRPr="00403A68" w:rsidRDefault="00205F19" w:rsidP="00666947">
            <w:pPr>
              <w:pStyle w:val="TableTextLeft"/>
            </w:pPr>
          </w:p>
        </w:tc>
        <w:tc>
          <w:tcPr>
            <w:tcW w:w="756" w:type="pct"/>
            <w:gridSpan w:val="2"/>
          </w:tcPr>
          <w:p w14:paraId="096AA26A"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03A68">
              <w:t>Freshwater assets</w:t>
            </w:r>
          </w:p>
        </w:tc>
        <w:tc>
          <w:tcPr>
            <w:tcW w:w="337" w:type="pct"/>
          </w:tcPr>
          <w:p w14:paraId="5AE57381"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03A68">
              <w:t>Ha</w:t>
            </w:r>
          </w:p>
        </w:tc>
        <w:tc>
          <w:tcPr>
            <w:tcW w:w="404" w:type="pct"/>
          </w:tcPr>
          <w:p w14:paraId="2F8D0224"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03A68">
              <w:t>Spatial</w:t>
            </w:r>
          </w:p>
        </w:tc>
        <w:tc>
          <w:tcPr>
            <w:tcW w:w="604" w:type="pct"/>
          </w:tcPr>
          <w:p w14:paraId="4F97F698"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03A68">
              <w:t>Victoria</w:t>
            </w:r>
          </w:p>
        </w:tc>
        <w:tc>
          <w:tcPr>
            <w:tcW w:w="1868" w:type="pct"/>
          </w:tcPr>
          <w:p w14:paraId="13DC050E"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03A68">
              <w:t xml:space="preserve">DELWP (2014) </w:t>
            </w:r>
            <w:proofErr w:type="spellStart"/>
            <w:r w:rsidRPr="00403A68">
              <w:t>VicMap</w:t>
            </w:r>
            <w:proofErr w:type="spellEnd"/>
            <w:r w:rsidRPr="00403A68">
              <w:t xml:space="preserve"> Hydro</w:t>
            </w:r>
          </w:p>
        </w:tc>
        <w:tc>
          <w:tcPr>
            <w:tcW w:w="604" w:type="pct"/>
          </w:tcPr>
          <w:p w14:paraId="7ABAA9C6"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03A68">
              <w:t>2014</w:t>
            </w:r>
          </w:p>
        </w:tc>
      </w:tr>
      <w:tr w:rsidR="00205F19" w:rsidRPr="00403A68" w14:paraId="09FDA27B" w14:textId="77777777" w:rsidTr="003632AC">
        <w:trPr>
          <w:trHeight w:val="221"/>
        </w:trPr>
        <w:tc>
          <w:tcPr>
            <w:cnfStyle w:val="001000000000" w:firstRow="0" w:lastRow="0" w:firstColumn="1" w:lastColumn="0" w:oddVBand="0" w:evenVBand="0" w:oddHBand="0" w:evenHBand="0" w:firstRowFirstColumn="0" w:firstRowLastColumn="0" w:lastRowFirstColumn="0" w:lastRowLastColumn="0"/>
            <w:tcW w:w="428" w:type="pct"/>
            <w:vMerge/>
          </w:tcPr>
          <w:p w14:paraId="0DF2FF31" w14:textId="77777777" w:rsidR="00205F19" w:rsidRPr="00403A68" w:rsidRDefault="00205F19" w:rsidP="00666947">
            <w:pPr>
              <w:pStyle w:val="TableTextLeft"/>
            </w:pPr>
          </w:p>
        </w:tc>
        <w:tc>
          <w:tcPr>
            <w:tcW w:w="756" w:type="pct"/>
            <w:gridSpan w:val="2"/>
          </w:tcPr>
          <w:p w14:paraId="3E34C056"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03A68">
              <w:t>Marine assets</w:t>
            </w:r>
          </w:p>
        </w:tc>
        <w:tc>
          <w:tcPr>
            <w:tcW w:w="337" w:type="pct"/>
          </w:tcPr>
          <w:p w14:paraId="08C36C4D"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03A68">
              <w:t>Ha</w:t>
            </w:r>
          </w:p>
        </w:tc>
        <w:tc>
          <w:tcPr>
            <w:tcW w:w="404" w:type="pct"/>
          </w:tcPr>
          <w:p w14:paraId="4C1E7D4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03A68">
              <w:t>Spatial</w:t>
            </w:r>
          </w:p>
        </w:tc>
        <w:tc>
          <w:tcPr>
            <w:tcW w:w="604" w:type="pct"/>
          </w:tcPr>
          <w:p w14:paraId="48B89BDA"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03A68">
              <w:t>Victoria</w:t>
            </w:r>
          </w:p>
        </w:tc>
        <w:tc>
          <w:tcPr>
            <w:tcW w:w="1868" w:type="pct"/>
          </w:tcPr>
          <w:p w14:paraId="6D3FE797"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03A68">
              <w:t xml:space="preserve">DELWP (2020) </w:t>
            </w:r>
            <w:proofErr w:type="spellStart"/>
            <w:r w:rsidRPr="00403A68">
              <w:t>CoastKit</w:t>
            </w:r>
            <w:proofErr w:type="spellEnd"/>
            <w:r w:rsidRPr="00403A68">
              <w:t xml:space="preserve"> Resources - Combined Biotope Classification Scheme</w:t>
            </w:r>
          </w:p>
        </w:tc>
        <w:tc>
          <w:tcPr>
            <w:tcW w:w="604" w:type="pct"/>
          </w:tcPr>
          <w:p w14:paraId="47A46D30"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03A68">
              <w:t>2020</w:t>
            </w:r>
          </w:p>
        </w:tc>
      </w:tr>
      <w:tr w:rsidR="00205F19" w:rsidRPr="00403A68" w14:paraId="262471EE" w14:textId="77777777" w:rsidTr="003632AC">
        <w:trPr>
          <w:trHeight w:val="221"/>
        </w:trPr>
        <w:tc>
          <w:tcPr>
            <w:cnfStyle w:val="001000000000" w:firstRow="0" w:lastRow="0" w:firstColumn="1" w:lastColumn="0" w:oddVBand="0" w:evenVBand="0" w:oddHBand="0" w:evenHBand="0" w:firstRowFirstColumn="0" w:firstRowLastColumn="0" w:lastRowFirstColumn="0" w:lastRowLastColumn="0"/>
            <w:tcW w:w="428" w:type="pct"/>
            <w:vMerge/>
          </w:tcPr>
          <w:p w14:paraId="624F0C91" w14:textId="77777777" w:rsidR="00205F19" w:rsidRPr="00403A68" w:rsidRDefault="00205F19" w:rsidP="00666947">
            <w:pPr>
              <w:pStyle w:val="TableTextLeft"/>
            </w:pPr>
          </w:p>
        </w:tc>
        <w:tc>
          <w:tcPr>
            <w:tcW w:w="756" w:type="pct"/>
            <w:gridSpan w:val="2"/>
          </w:tcPr>
          <w:p w14:paraId="0DA2063F"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Wetlands</w:t>
            </w:r>
          </w:p>
        </w:tc>
        <w:tc>
          <w:tcPr>
            <w:tcW w:w="337" w:type="pct"/>
          </w:tcPr>
          <w:p w14:paraId="1BD6641F"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Ha</w:t>
            </w:r>
          </w:p>
        </w:tc>
        <w:tc>
          <w:tcPr>
            <w:tcW w:w="404" w:type="pct"/>
          </w:tcPr>
          <w:p w14:paraId="0ACBCCCF"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Spatial</w:t>
            </w:r>
          </w:p>
        </w:tc>
        <w:tc>
          <w:tcPr>
            <w:tcW w:w="604" w:type="pct"/>
          </w:tcPr>
          <w:p w14:paraId="477CE8FB"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Australia</w:t>
            </w:r>
          </w:p>
        </w:tc>
        <w:tc>
          <w:tcPr>
            <w:tcW w:w="1868" w:type="pct"/>
          </w:tcPr>
          <w:p w14:paraId="1E02BF79"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Department of the Environment (2015) Directory of Important Wetlands in Australia (DIWA) Spatial Database (Public)</w:t>
            </w:r>
          </w:p>
        </w:tc>
        <w:tc>
          <w:tcPr>
            <w:tcW w:w="604" w:type="pct"/>
          </w:tcPr>
          <w:p w14:paraId="6A785A13"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2004 (VIC)</w:t>
            </w:r>
          </w:p>
        </w:tc>
      </w:tr>
    </w:tbl>
    <w:p w14:paraId="5F3387EF" w14:textId="77777777" w:rsidR="00205F19" w:rsidRPr="00403A68" w:rsidRDefault="00205F19" w:rsidP="00205F19">
      <w:pPr>
        <w:pStyle w:val="BodyText"/>
      </w:pPr>
    </w:p>
    <w:p w14:paraId="56F2B8CF" w14:textId="77777777" w:rsidR="00205F19" w:rsidRPr="00403A68" w:rsidRDefault="00205F19" w:rsidP="00205F19">
      <w:pPr>
        <w:pStyle w:val="BodyText"/>
        <w:rPr>
          <w:highlight w:val="yellow"/>
        </w:rPr>
        <w:sectPr w:rsidR="00205F19" w:rsidRPr="00403A68" w:rsidSect="00E52A9A">
          <w:pgSz w:w="11906" w:h="16838" w:code="9"/>
          <w:pgMar w:top="1134" w:right="1134" w:bottom="1134" w:left="1134" w:header="283" w:footer="283" w:gutter="0"/>
          <w:cols w:space="284"/>
          <w:docGrid w:linePitch="360"/>
        </w:sectPr>
      </w:pPr>
    </w:p>
    <w:p w14:paraId="38A8C700" w14:textId="77777777" w:rsidR="00205F19" w:rsidRPr="00403A68" w:rsidRDefault="00205F19" w:rsidP="009E38E5">
      <w:pPr>
        <w:pStyle w:val="Heading1"/>
        <w:numPr>
          <w:ilvl w:val="0"/>
          <w:numId w:val="0"/>
        </w:numPr>
      </w:pPr>
      <w:bookmarkStart w:id="444" w:name="_Toc98854716"/>
      <w:bookmarkStart w:id="445" w:name="_Toc163547112"/>
      <w:r w:rsidRPr="00403A68">
        <w:lastRenderedPageBreak/>
        <w:t>Annex 6. Summary of the Victorian Land Cover Time Series</w:t>
      </w:r>
      <w:bookmarkEnd w:id="444"/>
      <w:bookmarkEnd w:id="445"/>
    </w:p>
    <w:p w14:paraId="3DE710C2" w14:textId="77777777" w:rsidR="00205F19" w:rsidRPr="00403A68" w:rsidRDefault="00205F19" w:rsidP="00205F19">
      <w:pPr>
        <w:pStyle w:val="BodyText"/>
      </w:pPr>
      <w:r w:rsidRPr="00403A68">
        <w:t xml:space="preserve">The Victorian Land Cover Time Series provides a consistent through time, whole-of-state, spatial land cover data set for 7 epochs (1987-1990, 1990-1995, 1995-2000, 2000-2005, 2005-2010, 2010-2015 and 2015-19). The dataset used for the GORCAP EEA  is the most recent 2015-2019 epoch. </w:t>
      </w:r>
    </w:p>
    <w:p w14:paraId="647AC06F" w14:textId="77777777" w:rsidR="00205F19" w:rsidRPr="00403A68" w:rsidRDefault="00205F19" w:rsidP="00205F19">
      <w:pPr>
        <w:pStyle w:val="BodyText"/>
      </w:pPr>
      <w:r w:rsidRPr="00403A68">
        <w:t>The dataset uses Landsat satellite imagery and local calibration (or training) data. Each layer presents the most likely land cover class for that area. Victoria has 19 land cover classes. Each 25m pixel of the layers displays one of these classes. The 19 target land cover classes and their descriptions are detailed in Table A6.1.</w:t>
      </w:r>
    </w:p>
    <w:p w14:paraId="543559FC" w14:textId="77777777" w:rsidR="00205F19" w:rsidRPr="00403A68" w:rsidRDefault="00205F19" w:rsidP="003632AC">
      <w:pPr>
        <w:pStyle w:val="Caption"/>
      </w:pPr>
      <w:r w:rsidRPr="00403A68">
        <w:t xml:space="preserve">Table A6.1. Victorian Land Cover Time Series classification </w:t>
      </w:r>
    </w:p>
    <w:tbl>
      <w:tblPr>
        <w:tblStyle w:val="TableGrid"/>
        <w:tblW w:w="5000" w:type="pct"/>
        <w:tblLook w:val="04A0" w:firstRow="1" w:lastRow="0" w:firstColumn="1" w:lastColumn="0" w:noHBand="0" w:noVBand="1"/>
      </w:tblPr>
      <w:tblGrid>
        <w:gridCol w:w="2183"/>
        <w:gridCol w:w="7383"/>
        <w:gridCol w:w="73"/>
      </w:tblGrid>
      <w:tr w:rsidR="00205F19" w:rsidRPr="00403A68" w14:paraId="234E27D9" w14:textId="77777777" w:rsidTr="003632AC">
        <w:trPr>
          <w:gridAfter w:val="1"/>
          <w:cnfStyle w:val="100000000000" w:firstRow="1" w:lastRow="0" w:firstColumn="0" w:lastColumn="0" w:oddVBand="0" w:evenVBand="0" w:oddHBand="0" w:evenHBand="0" w:firstRowFirstColumn="0" w:firstRowLastColumn="0" w:lastRowFirstColumn="0" w:lastRowLastColumn="0"/>
          <w:wAfter w:w="38" w:type="pct"/>
        </w:trPr>
        <w:tc>
          <w:tcPr>
            <w:cnfStyle w:val="001000000000" w:firstRow="0" w:lastRow="0" w:firstColumn="1" w:lastColumn="0" w:oddVBand="0" w:evenVBand="0" w:oddHBand="0" w:evenHBand="0" w:firstRowFirstColumn="0" w:firstRowLastColumn="0" w:lastRowFirstColumn="0" w:lastRowLastColumn="0"/>
            <w:tcW w:w="1132" w:type="pct"/>
          </w:tcPr>
          <w:p w14:paraId="67DA6C55" w14:textId="77777777" w:rsidR="00205F19" w:rsidRPr="00403A68" w:rsidRDefault="00205F19" w:rsidP="00205F19">
            <w:pPr>
              <w:pStyle w:val="TableTextLeft"/>
              <w:keepNext w:val="0"/>
            </w:pPr>
            <w:r w:rsidRPr="00403A68">
              <w:t>Land cover class</w:t>
            </w:r>
          </w:p>
        </w:tc>
        <w:tc>
          <w:tcPr>
            <w:tcW w:w="3830" w:type="pct"/>
          </w:tcPr>
          <w:p w14:paraId="417AE91F" w14:textId="77777777" w:rsidR="00205F19" w:rsidRPr="00403A68" w:rsidRDefault="00205F19" w:rsidP="00205F19">
            <w:pPr>
              <w:pStyle w:val="TableTextLeft"/>
              <w:keepNext w:val="0"/>
              <w:cnfStyle w:val="100000000000" w:firstRow="1" w:lastRow="0" w:firstColumn="0" w:lastColumn="0" w:oddVBand="0" w:evenVBand="0" w:oddHBand="0" w:evenHBand="0" w:firstRowFirstColumn="0" w:firstRowLastColumn="0" w:lastRowFirstColumn="0" w:lastRowLastColumn="0"/>
            </w:pPr>
            <w:r w:rsidRPr="00403A68">
              <w:t>Description</w:t>
            </w:r>
          </w:p>
        </w:tc>
      </w:tr>
      <w:tr w:rsidR="00205F19" w:rsidRPr="00403A68" w14:paraId="313DEA3F" w14:textId="77777777" w:rsidTr="003632AC">
        <w:tc>
          <w:tcPr>
            <w:cnfStyle w:val="001000000000" w:firstRow="0" w:lastRow="0" w:firstColumn="1" w:lastColumn="0" w:oddVBand="0" w:evenVBand="0" w:oddHBand="0" w:evenHBand="0" w:firstRowFirstColumn="0" w:firstRowLastColumn="0" w:lastRowFirstColumn="0" w:lastRowLastColumn="0"/>
            <w:tcW w:w="1132" w:type="pct"/>
          </w:tcPr>
          <w:p w14:paraId="085B84A8" w14:textId="77777777" w:rsidR="00205F19" w:rsidRPr="00403A68" w:rsidRDefault="00205F19" w:rsidP="00666947">
            <w:pPr>
              <w:pStyle w:val="TableTextLeft"/>
            </w:pPr>
            <w:r w:rsidRPr="00403A68">
              <w:t>Treed native vegetation</w:t>
            </w:r>
          </w:p>
        </w:tc>
        <w:tc>
          <w:tcPr>
            <w:tcW w:w="3868" w:type="pct"/>
            <w:gridSpan w:val="2"/>
          </w:tcPr>
          <w:p w14:paraId="39FCC5D2"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Native tree cover</w:t>
            </w:r>
          </w:p>
        </w:tc>
      </w:tr>
      <w:tr w:rsidR="00205F19" w:rsidRPr="00403A68" w14:paraId="1F593683" w14:textId="77777777" w:rsidTr="003632AC">
        <w:tc>
          <w:tcPr>
            <w:cnfStyle w:val="001000000000" w:firstRow="0" w:lastRow="0" w:firstColumn="1" w:lastColumn="0" w:oddVBand="0" w:evenVBand="0" w:oddHBand="0" w:evenHBand="0" w:firstRowFirstColumn="0" w:firstRowLastColumn="0" w:lastRowFirstColumn="0" w:lastRowLastColumn="0"/>
            <w:tcW w:w="1132" w:type="pct"/>
          </w:tcPr>
          <w:p w14:paraId="2F504E60" w14:textId="77777777" w:rsidR="00205F19" w:rsidRPr="00403A68" w:rsidRDefault="00205F19" w:rsidP="00666947">
            <w:pPr>
              <w:pStyle w:val="TableTextLeft"/>
            </w:pPr>
            <w:r w:rsidRPr="00403A68">
              <w:t>Scattered native trees</w:t>
            </w:r>
          </w:p>
        </w:tc>
        <w:tc>
          <w:tcPr>
            <w:tcW w:w="3868" w:type="pct"/>
            <w:gridSpan w:val="2"/>
          </w:tcPr>
          <w:p w14:paraId="36DB8A66"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Native trees scattered in paddocks and woodland along roadsides and streams.</w:t>
            </w:r>
          </w:p>
        </w:tc>
      </w:tr>
      <w:tr w:rsidR="00205F19" w:rsidRPr="00403A68" w14:paraId="3C415524" w14:textId="77777777" w:rsidTr="003632AC">
        <w:tc>
          <w:tcPr>
            <w:cnfStyle w:val="001000000000" w:firstRow="0" w:lastRow="0" w:firstColumn="1" w:lastColumn="0" w:oddVBand="0" w:evenVBand="0" w:oddHBand="0" w:evenHBand="0" w:firstRowFirstColumn="0" w:firstRowLastColumn="0" w:lastRowFirstColumn="0" w:lastRowLastColumn="0"/>
            <w:tcW w:w="1132" w:type="pct"/>
          </w:tcPr>
          <w:p w14:paraId="3C8CEFB2" w14:textId="77777777" w:rsidR="00205F19" w:rsidRPr="00403A68" w:rsidRDefault="00205F19" w:rsidP="00666947">
            <w:pPr>
              <w:pStyle w:val="TableTextLeft"/>
            </w:pPr>
            <w:r w:rsidRPr="00403A68">
              <w:t>Native shrubland</w:t>
            </w:r>
          </w:p>
        </w:tc>
        <w:tc>
          <w:tcPr>
            <w:tcW w:w="3868" w:type="pct"/>
            <w:gridSpan w:val="2"/>
          </w:tcPr>
          <w:p w14:paraId="05D44AAC"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Native shrubland cover</w:t>
            </w:r>
          </w:p>
        </w:tc>
      </w:tr>
      <w:tr w:rsidR="00205F19" w:rsidRPr="00403A68" w14:paraId="3AEDB4F4" w14:textId="77777777" w:rsidTr="003632AC">
        <w:tc>
          <w:tcPr>
            <w:cnfStyle w:val="001000000000" w:firstRow="0" w:lastRow="0" w:firstColumn="1" w:lastColumn="0" w:oddVBand="0" w:evenVBand="0" w:oddHBand="0" w:evenHBand="0" w:firstRowFirstColumn="0" w:firstRowLastColumn="0" w:lastRowFirstColumn="0" w:lastRowLastColumn="0"/>
            <w:tcW w:w="1132" w:type="pct"/>
          </w:tcPr>
          <w:p w14:paraId="316C29CF" w14:textId="77777777" w:rsidR="00205F19" w:rsidRPr="00403A68" w:rsidRDefault="00205F19" w:rsidP="00666947">
            <w:pPr>
              <w:pStyle w:val="TableTextLeft"/>
            </w:pPr>
            <w:r w:rsidRPr="00403A68">
              <w:t>Native pasture / grassland</w:t>
            </w:r>
          </w:p>
        </w:tc>
        <w:tc>
          <w:tcPr>
            <w:tcW w:w="3868" w:type="pct"/>
            <w:gridSpan w:val="2"/>
          </w:tcPr>
          <w:p w14:paraId="1D8CBAF9"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Grasslands and pastures that are predominantly composed of indigenous species grasses and/or low chenopod shrubs. Includes grasslands that have been ‘derived’ through the clearing of tree and/or shrub cover.</w:t>
            </w:r>
          </w:p>
        </w:tc>
      </w:tr>
      <w:tr w:rsidR="00205F19" w:rsidRPr="00403A68" w14:paraId="375A9537" w14:textId="77777777" w:rsidTr="003632AC">
        <w:tc>
          <w:tcPr>
            <w:cnfStyle w:val="001000000000" w:firstRow="0" w:lastRow="0" w:firstColumn="1" w:lastColumn="0" w:oddVBand="0" w:evenVBand="0" w:oddHBand="0" w:evenHBand="0" w:firstRowFirstColumn="0" w:firstRowLastColumn="0" w:lastRowFirstColumn="0" w:lastRowLastColumn="0"/>
            <w:tcW w:w="1132" w:type="pct"/>
          </w:tcPr>
          <w:p w14:paraId="4C43CDF4" w14:textId="77777777" w:rsidR="00205F19" w:rsidRPr="00403A68" w:rsidRDefault="00205F19" w:rsidP="00666947">
            <w:pPr>
              <w:pStyle w:val="TableTextLeft"/>
            </w:pPr>
            <w:r w:rsidRPr="00403A68">
              <w:t>Natural low cover</w:t>
            </w:r>
          </w:p>
        </w:tc>
        <w:tc>
          <w:tcPr>
            <w:tcW w:w="3868" w:type="pct"/>
            <w:gridSpan w:val="2"/>
          </w:tcPr>
          <w:p w14:paraId="6040F742"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 xml:space="preserve">Environments that naturally have low to negligible vegetation cover such as coastal foredunes, saline </w:t>
            </w:r>
            <w:proofErr w:type="gramStart"/>
            <w:r w:rsidRPr="00403A68">
              <w:t>lake-beds</w:t>
            </w:r>
            <w:proofErr w:type="gramEnd"/>
            <w:r w:rsidRPr="00403A68">
              <w:t>, claypans and rock-outcrops.</w:t>
            </w:r>
          </w:p>
        </w:tc>
      </w:tr>
      <w:tr w:rsidR="00205F19" w:rsidRPr="00403A68" w14:paraId="5B929C87" w14:textId="77777777" w:rsidTr="003632AC">
        <w:tc>
          <w:tcPr>
            <w:cnfStyle w:val="001000000000" w:firstRow="0" w:lastRow="0" w:firstColumn="1" w:lastColumn="0" w:oddVBand="0" w:evenVBand="0" w:oddHBand="0" w:evenHBand="0" w:firstRowFirstColumn="0" w:firstRowLastColumn="0" w:lastRowFirstColumn="0" w:lastRowLastColumn="0"/>
            <w:tcW w:w="1132" w:type="pct"/>
          </w:tcPr>
          <w:p w14:paraId="291B2A96" w14:textId="77777777" w:rsidR="00205F19" w:rsidRPr="00403A68" w:rsidRDefault="00205F19" w:rsidP="00666947">
            <w:pPr>
              <w:pStyle w:val="TableTextLeft"/>
            </w:pPr>
            <w:r w:rsidRPr="00403A68">
              <w:t>Wetland – perennial</w:t>
            </w:r>
          </w:p>
        </w:tc>
        <w:tc>
          <w:tcPr>
            <w:tcW w:w="3868" w:type="pct"/>
            <w:gridSpan w:val="2"/>
          </w:tcPr>
          <w:p w14:paraId="123D7A89"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Persistent, typically herbaceous cover comprised of native plant species that are tolerant of inundation or waterlogging.</w:t>
            </w:r>
          </w:p>
        </w:tc>
      </w:tr>
      <w:tr w:rsidR="00205F19" w:rsidRPr="00403A68" w14:paraId="1E201F33" w14:textId="77777777" w:rsidTr="003632AC">
        <w:tc>
          <w:tcPr>
            <w:cnfStyle w:val="001000000000" w:firstRow="0" w:lastRow="0" w:firstColumn="1" w:lastColumn="0" w:oddVBand="0" w:evenVBand="0" w:oddHBand="0" w:evenHBand="0" w:firstRowFirstColumn="0" w:firstRowLastColumn="0" w:lastRowFirstColumn="0" w:lastRowLastColumn="0"/>
            <w:tcW w:w="1132" w:type="pct"/>
          </w:tcPr>
          <w:p w14:paraId="228BE12E" w14:textId="77777777" w:rsidR="00205F19" w:rsidRPr="00403A68" w:rsidRDefault="00205F19" w:rsidP="00666947">
            <w:pPr>
              <w:pStyle w:val="TableTextLeft"/>
            </w:pPr>
            <w:r w:rsidRPr="00403A68">
              <w:t>Wetland – seasonal</w:t>
            </w:r>
          </w:p>
        </w:tc>
        <w:tc>
          <w:tcPr>
            <w:tcW w:w="3868" w:type="pct"/>
            <w:gridSpan w:val="2"/>
          </w:tcPr>
          <w:p w14:paraId="6B4A5808"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Seasonal or ephemeral, typically herbaceous cover comprised of native plant species that are tolerant of episodic inundation or waterlogging.</w:t>
            </w:r>
          </w:p>
        </w:tc>
      </w:tr>
      <w:tr w:rsidR="00205F19" w:rsidRPr="00403A68" w14:paraId="5A2A22E8" w14:textId="77777777" w:rsidTr="003632AC">
        <w:tc>
          <w:tcPr>
            <w:cnfStyle w:val="001000000000" w:firstRow="0" w:lastRow="0" w:firstColumn="1" w:lastColumn="0" w:oddVBand="0" w:evenVBand="0" w:oddHBand="0" w:evenHBand="0" w:firstRowFirstColumn="0" w:firstRowLastColumn="0" w:lastRowFirstColumn="0" w:lastRowLastColumn="0"/>
            <w:tcW w:w="1132" w:type="pct"/>
          </w:tcPr>
          <w:p w14:paraId="51599768" w14:textId="77777777" w:rsidR="00205F19" w:rsidRPr="00403A68" w:rsidRDefault="00205F19" w:rsidP="00666947">
            <w:pPr>
              <w:pStyle w:val="TableTextLeft"/>
            </w:pPr>
            <w:r w:rsidRPr="00403A68">
              <w:t>Saltmarsh vegetation</w:t>
            </w:r>
          </w:p>
        </w:tc>
        <w:tc>
          <w:tcPr>
            <w:tcW w:w="3868" w:type="pct"/>
            <w:gridSpan w:val="2"/>
          </w:tcPr>
          <w:p w14:paraId="75124D3D"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Intertidal wetlands supporting native vegetation that are not mangroves</w:t>
            </w:r>
          </w:p>
        </w:tc>
      </w:tr>
      <w:tr w:rsidR="00205F19" w:rsidRPr="00403A68" w14:paraId="71ED0F4F" w14:textId="77777777" w:rsidTr="003632AC">
        <w:tc>
          <w:tcPr>
            <w:cnfStyle w:val="001000000000" w:firstRow="0" w:lastRow="0" w:firstColumn="1" w:lastColumn="0" w:oddVBand="0" w:evenVBand="0" w:oddHBand="0" w:evenHBand="0" w:firstRowFirstColumn="0" w:firstRowLastColumn="0" w:lastRowFirstColumn="0" w:lastRowLastColumn="0"/>
            <w:tcW w:w="1132" w:type="pct"/>
          </w:tcPr>
          <w:p w14:paraId="1D8A00F7" w14:textId="77777777" w:rsidR="00205F19" w:rsidRPr="00403A68" w:rsidRDefault="00205F19" w:rsidP="00666947">
            <w:pPr>
              <w:pStyle w:val="TableTextLeft"/>
            </w:pPr>
            <w:r w:rsidRPr="00403A68">
              <w:t>Mangrove vegetation</w:t>
            </w:r>
          </w:p>
        </w:tc>
        <w:tc>
          <w:tcPr>
            <w:tcW w:w="3868" w:type="pct"/>
            <w:gridSpan w:val="2"/>
          </w:tcPr>
          <w:p w14:paraId="5253BFAC"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 xml:space="preserve">Intertidal native vegetation supporting </w:t>
            </w:r>
            <w:r w:rsidRPr="00403A68">
              <w:rPr>
                <w:i/>
              </w:rPr>
              <w:t>Avicennia marina</w:t>
            </w:r>
          </w:p>
        </w:tc>
      </w:tr>
      <w:tr w:rsidR="00205F19" w:rsidRPr="00403A68" w14:paraId="6B880467" w14:textId="77777777" w:rsidTr="003632AC">
        <w:tc>
          <w:tcPr>
            <w:cnfStyle w:val="001000000000" w:firstRow="0" w:lastRow="0" w:firstColumn="1" w:lastColumn="0" w:oddVBand="0" w:evenVBand="0" w:oddHBand="0" w:evenHBand="0" w:firstRowFirstColumn="0" w:firstRowLastColumn="0" w:lastRowFirstColumn="0" w:lastRowLastColumn="0"/>
            <w:tcW w:w="1132" w:type="pct"/>
          </w:tcPr>
          <w:p w14:paraId="2E714422" w14:textId="77777777" w:rsidR="00205F19" w:rsidRPr="00403A68" w:rsidRDefault="00205F19" w:rsidP="00666947">
            <w:pPr>
              <w:pStyle w:val="TableTextLeft"/>
            </w:pPr>
            <w:r w:rsidRPr="00403A68">
              <w:t>Horticulture / irrigated pastures and crops</w:t>
            </w:r>
          </w:p>
        </w:tc>
        <w:tc>
          <w:tcPr>
            <w:tcW w:w="3868" w:type="pct"/>
            <w:gridSpan w:val="2"/>
          </w:tcPr>
          <w:p w14:paraId="4A4F9EB3"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Regions of crop, pasture and parkland regularly subject to irrigation, particularly in dry months.</w:t>
            </w:r>
          </w:p>
        </w:tc>
      </w:tr>
      <w:tr w:rsidR="00205F19" w:rsidRPr="00403A68" w14:paraId="370772AC" w14:textId="77777777" w:rsidTr="003632AC">
        <w:tc>
          <w:tcPr>
            <w:cnfStyle w:val="001000000000" w:firstRow="0" w:lastRow="0" w:firstColumn="1" w:lastColumn="0" w:oddVBand="0" w:evenVBand="0" w:oddHBand="0" w:evenHBand="0" w:firstRowFirstColumn="0" w:firstRowLastColumn="0" w:lastRowFirstColumn="0" w:lastRowLastColumn="0"/>
            <w:tcW w:w="1132" w:type="pct"/>
          </w:tcPr>
          <w:p w14:paraId="5C1DD947" w14:textId="77777777" w:rsidR="00205F19" w:rsidRPr="00403A68" w:rsidRDefault="00205F19" w:rsidP="00666947">
            <w:pPr>
              <w:pStyle w:val="TableTextLeft"/>
            </w:pPr>
            <w:r w:rsidRPr="00403A68">
              <w:t>Dryland cropping</w:t>
            </w:r>
          </w:p>
        </w:tc>
        <w:tc>
          <w:tcPr>
            <w:tcW w:w="3868" w:type="pct"/>
            <w:gridSpan w:val="2"/>
          </w:tcPr>
          <w:p w14:paraId="00256E5C"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Regions that are regularly cropped and are not irrigated.</w:t>
            </w:r>
          </w:p>
        </w:tc>
      </w:tr>
      <w:tr w:rsidR="00205F19" w:rsidRPr="00403A68" w14:paraId="2EEB20A8" w14:textId="77777777" w:rsidTr="003632AC">
        <w:tc>
          <w:tcPr>
            <w:cnfStyle w:val="001000000000" w:firstRow="0" w:lastRow="0" w:firstColumn="1" w:lastColumn="0" w:oddVBand="0" w:evenVBand="0" w:oddHBand="0" w:evenHBand="0" w:firstRowFirstColumn="0" w:firstRowLastColumn="0" w:lastRowFirstColumn="0" w:lastRowLastColumn="0"/>
            <w:tcW w:w="1132" w:type="pct"/>
          </w:tcPr>
          <w:p w14:paraId="33C7139E" w14:textId="77777777" w:rsidR="00205F19" w:rsidRPr="00403A68" w:rsidRDefault="00205F19" w:rsidP="00666947">
            <w:pPr>
              <w:pStyle w:val="TableTextLeft"/>
            </w:pPr>
            <w:r w:rsidRPr="00403A68">
              <w:t>Exotic pasture / grassland</w:t>
            </w:r>
          </w:p>
        </w:tc>
        <w:tc>
          <w:tcPr>
            <w:tcW w:w="3868" w:type="pct"/>
            <w:gridSpan w:val="2"/>
          </w:tcPr>
          <w:p w14:paraId="7748622C"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Herbaceous pastures that are predominantly composed of nonindigenous species.</w:t>
            </w:r>
          </w:p>
        </w:tc>
      </w:tr>
      <w:tr w:rsidR="00205F19" w:rsidRPr="00403A68" w14:paraId="080FD0FC" w14:textId="77777777" w:rsidTr="003632AC">
        <w:tc>
          <w:tcPr>
            <w:cnfStyle w:val="001000000000" w:firstRow="0" w:lastRow="0" w:firstColumn="1" w:lastColumn="0" w:oddVBand="0" w:evenVBand="0" w:oddHBand="0" w:evenHBand="0" w:firstRowFirstColumn="0" w:firstRowLastColumn="0" w:lastRowFirstColumn="0" w:lastRowLastColumn="0"/>
            <w:tcW w:w="1132" w:type="pct"/>
          </w:tcPr>
          <w:p w14:paraId="0D508B73" w14:textId="77777777" w:rsidR="00205F19" w:rsidRPr="00403A68" w:rsidRDefault="00205F19" w:rsidP="00666947">
            <w:pPr>
              <w:pStyle w:val="TableTextLeft"/>
            </w:pPr>
            <w:r w:rsidRPr="00403A68">
              <w:t>Hardwood plantation</w:t>
            </w:r>
          </w:p>
        </w:tc>
        <w:tc>
          <w:tcPr>
            <w:tcW w:w="3868" w:type="pct"/>
            <w:gridSpan w:val="2"/>
          </w:tcPr>
          <w:p w14:paraId="66027A04"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Tree plantations predominantly Eucalyptus globulus</w:t>
            </w:r>
          </w:p>
        </w:tc>
      </w:tr>
      <w:tr w:rsidR="00205F19" w:rsidRPr="00403A68" w14:paraId="73F08DB2" w14:textId="77777777" w:rsidTr="003632AC">
        <w:tc>
          <w:tcPr>
            <w:cnfStyle w:val="001000000000" w:firstRow="0" w:lastRow="0" w:firstColumn="1" w:lastColumn="0" w:oddVBand="0" w:evenVBand="0" w:oddHBand="0" w:evenHBand="0" w:firstRowFirstColumn="0" w:firstRowLastColumn="0" w:lastRowFirstColumn="0" w:lastRowLastColumn="0"/>
            <w:tcW w:w="1132" w:type="pct"/>
          </w:tcPr>
          <w:p w14:paraId="61D10BBE" w14:textId="77777777" w:rsidR="00205F19" w:rsidRPr="00403A68" w:rsidRDefault="00205F19" w:rsidP="00666947">
            <w:pPr>
              <w:pStyle w:val="TableTextLeft"/>
            </w:pPr>
            <w:r w:rsidRPr="00403A68">
              <w:t>Conifer plantation</w:t>
            </w:r>
          </w:p>
        </w:tc>
        <w:tc>
          <w:tcPr>
            <w:tcW w:w="3868" w:type="pct"/>
            <w:gridSpan w:val="2"/>
          </w:tcPr>
          <w:p w14:paraId="2BBC5AB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Tree plantations principally Pinus radiata</w:t>
            </w:r>
          </w:p>
        </w:tc>
      </w:tr>
      <w:tr w:rsidR="00205F19" w:rsidRPr="00403A68" w14:paraId="0A49349D" w14:textId="77777777" w:rsidTr="003632AC">
        <w:tc>
          <w:tcPr>
            <w:cnfStyle w:val="001000000000" w:firstRow="0" w:lastRow="0" w:firstColumn="1" w:lastColumn="0" w:oddVBand="0" w:evenVBand="0" w:oddHBand="0" w:evenHBand="0" w:firstRowFirstColumn="0" w:firstRowLastColumn="0" w:lastRowFirstColumn="0" w:lastRowLastColumn="0"/>
            <w:tcW w:w="1132" w:type="pct"/>
          </w:tcPr>
          <w:p w14:paraId="6E78CB7D" w14:textId="77777777" w:rsidR="00205F19" w:rsidRPr="00403A68" w:rsidRDefault="00205F19" w:rsidP="00666947">
            <w:pPr>
              <w:pStyle w:val="TableTextLeft"/>
            </w:pPr>
            <w:r w:rsidRPr="00403A68">
              <w:t>Other exotic tree cover</w:t>
            </w:r>
          </w:p>
        </w:tc>
        <w:tc>
          <w:tcPr>
            <w:tcW w:w="3868" w:type="pct"/>
            <w:gridSpan w:val="2"/>
          </w:tcPr>
          <w:p w14:paraId="2B2374EB"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Non-native tree-cover including conifer windbreaks, willows along streams and rivers and varied ornamental plantings.</w:t>
            </w:r>
          </w:p>
        </w:tc>
      </w:tr>
      <w:tr w:rsidR="00205F19" w:rsidRPr="00403A68" w14:paraId="044CF409" w14:textId="77777777" w:rsidTr="003632AC">
        <w:tc>
          <w:tcPr>
            <w:cnfStyle w:val="001000000000" w:firstRow="0" w:lastRow="0" w:firstColumn="1" w:lastColumn="0" w:oddVBand="0" w:evenVBand="0" w:oddHBand="0" w:evenHBand="0" w:firstRowFirstColumn="0" w:firstRowLastColumn="0" w:lastRowFirstColumn="0" w:lastRowLastColumn="0"/>
            <w:tcW w:w="1132" w:type="pct"/>
          </w:tcPr>
          <w:p w14:paraId="35742B53" w14:textId="77777777" w:rsidR="00205F19" w:rsidRPr="00403A68" w:rsidRDefault="00205F19" w:rsidP="00666947">
            <w:pPr>
              <w:pStyle w:val="TableTextLeft"/>
            </w:pPr>
            <w:r w:rsidRPr="00403A68">
              <w:t>Built environment</w:t>
            </w:r>
          </w:p>
        </w:tc>
        <w:tc>
          <w:tcPr>
            <w:tcW w:w="3868" w:type="pct"/>
            <w:gridSpan w:val="2"/>
          </w:tcPr>
          <w:p w14:paraId="44AEE326"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Persistent unvegetated areas that are the result of commercial or industrial development.</w:t>
            </w:r>
          </w:p>
        </w:tc>
      </w:tr>
      <w:tr w:rsidR="00205F19" w:rsidRPr="00403A68" w14:paraId="7C9D1948" w14:textId="77777777" w:rsidTr="003632AC">
        <w:tc>
          <w:tcPr>
            <w:cnfStyle w:val="001000000000" w:firstRow="0" w:lastRow="0" w:firstColumn="1" w:lastColumn="0" w:oddVBand="0" w:evenVBand="0" w:oddHBand="0" w:evenHBand="0" w:firstRowFirstColumn="0" w:firstRowLastColumn="0" w:lastRowFirstColumn="0" w:lastRowLastColumn="0"/>
            <w:tcW w:w="1132" w:type="pct"/>
          </w:tcPr>
          <w:p w14:paraId="173ABED6" w14:textId="77777777" w:rsidR="00205F19" w:rsidRPr="00403A68" w:rsidRDefault="00205F19" w:rsidP="00666947">
            <w:pPr>
              <w:pStyle w:val="TableTextLeft"/>
            </w:pPr>
            <w:r w:rsidRPr="00403A68">
              <w:t>Urban area</w:t>
            </w:r>
          </w:p>
        </w:tc>
        <w:tc>
          <w:tcPr>
            <w:tcW w:w="3868" w:type="pct"/>
            <w:gridSpan w:val="2"/>
          </w:tcPr>
          <w:p w14:paraId="43B7C8BF"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The admixture of streets, houses and gardens that characterises much of the medium to low density urban landscape typical of Australian cities.</w:t>
            </w:r>
          </w:p>
        </w:tc>
      </w:tr>
      <w:tr w:rsidR="00205F19" w:rsidRPr="00403A68" w14:paraId="4468FC3D" w14:textId="77777777" w:rsidTr="003632AC">
        <w:tc>
          <w:tcPr>
            <w:cnfStyle w:val="001000000000" w:firstRow="0" w:lastRow="0" w:firstColumn="1" w:lastColumn="0" w:oddVBand="0" w:evenVBand="0" w:oddHBand="0" w:evenHBand="0" w:firstRowFirstColumn="0" w:firstRowLastColumn="0" w:lastRowFirstColumn="0" w:lastRowLastColumn="0"/>
            <w:tcW w:w="1132" w:type="pct"/>
          </w:tcPr>
          <w:p w14:paraId="31DFCD74" w14:textId="77777777" w:rsidR="00205F19" w:rsidRPr="00403A68" w:rsidRDefault="00205F19" w:rsidP="00666947">
            <w:pPr>
              <w:pStyle w:val="TableTextLeft"/>
            </w:pPr>
            <w:r w:rsidRPr="00403A68">
              <w:t>Disturbed ground</w:t>
            </w:r>
          </w:p>
        </w:tc>
        <w:tc>
          <w:tcPr>
            <w:tcW w:w="3868" w:type="pct"/>
            <w:gridSpan w:val="2"/>
          </w:tcPr>
          <w:p w14:paraId="71D99D00"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Persistent unvegetated areas that are the result of commercial or industrial development.</w:t>
            </w:r>
          </w:p>
        </w:tc>
      </w:tr>
      <w:tr w:rsidR="00205F19" w:rsidRPr="00403A68" w14:paraId="6341AA51" w14:textId="77777777" w:rsidTr="003632AC">
        <w:tc>
          <w:tcPr>
            <w:cnfStyle w:val="001000000000" w:firstRow="0" w:lastRow="0" w:firstColumn="1" w:lastColumn="0" w:oddVBand="0" w:evenVBand="0" w:oddHBand="0" w:evenHBand="0" w:firstRowFirstColumn="0" w:firstRowLastColumn="0" w:lastRowFirstColumn="0" w:lastRowLastColumn="0"/>
            <w:tcW w:w="1132" w:type="pct"/>
          </w:tcPr>
          <w:p w14:paraId="0AA19817" w14:textId="77777777" w:rsidR="00205F19" w:rsidRPr="00403A68" w:rsidRDefault="00205F19" w:rsidP="00666947">
            <w:pPr>
              <w:pStyle w:val="TableTextLeft"/>
            </w:pPr>
            <w:r w:rsidRPr="00403A68">
              <w:t>Water</w:t>
            </w:r>
          </w:p>
        </w:tc>
        <w:tc>
          <w:tcPr>
            <w:tcW w:w="3868" w:type="pct"/>
            <w:gridSpan w:val="2"/>
          </w:tcPr>
          <w:p w14:paraId="74545B5B"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Persistent surface water either fresh or saline – includes rivers, lakes, dams, wetlands and the ocean</w:t>
            </w:r>
          </w:p>
        </w:tc>
      </w:tr>
    </w:tbl>
    <w:p w14:paraId="692FD3CB" w14:textId="77777777" w:rsidR="00205F19" w:rsidRPr="00403A68" w:rsidRDefault="00205F19" w:rsidP="00205F19">
      <w:pPr>
        <w:pStyle w:val="BodyText"/>
        <w:rPr>
          <w:b/>
        </w:rPr>
        <w:sectPr w:rsidR="00205F19" w:rsidRPr="00403A68" w:rsidSect="00E52A9A">
          <w:pgSz w:w="11907" w:h="16840" w:code="9"/>
          <w:pgMar w:top="1134" w:right="1134" w:bottom="1134" w:left="1134" w:header="283" w:footer="283" w:gutter="0"/>
          <w:cols w:space="284"/>
          <w:docGrid w:linePitch="360"/>
        </w:sectPr>
      </w:pPr>
    </w:p>
    <w:p w14:paraId="6ADD01F0" w14:textId="77777777" w:rsidR="00205F19" w:rsidRPr="00403A68" w:rsidRDefault="00205F19" w:rsidP="009E38E5">
      <w:pPr>
        <w:pStyle w:val="Heading1"/>
        <w:numPr>
          <w:ilvl w:val="0"/>
          <w:numId w:val="0"/>
        </w:numPr>
      </w:pPr>
      <w:bookmarkStart w:id="446" w:name="_Toc98854717"/>
      <w:bookmarkStart w:id="447" w:name="_Toc163547113"/>
      <w:r w:rsidRPr="00403A68">
        <w:lastRenderedPageBreak/>
        <w:t>Annex 7. Ecosystem asset condition - Review of global literature</w:t>
      </w:r>
      <w:bookmarkEnd w:id="446"/>
      <w:bookmarkEnd w:id="447"/>
      <w:r w:rsidRPr="00403A68">
        <w:t xml:space="preserve"> </w:t>
      </w:r>
    </w:p>
    <w:p w14:paraId="3BA0434F" w14:textId="77777777" w:rsidR="00205F19" w:rsidRPr="00403A68" w:rsidRDefault="00205F19" w:rsidP="00205F19">
      <w:pPr>
        <w:pStyle w:val="BodyText"/>
      </w:pPr>
      <w:r w:rsidRPr="00403A68">
        <w:t xml:space="preserve">The key objective of the condition account is to monitor changes in the </w:t>
      </w:r>
      <w:r w:rsidRPr="00403A68">
        <w:rPr>
          <w:i/>
        </w:rPr>
        <w:t>capacity</w:t>
      </w:r>
      <w:r w:rsidRPr="00403A68">
        <w:t xml:space="preserve"> of ecosystems to deliver ecosystem services (</w:t>
      </w:r>
      <w:proofErr w:type="spellStart"/>
      <w:r w:rsidRPr="00403A68">
        <w:t>eftec</w:t>
      </w:r>
      <w:proofErr w:type="spellEnd"/>
      <w:r w:rsidRPr="00403A68">
        <w:t xml:space="preserve"> et al, 2017). An ecosystem condition indicator must therefore relate to a specific ecosystem asset and reflect its capacity to function and provide services (DELWP, 2016). Ideally, indicators will be selected based on an evaluation of how changes in ecosystem structure and function affect service flows – commonly referred to as an ecological production function approach – whereby information about inputs (i.e. ecosystem condition) is used to estimate the production of outputs (i.e. ecosystem services) (Guerry et al, 2012).</w:t>
      </w:r>
    </w:p>
    <w:p w14:paraId="0E42EF91" w14:textId="77777777" w:rsidR="00205F19" w:rsidRPr="00403A68" w:rsidRDefault="00205F19" w:rsidP="00205F19">
      <w:pPr>
        <w:pStyle w:val="BodyText"/>
      </w:pPr>
      <w:r w:rsidRPr="00403A68">
        <w:t xml:space="preserve">In principle, a careful analysis of interlinkages between fundamental ecological processes and ecosystem service provision would allow the definition of critical characteristics of ecosystem assets that should form the basis for accounting (Mace, 2019). The choice of the most appropriate indicators to use in each account depends on those which are </w:t>
      </w:r>
      <w:r w:rsidRPr="00403A68">
        <w:rPr>
          <w:i/>
        </w:rPr>
        <w:t>most related</w:t>
      </w:r>
      <w:r w:rsidRPr="00403A68">
        <w:t xml:space="preserve"> to delivery of services provided by that particular ecosystem (Defra &amp; ONS, 2014). However, the complexity of the natural environment means that the link between the condition of ecosystems and the provision of services is not clearly established in the literature</w:t>
      </w:r>
      <w:r w:rsidRPr="00403A68">
        <w:rPr>
          <w:vertAlign w:val="superscript"/>
        </w:rPr>
        <w:footnoteReference w:id="113"/>
      </w:r>
      <w:r w:rsidRPr="00403A68">
        <w:t>. Whilst some biodiversity components or ecosystem processes are clearly fundamental to the provision of certain ecosystem services from particular ecosystems, it is harder to prioritise them</w:t>
      </w:r>
      <w:r w:rsidRPr="00403A68">
        <w:rPr>
          <w:vertAlign w:val="superscript"/>
        </w:rPr>
        <w:footnoteReference w:id="114"/>
      </w:r>
      <w:r w:rsidRPr="00403A68">
        <w:t>.</w:t>
      </w:r>
    </w:p>
    <w:p w14:paraId="38ED3431" w14:textId="77777777" w:rsidR="00205F19" w:rsidRPr="00403A68" w:rsidRDefault="00205F19" w:rsidP="00205F19">
      <w:pPr>
        <w:pStyle w:val="BodyText"/>
      </w:pPr>
      <w:r w:rsidRPr="00403A68">
        <w:t>Furthermore, the relationship between ecosystem condition and the provision of ecosystem service flows can be complex and non-linear. This means that changes in a particular condition indicator may not lead to a discernible change in service provision until a critical threshold point is reached, after which changes in condition lead to significant and potentially irreversible changes in service provision (AECOM, 2015).</w:t>
      </w:r>
    </w:p>
    <w:p w14:paraId="7EF7FD36" w14:textId="77777777" w:rsidR="00205F19" w:rsidRPr="00403A68" w:rsidRDefault="00205F19" w:rsidP="00205F19">
      <w:pPr>
        <w:pStyle w:val="BodyText"/>
      </w:pPr>
      <w:r w:rsidRPr="00403A68">
        <w:t xml:space="preserve">Given the above constraints to identifying a set of key ecosystem condition indicators that underpin service provision, all of the accounts reviewed compile information on indicators as ‘proxies’ for the capacity of ecosystem assets to deliver services. </w:t>
      </w:r>
    </w:p>
    <w:p w14:paraId="0AB9F06A" w14:textId="77777777" w:rsidR="00205F19" w:rsidRPr="00403A68" w:rsidRDefault="00205F19" w:rsidP="00205F19">
      <w:pPr>
        <w:pStyle w:val="BodyText"/>
      </w:pPr>
      <w:r w:rsidRPr="00403A68">
        <w:t>The metrics used to populate condition accounts can be single measures that are representative of ecosystem condition, a series of measures and/or composite condition scores. For example, the DELWP and PV (2015) study on Victoria’s Parks used a series of composite indicators to capture the condition of park assets. The UK natural capital account (</w:t>
      </w:r>
      <w:proofErr w:type="spellStart"/>
      <w:r w:rsidRPr="00403A68">
        <w:t>eftec</w:t>
      </w:r>
      <w:proofErr w:type="spellEnd"/>
      <w:r w:rsidRPr="00403A68">
        <w:t xml:space="preserve"> et al, 2017) usefully included a table outline the links between specific condition metrics and the ecosystem services they support.  </w:t>
      </w:r>
    </w:p>
    <w:p w14:paraId="5B8F26B1" w14:textId="77777777" w:rsidR="00205F19" w:rsidRDefault="00205F19" w:rsidP="00205F19">
      <w:pPr>
        <w:pStyle w:val="BodyText"/>
      </w:pPr>
      <w:r w:rsidRPr="00403A68">
        <w:t>Table A7.1 is a non-exhaustive summary of the indicators used in the reviewed literature, structured according to the above categories, identifying the ecosystem to which each condition metric is relevant (even if that is all broad habitats assessed) as per the AECOM (2016) study for protected areas in the UK. This non-exhaustive list of metrics can be used to further develop the condition account for the GORCAP EEA in the future by providing examples of potentially useful indicators to begin developing data on through monitoring and reporting programmes of work.</w:t>
      </w:r>
    </w:p>
    <w:p w14:paraId="2AD3CCD5" w14:textId="77777777" w:rsidR="003632AC" w:rsidRDefault="003632AC" w:rsidP="00205F19">
      <w:pPr>
        <w:pStyle w:val="BodyText"/>
        <w:sectPr w:rsidR="003632AC" w:rsidSect="00E52A9A">
          <w:pgSz w:w="11906" w:h="16838" w:code="9"/>
          <w:pgMar w:top="1134" w:right="1134" w:bottom="1134" w:left="1134" w:header="283" w:footer="283" w:gutter="0"/>
          <w:cols w:space="284"/>
          <w:docGrid w:linePitch="360"/>
        </w:sectPr>
      </w:pPr>
    </w:p>
    <w:p w14:paraId="506A52E4" w14:textId="77777777" w:rsidR="003632AC" w:rsidRPr="00403A68" w:rsidRDefault="003632AC" w:rsidP="003632AC">
      <w:pPr>
        <w:pStyle w:val="Caption"/>
      </w:pPr>
      <w:r w:rsidRPr="00403A68">
        <w:lastRenderedPageBreak/>
        <w:t>Table A7.1. Example metrics for condition account (non-exhaustive)</w:t>
      </w:r>
    </w:p>
    <w:tbl>
      <w:tblPr>
        <w:tblStyle w:val="TableGrid"/>
        <w:tblW w:w="5000" w:type="pct"/>
        <w:tblLook w:val="04A0" w:firstRow="1" w:lastRow="0" w:firstColumn="1" w:lastColumn="0" w:noHBand="0" w:noVBand="1"/>
      </w:tblPr>
      <w:tblGrid>
        <w:gridCol w:w="1555"/>
        <w:gridCol w:w="1792"/>
        <w:gridCol w:w="8876"/>
        <w:gridCol w:w="3641"/>
        <w:gridCol w:w="5679"/>
      </w:tblGrid>
      <w:tr w:rsidR="00205F19" w:rsidRPr="00403A68" w14:paraId="5F51C214" w14:textId="77777777" w:rsidTr="003632AC">
        <w:trPr>
          <w:cnfStyle w:val="100000000000" w:firstRow="1" w:lastRow="0" w:firstColumn="0" w:lastColumn="0" w:oddVBand="0" w:evenVBand="0" w:oddHBand="0" w:evenHBand="0" w:firstRowFirstColumn="0" w:firstRowLastColumn="0" w:lastRowFirstColumn="0" w:lastRowLastColumn="0"/>
          <w:trHeight w:val="125"/>
        </w:trPr>
        <w:tc>
          <w:tcPr>
            <w:cnfStyle w:val="001000000000" w:firstRow="0" w:lastRow="0" w:firstColumn="1" w:lastColumn="0" w:oddVBand="0" w:evenVBand="0" w:oddHBand="0" w:evenHBand="0" w:firstRowFirstColumn="0" w:firstRowLastColumn="0" w:lastRowFirstColumn="0" w:lastRowLastColumn="0"/>
            <w:tcW w:w="777" w:type="pct"/>
            <w:gridSpan w:val="2"/>
          </w:tcPr>
          <w:p w14:paraId="556C92C7" w14:textId="77777777" w:rsidR="00205F19" w:rsidRPr="00403A68" w:rsidRDefault="00205F19" w:rsidP="00666947">
            <w:pPr>
              <w:pStyle w:val="TableTextLeft"/>
              <w:rPr>
                <w:b/>
                <w:i/>
              </w:rPr>
            </w:pPr>
            <w:r w:rsidRPr="00403A68">
              <w:rPr>
                <w:b/>
              </w:rPr>
              <w:t>Condition category</w:t>
            </w:r>
          </w:p>
        </w:tc>
        <w:tc>
          <w:tcPr>
            <w:tcW w:w="2060" w:type="pct"/>
          </w:tcPr>
          <w:p w14:paraId="4147C4D1" w14:textId="77777777" w:rsidR="00205F19" w:rsidRPr="00403A68" w:rsidRDefault="00205F19" w:rsidP="00666947">
            <w:pPr>
              <w:pStyle w:val="TableTextLeft"/>
              <w:cnfStyle w:val="100000000000" w:firstRow="1" w:lastRow="0" w:firstColumn="0" w:lastColumn="0" w:oddVBand="0" w:evenVBand="0" w:oddHBand="0" w:evenHBand="0" w:firstRowFirstColumn="0" w:firstRowLastColumn="0" w:lastRowFirstColumn="0" w:lastRowLastColumn="0"/>
            </w:pPr>
            <w:r w:rsidRPr="00403A68">
              <w:rPr>
                <w:b/>
              </w:rPr>
              <w:t xml:space="preserve">Indicator </w:t>
            </w:r>
          </w:p>
        </w:tc>
        <w:tc>
          <w:tcPr>
            <w:tcW w:w="845" w:type="pct"/>
          </w:tcPr>
          <w:p w14:paraId="79566EAC" w14:textId="77777777" w:rsidR="00205F19" w:rsidRPr="00403A68" w:rsidRDefault="00205F19" w:rsidP="00666947">
            <w:pPr>
              <w:pStyle w:val="TableTextLeft"/>
              <w:cnfStyle w:val="100000000000" w:firstRow="1" w:lastRow="0" w:firstColumn="0" w:lastColumn="0" w:oddVBand="0" w:evenVBand="0" w:oddHBand="0" w:evenHBand="0" w:firstRowFirstColumn="0" w:firstRowLastColumn="0" w:lastRowFirstColumn="0" w:lastRowLastColumn="0"/>
            </w:pPr>
            <w:r w:rsidRPr="00403A68">
              <w:rPr>
                <w:b/>
              </w:rPr>
              <w:t xml:space="preserve">Ecosystem </w:t>
            </w:r>
          </w:p>
        </w:tc>
        <w:tc>
          <w:tcPr>
            <w:tcW w:w="1318" w:type="pct"/>
          </w:tcPr>
          <w:p w14:paraId="03E0BA25" w14:textId="77777777" w:rsidR="00205F19" w:rsidRPr="00403A68" w:rsidRDefault="00205F19" w:rsidP="00666947">
            <w:pPr>
              <w:pStyle w:val="TableTextLeft"/>
              <w:cnfStyle w:val="100000000000" w:firstRow="1" w:lastRow="0" w:firstColumn="0" w:lastColumn="0" w:oddVBand="0" w:evenVBand="0" w:oddHBand="0" w:evenHBand="0" w:firstRowFirstColumn="0" w:firstRowLastColumn="0" w:lastRowFirstColumn="0" w:lastRowLastColumn="0"/>
              <w:rPr>
                <w:b/>
              </w:rPr>
            </w:pPr>
            <w:r w:rsidRPr="00403A68">
              <w:rPr>
                <w:b/>
              </w:rPr>
              <w:t>Primary ecosystem service being supported</w:t>
            </w:r>
          </w:p>
        </w:tc>
      </w:tr>
      <w:tr w:rsidR="00205F19" w:rsidRPr="00403A68" w14:paraId="1099C09E" w14:textId="77777777" w:rsidTr="003632AC">
        <w:trPr>
          <w:trHeight w:val="125"/>
        </w:trPr>
        <w:tc>
          <w:tcPr>
            <w:cnfStyle w:val="001000000000" w:firstRow="0" w:lastRow="0" w:firstColumn="1" w:lastColumn="0" w:oddVBand="0" w:evenVBand="0" w:oddHBand="0" w:evenHBand="0" w:firstRowFirstColumn="0" w:firstRowLastColumn="0" w:lastRowFirstColumn="0" w:lastRowLastColumn="0"/>
            <w:tcW w:w="361" w:type="pct"/>
            <w:vMerge w:val="restart"/>
          </w:tcPr>
          <w:p w14:paraId="5E8F72A6" w14:textId="77777777" w:rsidR="00205F19" w:rsidRPr="00403A68" w:rsidRDefault="00205F19" w:rsidP="00666947">
            <w:pPr>
              <w:pStyle w:val="TableTextLeft"/>
            </w:pPr>
            <w:r w:rsidRPr="00403A68">
              <w:t>Ecological condition</w:t>
            </w:r>
          </w:p>
        </w:tc>
        <w:tc>
          <w:tcPr>
            <w:tcW w:w="416" w:type="pct"/>
            <w:vMerge w:val="restart"/>
          </w:tcPr>
          <w:p w14:paraId="402E2E09"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Biodiversity</w:t>
            </w:r>
          </w:p>
        </w:tc>
        <w:tc>
          <w:tcPr>
            <w:tcW w:w="2060" w:type="pct"/>
          </w:tcPr>
          <w:p w14:paraId="46A8E00B"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Habitat condition / suitability scores</w:t>
            </w:r>
          </w:p>
        </w:tc>
        <w:tc>
          <w:tcPr>
            <w:tcW w:w="845" w:type="pct"/>
          </w:tcPr>
          <w:p w14:paraId="57A7D87E"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All</w:t>
            </w:r>
          </w:p>
        </w:tc>
        <w:tc>
          <w:tcPr>
            <w:tcW w:w="1318" w:type="pct"/>
          </w:tcPr>
          <w:p w14:paraId="5D293316"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Existence / option value</w:t>
            </w:r>
          </w:p>
        </w:tc>
      </w:tr>
      <w:tr w:rsidR="00205F19" w:rsidRPr="00403A68" w14:paraId="1E9D7207" w14:textId="77777777" w:rsidTr="003632AC">
        <w:trPr>
          <w:trHeight w:val="165"/>
        </w:trPr>
        <w:tc>
          <w:tcPr>
            <w:cnfStyle w:val="001000000000" w:firstRow="0" w:lastRow="0" w:firstColumn="1" w:lastColumn="0" w:oddVBand="0" w:evenVBand="0" w:oddHBand="0" w:evenHBand="0" w:firstRowFirstColumn="0" w:firstRowLastColumn="0" w:lastRowFirstColumn="0" w:lastRowLastColumn="0"/>
            <w:tcW w:w="361" w:type="pct"/>
            <w:vMerge/>
          </w:tcPr>
          <w:p w14:paraId="757F16E8" w14:textId="77777777" w:rsidR="00205F19" w:rsidRPr="00403A68" w:rsidRDefault="00205F19" w:rsidP="00666947">
            <w:pPr>
              <w:pStyle w:val="TableTextLeft"/>
            </w:pPr>
          </w:p>
        </w:tc>
        <w:tc>
          <w:tcPr>
            <w:tcW w:w="416" w:type="pct"/>
            <w:vMerge/>
          </w:tcPr>
          <w:p w14:paraId="279EB440"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60" w:type="pct"/>
          </w:tcPr>
          <w:p w14:paraId="0E75B95E"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Native vegetation score</w:t>
            </w:r>
          </w:p>
        </w:tc>
        <w:tc>
          <w:tcPr>
            <w:tcW w:w="845" w:type="pct"/>
          </w:tcPr>
          <w:p w14:paraId="555514E0"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All</w:t>
            </w:r>
          </w:p>
        </w:tc>
        <w:tc>
          <w:tcPr>
            <w:tcW w:w="1318" w:type="pct"/>
          </w:tcPr>
          <w:p w14:paraId="3C0ECB63"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Existence / option value</w:t>
            </w:r>
          </w:p>
        </w:tc>
      </w:tr>
      <w:tr w:rsidR="00205F19" w:rsidRPr="00403A68" w14:paraId="78C240BE" w14:textId="77777777" w:rsidTr="003632AC">
        <w:trPr>
          <w:trHeight w:val="165"/>
        </w:trPr>
        <w:tc>
          <w:tcPr>
            <w:cnfStyle w:val="001000000000" w:firstRow="0" w:lastRow="0" w:firstColumn="1" w:lastColumn="0" w:oddVBand="0" w:evenVBand="0" w:oddHBand="0" w:evenHBand="0" w:firstRowFirstColumn="0" w:firstRowLastColumn="0" w:lastRowFirstColumn="0" w:lastRowLastColumn="0"/>
            <w:tcW w:w="361" w:type="pct"/>
            <w:vMerge/>
          </w:tcPr>
          <w:p w14:paraId="192C40F3" w14:textId="77777777" w:rsidR="00205F19" w:rsidRPr="00403A68" w:rsidRDefault="00205F19" w:rsidP="00666947">
            <w:pPr>
              <w:pStyle w:val="TableTextLeft"/>
            </w:pPr>
          </w:p>
        </w:tc>
        <w:tc>
          <w:tcPr>
            <w:tcW w:w="416" w:type="pct"/>
            <w:vMerge/>
          </w:tcPr>
          <w:p w14:paraId="51C46BEA"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60" w:type="pct"/>
          </w:tcPr>
          <w:p w14:paraId="776CCE57"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Rare and threatened species / habitat numbers</w:t>
            </w:r>
          </w:p>
        </w:tc>
        <w:tc>
          <w:tcPr>
            <w:tcW w:w="845" w:type="pct"/>
          </w:tcPr>
          <w:p w14:paraId="2434D3BF"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All</w:t>
            </w:r>
          </w:p>
        </w:tc>
        <w:tc>
          <w:tcPr>
            <w:tcW w:w="1318" w:type="pct"/>
          </w:tcPr>
          <w:p w14:paraId="19AC0ED8"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Existence / option value</w:t>
            </w:r>
          </w:p>
        </w:tc>
      </w:tr>
      <w:tr w:rsidR="00205F19" w:rsidRPr="00403A68" w14:paraId="7A6CD985" w14:textId="77777777" w:rsidTr="003632AC">
        <w:trPr>
          <w:trHeight w:val="165"/>
        </w:trPr>
        <w:tc>
          <w:tcPr>
            <w:cnfStyle w:val="001000000000" w:firstRow="0" w:lastRow="0" w:firstColumn="1" w:lastColumn="0" w:oddVBand="0" w:evenVBand="0" w:oddHBand="0" w:evenHBand="0" w:firstRowFirstColumn="0" w:firstRowLastColumn="0" w:lastRowFirstColumn="0" w:lastRowLastColumn="0"/>
            <w:tcW w:w="361" w:type="pct"/>
            <w:vMerge/>
          </w:tcPr>
          <w:p w14:paraId="4F3AB5C7" w14:textId="77777777" w:rsidR="00205F19" w:rsidRPr="00403A68" w:rsidRDefault="00205F19" w:rsidP="00666947">
            <w:pPr>
              <w:pStyle w:val="TableTextLeft"/>
            </w:pPr>
          </w:p>
        </w:tc>
        <w:tc>
          <w:tcPr>
            <w:tcW w:w="416" w:type="pct"/>
            <w:vMerge/>
          </w:tcPr>
          <w:p w14:paraId="1A5C7DC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60" w:type="pct"/>
          </w:tcPr>
          <w:p w14:paraId="6951A650"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Index of wetland condition</w:t>
            </w:r>
          </w:p>
        </w:tc>
        <w:tc>
          <w:tcPr>
            <w:tcW w:w="845" w:type="pct"/>
          </w:tcPr>
          <w:p w14:paraId="7C662A4B"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Wetland</w:t>
            </w:r>
          </w:p>
        </w:tc>
        <w:tc>
          <w:tcPr>
            <w:tcW w:w="1318" w:type="pct"/>
          </w:tcPr>
          <w:p w14:paraId="76717A46"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Existence / option value</w:t>
            </w:r>
          </w:p>
        </w:tc>
      </w:tr>
      <w:tr w:rsidR="00205F19" w:rsidRPr="00403A68" w14:paraId="460B1DBB" w14:textId="77777777" w:rsidTr="003632AC">
        <w:trPr>
          <w:trHeight w:val="165"/>
        </w:trPr>
        <w:tc>
          <w:tcPr>
            <w:cnfStyle w:val="001000000000" w:firstRow="0" w:lastRow="0" w:firstColumn="1" w:lastColumn="0" w:oddVBand="0" w:evenVBand="0" w:oddHBand="0" w:evenHBand="0" w:firstRowFirstColumn="0" w:firstRowLastColumn="0" w:lastRowFirstColumn="0" w:lastRowLastColumn="0"/>
            <w:tcW w:w="361" w:type="pct"/>
            <w:vMerge/>
          </w:tcPr>
          <w:p w14:paraId="3CE1BA87" w14:textId="77777777" w:rsidR="00205F19" w:rsidRPr="00403A68" w:rsidRDefault="00205F19" w:rsidP="00666947">
            <w:pPr>
              <w:pStyle w:val="TableTextLeft"/>
            </w:pPr>
          </w:p>
        </w:tc>
        <w:tc>
          <w:tcPr>
            <w:tcW w:w="416" w:type="pct"/>
            <w:vMerge/>
          </w:tcPr>
          <w:p w14:paraId="3ABDA69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60" w:type="pct"/>
          </w:tcPr>
          <w:p w14:paraId="18AC7E4B"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RAMSAR designated wetland number</w:t>
            </w:r>
          </w:p>
        </w:tc>
        <w:tc>
          <w:tcPr>
            <w:tcW w:w="845" w:type="pct"/>
          </w:tcPr>
          <w:p w14:paraId="2C75C6C2"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Wetland</w:t>
            </w:r>
          </w:p>
        </w:tc>
        <w:tc>
          <w:tcPr>
            <w:tcW w:w="1318" w:type="pct"/>
          </w:tcPr>
          <w:p w14:paraId="3D56CD34"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Existence / option value</w:t>
            </w:r>
          </w:p>
        </w:tc>
      </w:tr>
      <w:tr w:rsidR="00205F19" w:rsidRPr="00403A68" w14:paraId="0137DF83" w14:textId="77777777" w:rsidTr="003632AC">
        <w:trPr>
          <w:trHeight w:val="165"/>
        </w:trPr>
        <w:tc>
          <w:tcPr>
            <w:cnfStyle w:val="001000000000" w:firstRow="0" w:lastRow="0" w:firstColumn="1" w:lastColumn="0" w:oddVBand="0" w:evenVBand="0" w:oddHBand="0" w:evenHBand="0" w:firstRowFirstColumn="0" w:firstRowLastColumn="0" w:lastRowFirstColumn="0" w:lastRowLastColumn="0"/>
            <w:tcW w:w="361" w:type="pct"/>
            <w:vMerge/>
          </w:tcPr>
          <w:p w14:paraId="3380609B" w14:textId="77777777" w:rsidR="00205F19" w:rsidRPr="00403A68" w:rsidRDefault="00205F19" w:rsidP="00666947">
            <w:pPr>
              <w:pStyle w:val="TableTextLeft"/>
            </w:pPr>
          </w:p>
        </w:tc>
        <w:tc>
          <w:tcPr>
            <w:tcW w:w="416" w:type="pct"/>
            <w:vMerge/>
          </w:tcPr>
          <w:p w14:paraId="5F06F3B2"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60" w:type="pct"/>
          </w:tcPr>
          <w:p w14:paraId="28BFE841"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Butterfly abundance and richness</w:t>
            </w:r>
          </w:p>
        </w:tc>
        <w:tc>
          <w:tcPr>
            <w:tcW w:w="845" w:type="pct"/>
          </w:tcPr>
          <w:p w14:paraId="653DD15D"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All terrestrial</w:t>
            </w:r>
          </w:p>
        </w:tc>
        <w:tc>
          <w:tcPr>
            <w:tcW w:w="1318" w:type="pct"/>
          </w:tcPr>
          <w:p w14:paraId="0F95CF21"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Existence / option value</w:t>
            </w:r>
          </w:p>
        </w:tc>
      </w:tr>
      <w:tr w:rsidR="00205F19" w:rsidRPr="00403A68" w14:paraId="1E35597C" w14:textId="77777777" w:rsidTr="003632AC">
        <w:trPr>
          <w:trHeight w:val="165"/>
        </w:trPr>
        <w:tc>
          <w:tcPr>
            <w:cnfStyle w:val="001000000000" w:firstRow="0" w:lastRow="0" w:firstColumn="1" w:lastColumn="0" w:oddVBand="0" w:evenVBand="0" w:oddHBand="0" w:evenHBand="0" w:firstRowFirstColumn="0" w:firstRowLastColumn="0" w:lastRowFirstColumn="0" w:lastRowLastColumn="0"/>
            <w:tcW w:w="361" w:type="pct"/>
            <w:vMerge/>
          </w:tcPr>
          <w:p w14:paraId="578652BF" w14:textId="77777777" w:rsidR="00205F19" w:rsidRPr="00403A68" w:rsidRDefault="00205F19" w:rsidP="00666947">
            <w:pPr>
              <w:pStyle w:val="TableTextLeft"/>
            </w:pPr>
          </w:p>
        </w:tc>
        <w:tc>
          <w:tcPr>
            <w:tcW w:w="416" w:type="pct"/>
            <w:vMerge/>
          </w:tcPr>
          <w:p w14:paraId="57213F08"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60" w:type="pct"/>
          </w:tcPr>
          <w:p w14:paraId="317BEC73"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Marine report card scores</w:t>
            </w:r>
          </w:p>
        </w:tc>
        <w:tc>
          <w:tcPr>
            <w:tcW w:w="845" w:type="pct"/>
          </w:tcPr>
          <w:p w14:paraId="7A2AC9BF"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Marine</w:t>
            </w:r>
          </w:p>
        </w:tc>
        <w:tc>
          <w:tcPr>
            <w:tcW w:w="1318" w:type="pct"/>
          </w:tcPr>
          <w:p w14:paraId="568A99A6"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Existence / option value</w:t>
            </w:r>
          </w:p>
        </w:tc>
      </w:tr>
      <w:tr w:rsidR="00205F19" w:rsidRPr="00403A68" w14:paraId="660AB860" w14:textId="77777777" w:rsidTr="003632AC">
        <w:trPr>
          <w:trHeight w:val="165"/>
        </w:trPr>
        <w:tc>
          <w:tcPr>
            <w:cnfStyle w:val="001000000000" w:firstRow="0" w:lastRow="0" w:firstColumn="1" w:lastColumn="0" w:oddVBand="0" w:evenVBand="0" w:oddHBand="0" w:evenHBand="0" w:firstRowFirstColumn="0" w:firstRowLastColumn="0" w:lastRowFirstColumn="0" w:lastRowLastColumn="0"/>
            <w:tcW w:w="361" w:type="pct"/>
            <w:vMerge/>
          </w:tcPr>
          <w:p w14:paraId="7FB6BE43" w14:textId="77777777" w:rsidR="00205F19" w:rsidRPr="00403A68" w:rsidRDefault="00205F19" w:rsidP="00666947">
            <w:pPr>
              <w:pStyle w:val="TableTextLeft"/>
            </w:pPr>
          </w:p>
        </w:tc>
        <w:tc>
          <w:tcPr>
            <w:tcW w:w="416" w:type="pct"/>
            <w:vMerge/>
          </w:tcPr>
          <w:p w14:paraId="20AE16D7"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60" w:type="pct"/>
          </w:tcPr>
          <w:p w14:paraId="51AEEB61"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Enhancement of biomass (tonnes)</w:t>
            </w:r>
          </w:p>
        </w:tc>
        <w:tc>
          <w:tcPr>
            <w:tcW w:w="845" w:type="pct"/>
          </w:tcPr>
          <w:p w14:paraId="3E88C7B3"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Forest, Farmland, Marine</w:t>
            </w:r>
          </w:p>
        </w:tc>
        <w:tc>
          <w:tcPr>
            <w:tcW w:w="1318" w:type="pct"/>
          </w:tcPr>
          <w:p w14:paraId="2061E13E"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 xml:space="preserve">Biotic raw materials (timber, biofuel, fish) </w:t>
            </w:r>
          </w:p>
        </w:tc>
      </w:tr>
      <w:tr w:rsidR="00205F19" w:rsidRPr="00403A68" w14:paraId="2DF905D7" w14:textId="77777777" w:rsidTr="003632AC">
        <w:trPr>
          <w:trHeight w:val="165"/>
        </w:trPr>
        <w:tc>
          <w:tcPr>
            <w:cnfStyle w:val="001000000000" w:firstRow="0" w:lastRow="0" w:firstColumn="1" w:lastColumn="0" w:oddVBand="0" w:evenVBand="0" w:oddHBand="0" w:evenHBand="0" w:firstRowFirstColumn="0" w:firstRowLastColumn="0" w:lastRowFirstColumn="0" w:lastRowLastColumn="0"/>
            <w:tcW w:w="361" w:type="pct"/>
            <w:vMerge/>
          </w:tcPr>
          <w:p w14:paraId="44502533" w14:textId="77777777" w:rsidR="00205F19" w:rsidRPr="00403A68" w:rsidRDefault="00205F19" w:rsidP="00666947">
            <w:pPr>
              <w:pStyle w:val="TableTextLeft"/>
            </w:pPr>
          </w:p>
        </w:tc>
        <w:tc>
          <w:tcPr>
            <w:tcW w:w="416" w:type="pct"/>
            <w:vMerge/>
          </w:tcPr>
          <w:p w14:paraId="51AFE5B3"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60" w:type="pct"/>
          </w:tcPr>
          <w:p w14:paraId="640BEB80"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Average net primary productivity</w:t>
            </w:r>
          </w:p>
        </w:tc>
        <w:tc>
          <w:tcPr>
            <w:tcW w:w="845" w:type="pct"/>
          </w:tcPr>
          <w:p w14:paraId="385687C9"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Forest, Farmland, Marine</w:t>
            </w:r>
          </w:p>
        </w:tc>
        <w:tc>
          <w:tcPr>
            <w:tcW w:w="1318" w:type="pct"/>
          </w:tcPr>
          <w:p w14:paraId="6AA3EE47"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Biotic raw materials (timber, biofuel, fish)</w:t>
            </w:r>
          </w:p>
        </w:tc>
      </w:tr>
      <w:tr w:rsidR="00205F19" w:rsidRPr="00403A68" w14:paraId="6EF2D899" w14:textId="77777777" w:rsidTr="003632AC">
        <w:trPr>
          <w:trHeight w:val="165"/>
        </w:trPr>
        <w:tc>
          <w:tcPr>
            <w:cnfStyle w:val="001000000000" w:firstRow="0" w:lastRow="0" w:firstColumn="1" w:lastColumn="0" w:oddVBand="0" w:evenVBand="0" w:oddHBand="0" w:evenHBand="0" w:firstRowFirstColumn="0" w:firstRowLastColumn="0" w:lastRowFirstColumn="0" w:lastRowLastColumn="0"/>
            <w:tcW w:w="361" w:type="pct"/>
            <w:vMerge/>
          </w:tcPr>
          <w:p w14:paraId="4561E019" w14:textId="77777777" w:rsidR="00205F19" w:rsidRPr="00403A68" w:rsidRDefault="00205F19" w:rsidP="00666947">
            <w:pPr>
              <w:pStyle w:val="TableTextLeft"/>
            </w:pPr>
          </w:p>
        </w:tc>
        <w:tc>
          <w:tcPr>
            <w:tcW w:w="416" w:type="pct"/>
            <w:vMerge/>
          </w:tcPr>
          <w:p w14:paraId="56DEF480"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60" w:type="pct"/>
          </w:tcPr>
          <w:p w14:paraId="4256AF09"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Deer numbers</w:t>
            </w:r>
          </w:p>
        </w:tc>
        <w:tc>
          <w:tcPr>
            <w:tcW w:w="845" w:type="pct"/>
          </w:tcPr>
          <w:p w14:paraId="1285D2A0"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Heathland</w:t>
            </w:r>
          </w:p>
        </w:tc>
        <w:tc>
          <w:tcPr>
            <w:tcW w:w="1318" w:type="pct"/>
          </w:tcPr>
          <w:p w14:paraId="32EDFC3F"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Food</w:t>
            </w:r>
          </w:p>
        </w:tc>
      </w:tr>
      <w:tr w:rsidR="00205F19" w:rsidRPr="00403A68" w14:paraId="25970BD8" w14:textId="77777777" w:rsidTr="003632AC">
        <w:trPr>
          <w:trHeight w:val="165"/>
        </w:trPr>
        <w:tc>
          <w:tcPr>
            <w:cnfStyle w:val="001000000000" w:firstRow="0" w:lastRow="0" w:firstColumn="1" w:lastColumn="0" w:oddVBand="0" w:evenVBand="0" w:oddHBand="0" w:evenHBand="0" w:firstRowFirstColumn="0" w:firstRowLastColumn="0" w:lastRowFirstColumn="0" w:lastRowLastColumn="0"/>
            <w:tcW w:w="361" w:type="pct"/>
            <w:vMerge/>
          </w:tcPr>
          <w:p w14:paraId="756C4C02" w14:textId="77777777" w:rsidR="00205F19" w:rsidRPr="00403A68" w:rsidRDefault="00205F19" w:rsidP="00666947">
            <w:pPr>
              <w:pStyle w:val="TableTextLeft"/>
            </w:pPr>
          </w:p>
        </w:tc>
        <w:tc>
          <w:tcPr>
            <w:tcW w:w="416" w:type="pct"/>
            <w:vMerge/>
          </w:tcPr>
          <w:p w14:paraId="56ACCE41"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60" w:type="pct"/>
          </w:tcPr>
          <w:p w14:paraId="3E717240"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Apiary site numbers</w:t>
            </w:r>
          </w:p>
        </w:tc>
        <w:tc>
          <w:tcPr>
            <w:tcW w:w="845" w:type="pct"/>
          </w:tcPr>
          <w:p w14:paraId="2138C48A"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All terrestrial</w:t>
            </w:r>
          </w:p>
        </w:tc>
        <w:tc>
          <w:tcPr>
            <w:tcW w:w="1318" w:type="pct"/>
          </w:tcPr>
          <w:p w14:paraId="19D899F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Food</w:t>
            </w:r>
          </w:p>
        </w:tc>
      </w:tr>
      <w:tr w:rsidR="00205F19" w:rsidRPr="00403A68" w14:paraId="08B33D04" w14:textId="77777777" w:rsidTr="003632AC">
        <w:trPr>
          <w:trHeight w:val="165"/>
        </w:trPr>
        <w:tc>
          <w:tcPr>
            <w:cnfStyle w:val="001000000000" w:firstRow="0" w:lastRow="0" w:firstColumn="1" w:lastColumn="0" w:oddVBand="0" w:evenVBand="0" w:oddHBand="0" w:evenHBand="0" w:firstRowFirstColumn="0" w:firstRowLastColumn="0" w:lastRowFirstColumn="0" w:lastRowLastColumn="0"/>
            <w:tcW w:w="361" w:type="pct"/>
            <w:vMerge/>
          </w:tcPr>
          <w:p w14:paraId="2EAE2E05" w14:textId="77777777" w:rsidR="00205F19" w:rsidRPr="00403A68" w:rsidRDefault="00205F19" w:rsidP="00666947">
            <w:pPr>
              <w:pStyle w:val="TableTextLeft"/>
            </w:pPr>
          </w:p>
        </w:tc>
        <w:tc>
          <w:tcPr>
            <w:tcW w:w="416" w:type="pct"/>
            <w:vMerge/>
          </w:tcPr>
          <w:p w14:paraId="6B283368"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60" w:type="pct"/>
          </w:tcPr>
          <w:p w14:paraId="00490277"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Fish numbers and diversity</w:t>
            </w:r>
          </w:p>
        </w:tc>
        <w:tc>
          <w:tcPr>
            <w:tcW w:w="845" w:type="pct"/>
          </w:tcPr>
          <w:p w14:paraId="0BF02F14"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Freshwater, Marine</w:t>
            </w:r>
          </w:p>
        </w:tc>
        <w:tc>
          <w:tcPr>
            <w:tcW w:w="1318" w:type="pct"/>
          </w:tcPr>
          <w:p w14:paraId="184ACD50"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 xml:space="preserve">Food </w:t>
            </w:r>
          </w:p>
        </w:tc>
      </w:tr>
      <w:tr w:rsidR="00205F19" w:rsidRPr="00403A68" w14:paraId="3CDB6720" w14:textId="77777777" w:rsidTr="003632AC">
        <w:trPr>
          <w:trHeight w:val="165"/>
        </w:trPr>
        <w:tc>
          <w:tcPr>
            <w:cnfStyle w:val="001000000000" w:firstRow="0" w:lastRow="0" w:firstColumn="1" w:lastColumn="0" w:oddVBand="0" w:evenVBand="0" w:oddHBand="0" w:evenHBand="0" w:firstRowFirstColumn="0" w:firstRowLastColumn="0" w:lastRowFirstColumn="0" w:lastRowLastColumn="0"/>
            <w:tcW w:w="361" w:type="pct"/>
            <w:vMerge/>
          </w:tcPr>
          <w:p w14:paraId="5F386734" w14:textId="77777777" w:rsidR="00205F19" w:rsidRPr="00403A68" w:rsidRDefault="00205F19" w:rsidP="00666947">
            <w:pPr>
              <w:pStyle w:val="TableTextLeft"/>
            </w:pPr>
          </w:p>
        </w:tc>
        <w:tc>
          <w:tcPr>
            <w:tcW w:w="416" w:type="pct"/>
            <w:vMerge/>
          </w:tcPr>
          <w:p w14:paraId="11DC268C"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60" w:type="pct"/>
          </w:tcPr>
          <w:p w14:paraId="45BF9330"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Bird abundance</w:t>
            </w:r>
          </w:p>
        </w:tc>
        <w:tc>
          <w:tcPr>
            <w:tcW w:w="845" w:type="pct"/>
          </w:tcPr>
          <w:p w14:paraId="617E7978"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All</w:t>
            </w:r>
          </w:p>
        </w:tc>
        <w:tc>
          <w:tcPr>
            <w:tcW w:w="1318" w:type="pct"/>
          </w:tcPr>
          <w:p w14:paraId="4C06D30D"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 xml:space="preserve">Recreation </w:t>
            </w:r>
          </w:p>
        </w:tc>
      </w:tr>
      <w:tr w:rsidR="00205F19" w:rsidRPr="00403A68" w14:paraId="6581B7AB" w14:textId="77777777" w:rsidTr="003632AC">
        <w:trPr>
          <w:trHeight w:val="165"/>
        </w:trPr>
        <w:tc>
          <w:tcPr>
            <w:cnfStyle w:val="001000000000" w:firstRow="0" w:lastRow="0" w:firstColumn="1" w:lastColumn="0" w:oddVBand="0" w:evenVBand="0" w:oddHBand="0" w:evenHBand="0" w:firstRowFirstColumn="0" w:firstRowLastColumn="0" w:lastRowFirstColumn="0" w:lastRowLastColumn="0"/>
            <w:tcW w:w="361" w:type="pct"/>
            <w:vMerge/>
          </w:tcPr>
          <w:p w14:paraId="48100274" w14:textId="77777777" w:rsidR="00205F19" w:rsidRPr="00403A68" w:rsidRDefault="00205F19" w:rsidP="00666947">
            <w:pPr>
              <w:pStyle w:val="TableTextLeft"/>
            </w:pPr>
          </w:p>
        </w:tc>
        <w:tc>
          <w:tcPr>
            <w:tcW w:w="416" w:type="pct"/>
            <w:vMerge/>
          </w:tcPr>
          <w:p w14:paraId="293AEF17"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60" w:type="pct"/>
          </w:tcPr>
          <w:p w14:paraId="54F2FBC1"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Shorebird number</w:t>
            </w:r>
          </w:p>
        </w:tc>
        <w:tc>
          <w:tcPr>
            <w:tcW w:w="845" w:type="pct"/>
          </w:tcPr>
          <w:p w14:paraId="08B0F003"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Coastal margin</w:t>
            </w:r>
          </w:p>
        </w:tc>
        <w:tc>
          <w:tcPr>
            <w:tcW w:w="1318" w:type="pct"/>
          </w:tcPr>
          <w:p w14:paraId="06F44EDA"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Recreation</w:t>
            </w:r>
          </w:p>
        </w:tc>
      </w:tr>
      <w:tr w:rsidR="00205F19" w:rsidRPr="00403A68" w14:paraId="20E37339" w14:textId="77777777" w:rsidTr="003632AC">
        <w:trPr>
          <w:trHeight w:val="165"/>
        </w:trPr>
        <w:tc>
          <w:tcPr>
            <w:cnfStyle w:val="001000000000" w:firstRow="0" w:lastRow="0" w:firstColumn="1" w:lastColumn="0" w:oddVBand="0" w:evenVBand="0" w:oddHBand="0" w:evenHBand="0" w:firstRowFirstColumn="0" w:firstRowLastColumn="0" w:lastRowFirstColumn="0" w:lastRowLastColumn="0"/>
            <w:tcW w:w="361" w:type="pct"/>
            <w:vMerge/>
          </w:tcPr>
          <w:p w14:paraId="3C6FF6FC" w14:textId="77777777" w:rsidR="00205F19" w:rsidRPr="00403A68" w:rsidRDefault="00205F19" w:rsidP="00666947">
            <w:pPr>
              <w:pStyle w:val="TableTextLeft"/>
            </w:pPr>
          </w:p>
        </w:tc>
        <w:tc>
          <w:tcPr>
            <w:tcW w:w="416" w:type="pct"/>
            <w:vMerge/>
          </w:tcPr>
          <w:p w14:paraId="2E62EF8C"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60" w:type="pct"/>
          </w:tcPr>
          <w:p w14:paraId="248CAB12"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Biomass of invertebrates (as food for birds) at foraging sites</w:t>
            </w:r>
          </w:p>
        </w:tc>
        <w:tc>
          <w:tcPr>
            <w:tcW w:w="845" w:type="pct"/>
          </w:tcPr>
          <w:p w14:paraId="438BA9E1"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Coastal margin</w:t>
            </w:r>
          </w:p>
        </w:tc>
        <w:tc>
          <w:tcPr>
            <w:tcW w:w="1318" w:type="pct"/>
          </w:tcPr>
          <w:p w14:paraId="6000FC7F"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Supporting service - recreation</w:t>
            </w:r>
          </w:p>
        </w:tc>
      </w:tr>
      <w:tr w:rsidR="00205F19" w:rsidRPr="00403A68" w14:paraId="2DF5506B" w14:textId="77777777" w:rsidTr="003632AC">
        <w:trPr>
          <w:trHeight w:val="250"/>
        </w:trPr>
        <w:tc>
          <w:tcPr>
            <w:cnfStyle w:val="001000000000" w:firstRow="0" w:lastRow="0" w:firstColumn="1" w:lastColumn="0" w:oddVBand="0" w:evenVBand="0" w:oddHBand="0" w:evenHBand="0" w:firstRowFirstColumn="0" w:firstRowLastColumn="0" w:lastRowFirstColumn="0" w:lastRowLastColumn="0"/>
            <w:tcW w:w="361" w:type="pct"/>
            <w:vMerge/>
          </w:tcPr>
          <w:p w14:paraId="50C81870" w14:textId="77777777" w:rsidR="00205F19" w:rsidRPr="00403A68" w:rsidRDefault="00205F19" w:rsidP="00666947">
            <w:pPr>
              <w:pStyle w:val="TableTextLeft"/>
            </w:pPr>
          </w:p>
        </w:tc>
        <w:tc>
          <w:tcPr>
            <w:tcW w:w="416" w:type="pct"/>
            <w:vMerge/>
          </w:tcPr>
          <w:p w14:paraId="275E6C83"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60" w:type="pct"/>
          </w:tcPr>
          <w:p w14:paraId="6C759FAD"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Insectivorous birds and bats number/diversity</w:t>
            </w:r>
          </w:p>
        </w:tc>
        <w:tc>
          <w:tcPr>
            <w:tcW w:w="845" w:type="pct"/>
          </w:tcPr>
          <w:p w14:paraId="777B91A0"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All</w:t>
            </w:r>
          </w:p>
        </w:tc>
        <w:tc>
          <w:tcPr>
            <w:tcW w:w="1318" w:type="pct"/>
          </w:tcPr>
          <w:p w14:paraId="5A8EA8F9"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Supporting service - pest and disease regulation</w:t>
            </w:r>
          </w:p>
        </w:tc>
      </w:tr>
      <w:tr w:rsidR="00205F19" w:rsidRPr="00403A68" w14:paraId="59B74FA1" w14:textId="77777777" w:rsidTr="003632AC">
        <w:trPr>
          <w:trHeight w:val="165"/>
        </w:trPr>
        <w:tc>
          <w:tcPr>
            <w:cnfStyle w:val="001000000000" w:firstRow="0" w:lastRow="0" w:firstColumn="1" w:lastColumn="0" w:oddVBand="0" w:evenVBand="0" w:oddHBand="0" w:evenHBand="0" w:firstRowFirstColumn="0" w:firstRowLastColumn="0" w:lastRowFirstColumn="0" w:lastRowLastColumn="0"/>
            <w:tcW w:w="361" w:type="pct"/>
            <w:vMerge/>
          </w:tcPr>
          <w:p w14:paraId="371AEB4B" w14:textId="77777777" w:rsidR="00205F19" w:rsidRPr="00403A68" w:rsidRDefault="00205F19" w:rsidP="00666947">
            <w:pPr>
              <w:pStyle w:val="TableTextLeft"/>
            </w:pPr>
          </w:p>
        </w:tc>
        <w:tc>
          <w:tcPr>
            <w:tcW w:w="416" w:type="pct"/>
            <w:vMerge w:val="restart"/>
          </w:tcPr>
          <w:p w14:paraId="1EC16E98"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 xml:space="preserve">Soil </w:t>
            </w:r>
          </w:p>
        </w:tc>
        <w:tc>
          <w:tcPr>
            <w:tcW w:w="2060" w:type="pct"/>
          </w:tcPr>
          <w:p w14:paraId="7DBC8898"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Soil health index</w:t>
            </w:r>
          </w:p>
        </w:tc>
        <w:tc>
          <w:tcPr>
            <w:tcW w:w="845" w:type="pct"/>
          </w:tcPr>
          <w:p w14:paraId="44D1251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Farmland</w:t>
            </w:r>
          </w:p>
        </w:tc>
        <w:tc>
          <w:tcPr>
            <w:tcW w:w="1318" w:type="pct"/>
          </w:tcPr>
          <w:p w14:paraId="268865D4"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Food</w:t>
            </w:r>
          </w:p>
        </w:tc>
      </w:tr>
      <w:tr w:rsidR="00205F19" w:rsidRPr="00403A68" w14:paraId="6F24843E" w14:textId="77777777" w:rsidTr="003632AC">
        <w:trPr>
          <w:trHeight w:val="165"/>
        </w:trPr>
        <w:tc>
          <w:tcPr>
            <w:cnfStyle w:val="001000000000" w:firstRow="0" w:lastRow="0" w:firstColumn="1" w:lastColumn="0" w:oddVBand="0" w:evenVBand="0" w:oddHBand="0" w:evenHBand="0" w:firstRowFirstColumn="0" w:firstRowLastColumn="0" w:lastRowFirstColumn="0" w:lastRowLastColumn="0"/>
            <w:tcW w:w="361" w:type="pct"/>
            <w:vMerge/>
          </w:tcPr>
          <w:p w14:paraId="6876B69E" w14:textId="77777777" w:rsidR="00205F19" w:rsidRPr="00403A68" w:rsidRDefault="00205F19" w:rsidP="00666947">
            <w:pPr>
              <w:pStyle w:val="TableTextLeft"/>
            </w:pPr>
          </w:p>
        </w:tc>
        <w:tc>
          <w:tcPr>
            <w:tcW w:w="416" w:type="pct"/>
            <w:vMerge/>
          </w:tcPr>
          <w:p w14:paraId="2D48B127"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60" w:type="pct"/>
          </w:tcPr>
          <w:p w14:paraId="58C0F24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Area of Grade 1 and Grade 2 agricultural land</w:t>
            </w:r>
          </w:p>
        </w:tc>
        <w:tc>
          <w:tcPr>
            <w:tcW w:w="845" w:type="pct"/>
          </w:tcPr>
          <w:p w14:paraId="7D1B1761"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Farmland</w:t>
            </w:r>
          </w:p>
        </w:tc>
        <w:tc>
          <w:tcPr>
            <w:tcW w:w="1318" w:type="pct"/>
          </w:tcPr>
          <w:p w14:paraId="135CEE09"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Food</w:t>
            </w:r>
          </w:p>
        </w:tc>
      </w:tr>
      <w:tr w:rsidR="00205F19" w:rsidRPr="00403A68" w14:paraId="59478E02" w14:textId="77777777" w:rsidTr="003632AC">
        <w:trPr>
          <w:trHeight w:val="165"/>
        </w:trPr>
        <w:tc>
          <w:tcPr>
            <w:cnfStyle w:val="001000000000" w:firstRow="0" w:lastRow="0" w:firstColumn="1" w:lastColumn="0" w:oddVBand="0" w:evenVBand="0" w:oddHBand="0" w:evenHBand="0" w:firstRowFirstColumn="0" w:firstRowLastColumn="0" w:lastRowFirstColumn="0" w:lastRowLastColumn="0"/>
            <w:tcW w:w="361" w:type="pct"/>
            <w:vMerge/>
          </w:tcPr>
          <w:p w14:paraId="66F22878" w14:textId="77777777" w:rsidR="00205F19" w:rsidRPr="00403A68" w:rsidRDefault="00205F19" w:rsidP="00666947">
            <w:pPr>
              <w:pStyle w:val="TableTextLeft"/>
            </w:pPr>
          </w:p>
        </w:tc>
        <w:tc>
          <w:tcPr>
            <w:tcW w:w="416" w:type="pct"/>
            <w:vMerge/>
          </w:tcPr>
          <w:p w14:paraId="73077DCD"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60" w:type="pct"/>
          </w:tcPr>
          <w:p w14:paraId="01720522"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Denitrification efficiency of muddy sediments (</w:t>
            </w:r>
            <w:r w:rsidRPr="00403A68">
              <w:rPr>
                <w:i/>
              </w:rPr>
              <w:t>Kilogram N / m</w:t>
            </w:r>
            <w:r w:rsidRPr="00403A68">
              <w:rPr>
                <w:i/>
                <w:vertAlign w:val="superscript"/>
              </w:rPr>
              <w:t>3</w:t>
            </w:r>
            <w:r w:rsidRPr="00403A68">
              <w:rPr>
                <w:i/>
              </w:rPr>
              <w:t>)</w:t>
            </w:r>
          </w:p>
        </w:tc>
        <w:tc>
          <w:tcPr>
            <w:tcW w:w="845" w:type="pct"/>
          </w:tcPr>
          <w:p w14:paraId="0E3B8CF2"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Marine</w:t>
            </w:r>
          </w:p>
        </w:tc>
        <w:tc>
          <w:tcPr>
            <w:tcW w:w="1318" w:type="pct"/>
          </w:tcPr>
          <w:p w14:paraId="1D9ADE1C"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Clean water (waste assimilation)</w:t>
            </w:r>
          </w:p>
        </w:tc>
      </w:tr>
      <w:tr w:rsidR="00205F19" w:rsidRPr="00403A68" w14:paraId="7C41C4A2" w14:textId="77777777" w:rsidTr="003632AC">
        <w:trPr>
          <w:trHeight w:val="165"/>
        </w:trPr>
        <w:tc>
          <w:tcPr>
            <w:cnfStyle w:val="001000000000" w:firstRow="0" w:lastRow="0" w:firstColumn="1" w:lastColumn="0" w:oddVBand="0" w:evenVBand="0" w:oddHBand="0" w:evenHBand="0" w:firstRowFirstColumn="0" w:firstRowLastColumn="0" w:lastRowFirstColumn="0" w:lastRowLastColumn="0"/>
            <w:tcW w:w="361" w:type="pct"/>
            <w:vMerge/>
          </w:tcPr>
          <w:p w14:paraId="291FBCE8" w14:textId="77777777" w:rsidR="00205F19" w:rsidRPr="00403A68" w:rsidRDefault="00205F19" w:rsidP="00666947">
            <w:pPr>
              <w:pStyle w:val="TableTextLeft"/>
            </w:pPr>
          </w:p>
        </w:tc>
        <w:tc>
          <w:tcPr>
            <w:tcW w:w="416" w:type="pct"/>
            <w:vMerge/>
          </w:tcPr>
          <w:p w14:paraId="419EC7BA"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60" w:type="pct"/>
          </w:tcPr>
          <w:p w14:paraId="0361144C"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Peatland in favourable condition (%)</w:t>
            </w:r>
          </w:p>
        </w:tc>
        <w:tc>
          <w:tcPr>
            <w:tcW w:w="845" w:type="pct"/>
          </w:tcPr>
          <w:p w14:paraId="3E546666"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Heathland</w:t>
            </w:r>
          </w:p>
        </w:tc>
        <w:tc>
          <w:tcPr>
            <w:tcW w:w="1318" w:type="pct"/>
          </w:tcPr>
          <w:p w14:paraId="46E93923"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 xml:space="preserve">Global climate regulation </w:t>
            </w:r>
          </w:p>
        </w:tc>
      </w:tr>
      <w:tr w:rsidR="00205F19" w:rsidRPr="00403A68" w14:paraId="4675FC89" w14:textId="77777777" w:rsidTr="003632AC">
        <w:trPr>
          <w:trHeight w:val="165"/>
        </w:trPr>
        <w:tc>
          <w:tcPr>
            <w:cnfStyle w:val="001000000000" w:firstRow="0" w:lastRow="0" w:firstColumn="1" w:lastColumn="0" w:oddVBand="0" w:evenVBand="0" w:oddHBand="0" w:evenHBand="0" w:firstRowFirstColumn="0" w:firstRowLastColumn="0" w:lastRowFirstColumn="0" w:lastRowLastColumn="0"/>
            <w:tcW w:w="361" w:type="pct"/>
            <w:vMerge/>
          </w:tcPr>
          <w:p w14:paraId="022181A7" w14:textId="77777777" w:rsidR="00205F19" w:rsidRPr="00403A68" w:rsidRDefault="00205F19" w:rsidP="00666947">
            <w:pPr>
              <w:pStyle w:val="TableTextLeft"/>
            </w:pPr>
          </w:p>
        </w:tc>
        <w:tc>
          <w:tcPr>
            <w:tcW w:w="416" w:type="pct"/>
            <w:vMerge w:val="restart"/>
          </w:tcPr>
          <w:p w14:paraId="5A778E73"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 xml:space="preserve">Water </w:t>
            </w:r>
          </w:p>
        </w:tc>
        <w:tc>
          <w:tcPr>
            <w:tcW w:w="2060" w:type="pct"/>
          </w:tcPr>
          <w:p w14:paraId="37A0C71E"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Index of stream condition</w:t>
            </w:r>
          </w:p>
        </w:tc>
        <w:tc>
          <w:tcPr>
            <w:tcW w:w="845" w:type="pct"/>
          </w:tcPr>
          <w:p w14:paraId="2E03A59D"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Freshwater</w:t>
            </w:r>
          </w:p>
        </w:tc>
        <w:tc>
          <w:tcPr>
            <w:tcW w:w="1318" w:type="pct"/>
          </w:tcPr>
          <w:p w14:paraId="5CF53819"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Water based ecosystem services</w:t>
            </w:r>
          </w:p>
        </w:tc>
      </w:tr>
      <w:tr w:rsidR="00205F19" w:rsidRPr="00403A68" w14:paraId="214966FA" w14:textId="77777777" w:rsidTr="003632AC">
        <w:trPr>
          <w:trHeight w:val="165"/>
        </w:trPr>
        <w:tc>
          <w:tcPr>
            <w:cnfStyle w:val="001000000000" w:firstRow="0" w:lastRow="0" w:firstColumn="1" w:lastColumn="0" w:oddVBand="0" w:evenVBand="0" w:oddHBand="0" w:evenHBand="0" w:firstRowFirstColumn="0" w:firstRowLastColumn="0" w:lastRowFirstColumn="0" w:lastRowLastColumn="0"/>
            <w:tcW w:w="361" w:type="pct"/>
            <w:vMerge/>
          </w:tcPr>
          <w:p w14:paraId="3765EB5D" w14:textId="77777777" w:rsidR="00205F19" w:rsidRPr="00403A68" w:rsidRDefault="00205F19" w:rsidP="00666947">
            <w:pPr>
              <w:pStyle w:val="TableTextLeft"/>
            </w:pPr>
          </w:p>
        </w:tc>
        <w:tc>
          <w:tcPr>
            <w:tcW w:w="416" w:type="pct"/>
            <w:vMerge/>
          </w:tcPr>
          <w:p w14:paraId="5C030F39"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60" w:type="pct"/>
          </w:tcPr>
          <w:p w14:paraId="7C6BDFA3"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Water quality - dissolved oxygen (Mg / L or % saturation)</w:t>
            </w:r>
          </w:p>
        </w:tc>
        <w:tc>
          <w:tcPr>
            <w:tcW w:w="845" w:type="pct"/>
          </w:tcPr>
          <w:p w14:paraId="516F5990"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Freshwater, Coastal margin, Marine</w:t>
            </w:r>
          </w:p>
        </w:tc>
        <w:tc>
          <w:tcPr>
            <w:tcW w:w="1318" w:type="pct"/>
          </w:tcPr>
          <w:p w14:paraId="37CBD223"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Water based ecosystem services</w:t>
            </w:r>
          </w:p>
        </w:tc>
      </w:tr>
      <w:tr w:rsidR="00205F19" w:rsidRPr="00403A68" w14:paraId="45A510F8" w14:textId="77777777" w:rsidTr="003632AC">
        <w:trPr>
          <w:trHeight w:val="165"/>
        </w:trPr>
        <w:tc>
          <w:tcPr>
            <w:cnfStyle w:val="001000000000" w:firstRow="0" w:lastRow="0" w:firstColumn="1" w:lastColumn="0" w:oddVBand="0" w:evenVBand="0" w:oddHBand="0" w:evenHBand="0" w:firstRowFirstColumn="0" w:firstRowLastColumn="0" w:lastRowFirstColumn="0" w:lastRowLastColumn="0"/>
            <w:tcW w:w="361" w:type="pct"/>
            <w:vMerge/>
          </w:tcPr>
          <w:p w14:paraId="18004BA1" w14:textId="77777777" w:rsidR="00205F19" w:rsidRPr="00403A68" w:rsidRDefault="00205F19" w:rsidP="00666947">
            <w:pPr>
              <w:pStyle w:val="TableTextLeft"/>
            </w:pPr>
          </w:p>
        </w:tc>
        <w:tc>
          <w:tcPr>
            <w:tcW w:w="416" w:type="pct"/>
            <w:vMerge/>
          </w:tcPr>
          <w:p w14:paraId="5E622BEA"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60" w:type="pct"/>
          </w:tcPr>
          <w:p w14:paraId="773B945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Water quality index scores</w:t>
            </w:r>
          </w:p>
        </w:tc>
        <w:tc>
          <w:tcPr>
            <w:tcW w:w="845" w:type="pct"/>
          </w:tcPr>
          <w:p w14:paraId="43B68966"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Freshwater, Coastal margin, Marine</w:t>
            </w:r>
          </w:p>
        </w:tc>
        <w:tc>
          <w:tcPr>
            <w:tcW w:w="1318" w:type="pct"/>
          </w:tcPr>
          <w:p w14:paraId="4CC1E618"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Water based ecosystem services</w:t>
            </w:r>
          </w:p>
        </w:tc>
      </w:tr>
      <w:tr w:rsidR="00205F19" w:rsidRPr="00403A68" w14:paraId="126FA80A" w14:textId="77777777" w:rsidTr="003632AC">
        <w:trPr>
          <w:trHeight w:val="165"/>
        </w:trPr>
        <w:tc>
          <w:tcPr>
            <w:cnfStyle w:val="001000000000" w:firstRow="0" w:lastRow="0" w:firstColumn="1" w:lastColumn="0" w:oddVBand="0" w:evenVBand="0" w:oddHBand="0" w:evenHBand="0" w:firstRowFirstColumn="0" w:firstRowLastColumn="0" w:lastRowFirstColumn="0" w:lastRowLastColumn="0"/>
            <w:tcW w:w="361" w:type="pct"/>
            <w:vMerge/>
          </w:tcPr>
          <w:p w14:paraId="6888C34C" w14:textId="77777777" w:rsidR="00205F19" w:rsidRPr="00403A68" w:rsidRDefault="00205F19" w:rsidP="00666947">
            <w:pPr>
              <w:pStyle w:val="TableTextLeft"/>
            </w:pPr>
          </w:p>
        </w:tc>
        <w:tc>
          <w:tcPr>
            <w:tcW w:w="416" w:type="pct"/>
            <w:vMerge/>
          </w:tcPr>
          <w:p w14:paraId="61B92634"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60" w:type="pct"/>
          </w:tcPr>
          <w:p w14:paraId="16FB92CD"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Rivers and freshwater bodies with 'High' or 'Good' ecological status</w:t>
            </w:r>
          </w:p>
        </w:tc>
        <w:tc>
          <w:tcPr>
            <w:tcW w:w="845" w:type="pct"/>
          </w:tcPr>
          <w:p w14:paraId="4C3B8A41"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Freshwater</w:t>
            </w:r>
          </w:p>
        </w:tc>
        <w:tc>
          <w:tcPr>
            <w:tcW w:w="1318" w:type="pct"/>
          </w:tcPr>
          <w:p w14:paraId="2333B9E7"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Water based ecosystem services</w:t>
            </w:r>
          </w:p>
        </w:tc>
      </w:tr>
      <w:tr w:rsidR="00205F19" w:rsidRPr="00403A68" w14:paraId="43C73D76" w14:textId="77777777" w:rsidTr="003632AC">
        <w:trPr>
          <w:trHeight w:val="165"/>
        </w:trPr>
        <w:tc>
          <w:tcPr>
            <w:cnfStyle w:val="001000000000" w:firstRow="0" w:lastRow="0" w:firstColumn="1" w:lastColumn="0" w:oddVBand="0" w:evenVBand="0" w:oddHBand="0" w:evenHBand="0" w:firstRowFirstColumn="0" w:firstRowLastColumn="0" w:lastRowFirstColumn="0" w:lastRowLastColumn="0"/>
            <w:tcW w:w="361" w:type="pct"/>
            <w:vMerge/>
          </w:tcPr>
          <w:p w14:paraId="608E484B" w14:textId="77777777" w:rsidR="00205F19" w:rsidRPr="00403A68" w:rsidRDefault="00205F19" w:rsidP="00666947">
            <w:pPr>
              <w:pStyle w:val="TableTextLeft"/>
            </w:pPr>
          </w:p>
        </w:tc>
        <w:tc>
          <w:tcPr>
            <w:tcW w:w="416" w:type="pct"/>
            <w:vMerge/>
          </w:tcPr>
          <w:p w14:paraId="4D785C1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60" w:type="pct"/>
          </w:tcPr>
          <w:p w14:paraId="1D716E9E"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Coastal and transitional waterbodies with 'High' or 'Good' ecological status</w:t>
            </w:r>
          </w:p>
        </w:tc>
        <w:tc>
          <w:tcPr>
            <w:tcW w:w="845" w:type="pct"/>
          </w:tcPr>
          <w:p w14:paraId="23AD66D6"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Freshwater, Coastal margin, Marine</w:t>
            </w:r>
          </w:p>
        </w:tc>
        <w:tc>
          <w:tcPr>
            <w:tcW w:w="1318" w:type="pct"/>
          </w:tcPr>
          <w:p w14:paraId="4E4EE580"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Water based ecosystem services</w:t>
            </w:r>
          </w:p>
        </w:tc>
      </w:tr>
      <w:tr w:rsidR="00205F19" w:rsidRPr="00403A68" w14:paraId="38869A3D" w14:textId="77777777" w:rsidTr="003632AC">
        <w:trPr>
          <w:trHeight w:val="165"/>
        </w:trPr>
        <w:tc>
          <w:tcPr>
            <w:cnfStyle w:val="001000000000" w:firstRow="0" w:lastRow="0" w:firstColumn="1" w:lastColumn="0" w:oddVBand="0" w:evenVBand="0" w:oddHBand="0" w:evenHBand="0" w:firstRowFirstColumn="0" w:firstRowLastColumn="0" w:lastRowFirstColumn="0" w:lastRowLastColumn="0"/>
            <w:tcW w:w="361" w:type="pct"/>
            <w:vMerge/>
          </w:tcPr>
          <w:p w14:paraId="4D8DA92A" w14:textId="77777777" w:rsidR="00205F19" w:rsidRPr="00403A68" w:rsidRDefault="00205F19" w:rsidP="00666947">
            <w:pPr>
              <w:pStyle w:val="TableTextLeft"/>
            </w:pPr>
          </w:p>
        </w:tc>
        <w:tc>
          <w:tcPr>
            <w:tcW w:w="416" w:type="pct"/>
            <w:vMerge/>
          </w:tcPr>
          <w:p w14:paraId="4E9F8D2B"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60" w:type="pct"/>
          </w:tcPr>
          <w:p w14:paraId="59F78D73"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03A68">
              <w:t>River loads reported by solids, nitrogen and phosphorous (tonnes)</w:t>
            </w:r>
          </w:p>
        </w:tc>
        <w:tc>
          <w:tcPr>
            <w:tcW w:w="845" w:type="pct"/>
          </w:tcPr>
          <w:p w14:paraId="08FA6506"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Freshwater, Coastal margin, Marine</w:t>
            </w:r>
          </w:p>
        </w:tc>
        <w:tc>
          <w:tcPr>
            <w:tcW w:w="1318" w:type="pct"/>
          </w:tcPr>
          <w:p w14:paraId="09024E68"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Clean water (waste assimilation)</w:t>
            </w:r>
          </w:p>
        </w:tc>
      </w:tr>
      <w:tr w:rsidR="00205F19" w:rsidRPr="00403A68" w14:paraId="3139EB6B" w14:textId="77777777" w:rsidTr="003632AC">
        <w:trPr>
          <w:trHeight w:val="165"/>
        </w:trPr>
        <w:tc>
          <w:tcPr>
            <w:cnfStyle w:val="001000000000" w:firstRow="0" w:lastRow="0" w:firstColumn="1" w:lastColumn="0" w:oddVBand="0" w:evenVBand="0" w:oddHBand="0" w:evenHBand="0" w:firstRowFirstColumn="0" w:firstRowLastColumn="0" w:lastRowFirstColumn="0" w:lastRowLastColumn="0"/>
            <w:tcW w:w="361" w:type="pct"/>
            <w:vMerge/>
          </w:tcPr>
          <w:p w14:paraId="1ED7E151" w14:textId="77777777" w:rsidR="00205F19" w:rsidRPr="00403A68" w:rsidRDefault="00205F19" w:rsidP="00666947">
            <w:pPr>
              <w:pStyle w:val="TableTextLeft"/>
            </w:pPr>
          </w:p>
        </w:tc>
        <w:tc>
          <w:tcPr>
            <w:tcW w:w="416" w:type="pct"/>
            <w:vMerge/>
          </w:tcPr>
          <w:p w14:paraId="5AEB9B0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60" w:type="pct"/>
          </w:tcPr>
          <w:p w14:paraId="1BA6EA4E"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Bathing water quality (% beaches complying)</w:t>
            </w:r>
          </w:p>
        </w:tc>
        <w:tc>
          <w:tcPr>
            <w:tcW w:w="845" w:type="pct"/>
          </w:tcPr>
          <w:p w14:paraId="6D7783DB"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Coastal margin</w:t>
            </w:r>
          </w:p>
        </w:tc>
        <w:tc>
          <w:tcPr>
            <w:tcW w:w="1318" w:type="pct"/>
          </w:tcPr>
          <w:p w14:paraId="1D0A5A61"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Recreation</w:t>
            </w:r>
          </w:p>
        </w:tc>
      </w:tr>
      <w:tr w:rsidR="00205F19" w:rsidRPr="00403A68" w14:paraId="3DF20152" w14:textId="77777777" w:rsidTr="003632AC">
        <w:trPr>
          <w:trHeight w:val="165"/>
        </w:trPr>
        <w:tc>
          <w:tcPr>
            <w:cnfStyle w:val="001000000000" w:firstRow="0" w:lastRow="0" w:firstColumn="1" w:lastColumn="0" w:oddVBand="0" w:evenVBand="0" w:oddHBand="0" w:evenHBand="0" w:firstRowFirstColumn="0" w:firstRowLastColumn="0" w:lastRowFirstColumn="0" w:lastRowLastColumn="0"/>
            <w:tcW w:w="361" w:type="pct"/>
            <w:vMerge/>
          </w:tcPr>
          <w:p w14:paraId="160939D8" w14:textId="77777777" w:rsidR="00205F19" w:rsidRPr="00403A68" w:rsidRDefault="00205F19" w:rsidP="00666947">
            <w:pPr>
              <w:pStyle w:val="TableTextLeft"/>
            </w:pPr>
          </w:p>
        </w:tc>
        <w:tc>
          <w:tcPr>
            <w:tcW w:w="416" w:type="pct"/>
            <w:vMerge w:val="restart"/>
          </w:tcPr>
          <w:p w14:paraId="7AFCE25D"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Carbon</w:t>
            </w:r>
          </w:p>
        </w:tc>
        <w:tc>
          <w:tcPr>
            <w:tcW w:w="2060" w:type="pct"/>
          </w:tcPr>
          <w:p w14:paraId="52851440"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Topsoil carbon stock (tonnes carbon in top 15 cm)</w:t>
            </w:r>
          </w:p>
        </w:tc>
        <w:tc>
          <w:tcPr>
            <w:tcW w:w="845" w:type="pct"/>
          </w:tcPr>
          <w:p w14:paraId="5666CEDD"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All terrestrial</w:t>
            </w:r>
          </w:p>
        </w:tc>
        <w:tc>
          <w:tcPr>
            <w:tcW w:w="1318" w:type="pct"/>
          </w:tcPr>
          <w:p w14:paraId="411AD88A"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 xml:space="preserve">Global climate regulation </w:t>
            </w:r>
          </w:p>
        </w:tc>
      </w:tr>
      <w:tr w:rsidR="00205F19" w:rsidRPr="00403A68" w14:paraId="6844BA36" w14:textId="77777777" w:rsidTr="003632AC">
        <w:trPr>
          <w:trHeight w:val="165"/>
        </w:trPr>
        <w:tc>
          <w:tcPr>
            <w:cnfStyle w:val="001000000000" w:firstRow="0" w:lastRow="0" w:firstColumn="1" w:lastColumn="0" w:oddVBand="0" w:evenVBand="0" w:oddHBand="0" w:evenHBand="0" w:firstRowFirstColumn="0" w:firstRowLastColumn="0" w:lastRowFirstColumn="0" w:lastRowLastColumn="0"/>
            <w:tcW w:w="361" w:type="pct"/>
            <w:vMerge/>
          </w:tcPr>
          <w:p w14:paraId="082982CE" w14:textId="77777777" w:rsidR="00205F19" w:rsidRPr="00403A68" w:rsidRDefault="00205F19" w:rsidP="00666947">
            <w:pPr>
              <w:pStyle w:val="TableTextLeft"/>
            </w:pPr>
          </w:p>
        </w:tc>
        <w:tc>
          <w:tcPr>
            <w:tcW w:w="416" w:type="pct"/>
            <w:vMerge/>
          </w:tcPr>
          <w:p w14:paraId="3B8BCE69"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60" w:type="pct"/>
          </w:tcPr>
          <w:p w14:paraId="7D7A671C"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Vegetation carbon stock (tonnes carbon)</w:t>
            </w:r>
          </w:p>
        </w:tc>
        <w:tc>
          <w:tcPr>
            <w:tcW w:w="845" w:type="pct"/>
          </w:tcPr>
          <w:p w14:paraId="5BD29CA0"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 xml:space="preserve">All </w:t>
            </w:r>
          </w:p>
        </w:tc>
        <w:tc>
          <w:tcPr>
            <w:tcW w:w="1318" w:type="pct"/>
          </w:tcPr>
          <w:p w14:paraId="39CF7EEA"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 xml:space="preserve">Global climate regulation </w:t>
            </w:r>
          </w:p>
        </w:tc>
      </w:tr>
      <w:tr w:rsidR="00205F19" w:rsidRPr="00403A68" w14:paraId="67D020C2" w14:textId="77777777" w:rsidTr="003632AC">
        <w:trPr>
          <w:trHeight w:val="199"/>
        </w:trPr>
        <w:tc>
          <w:tcPr>
            <w:cnfStyle w:val="001000000000" w:firstRow="0" w:lastRow="0" w:firstColumn="1" w:lastColumn="0" w:oddVBand="0" w:evenVBand="0" w:oddHBand="0" w:evenHBand="0" w:firstRowFirstColumn="0" w:firstRowLastColumn="0" w:lastRowFirstColumn="0" w:lastRowLastColumn="0"/>
            <w:tcW w:w="361" w:type="pct"/>
            <w:vMerge w:val="restart"/>
          </w:tcPr>
          <w:p w14:paraId="7E5DDAA2" w14:textId="73EBA2AF" w:rsidR="00205F19" w:rsidRPr="003632AC" w:rsidRDefault="00205F19" w:rsidP="00666947">
            <w:pPr>
              <w:pStyle w:val="TableTextLeft"/>
              <w:rPr>
                <w:rFonts w:eastAsia="Arial"/>
              </w:rPr>
            </w:pPr>
            <w:r w:rsidRPr="00403A68">
              <w:t xml:space="preserve">Socio-economic </w:t>
            </w:r>
            <w:r w:rsidRPr="00403A68">
              <w:rPr>
                <w:rFonts w:eastAsia="Arial"/>
              </w:rPr>
              <w:t xml:space="preserve"> characteristics</w:t>
            </w:r>
          </w:p>
        </w:tc>
        <w:tc>
          <w:tcPr>
            <w:tcW w:w="416" w:type="pct"/>
            <w:vMerge w:val="restart"/>
          </w:tcPr>
          <w:p w14:paraId="719965DF"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 xml:space="preserve">Location </w:t>
            </w:r>
          </w:p>
        </w:tc>
        <w:tc>
          <w:tcPr>
            <w:tcW w:w="2060" w:type="pct"/>
          </w:tcPr>
          <w:p w14:paraId="24E600F1"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 xml:space="preserve">Average level of light pollution (score) </w:t>
            </w:r>
          </w:p>
        </w:tc>
        <w:tc>
          <w:tcPr>
            <w:tcW w:w="845" w:type="pct"/>
          </w:tcPr>
          <w:p w14:paraId="26BEEACE"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All</w:t>
            </w:r>
          </w:p>
        </w:tc>
        <w:tc>
          <w:tcPr>
            <w:tcW w:w="1318" w:type="pct"/>
          </w:tcPr>
          <w:p w14:paraId="05429EBB"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 xml:space="preserve">Aesthetic / Recreation </w:t>
            </w:r>
          </w:p>
        </w:tc>
      </w:tr>
      <w:tr w:rsidR="00205F19" w:rsidRPr="00403A68" w14:paraId="0DADF7C9" w14:textId="77777777" w:rsidTr="003632AC">
        <w:trPr>
          <w:trHeight w:val="199"/>
        </w:trPr>
        <w:tc>
          <w:tcPr>
            <w:cnfStyle w:val="001000000000" w:firstRow="0" w:lastRow="0" w:firstColumn="1" w:lastColumn="0" w:oddVBand="0" w:evenVBand="0" w:oddHBand="0" w:evenHBand="0" w:firstRowFirstColumn="0" w:firstRowLastColumn="0" w:lastRowFirstColumn="0" w:lastRowLastColumn="0"/>
            <w:tcW w:w="361" w:type="pct"/>
            <w:vMerge/>
          </w:tcPr>
          <w:p w14:paraId="36858E7D" w14:textId="77777777" w:rsidR="00205F19" w:rsidRPr="00403A68" w:rsidRDefault="00205F19" w:rsidP="00666947">
            <w:pPr>
              <w:pStyle w:val="TableTextLeft"/>
            </w:pPr>
          </w:p>
        </w:tc>
        <w:tc>
          <w:tcPr>
            <w:tcW w:w="416" w:type="pct"/>
            <w:vMerge/>
          </w:tcPr>
          <w:p w14:paraId="3CB82D59"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60" w:type="pct"/>
          </w:tcPr>
          <w:p w14:paraId="00B0844E"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 xml:space="preserve">Average level of tranquillity (score) </w:t>
            </w:r>
          </w:p>
        </w:tc>
        <w:tc>
          <w:tcPr>
            <w:tcW w:w="845" w:type="pct"/>
          </w:tcPr>
          <w:p w14:paraId="0ED05711"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All</w:t>
            </w:r>
          </w:p>
        </w:tc>
        <w:tc>
          <w:tcPr>
            <w:tcW w:w="1318" w:type="pct"/>
          </w:tcPr>
          <w:p w14:paraId="69A8D987"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Aesthetic / Recreation</w:t>
            </w:r>
          </w:p>
        </w:tc>
      </w:tr>
      <w:tr w:rsidR="00205F19" w:rsidRPr="00403A68" w14:paraId="3DFCDD6C" w14:textId="77777777" w:rsidTr="003632AC">
        <w:trPr>
          <w:trHeight w:val="199"/>
        </w:trPr>
        <w:tc>
          <w:tcPr>
            <w:cnfStyle w:val="001000000000" w:firstRow="0" w:lastRow="0" w:firstColumn="1" w:lastColumn="0" w:oddVBand="0" w:evenVBand="0" w:oddHBand="0" w:evenHBand="0" w:firstRowFirstColumn="0" w:firstRowLastColumn="0" w:lastRowFirstColumn="0" w:lastRowLastColumn="0"/>
            <w:tcW w:w="361" w:type="pct"/>
            <w:vMerge/>
          </w:tcPr>
          <w:p w14:paraId="66078CD2" w14:textId="77777777" w:rsidR="00205F19" w:rsidRPr="00403A68" w:rsidRDefault="00205F19" w:rsidP="00666947">
            <w:pPr>
              <w:pStyle w:val="TableTextLeft"/>
            </w:pPr>
          </w:p>
        </w:tc>
        <w:tc>
          <w:tcPr>
            <w:tcW w:w="416" w:type="pct"/>
            <w:vMerge/>
          </w:tcPr>
          <w:p w14:paraId="4AB233F9"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60" w:type="pct"/>
          </w:tcPr>
          <w:p w14:paraId="3180AF93"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Average level of wildness (score)</w:t>
            </w:r>
          </w:p>
        </w:tc>
        <w:tc>
          <w:tcPr>
            <w:tcW w:w="845" w:type="pct"/>
          </w:tcPr>
          <w:p w14:paraId="30DC6542"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All</w:t>
            </w:r>
          </w:p>
        </w:tc>
        <w:tc>
          <w:tcPr>
            <w:tcW w:w="1318" w:type="pct"/>
          </w:tcPr>
          <w:p w14:paraId="12255A10"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Aesthetic / Recreation / Existence / option value</w:t>
            </w:r>
          </w:p>
        </w:tc>
      </w:tr>
      <w:tr w:rsidR="00205F19" w:rsidRPr="00403A68" w14:paraId="0FE68F06" w14:textId="77777777" w:rsidTr="003632AC">
        <w:trPr>
          <w:trHeight w:val="199"/>
        </w:trPr>
        <w:tc>
          <w:tcPr>
            <w:cnfStyle w:val="001000000000" w:firstRow="0" w:lastRow="0" w:firstColumn="1" w:lastColumn="0" w:oddVBand="0" w:evenVBand="0" w:oddHBand="0" w:evenHBand="0" w:firstRowFirstColumn="0" w:firstRowLastColumn="0" w:lastRowFirstColumn="0" w:lastRowLastColumn="0"/>
            <w:tcW w:w="361" w:type="pct"/>
            <w:vMerge/>
          </w:tcPr>
          <w:p w14:paraId="28C74842" w14:textId="77777777" w:rsidR="00205F19" w:rsidRPr="00403A68" w:rsidRDefault="00205F19" w:rsidP="00666947">
            <w:pPr>
              <w:pStyle w:val="TableTextLeft"/>
            </w:pPr>
          </w:p>
        </w:tc>
        <w:tc>
          <w:tcPr>
            <w:tcW w:w="416" w:type="pct"/>
            <w:vMerge w:val="restart"/>
          </w:tcPr>
          <w:p w14:paraId="002BE58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Historic / contemporary cultural assets</w:t>
            </w:r>
          </w:p>
        </w:tc>
        <w:tc>
          <w:tcPr>
            <w:tcW w:w="2060" w:type="pct"/>
          </w:tcPr>
          <w:p w14:paraId="2F10D51E"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Cultural heritage assets – shipwrecks, bathing boxes, lighthouses, fortifications, custom houses</w:t>
            </w:r>
          </w:p>
        </w:tc>
        <w:tc>
          <w:tcPr>
            <w:tcW w:w="845" w:type="pct"/>
          </w:tcPr>
          <w:p w14:paraId="33CCA369"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All</w:t>
            </w:r>
          </w:p>
        </w:tc>
        <w:tc>
          <w:tcPr>
            <w:tcW w:w="1318" w:type="pct"/>
          </w:tcPr>
          <w:p w14:paraId="4CA5CE42"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Cultural heritage</w:t>
            </w:r>
          </w:p>
        </w:tc>
      </w:tr>
      <w:tr w:rsidR="00205F19" w:rsidRPr="00403A68" w14:paraId="23D63DC6" w14:textId="77777777" w:rsidTr="003632AC">
        <w:trPr>
          <w:trHeight w:val="144"/>
        </w:trPr>
        <w:tc>
          <w:tcPr>
            <w:cnfStyle w:val="001000000000" w:firstRow="0" w:lastRow="0" w:firstColumn="1" w:lastColumn="0" w:oddVBand="0" w:evenVBand="0" w:oddHBand="0" w:evenHBand="0" w:firstRowFirstColumn="0" w:firstRowLastColumn="0" w:lastRowFirstColumn="0" w:lastRowLastColumn="0"/>
            <w:tcW w:w="361" w:type="pct"/>
            <w:vMerge/>
          </w:tcPr>
          <w:p w14:paraId="1B0992E1" w14:textId="77777777" w:rsidR="00205F19" w:rsidRPr="00403A68" w:rsidRDefault="00205F19" w:rsidP="00666947">
            <w:pPr>
              <w:pStyle w:val="TableTextLeft"/>
            </w:pPr>
          </w:p>
        </w:tc>
        <w:tc>
          <w:tcPr>
            <w:tcW w:w="416" w:type="pct"/>
            <w:vMerge/>
          </w:tcPr>
          <w:p w14:paraId="59546FF8"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60" w:type="pct"/>
          </w:tcPr>
          <w:p w14:paraId="175859B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Earth features</w:t>
            </w:r>
          </w:p>
        </w:tc>
        <w:tc>
          <w:tcPr>
            <w:tcW w:w="845" w:type="pct"/>
          </w:tcPr>
          <w:p w14:paraId="33763BB6"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All</w:t>
            </w:r>
          </w:p>
        </w:tc>
        <w:tc>
          <w:tcPr>
            <w:tcW w:w="1318" w:type="pct"/>
          </w:tcPr>
          <w:p w14:paraId="59DD8F7B"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Cultural heritage</w:t>
            </w:r>
          </w:p>
        </w:tc>
      </w:tr>
      <w:tr w:rsidR="00205F19" w:rsidRPr="00403A68" w14:paraId="60748D2B" w14:textId="77777777" w:rsidTr="003632AC">
        <w:trPr>
          <w:trHeight w:val="199"/>
        </w:trPr>
        <w:tc>
          <w:tcPr>
            <w:cnfStyle w:val="001000000000" w:firstRow="0" w:lastRow="0" w:firstColumn="1" w:lastColumn="0" w:oddVBand="0" w:evenVBand="0" w:oddHBand="0" w:evenHBand="0" w:firstRowFirstColumn="0" w:firstRowLastColumn="0" w:lastRowFirstColumn="0" w:lastRowLastColumn="0"/>
            <w:tcW w:w="361" w:type="pct"/>
            <w:vMerge/>
          </w:tcPr>
          <w:p w14:paraId="6D0C9178" w14:textId="77777777" w:rsidR="00205F19" w:rsidRPr="00403A68" w:rsidRDefault="00205F19" w:rsidP="00666947">
            <w:pPr>
              <w:pStyle w:val="TableTextLeft"/>
            </w:pPr>
          </w:p>
        </w:tc>
        <w:tc>
          <w:tcPr>
            <w:tcW w:w="416" w:type="pct"/>
            <w:vMerge w:val="restart"/>
          </w:tcPr>
          <w:p w14:paraId="16359FCF"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Traditional Owner living cultural heritage</w:t>
            </w:r>
          </w:p>
        </w:tc>
        <w:tc>
          <w:tcPr>
            <w:tcW w:w="2060" w:type="pct"/>
          </w:tcPr>
          <w:p w14:paraId="22407B61"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Scarred trees</w:t>
            </w:r>
          </w:p>
        </w:tc>
        <w:tc>
          <w:tcPr>
            <w:tcW w:w="845" w:type="pct"/>
          </w:tcPr>
          <w:p w14:paraId="1EC9EE0A"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All</w:t>
            </w:r>
          </w:p>
        </w:tc>
        <w:tc>
          <w:tcPr>
            <w:tcW w:w="1318" w:type="pct"/>
          </w:tcPr>
          <w:p w14:paraId="43BDB92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Cultural heritage</w:t>
            </w:r>
          </w:p>
        </w:tc>
      </w:tr>
      <w:tr w:rsidR="00205F19" w:rsidRPr="00403A68" w14:paraId="3F61DEBA" w14:textId="77777777" w:rsidTr="003632AC">
        <w:trPr>
          <w:trHeight w:val="199"/>
        </w:trPr>
        <w:tc>
          <w:tcPr>
            <w:cnfStyle w:val="001000000000" w:firstRow="0" w:lastRow="0" w:firstColumn="1" w:lastColumn="0" w:oddVBand="0" w:evenVBand="0" w:oddHBand="0" w:evenHBand="0" w:firstRowFirstColumn="0" w:firstRowLastColumn="0" w:lastRowFirstColumn="0" w:lastRowLastColumn="0"/>
            <w:tcW w:w="361" w:type="pct"/>
            <w:vMerge/>
          </w:tcPr>
          <w:p w14:paraId="72588475" w14:textId="77777777" w:rsidR="00205F19" w:rsidRPr="00403A68" w:rsidRDefault="00205F19" w:rsidP="00666947">
            <w:pPr>
              <w:pStyle w:val="TableTextLeft"/>
            </w:pPr>
          </w:p>
        </w:tc>
        <w:tc>
          <w:tcPr>
            <w:tcW w:w="416" w:type="pct"/>
            <w:vMerge/>
          </w:tcPr>
          <w:p w14:paraId="48DE748A"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60" w:type="pct"/>
          </w:tcPr>
          <w:p w14:paraId="1929ABAD"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Shell middens</w:t>
            </w:r>
          </w:p>
        </w:tc>
        <w:tc>
          <w:tcPr>
            <w:tcW w:w="845" w:type="pct"/>
          </w:tcPr>
          <w:p w14:paraId="6EABC1A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All</w:t>
            </w:r>
          </w:p>
        </w:tc>
        <w:tc>
          <w:tcPr>
            <w:tcW w:w="1318" w:type="pct"/>
          </w:tcPr>
          <w:p w14:paraId="4E30C0D1"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Cultural heritage</w:t>
            </w:r>
          </w:p>
        </w:tc>
      </w:tr>
      <w:tr w:rsidR="00205F19" w:rsidRPr="00403A68" w14:paraId="70ABB382" w14:textId="77777777" w:rsidTr="003632AC">
        <w:trPr>
          <w:trHeight w:val="199"/>
        </w:trPr>
        <w:tc>
          <w:tcPr>
            <w:cnfStyle w:val="001000000000" w:firstRow="0" w:lastRow="0" w:firstColumn="1" w:lastColumn="0" w:oddVBand="0" w:evenVBand="0" w:oddHBand="0" w:evenHBand="0" w:firstRowFirstColumn="0" w:firstRowLastColumn="0" w:lastRowFirstColumn="0" w:lastRowLastColumn="0"/>
            <w:tcW w:w="361" w:type="pct"/>
            <w:vMerge/>
          </w:tcPr>
          <w:p w14:paraId="28AA6661" w14:textId="77777777" w:rsidR="00205F19" w:rsidRPr="00403A68" w:rsidRDefault="00205F19" w:rsidP="00666947">
            <w:pPr>
              <w:pStyle w:val="TableTextLeft"/>
            </w:pPr>
          </w:p>
        </w:tc>
        <w:tc>
          <w:tcPr>
            <w:tcW w:w="416" w:type="pct"/>
            <w:vMerge/>
          </w:tcPr>
          <w:p w14:paraId="2C2664CA"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60" w:type="pct"/>
          </w:tcPr>
          <w:p w14:paraId="57F5732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Artefact scatters</w:t>
            </w:r>
          </w:p>
        </w:tc>
        <w:tc>
          <w:tcPr>
            <w:tcW w:w="845" w:type="pct"/>
          </w:tcPr>
          <w:p w14:paraId="7E4F4381"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All</w:t>
            </w:r>
          </w:p>
        </w:tc>
        <w:tc>
          <w:tcPr>
            <w:tcW w:w="1318" w:type="pct"/>
          </w:tcPr>
          <w:p w14:paraId="41DDAFBD"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Cultural heritage</w:t>
            </w:r>
          </w:p>
        </w:tc>
      </w:tr>
      <w:tr w:rsidR="00205F19" w:rsidRPr="00403A68" w14:paraId="55FD31A4" w14:textId="77777777" w:rsidTr="003632AC">
        <w:trPr>
          <w:trHeight w:val="199"/>
        </w:trPr>
        <w:tc>
          <w:tcPr>
            <w:cnfStyle w:val="001000000000" w:firstRow="0" w:lastRow="0" w:firstColumn="1" w:lastColumn="0" w:oddVBand="0" w:evenVBand="0" w:oddHBand="0" w:evenHBand="0" w:firstRowFirstColumn="0" w:firstRowLastColumn="0" w:lastRowFirstColumn="0" w:lastRowLastColumn="0"/>
            <w:tcW w:w="361" w:type="pct"/>
            <w:vMerge/>
          </w:tcPr>
          <w:p w14:paraId="061277DE" w14:textId="77777777" w:rsidR="00205F19" w:rsidRPr="00403A68" w:rsidRDefault="00205F19" w:rsidP="00666947">
            <w:pPr>
              <w:pStyle w:val="TableTextLeft"/>
            </w:pPr>
          </w:p>
        </w:tc>
        <w:tc>
          <w:tcPr>
            <w:tcW w:w="416" w:type="pct"/>
            <w:vMerge w:val="restart"/>
          </w:tcPr>
          <w:p w14:paraId="0D8D3A0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Governance and management practices</w:t>
            </w:r>
          </w:p>
        </w:tc>
        <w:tc>
          <w:tcPr>
            <w:tcW w:w="2060" w:type="pct"/>
          </w:tcPr>
          <w:p w14:paraId="7DF7986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Utilisable agricultural area covered by stewardship agreements (%)</w:t>
            </w:r>
          </w:p>
        </w:tc>
        <w:tc>
          <w:tcPr>
            <w:tcW w:w="845" w:type="pct"/>
          </w:tcPr>
          <w:p w14:paraId="1E9E5EF1"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Farmland</w:t>
            </w:r>
          </w:p>
        </w:tc>
        <w:tc>
          <w:tcPr>
            <w:tcW w:w="1318" w:type="pct"/>
          </w:tcPr>
          <w:p w14:paraId="3CAD0DF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Existence / option value</w:t>
            </w:r>
          </w:p>
        </w:tc>
      </w:tr>
      <w:tr w:rsidR="00205F19" w:rsidRPr="00403A68" w14:paraId="1630ECDC" w14:textId="77777777" w:rsidTr="003632AC">
        <w:trPr>
          <w:trHeight w:val="199"/>
        </w:trPr>
        <w:tc>
          <w:tcPr>
            <w:cnfStyle w:val="001000000000" w:firstRow="0" w:lastRow="0" w:firstColumn="1" w:lastColumn="0" w:oddVBand="0" w:evenVBand="0" w:oddHBand="0" w:evenHBand="0" w:firstRowFirstColumn="0" w:firstRowLastColumn="0" w:lastRowFirstColumn="0" w:lastRowLastColumn="0"/>
            <w:tcW w:w="361" w:type="pct"/>
            <w:vMerge/>
          </w:tcPr>
          <w:p w14:paraId="6D663EE9" w14:textId="77777777" w:rsidR="00205F19" w:rsidRPr="00403A68" w:rsidRDefault="00205F19" w:rsidP="00666947">
            <w:pPr>
              <w:pStyle w:val="TableTextLeft"/>
            </w:pPr>
          </w:p>
        </w:tc>
        <w:tc>
          <w:tcPr>
            <w:tcW w:w="416" w:type="pct"/>
            <w:vMerge/>
          </w:tcPr>
          <w:p w14:paraId="068864CA"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60" w:type="pct"/>
          </w:tcPr>
          <w:p w14:paraId="398F3B7A"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Area of prime agricultural land</w:t>
            </w:r>
          </w:p>
        </w:tc>
        <w:tc>
          <w:tcPr>
            <w:tcW w:w="845" w:type="pct"/>
          </w:tcPr>
          <w:p w14:paraId="46E98399"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Farmland</w:t>
            </w:r>
          </w:p>
        </w:tc>
        <w:tc>
          <w:tcPr>
            <w:tcW w:w="1318" w:type="pct"/>
          </w:tcPr>
          <w:p w14:paraId="076A5AFA"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Food</w:t>
            </w:r>
          </w:p>
        </w:tc>
      </w:tr>
      <w:tr w:rsidR="00205F19" w:rsidRPr="00403A68" w14:paraId="549A8E06" w14:textId="77777777" w:rsidTr="003632AC">
        <w:trPr>
          <w:trHeight w:val="199"/>
        </w:trPr>
        <w:tc>
          <w:tcPr>
            <w:cnfStyle w:val="001000000000" w:firstRow="0" w:lastRow="0" w:firstColumn="1" w:lastColumn="0" w:oddVBand="0" w:evenVBand="0" w:oddHBand="0" w:evenHBand="0" w:firstRowFirstColumn="0" w:firstRowLastColumn="0" w:lastRowFirstColumn="0" w:lastRowLastColumn="0"/>
            <w:tcW w:w="361" w:type="pct"/>
            <w:vMerge/>
          </w:tcPr>
          <w:p w14:paraId="6DFB64B3" w14:textId="77777777" w:rsidR="00205F19" w:rsidRPr="00403A68" w:rsidRDefault="00205F19" w:rsidP="00666947">
            <w:pPr>
              <w:pStyle w:val="TableTextLeft"/>
            </w:pPr>
          </w:p>
        </w:tc>
        <w:tc>
          <w:tcPr>
            <w:tcW w:w="416" w:type="pct"/>
            <w:vMerge/>
          </w:tcPr>
          <w:p w14:paraId="60530A61"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60" w:type="pct"/>
          </w:tcPr>
          <w:p w14:paraId="6CC2260B"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Standing timber volume (m</w:t>
            </w:r>
            <w:r w:rsidRPr="00403A68">
              <w:rPr>
                <w:vertAlign w:val="superscript"/>
              </w:rPr>
              <w:t>3</w:t>
            </w:r>
            <w:r w:rsidRPr="00403A68">
              <w:t>)</w:t>
            </w:r>
          </w:p>
        </w:tc>
        <w:tc>
          <w:tcPr>
            <w:tcW w:w="845" w:type="pct"/>
          </w:tcPr>
          <w:p w14:paraId="6F3A6908"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Forest</w:t>
            </w:r>
          </w:p>
        </w:tc>
        <w:tc>
          <w:tcPr>
            <w:tcW w:w="1318" w:type="pct"/>
          </w:tcPr>
          <w:p w14:paraId="2EDC4D9F"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 xml:space="preserve">Biotic raw materials (timber) </w:t>
            </w:r>
          </w:p>
        </w:tc>
      </w:tr>
      <w:tr w:rsidR="00205F19" w:rsidRPr="00403A68" w14:paraId="29B63AC6" w14:textId="77777777" w:rsidTr="003632AC">
        <w:trPr>
          <w:trHeight w:val="199"/>
        </w:trPr>
        <w:tc>
          <w:tcPr>
            <w:cnfStyle w:val="001000000000" w:firstRow="0" w:lastRow="0" w:firstColumn="1" w:lastColumn="0" w:oddVBand="0" w:evenVBand="0" w:oddHBand="0" w:evenHBand="0" w:firstRowFirstColumn="0" w:firstRowLastColumn="0" w:lastRowFirstColumn="0" w:lastRowLastColumn="0"/>
            <w:tcW w:w="361" w:type="pct"/>
            <w:vMerge/>
          </w:tcPr>
          <w:p w14:paraId="48475E09" w14:textId="77777777" w:rsidR="00205F19" w:rsidRPr="00403A68" w:rsidRDefault="00205F19" w:rsidP="00666947">
            <w:pPr>
              <w:pStyle w:val="TableTextLeft"/>
            </w:pPr>
          </w:p>
        </w:tc>
        <w:tc>
          <w:tcPr>
            <w:tcW w:w="416" w:type="pct"/>
            <w:vMerge/>
          </w:tcPr>
          <w:p w14:paraId="74EF61A6"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60" w:type="pct"/>
          </w:tcPr>
          <w:p w14:paraId="1E820A1A"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Mean annual increment of timber volume (m</w:t>
            </w:r>
            <w:r w:rsidRPr="00403A68">
              <w:rPr>
                <w:vertAlign w:val="superscript"/>
              </w:rPr>
              <w:t>3</w:t>
            </w:r>
            <w:r w:rsidRPr="00403A68">
              <w:t>)</w:t>
            </w:r>
          </w:p>
        </w:tc>
        <w:tc>
          <w:tcPr>
            <w:tcW w:w="845" w:type="pct"/>
          </w:tcPr>
          <w:p w14:paraId="7DCA5764"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Forest</w:t>
            </w:r>
          </w:p>
        </w:tc>
        <w:tc>
          <w:tcPr>
            <w:tcW w:w="1318" w:type="pct"/>
          </w:tcPr>
          <w:p w14:paraId="56879043"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 xml:space="preserve">Biotic raw materials (timber) </w:t>
            </w:r>
          </w:p>
        </w:tc>
      </w:tr>
      <w:tr w:rsidR="00205F19" w:rsidRPr="00403A68" w14:paraId="5C0B8E54" w14:textId="77777777" w:rsidTr="003632AC">
        <w:trPr>
          <w:trHeight w:val="199"/>
        </w:trPr>
        <w:tc>
          <w:tcPr>
            <w:cnfStyle w:val="001000000000" w:firstRow="0" w:lastRow="0" w:firstColumn="1" w:lastColumn="0" w:oddVBand="0" w:evenVBand="0" w:oddHBand="0" w:evenHBand="0" w:firstRowFirstColumn="0" w:firstRowLastColumn="0" w:lastRowFirstColumn="0" w:lastRowLastColumn="0"/>
            <w:tcW w:w="361" w:type="pct"/>
            <w:vMerge/>
          </w:tcPr>
          <w:p w14:paraId="4EF98F00" w14:textId="77777777" w:rsidR="00205F19" w:rsidRPr="00403A68" w:rsidRDefault="00205F19" w:rsidP="00666947">
            <w:pPr>
              <w:pStyle w:val="TableTextLeft"/>
            </w:pPr>
          </w:p>
        </w:tc>
        <w:tc>
          <w:tcPr>
            <w:tcW w:w="416" w:type="pct"/>
            <w:vMerge/>
          </w:tcPr>
          <w:p w14:paraId="56EFE15E"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60" w:type="pct"/>
          </w:tcPr>
          <w:p w14:paraId="4BA5C257"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Area of Nitrate Vulnerable Zones (ha)</w:t>
            </w:r>
          </w:p>
        </w:tc>
        <w:tc>
          <w:tcPr>
            <w:tcW w:w="845" w:type="pct"/>
          </w:tcPr>
          <w:p w14:paraId="311D72BA"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All terrestrial</w:t>
            </w:r>
          </w:p>
        </w:tc>
        <w:tc>
          <w:tcPr>
            <w:tcW w:w="1318" w:type="pct"/>
          </w:tcPr>
          <w:p w14:paraId="51C70B5B"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Existence / option value</w:t>
            </w:r>
          </w:p>
        </w:tc>
      </w:tr>
      <w:tr w:rsidR="00205F19" w:rsidRPr="00403A68" w14:paraId="46987B7C" w14:textId="77777777" w:rsidTr="003632AC">
        <w:trPr>
          <w:trHeight w:val="199"/>
        </w:trPr>
        <w:tc>
          <w:tcPr>
            <w:cnfStyle w:val="001000000000" w:firstRow="0" w:lastRow="0" w:firstColumn="1" w:lastColumn="0" w:oddVBand="0" w:evenVBand="0" w:oddHBand="0" w:evenHBand="0" w:firstRowFirstColumn="0" w:firstRowLastColumn="0" w:lastRowFirstColumn="0" w:lastRowLastColumn="0"/>
            <w:tcW w:w="361" w:type="pct"/>
            <w:vMerge/>
          </w:tcPr>
          <w:p w14:paraId="4260186A" w14:textId="77777777" w:rsidR="00205F19" w:rsidRPr="00403A68" w:rsidRDefault="00205F19" w:rsidP="00666947">
            <w:pPr>
              <w:pStyle w:val="TableTextLeft"/>
            </w:pPr>
          </w:p>
        </w:tc>
        <w:tc>
          <w:tcPr>
            <w:tcW w:w="416" w:type="pct"/>
            <w:vMerge/>
          </w:tcPr>
          <w:p w14:paraId="7B95638F"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60" w:type="pct"/>
          </w:tcPr>
          <w:p w14:paraId="2D1968F9"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IUCN protected area classification</w:t>
            </w:r>
          </w:p>
        </w:tc>
        <w:tc>
          <w:tcPr>
            <w:tcW w:w="845" w:type="pct"/>
          </w:tcPr>
          <w:p w14:paraId="42DCF46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 xml:space="preserve">All </w:t>
            </w:r>
          </w:p>
        </w:tc>
        <w:tc>
          <w:tcPr>
            <w:tcW w:w="1318" w:type="pct"/>
          </w:tcPr>
          <w:p w14:paraId="31989BA9"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Existence / option value</w:t>
            </w:r>
          </w:p>
        </w:tc>
      </w:tr>
      <w:tr w:rsidR="00205F19" w:rsidRPr="00403A68" w14:paraId="0207486F" w14:textId="77777777" w:rsidTr="003632AC">
        <w:trPr>
          <w:trHeight w:val="199"/>
        </w:trPr>
        <w:tc>
          <w:tcPr>
            <w:cnfStyle w:val="001000000000" w:firstRow="0" w:lastRow="0" w:firstColumn="1" w:lastColumn="0" w:oddVBand="0" w:evenVBand="0" w:oddHBand="0" w:evenHBand="0" w:firstRowFirstColumn="0" w:firstRowLastColumn="0" w:lastRowFirstColumn="0" w:lastRowLastColumn="0"/>
            <w:tcW w:w="361" w:type="pct"/>
            <w:vMerge/>
          </w:tcPr>
          <w:p w14:paraId="62C61CC3" w14:textId="77777777" w:rsidR="00205F19" w:rsidRPr="00403A68" w:rsidRDefault="00205F19" w:rsidP="00666947">
            <w:pPr>
              <w:pStyle w:val="TableTextLeft"/>
            </w:pPr>
          </w:p>
        </w:tc>
        <w:tc>
          <w:tcPr>
            <w:tcW w:w="416" w:type="pct"/>
            <w:vMerge/>
          </w:tcPr>
          <w:p w14:paraId="654A4113"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60" w:type="pct"/>
          </w:tcPr>
          <w:p w14:paraId="6CAF66BE"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Blue flag and Seaside award beaches (no.)</w:t>
            </w:r>
          </w:p>
        </w:tc>
        <w:tc>
          <w:tcPr>
            <w:tcW w:w="845" w:type="pct"/>
          </w:tcPr>
          <w:p w14:paraId="200575FF"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Coastal margin</w:t>
            </w:r>
          </w:p>
        </w:tc>
        <w:tc>
          <w:tcPr>
            <w:tcW w:w="1318" w:type="pct"/>
          </w:tcPr>
          <w:p w14:paraId="0C8C6B91"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Recreation</w:t>
            </w:r>
          </w:p>
        </w:tc>
      </w:tr>
      <w:tr w:rsidR="00205F19" w:rsidRPr="00403A68" w14:paraId="25EAB20A" w14:textId="77777777" w:rsidTr="003632AC">
        <w:trPr>
          <w:trHeight w:val="199"/>
        </w:trPr>
        <w:tc>
          <w:tcPr>
            <w:cnfStyle w:val="001000000000" w:firstRow="0" w:lastRow="0" w:firstColumn="1" w:lastColumn="0" w:oddVBand="0" w:evenVBand="0" w:oddHBand="0" w:evenHBand="0" w:firstRowFirstColumn="0" w:firstRowLastColumn="0" w:lastRowFirstColumn="0" w:lastRowLastColumn="0"/>
            <w:tcW w:w="361" w:type="pct"/>
            <w:vMerge/>
          </w:tcPr>
          <w:p w14:paraId="6C728AFC" w14:textId="77777777" w:rsidR="00205F19" w:rsidRPr="00403A68" w:rsidRDefault="00205F19" w:rsidP="00666947">
            <w:pPr>
              <w:pStyle w:val="TableTextLeft"/>
            </w:pPr>
          </w:p>
        </w:tc>
        <w:tc>
          <w:tcPr>
            <w:tcW w:w="416" w:type="pct"/>
            <w:vMerge/>
          </w:tcPr>
          <w:p w14:paraId="014ADC64"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60" w:type="pct"/>
          </w:tcPr>
          <w:p w14:paraId="2FF58FAB"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SSSI coverage of habitat and favourable condition (%)</w:t>
            </w:r>
          </w:p>
        </w:tc>
        <w:tc>
          <w:tcPr>
            <w:tcW w:w="845" w:type="pct"/>
          </w:tcPr>
          <w:p w14:paraId="7A95547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All</w:t>
            </w:r>
          </w:p>
        </w:tc>
        <w:tc>
          <w:tcPr>
            <w:tcW w:w="1318" w:type="pct"/>
          </w:tcPr>
          <w:p w14:paraId="4DD600D4"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Existence / option value</w:t>
            </w:r>
          </w:p>
        </w:tc>
      </w:tr>
      <w:tr w:rsidR="00205F19" w:rsidRPr="00403A68" w14:paraId="2155A353" w14:textId="77777777" w:rsidTr="003632AC">
        <w:trPr>
          <w:trHeight w:val="85"/>
        </w:trPr>
        <w:tc>
          <w:tcPr>
            <w:cnfStyle w:val="001000000000" w:firstRow="0" w:lastRow="0" w:firstColumn="1" w:lastColumn="0" w:oddVBand="0" w:evenVBand="0" w:oddHBand="0" w:evenHBand="0" w:firstRowFirstColumn="0" w:firstRowLastColumn="0" w:lastRowFirstColumn="0" w:lastRowLastColumn="0"/>
            <w:tcW w:w="361" w:type="pct"/>
            <w:vMerge/>
          </w:tcPr>
          <w:p w14:paraId="37BCE820" w14:textId="77777777" w:rsidR="00205F19" w:rsidRPr="00403A68" w:rsidRDefault="00205F19" w:rsidP="00666947">
            <w:pPr>
              <w:pStyle w:val="TableTextLeft"/>
            </w:pPr>
          </w:p>
        </w:tc>
        <w:tc>
          <w:tcPr>
            <w:tcW w:w="416" w:type="pct"/>
            <w:vMerge w:val="restart"/>
          </w:tcPr>
          <w:p w14:paraId="6521D9D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Built assets</w:t>
            </w:r>
          </w:p>
        </w:tc>
        <w:tc>
          <w:tcPr>
            <w:tcW w:w="2060" w:type="pct"/>
          </w:tcPr>
          <w:p w14:paraId="5EAEA1C9"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Length of national trails / Core paths (km)</w:t>
            </w:r>
          </w:p>
        </w:tc>
        <w:tc>
          <w:tcPr>
            <w:tcW w:w="845" w:type="pct"/>
          </w:tcPr>
          <w:p w14:paraId="6C817AF4"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All</w:t>
            </w:r>
          </w:p>
        </w:tc>
        <w:tc>
          <w:tcPr>
            <w:tcW w:w="1318" w:type="pct"/>
          </w:tcPr>
          <w:p w14:paraId="3E56C1CD"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Recreation</w:t>
            </w:r>
          </w:p>
        </w:tc>
      </w:tr>
      <w:tr w:rsidR="00205F19" w:rsidRPr="00403A68" w14:paraId="76865E8B" w14:textId="77777777" w:rsidTr="003632AC">
        <w:trPr>
          <w:trHeight w:val="85"/>
        </w:trPr>
        <w:tc>
          <w:tcPr>
            <w:cnfStyle w:val="001000000000" w:firstRow="0" w:lastRow="0" w:firstColumn="1" w:lastColumn="0" w:oddVBand="0" w:evenVBand="0" w:oddHBand="0" w:evenHBand="0" w:firstRowFirstColumn="0" w:firstRowLastColumn="0" w:lastRowFirstColumn="0" w:lastRowLastColumn="0"/>
            <w:tcW w:w="361" w:type="pct"/>
            <w:vMerge/>
          </w:tcPr>
          <w:p w14:paraId="6D67766D" w14:textId="77777777" w:rsidR="00205F19" w:rsidRPr="00403A68" w:rsidRDefault="00205F19" w:rsidP="00666947">
            <w:pPr>
              <w:pStyle w:val="TableTextLeft"/>
            </w:pPr>
          </w:p>
        </w:tc>
        <w:tc>
          <w:tcPr>
            <w:tcW w:w="416" w:type="pct"/>
            <w:vMerge/>
          </w:tcPr>
          <w:p w14:paraId="3537142E"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60" w:type="pct"/>
          </w:tcPr>
          <w:p w14:paraId="1D0E07CC"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Roads (km)</w:t>
            </w:r>
          </w:p>
        </w:tc>
        <w:tc>
          <w:tcPr>
            <w:tcW w:w="845" w:type="pct"/>
          </w:tcPr>
          <w:p w14:paraId="3E4DE3D8"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All</w:t>
            </w:r>
          </w:p>
        </w:tc>
        <w:tc>
          <w:tcPr>
            <w:tcW w:w="1318" w:type="pct"/>
          </w:tcPr>
          <w:p w14:paraId="4D2A9AED"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Recreation</w:t>
            </w:r>
          </w:p>
        </w:tc>
      </w:tr>
      <w:tr w:rsidR="00205F19" w:rsidRPr="00403A68" w14:paraId="6F030C2B" w14:textId="77777777" w:rsidTr="003632AC">
        <w:trPr>
          <w:trHeight w:val="85"/>
        </w:trPr>
        <w:tc>
          <w:tcPr>
            <w:cnfStyle w:val="001000000000" w:firstRow="0" w:lastRow="0" w:firstColumn="1" w:lastColumn="0" w:oddVBand="0" w:evenVBand="0" w:oddHBand="0" w:evenHBand="0" w:firstRowFirstColumn="0" w:firstRowLastColumn="0" w:lastRowFirstColumn="0" w:lastRowLastColumn="0"/>
            <w:tcW w:w="361" w:type="pct"/>
            <w:vMerge/>
          </w:tcPr>
          <w:p w14:paraId="1BE602A5" w14:textId="77777777" w:rsidR="00205F19" w:rsidRPr="00403A68" w:rsidRDefault="00205F19" w:rsidP="00666947">
            <w:pPr>
              <w:pStyle w:val="TableTextLeft"/>
            </w:pPr>
          </w:p>
        </w:tc>
        <w:tc>
          <w:tcPr>
            <w:tcW w:w="416" w:type="pct"/>
            <w:vMerge/>
          </w:tcPr>
          <w:p w14:paraId="62002910"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60" w:type="pct"/>
          </w:tcPr>
          <w:p w14:paraId="3B3442B3"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 xml:space="preserve">Population with access to habitat (%)  </w:t>
            </w:r>
          </w:p>
        </w:tc>
        <w:tc>
          <w:tcPr>
            <w:tcW w:w="845" w:type="pct"/>
          </w:tcPr>
          <w:p w14:paraId="5EEF987B"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All</w:t>
            </w:r>
          </w:p>
        </w:tc>
        <w:tc>
          <w:tcPr>
            <w:tcW w:w="1318" w:type="pct"/>
          </w:tcPr>
          <w:p w14:paraId="28B97D27"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Recreation</w:t>
            </w:r>
          </w:p>
        </w:tc>
      </w:tr>
      <w:tr w:rsidR="00205F19" w:rsidRPr="00403A68" w14:paraId="770FACDB" w14:textId="77777777" w:rsidTr="003632AC">
        <w:trPr>
          <w:trHeight w:val="85"/>
        </w:trPr>
        <w:tc>
          <w:tcPr>
            <w:cnfStyle w:val="001000000000" w:firstRow="0" w:lastRow="0" w:firstColumn="1" w:lastColumn="0" w:oddVBand="0" w:evenVBand="0" w:oddHBand="0" w:evenHBand="0" w:firstRowFirstColumn="0" w:firstRowLastColumn="0" w:lastRowFirstColumn="0" w:lastRowLastColumn="0"/>
            <w:tcW w:w="361" w:type="pct"/>
            <w:vMerge/>
          </w:tcPr>
          <w:p w14:paraId="62F6C701" w14:textId="77777777" w:rsidR="00205F19" w:rsidRPr="00403A68" w:rsidRDefault="00205F19" w:rsidP="00666947">
            <w:pPr>
              <w:pStyle w:val="TableTextLeft"/>
            </w:pPr>
          </w:p>
        </w:tc>
        <w:tc>
          <w:tcPr>
            <w:tcW w:w="416" w:type="pct"/>
            <w:vMerge/>
          </w:tcPr>
          <w:p w14:paraId="303D5518"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60" w:type="pct"/>
          </w:tcPr>
          <w:p w14:paraId="3BF64A7E"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Accessible area of habitat (%)</w:t>
            </w:r>
          </w:p>
        </w:tc>
        <w:tc>
          <w:tcPr>
            <w:tcW w:w="845" w:type="pct"/>
          </w:tcPr>
          <w:p w14:paraId="72949644"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All</w:t>
            </w:r>
          </w:p>
        </w:tc>
        <w:tc>
          <w:tcPr>
            <w:tcW w:w="1318" w:type="pct"/>
          </w:tcPr>
          <w:p w14:paraId="4955AE61"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Recreation</w:t>
            </w:r>
          </w:p>
        </w:tc>
      </w:tr>
      <w:tr w:rsidR="00205F19" w:rsidRPr="00403A68" w14:paraId="6AC512B6" w14:textId="77777777" w:rsidTr="003632AC">
        <w:trPr>
          <w:trHeight w:val="85"/>
        </w:trPr>
        <w:tc>
          <w:tcPr>
            <w:cnfStyle w:val="001000000000" w:firstRow="0" w:lastRow="0" w:firstColumn="1" w:lastColumn="0" w:oddVBand="0" w:evenVBand="0" w:oddHBand="0" w:evenHBand="0" w:firstRowFirstColumn="0" w:firstRowLastColumn="0" w:lastRowFirstColumn="0" w:lastRowLastColumn="0"/>
            <w:tcW w:w="361" w:type="pct"/>
            <w:vMerge/>
          </w:tcPr>
          <w:p w14:paraId="2F6743CC" w14:textId="77777777" w:rsidR="00205F19" w:rsidRPr="00403A68" w:rsidRDefault="00205F19" w:rsidP="00666947">
            <w:pPr>
              <w:pStyle w:val="TableTextLeft"/>
            </w:pPr>
          </w:p>
        </w:tc>
        <w:tc>
          <w:tcPr>
            <w:tcW w:w="416" w:type="pct"/>
            <w:vMerge/>
          </w:tcPr>
          <w:p w14:paraId="27A0B4DD"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60" w:type="pct"/>
          </w:tcPr>
          <w:p w14:paraId="5B474E43"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Visitor centre buildings and other facilities (playground, toilet, sporting facilities)</w:t>
            </w:r>
          </w:p>
        </w:tc>
        <w:tc>
          <w:tcPr>
            <w:tcW w:w="845" w:type="pct"/>
          </w:tcPr>
          <w:p w14:paraId="59924139"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All</w:t>
            </w:r>
          </w:p>
        </w:tc>
        <w:tc>
          <w:tcPr>
            <w:tcW w:w="1318" w:type="pct"/>
          </w:tcPr>
          <w:p w14:paraId="5ADCFC3A"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Recreation</w:t>
            </w:r>
          </w:p>
        </w:tc>
      </w:tr>
      <w:tr w:rsidR="00205F19" w:rsidRPr="00403A68" w14:paraId="6F771AF5" w14:textId="77777777" w:rsidTr="003632AC">
        <w:trPr>
          <w:trHeight w:val="85"/>
        </w:trPr>
        <w:tc>
          <w:tcPr>
            <w:cnfStyle w:val="001000000000" w:firstRow="0" w:lastRow="0" w:firstColumn="1" w:lastColumn="0" w:oddVBand="0" w:evenVBand="0" w:oddHBand="0" w:evenHBand="0" w:firstRowFirstColumn="0" w:firstRowLastColumn="0" w:lastRowFirstColumn="0" w:lastRowLastColumn="0"/>
            <w:tcW w:w="361" w:type="pct"/>
            <w:vMerge/>
          </w:tcPr>
          <w:p w14:paraId="256BC190" w14:textId="77777777" w:rsidR="00205F19" w:rsidRPr="00403A68" w:rsidRDefault="00205F19" w:rsidP="00666947">
            <w:pPr>
              <w:pStyle w:val="TableTextLeft"/>
            </w:pPr>
          </w:p>
        </w:tc>
        <w:tc>
          <w:tcPr>
            <w:tcW w:w="416" w:type="pct"/>
            <w:vMerge/>
          </w:tcPr>
          <w:p w14:paraId="31ED6517"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60" w:type="pct"/>
          </w:tcPr>
          <w:p w14:paraId="7B4BEA89"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Viewing lookouts</w:t>
            </w:r>
          </w:p>
        </w:tc>
        <w:tc>
          <w:tcPr>
            <w:tcW w:w="845" w:type="pct"/>
          </w:tcPr>
          <w:p w14:paraId="2A71790A"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All</w:t>
            </w:r>
          </w:p>
        </w:tc>
        <w:tc>
          <w:tcPr>
            <w:tcW w:w="1318" w:type="pct"/>
          </w:tcPr>
          <w:p w14:paraId="5E3D446E"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Recreation</w:t>
            </w:r>
          </w:p>
        </w:tc>
      </w:tr>
      <w:tr w:rsidR="00205F19" w:rsidRPr="00403A68" w14:paraId="5A1B4801" w14:textId="77777777" w:rsidTr="003632AC">
        <w:trPr>
          <w:trHeight w:val="70"/>
        </w:trPr>
        <w:tc>
          <w:tcPr>
            <w:cnfStyle w:val="001000000000" w:firstRow="0" w:lastRow="0" w:firstColumn="1" w:lastColumn="0" w:oddVBand="0" w:evenVBand="0" w:oddHBand="0" w:evenHBand="0" w:firstRowFirstColumn="0" w:firstRowLastColumn="0" w:lastRowFirstColumn="0" w:lastRowLastColumn="0"/>
            <w:tcW w:w="361" w:type="pct"/>
            <w:vMerge/>
          </w:tcPr>
          <w:p w14:paraId="47521187" w14:textId="77777777" w:rsidR="00205F19" w:rsidRPr="00403A68" w:rsidRDefault="00205F19" w:rsidP="00666947">
            <w:pPr>
              <w:pStyle w:val="TableTextLeft"/>
            </w:pPr>
          </w:p>
        </w:tc>
        <w:tc>
          <w:tcPr>
            <w:tcW w:w="416" w:type="pct"/>
            <w:vMerge/>
          </w:tcPr>
          <w:p w14:paraId="327750DE"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060" w:type="pct"/>
          </w:tcPr>
          <w:p w14:paraId="266632E9"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Piers and jetties (number)</w:t>
            </w:r>
          </w:p>
        </w:tc>
        <w:tc>
          <w:tcPr>
            <w:tcW w:w="845" w:type="pct"/>
          </w:tcPr>
          <w:p w14:paraId="39BBDB74"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All</w:t>
            </w:r>
          </w:p>
        </w:tc>
        <w:tc>
          <w:tcPr>
            <w:tcW w:w="1318" w:type="pct"/>
          </w:tcPr>
          <w:p w14:paraId="76DEBD91"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Recreation</w:t>
            </w:r>
          </w:p>
        </w:tc>
      </w:tr>
    </w:tbl>
    <w:p w14:paraId="63A63098" w14:textId="77777777" w:rsidR="00205F19" w:rsidRPr="00403A68" w:rsidRDefault="00205F19" w:rsidP="00205F19">
      <w:pPr>
        <w:pStyle w:val="BodyText"/>
        <w:rPr>
          <w:highlight w:val="yellow"/>
        </w:rPr>
      </w:pPr>
    </w:p>
    <w:p w14:paraId="79A31613" w14:textId="77777777" w:rsidR="00205F19" w:rsidRPr="00403A68" w:rsidRDefault="00205F19" w:rsidP="00205F19">
      <w:pPr>
        <w:pStyle w:val="Heading2"/>
        <w:sectPr w:rsidR="00205F19" w:rsidRPr="00403A68" w:rsidSect="00E52A9A">
          <w:headerReference w:type="even" r:id="rId416"/>
          <w:headerReference w:type="default" r:id="rId417"/>
          <w:footerReference w:type="even" r:id="rId418"/>
          <w:footerReference w:type="default" r:id="rId419"/>
          <w:pgSz w:w="23811" w:h="16838" w:orient="landscape" w:code="8"/>
          <w:pgMar w:top="1134" w:right="1134" w:bottom="1134" w:left="1134" w:header="283" w:footer="283" w:gutter="0"/>
          <w:cols w:space="284"/>
          <w:docGrid w:linePitch="360"/>
        </w:sectPr>
      </w:pPr>
    </w:p>
    <w:p w14:paraId="0092D576" w14:textId="77777777" w:rsidR="00205F19" w:rsidRPr="00403A68" w:rsidRDefault="00205F19" w:rsidP="0004232F">
      <w:pPr>
        <w:pStyle w:val="Heading1"/>
        <w:numPr>
          <w:ilvl w:val="0"/>
          <w:numId w:val="0"/>
        </w:numPr>
      </w:pPr>
      <w:bookmarkStart w:id="448" w:name="_Toc98854718"/>
      <w:bookmarkStart w:id="449" w:name="_Toc163547114"/>
      <w:r w:rsidRPr="00403A68">
        <w:lastRenderedPageBreak/>
        <w:t>Annex 8. Alignment of OCES coastal and marine indicators with the environmental-economic accounting framework for Great Ocean Road</w:t>
      </w:r>
      <w:bookmarkEnd w:id="448"/>
      <w:bookmarkEnd w:id="449"/>
    </w:p>
    <w:tbl>
      <w:tblPr>
        <w:tblW w:w="5000" w:type="pct"/>
        <w:tblBorders>
          <w:top w:val="single" w:sz="4" w:space="0" w:color="201547" w:themeColor="text2"/>
          <w:bottom w:val="single" w:sz="4" w:space="0" w:color="201547" w:themeColor="text2"/>
          <w:insideH w:val="single" w:sz="4" w:space="0" w:color="201547" w:themeColor="text2"/>
        </w:tblBorders>
        <w:tblLook w:val="04A0" w:firstRow="1" w:lastRow="0" w:firstColumn="1" w:lastColumn="0" w:noHBand="0" w:noVBand="1"/>
      </w:tblPr>
      <w:tblGrid>
        <w:gridCol w:w="1119"/>
        <w:gridCol w:w="2710"/>
        <w:gridCol w:w="2853"/>
        <w:gridCol w:w="5633"/>
        <w:gridCol w:w="2255"/>
      </w:tblGrid>
      <w:tr w:rsidR="00205F19" w:rsidRPr="00403A68" w14:paraId="59B056B5" w14:textId="77777777" w:rsidTr="003632AC">
        <w:trPr>
          <w:trHeight w:val="25"/>
          <w:tblHeader/>
        </w:trPr>
        <w:tc>
          <w:tcPr>
            <w:tcW w:w="384" w:type="pct"/>
            <w:shd w:val="clear" w:color="auto" w:fill="004C97" w:themeFill="accent1"/>
            <w:hideMark/>
          </w:tcPr>
          <w:p w14:paraId="3C09265A" w14:textId="77777777" w:rsidR="00205F19" w:rsidRPr="00403A68" w:rsidRDefault="00205F19" w:rsidP="00D56960">
            <w:pPr>
              <w:pStyle w:val="TableHeadingLeft"/>
            </w:pPr>
            <w:r w:rsidRPr="00403A68">
              <w:t>Indicator notation</w:t>
            </w:r>
          </w:p>
        </w:tc>
        <w:tc>
          <w:tcPr>
            <w:tcW w:w="930" w:type="pct"/>
            <w:shd w:val="clear" w:color="auto" w:fill="004C97" w:themeFill="accent1"/>
            <w:hideMark/>
          </w:tcPr>
          <w:p w14:paraId="4611180F" w14:textId="77777777" w:rsidR="00205F19" w:rsidRPr="00403A68" w:rsidRDefault="00205F19" w:rsidP="00D56960">
            <w:pPr>
              <w:pStyle w:val="TableHeadingLeft"/>
            </w:pPr>
            <w:r w:rsidRPr="00403A68">
              <w:t>Sub-chapter</w:t>
            </w:r>
            <w:r w:rsidRPr="00403A68">
              <w:br/>
            </w:r>
          </w:p>
        </w:tc>
        <w:tc>
          <w:tcPr>
            <w:tcW w:w="979" w:type="pct"/>
            <w:shd w:val="clear" w:color="auto" w:fill="004C97" w:themeFill="accent1"/>
            <w:hideMark/>
          </w:tcPr>
          <w:p w14:paraId="18D4D304" w14:textId="77777777" w:rsidR="00205F19" w:rsidRPr="00403A68" w:rsidRDefault="00205F19" w:rsidP="00D56960">
            <w:pPr>
              <w:pStyle w:val="TableHeadingLeft"/>
            </w:pPr>
            <w:r w:rsidRPr="00403A68">
              <w:t>Theme</w:t>
            </w:r>
          </w:p>
        </w:tc>
        <w:tc>
          <w:tcPr>
            <w:tcW w:w="1933" w:type="pct"/>
            <w:shd w:val="clear" w:color="auto" w:fill="004C97" w:themeFill="accent1"/>
            <w:noWrap/>
            <w:hideMark/>
          </w:tcPr>
          <w:p w14:paraId="37AFF295" w14:textId="77777777" w:rsidR="00205F19" w:rsidRPr="00403A68" w:rsidRDefault="00205F19" w:rsidP="00D56960">
            <w:pPr>
              <w:pStyle w:val="TableHeadingLeft"/>
            </w:pPr>
            <w:r w:rsidRPr="00403A68">
              <w:t>Indicator name</w:t>
            </w:r>
          </w:p>
        </w:tc>
        <w:tc>
          <w:tcPr>
            <w:tcW w:w="774" w:type="pct"/>
            <w:shd w:val="clear" w:color="auto" w:fill="004C97" w:themeFill="accent1"/>
          </w:tcPr>
          <w:p w14:paraId="73FA0575" w14:textId="77777777" w:rsidR="00205F19" w:rsidRPr="00403A68" w:rsidRDefault="00205F19" w:rsidP="00D56960">
            <w:pPr>
              <w:pStyle w:val="TableHeadingLeft"/>
            </w:pPr>
            <w:r w:rsidRPr="00403A68">
              <w:t>Alignment with GORCAP EEA</w:t>
            </w:r>
          </w:p>
        </w:tc>
      </w:tr>
      <w:tr w:rsidR="00205F19" w:rsidRPr="00403A68" w14:paraId="1B2017A7" w14:textId="77777777" w:rsidTr="003632AC">
        <w:trPr>
          <w:trHeight w:val="20"/>
        </w:trPr>
        <w:tc>
          <w:tcPr>
            <w:tcW w:w="384" w:type="pct"/>
            <w:noWrap/>
            <w:hideMark/>
          </w:tcPr>
          <w:p w14:paraId="5CFB4BAC" w14:textId="77777777" w:rsidR="00205F19" w:rsidRPr="00403A68" w:rsidRDefault="00205F19" w:rsidP="00666947">
            <w:pPr>
              <w:pStyle w:val="TableTextLeft"/>
            </w:pPr>
            <w:r w:rsidRPr="00403A68">
              <w:t>1</w:t>
            </w:r>
          </w:p>
        </w:tc>
        <w:tc>
          <w:tcPr>
            <w:tcW w:w="930" w:type="pct"/>
            <w:hideMark/>
          </w:tcPr>
          <w:p w14:paraId="2F92F13C" w14:textId="77777777" w:rsidR="00205F19" w:rsidRPr="00403A68" w:rsidRDefault="00205F19" w:rsidP="00666947">
            <w:pPr>
              <w:pStyle w:val="TableTextLeft"/>
            </w:pPr>
            <w:r w:rsidRPr="00403A68">
              <w:t>Environmental Health</w:t>
            </w:r>
          </w:p>
        </w:tc>
        <w:tc>
          <w:tcPr>
            <w:tcW w:w="979" w:type="pct"/>
            <w:hideMark/>
          </w:tcPr>
          <w:p w14:paraId="333D45EB" w14:textId="77777777" w:rsidR="00205F19" w:rsidRPr="00403A68" w:rsidRDefault="00205F19" w:rsidP="00666947">
            <w:pPr>
              <w:pStyle w:val="TableTextLeft"/>
            </w:pPr>
            <w:r w:rsidRPr="00403A68">
              <w:t>Water Quality &amp; Catchment Inputs</w:t>
            </w:r>
          </w:p>
        </w:tc>
        <w:tc>
          <w:tcPr>
            <w:tcW w:w="1933" w:type="pct"/>
            <w:hideMark/>
          </w:tcPr>
          <w:p w14:paraId="50B007E9" w14:textId="77777777" w:rsidR="00205F19" w:rsidRPr="00403A68" w:rsidRDefault="00205F19" w:rsidP="00666947">
            <w:pPr>
              <w:pStyle w:val="TableTextLeft"/>
            </w:pPr>
            <w:r w:rsidRPr="00403A68">
              <w:t>Water quality (physio-chem) in marine water bodies and embayment’s</w:t>
            </w:r>
          </w:p>
        </w:tc>
        <w:tc>
          <w:tcPr>
            <w:tcW w:w="774" w:type="pct"/>
            <w:shd w:val="clear" w:color="auto" w:fill="FFFF00"/>
          </w:tcPr>
          <w:p w14:paraId="0C2C50B0" w14:textId="77777777" w:rsidR="00205F19" w:rsidRPr="00403A68" w:rsidRDefault="00205F19" w:rsidP="00666947">
            <w:pPr>
              <w:pStyle w:val="TableTextLeft"/>
            </w:pPr>
            <w:r w:rsidRPr="00403A68">
              <w:t>Condition account</w:t>
            </w:r>
          </w:p>
        </w:tc>
      </w:tr>
      <w:tr w:rsidR="00205F19" w:rsidRPr="00403A68" w14:paraId="5114C559" w14:textId="77777777" w:rsidTr="003632AC">
        <w:trPr>
          <w:trHeight w:val="33"/>
        </w:trPr>
        <w:tc>
          <w:tcPr>
            <w:tcW w:w="384" w:type="pct"/>
            <w:noWrap/>
            <w:hideMark/>
          </w:tcPr>
          <w:p w14:paraId="39381F7C" w14:textId="77777777" w:rsidR="00205F19" w:rsidRPr="00403A68" w:rsidRDefault="00205F19" w:rsidP="00666947">
            <w:pPr>
              <w:pStyle w:val="TableTextLeft"/>
            </w:pPr>
            <w:r w:rsidRPr="00403A68">
              <w:t>2</w:t>
            </w:r>
          </w:p>
        </w:tc>
        <w:tc>
          <w:tcPr>
            <w:tcW w:w="930" w:type="pct"/>
            <w:hideMark/>
          </w:tcPr>
          <w:p w14:paraId="391CAC44" w14:textId="77777777" w:rsidR="00205F19" w:rsidRPr="00403A68" w:rsidRDefault="00205F19" w:rsidP="00666947">
            <w:pPr>
              <w:pStyle w:val="TableTextLeft"/>
            </w:pPr>
            <w:r w:rsidRPr="00403A68">
              <w:t>Environmental Health</w:t>
            </w:r>
          </w:p>
        </w:tc>
        <w:tc>
          <w:tcPr>
            <w:tcW w:w="979" w:type="pct"/>
            <w:hideMark/>
          </w:tcPr>
          <w:p w14:paraId="1C098CD7" w14:textId="77777777" w:rsidR="00205F19" w:rsidRPr="00403A68" w:rsidRDefault="00205F19" w:rsidP="00666947">
            <w:pPr>
              <w:pStyle w:val="TableTextLeft"/>
            </w:pPr>
            <w:r w:rsidRPr="00403A68">
              <w:t>Water Quality &amp; Catchment Inputs</w:t>
            </w:r>
          </w:p>
        </w:tc>
        <w:tc>
          <w:tcPr>
            <w:tcW w:w="1933" w:type="pct"/>
            <w:hideMark/>
          </w:tcPr>
          <w:p w14:paraId="356CC94E" w14:textId="77777777" w:rsidR="00205F19" w:rsidRPr="00403A68" w:rsidRDefault="00205F19" w:rsidP="00666947">
            <w:pPr>
              <w:pStyle w:val="TableTextLeft"/>
            </w:pPr>
            <w:r w:rsidRPr="00403A68">
              <w:t>Water quality (toxicants) in marine water bodies and embayment’s</w:t>
            </w:r>
          </w:p>
        </w:tc>
        <w:tc>
          <w:tcPr>
            <w:tcW w:w="774" w:type="pct"/>
            <w:shd w:val="clear" w:color="auto" w:fill="FFFF00"/>
          </w:tcPr>
          <w:p w14:paraId="29738DD4" w14:textId="77777777" w:rsidR="00205F19" w:rsidRPr="00403A68" w:rsidRDefault="00205F19" w:rsidP="00666947">
            <w:pPr>
              <w:pStyle w:val="TableTextLeft"/>
            </w:pPr>
            <w:r w:rsidRPr="00403A68">
              <w:t>Condition account</w:t>
            </w:r>
          </w:p>
        </w:tc>
      </w:tr>
      <w:tr w:rsidR="00205F19" w:rsidRPr="00403A68" w14:paraId="6DFFA67B" w14:textId="77777777" w:rsidTr="003632AC">
        <w:trPr>
          <w:trHeight w:val="25"/>
        </w:trPr>
        <w:tc>
          <w:tcPr>
            <w:tcW w:w="384" w:type="pct"/>
            <w:noWrap/>
            <w:hideMark/>
          </w:tcPr>
          <w:p w14:paraId="24E3BE2D" w14:textId="77777777" w:rsidR="00205F19" w:rsidRPr="00403A68" w:rsidRDefault="00205F19" w:rsidP="00666947">
            <w:pPr>
              <w:pStyle w:val="TableTextLeft"/>
            </w:pPr>
            <w:r w:rsidRPr="00403A68">
              <w:t>3</w:t>
            </w:r>
          </w:p>
        </w:tc>
        <w:tc>
          <w:tcPr>
            <w:tcW w:w="930" w:type="pct"/>
            <w:hideMark/>
          </w:tcPr>
          <w:p w14:paraId="50038BD4" w14:textId="77777777" w:rsidR="00205F19" w:rsidRPr="00403A68" w:rsidRDefault="00205F19" w:rsidP="00666947">
            <w:pPr>
              <w:pStyle w:val="TableTextLeft"/>
            </w:pPr>
            <w:r w:rsidRPr="00403A68">
              <w:t>Environmental Health</w:t>
            </w:r>
          </w:p>
        </w:tc>
        <w:tc>
          <w:tcPr>
            <w:tcW w:w="979" w:type="pct"/>
            <w:hideMark/>
          </w:tcPr>
          <w:p w14:paraId="331828CC" w14:textId="77777777" w:rsidR="00205F19" w:rsidRPr="00403A68" w:rsidRDefault="00205F19" w:rsidP="00666947">
            <w:pPr>
              <w:pStyle w:val="TableTextLeft"/>
            </w:pPr>
            <w:r w:rsidRPr="00403A68">
              <w:t>Water Quality &amp; Catchment Inputs</w:t>
            </w:r>
          </w:p>
        </w:tc>
        <w:tc>
          <w:tcPr>
            <w:tcW w:w="1933" w:type="pct"/>
            <w:hideMark/>
          </w:tcPr>
          <w:p w14:paraId="40E1D959" w14:textId="77777777" w:rsidR="00205F19" w:rsidRPr="00403A68" w:rsidRDefault="00205F19" w:rsidP="00666947">
            <w:pPr>
              <w:pStyle w:val="TableTextLeft"/>
            </w:pPr>
            <w:r w:rsidRPr="00403A68">
              <w:t>Water quality (estuaries)</w:t>
            </w:r>
          </w:p>
        </w:tc>
        <w:tc>
          <w:tcPr>
            <w:tcW w:w="774" w:type="pct"/>
            <w:shd w:val="clear" w:color="auto" w:fill="FFFF00"/>
          </w:tcPr>
          <w:p w14:paraId="335C10DC" w14:textId="77777777" w:rsidR="00205F19" w:rsidRPr="00403A68" w:rsidRDefault="00205F19" w:rsidP="00666947">
            <w:pPr>
              <w:pStyle w:val="TableTextLeft"/>
            </w:pPr>
            <w:r w:rsidRPr="00403A68">
              <w:t>Condition account</w:t>
            </w:r>
          </w:p>
        </w:tc>
      </w:tr>
      <w:tr w:rsidR="00205F19" w:rsidRPr="00403A68" w14:paraId="5C464542" w14:textId="77777777" w:rsidTr="003632AC">
        <w:trPr>
          <w:trHeight w:val="20"/>
        </w:trPr>
        <w:tc>
          <w:tcPr>
            <w:tcW w:w="384" w:type="pct"/>
            <w:noWrap/>
            <w:hideMark/>
          </w:tcPr>
          <w:p w14:paraId="03A29F5E" w14:textId="77777777" w:rsidR="00205F19" w:rsidRPr="00403A68" w:rsidRDefault="00205F19" w:rsidP="00666947">
            <w:pPr>
              <w:pStyle w:val="TableTextLeft"/>
            </w:pPr>
            <w:r w:rsidRPr="00403A68">
              <w:t>4</w:t>
            </w:r>
          </w:p>
        </w:tc>
        <w:tc>
          <w:tcPr>
            <w:tcW w:w="930" w:type="pct"/>
            <w:hideMark/>
          </w:tcPr>
          <w:p w14:paraId="10C8952B" w14:textId="77777777" w:rsidR="00205F19" w:rsidRPr="00403A68" w:rsidRDefault="00205F19" w:rsidP="00666947">
            <w:pPr>
              <w:pStyle w:val="TableTextLeft"/>
            </w:pPr>
            <w:r w:rsidRPr="00403A68">
              <w:t>Environmental Health</w:t>
            </w:r>
          </w:p>
        </w:tc>
        <w:tc>
          <w:tcPr>
            <w:tcW w:w="979" w:type="pct"/>
            <w:hideMark/>
          </w:tcPr>
          <w:p w14:paraId="7A0F590D" w14:textId="77777777" w:rsidR="00205F19" w:rsidRPr="00403A68" w:rsidRDefault="00205F19" w:rsidP="00666947">
            <w:pPr>
              <w:pStyle w:val="TableTextLeft"/>
            </w:pPr>
            <w:r w:rsidRPr="00403A68">
              <w:t>Water Quality &amp; Catchment Inputs</w:t>
            </w:r>
          </w:p>
        </w:tc>
        <w:tc>
          <w:tcPr>
            <w:tcW w:w="1933" w:type="pct"/>
            <w:hideMark/>
          </w:tcPr>
          <w:p w14:paraId="39D83E09" w14:textId="77777777" w:rsidR="00205F19" w:rsidRPr="00403A68" w:rsidRDefault="00205F19" w:rsidP="00666947">
            <w:pPr>
              <w:pStyle w:val="TableTextLeft"/>
            </w:pPr>
            <w:r w:rsidRPr="00403A68">
              <w:t>Water quality (coastal lagoons)</w:t>
            </w:r>
          </w:p>
        </w:tc>
        <w:tc>
          <w:tcPr>
            <w:tcW w:w="774" w:type="pct"/>
            <w:shd w:val="clear" w:color="auto" w:fill="FFFF00"/>
          </w:tcPr>
          <w:p w14:paraId="37D0B1EB" w14:textId="77777777" w:rsidR="00205F19" w:rsidRPr="00403A68" w:rsidRDefault="00205F19" w:rsidP="00666947">
            <w:pPr>
              <w:pStyle w:val="TableTextLeft"/>
            </w:pPr>
            <w:r w:rsidRPr="00403A68">
              <w:t>Condition account</w:t>
            </w:r>
          </w:p>
        </w:tc>
      </w:tr>
      <w:tr w:rsidR="00205F19" w:rsidRPr="00403A68" w14:paraId="3B4E3396" w14:textId="77777777" w:rsidTr="003632AC">
        <w:trPr>
          <w:trHeight w:val="78"/>
        </w:trPr>
        <w:tc>
          <w:tcPr>
            <w:tcW w:w="384" w:type="pct"/>
            <w:noWrap/>
            <w:hideMark/>
          </w:tcPr>
          <w:p w14:paraId="0EDBDA5C" w14:textId="77777777" w:rsidR="00205F19" w:rsidRPr="00403A68" w:rsidRDefault="00205F19" w:rsidP="00666947">
            <w:pPr>
              <w:pStyle w:val="TableTextLeft"/>
            </w:pPr>
            <w:r w:rsidRPr="00403A68">
              <w:t>5</w:t>
            </w:r>
          </w:p>
        </w:tc>
        <w:tc>
          <w:tcPr>
            <w:tcW w:w="930" w:type="pct"/>
            <w:hideMark/>
          </w:tcPr>
          <w:p w14:paraId="2354A5AF" w14:textId="77777777" w:rsidR="00205F19" w:rsidRPr="00403A68" w:rsidRDefault="00205F19" w:rsidP="00666947">
            <w:pPr>
              <w:pStyle w:val="TableTextLeft"/>
            </w:pPr>
            <w:r w:rsidRPr="00403A68">
              <w:t>Environmental Health</w:t>
            </w:r>
          </w:p>
        </w:tc>
        <w:tc>
          <w:tcPr>
            <w:tcW w:w="979" w:type="pct"/>
            <w:hideMark/>
          </w:tcPr>
          <w:p w14:paraId="0164EF23" w14:textId="77777777" w:rsidR="00205F19" w:rsidRPr="00403A68" w:rsidRDefault="00205F19" w:rsidP="00666947">
            <w:pPr>
              <w:pStyle w:val="TableTextLeft"/>
            </w:pPr>
            <w:r w:rsidRPr="00403A68">
              <w:t>Water Quality &amp; Catchment Inputs</w:t>
            </w:r>
          </w:p>
        </w:tc>
        <w:tc>
          <w:tcPr>
            <w:tcW w:w="1933" w:type="pct"/>
            <w:hideMark/>
          </w:tcPr>
          <w:p w14:paraId="1836CCE9" w14:textId="77777777" w:rsidR="00205F19" w:rsidRPr="00403A68" w:rsidRDefault="00205F19" w:rsidP="00666947">
            <w:pPr>
              <w:pStyle w:val="TableTextLeft"/>
            </w:pPr>
            <w:r w:rsidRPr="00403A68">
              <w:t>Phytoplankton</w:t>
            </w:r>
          </w:p>
        </w:tc>
        <w:tc>
          <w:tcPr>
            <w:tcW w:w="774" w:type="pct"/>
            <w:shd w:val="clear" w:color="auto" w:fill="FFFF00"/>
          </w:tcPr>
          <w:p w14:paraId="095FCD28" w14:textId="77777777" w:rsidR="00205F19" w:rsidRPr="00403A68" w:rsidRDefault="00205F19" w:rsidP="00666947">
            <w:pPr>
              <w:pStyle w:val="TableTextLeft"/>
            </w:pPr>
            <w:r w:rsidRPr="00403A68">
              <w:t>Condition account</w:t>
            </w:r>
          </w:p>
        </w:tc>
      </w:tr>
      <w:tr w:rsidR="00205F19" w:rsidRPr="00403A68" w14:paraId="798938CF" w14:textId="77777777" w:rsidTr="003632AC">
        <w:trPr>
          <w:trHeight w:val="20"/>
        </w:trPr>
        <w:tc>
          <w:tcPr>
            <w:tcW w:w="384" w:type="pct"/>
            <w:noWrap/>
            <w:hideMark/>
          </w:tcPr>
          <w:p w14:paraId="421DDE97" w14:textId="77777777" w:rsidR="00205F19" w:rsidRPr="00403A68" w:rsidRDefault="00205F19" w:rsidP="00666947">
            <w:pPr>
              <w:pStyle w:val="TableTextLeft"/>
            </w:pPr>
            <w:r w:rsidRPr="00403A68">
              <w:t>6</w:t>
            </w:r>
          </w:p>
        </w:tc>
        <w:tc>
          <w:tcPr>
            <w:tcW w:w="930" w:type="pct"/>
            <w:hideMark/>
          </w:tcPr>
          <w:p w14:paraId="0EF127F7" w14:textId="77777777" w:rsidR="00205F19" w:rsidRPr="00403A68" w:rsidRDefault="00205F19" w:rsidP="00666947">
            <w:pPr>
              <w:pStyle w:val="TableTextLeft"/>
            </w:pPr>
            <w:r w:rsidRPr="00403A68">
              <w:t>Environmental Health</w:t>
            </w:r>
          </w:p>
        </w:tc>
        <w:tc>
          <w:tcPr>
            <w:tcW w:w="979" w:type="pct"/>
            <w:hideMark/>
          </w:tcPr>
          <w:p w14:paraId="5496F1CA" w14:textId="77777777" w:rsidR="00205F19" w:rsidRPr="00403A68" w:rsidRDefault="00205F19" w:rsidP="00666947">
            <w:pPr>
              <w:pStyle w:val="TableTextLeft"/>
            </w:pPr>
            <w:r w:rsidRPr="00403A68">
              <w:t>Water Quality &amp; Catchment Inputs</w:t>
            </w:r>
          </w:p>
        </w:tc>
        <w:tc>
          <w:tcPr>
            <w:tcW w:w="1933" w:type="pct"/>
            <w:hideMark/>
          </w:tcPr>
          <w:p w14:paraId="3DC6C207" w14:textId="77777777" w:rsidR="00205F19" w:rsidRPr="00403A68" w:rsidRDefault="00205F19" w:rsidP="00666947">
            <w:pPr>
              <w:pStyle w:val="TableTextLeft"/>
            </w:pPr>
            <w:r w:rsidRPr="00403A68">
              <w:t xml:space="preserve">Impact of poor water quality </w:t>
            </w:r>
          </w:p>
        </w:tc>
        <w:tc>
          <w:tcPr>
            <w:tcW w:w="774" w:type="pct"/>
            <w:shd w:val="clear" w:color="auto" w:fill="92D050"/>
          </w:tcPr>
          <w:p w14:paraId="0D0E52C0" w14:textId="77777777" w:rsidR="00205F19" w:rsidRPr="00403A68" w:rsidRDefault="00205F19" w:rsidP="00666947">
            <w:pPr>
              <w:pStyle w:val="TableTextLeft"/>
            </w:pPr>
            <w:r w:rsidRPr="00403A68">
              <w:t>Pressures assessment</w:t>
            </w:r>
          </w:p>
        </w:tc>
      </w:tr>
      <w:tr w:rsidR="00205F19" w:rsidRPr="00403A68" w14:paraId="6BCAB31B" w14:textId="77777777" w:rsidTr="003632AC">
        <w:trPr>
          <w:trHeight w:val="25"/>
        </w:trPr>
        <w:tc>
          <w:tcPr>
            <w:tcW w:w="384" w:type="pct"/>
            <w:noWrap/>
            <w:hideMark/>
          </w:tcPr>
          <w:p w14:paraId="20554BB9" w14:textId="77777777" w:rsidR="00205F19" w:rsidRPr="00403A68" w:rsidRDefault="00205F19" w:rsidP="00666947">
            <w:pPr>
              <w:pStyle w:val="TableTextLeft"/>
            </w:pPr>
            <w:r w:rsidRPr="00403A68">
              <w:t>7</w:t>
            </w:r>
          </w:p>
        </w:tc>
        <w:tc>
          <w:tcPr>
            <w:tcW w:w="930" w:type="pct"/>
            <w:hideMark/>
          </w:tcPr>
          <w:p w14:paraId="0346A8B1" w14:textId="77777777" w:rsidR="00205F19" w:rsidRPr="00403A68" w:rsidRDefault="00205F19" w:rsidP="00666947">
            <w:pPr>
              <w:pStyle w:val="TableTextLeft"/>
            </w:pPr>
            <w:r w:rsidRPr="00403A68">
              <w:t>Environmental Health</w:t>
            </w:r>
          </w:p>
        </w:tc>
        <w:tc>
          <w:tcPr>
            <w:tcW w:w="979" w:type="pct"/>
            <w:hideMark/>
          </w:tcPr>
          <w:p w14:paraId="48C22F6B" w14:textId="77777777" w:rsidR="00205F19" w:rsidRPr="00403A68" w:rsidRDefault="00205F19" w:rsidP="00666947">
            <w:pPr>
              <w:pStyle w:val="TableTextLeft"/>
            </w:pPr>
            <w:r w:rsidRPr="00403A68">
              <w:t>Water Quality &amp; Catchment Inputs</w:t>
            </w:r>
          </w:p>
        </w:tc>
        <w:tc>
          <w:tcPr>
            <w:tcW w:w="1933" w:type="pct"/>
            <w:hideMark/>
          </w:tcPr>
          <w:p w14:paraId="5CA200A7" w14:textId="77777777" w:rsidR="00205F19" w:rsidRPr="00403A68" w:rsidRDefault="00205F19" w:rsidP="00666947">
            <w:pPr>
              <w:pStyle w:val="TableTextLeft"/>
            </w:pPr>
            <w:r w:rsidRPr="00403A68">
              <w:t>Regulated point source discharges to marine waters</w:t>
            </w:r>
          </w:p>
        </w:tc>
        <w:tc>
          <w:tcPr>
            <w:tcW w:w="774" w:type="pct"/>
            <w:shd w:val="clear" w:color="auto" w:fill="92D050"/>
          </w:tcPr>
          <w:p w14:paraId="4DFFDCE9" w14:textId="77777777" w:rsidR="00205F19" w:rsidRPr="00403A68" w:rsidRDefault="00205F19" w:rsidP="00666947">
            <w:pPr>
              <w:pStyle w:val="TableTextLeft"/>
            </w:pPr>
            <w:r w:rsidRPr="00403A68">
              <w:t>Pressures assessment</w:t>
            </w:r>
          </w:p>
        </w:tc>
      </w:tr>
      <w:tr w:rsidR="00205F19" w:rsidRPr="00403A68" w14:paraId="3CE62148" w14:textId="77777777" w:rsidTr="003632AC">
        <w:trPr>
          <w:trHeight w:val="20"/>
        </w:trPr>
        <w:tc>
          <w:tcPr>
            <w:tcW w:w="384" w:type="pct"/>
            <w:noWrap/>
            <w:hideMark/>
          </w:tcPr>
          <w:p w14:paraId="5A45F231" w14:textId="77777777" w:rsidR="00205F19" w:rsidRPr="00403A68" w:rsidRDefault="00205F19" w:rsidP="00666947">
            <w:pPr>
              <w:pStyle w:val="TableTextLeft"/>
            </w:pPr>
            <w:r w:rsidRPr="00403A68">
              <w:t>8</w:t>
            </w:r>
          </w:p>
        </w:tc>
        <w:tc>
          <w:tcPr>
            <w:tcW w:w="930" w:type="pct"/>
            <w:hideMark/>
          </w:tcPr>
          <w:p w14:paraId="4869247B" w14:textId="77777777" w:rsidR="00205F19" w:rsidRPr="00403A68" w:rsidRDefault="00205F19" w:rsidP="00666947">
            <w:pPr>
              <w:pStyle w:val="TableTextLeft"/>
            </w:pPr>
            <w:r w:rsidRPr="00403A68">
              <w:t>Environmental Health</w:t>
            </w:r>
          </w:p>
        </w:tc>
        <w:tc>
          <w:tcPr>
            <w:tcW w:w="979" w:type="pct"/>
            <w:hideMark/>
          </w:tcPr>
          <w:p w14:paraId="04A964FE" w14:textId="77777777" w:rsidR="00205F19" w:rsidRPr="00403A68" w:rsidRDefault="00205F19" w:rsidP="00666947">
            <w:pPr>
              <w:pStyle w:val="TableTextLeft"/>
            </w:pPr>
            <w:r w:rsidRPr="00403A68">
              <w:t>Water Quality &amp; Catchment Inputs</w:t>
            </w:r>
          </w:p>
        </w:tc>
        <w:tc>
          <w:tcPr>
            <w:tcW w:w="1933" w:type="pct"/>
            <w:hideMark/>
          </w:tcPr>
          <w:p w14:paraId="719423BC" w14:textId="77777777" w:rsidR="00205F19" w:rsidRPr="00403A68" w:rsidRDefault="00205F19" w:rsidP="00666947">
            <w:pPr>
              <w:pStyle w:val="TableTextLeft"/>
            </w:pPr>
            <w:r w:rsidRPr="00403A68">
              <w:t>Stormwater</w:t>
            </w:r>
          </w:p>
        </w:tc>
        <w:tc>
          <w:tcPr>
            <w:tcW w:w="774" w:type="pct"/>
            <w:shd w:val="clear" w:color="auto" w:fill="92D050"/>
          </w:tcPr>
          <w:p w14:paraId="5B2BDDBA" w14:textId="77777777" w:rsidR="00205F19" w:rsidRPr="00403A68" w:rsidRDefault="00205F19" w:rsidP="00666947">
            <w:pPr>
              <w:pStyle w:val="TableTextLeft"/>
            </w:pPr>
            <w:r w:rsidRPr="00403A68">
              <w:t>Pressures assessment</w:t>
            </w:r>
          </w:p>
        </w:tc>
      </w:tr>
      <w:tr w:rsidR="00205F19" w:rsidRPr="00403A68" w14:paraId="0233B403" w14:textId="77777777" w:rsidTr="003632AC">
        <w:trPr>
          <w:trHeight w:val="20"/>
        </w:trPr>
        <w:tc>
          <w:tcPr>
            <w:tcW w:w="384" w:type="pct"/>
            <w:noWrap/>
            <w:hideMark/>
          </w:tcPr>
          <w:p w14:paraId="63979288" w14:textId="77777777" w:rsidR="00205F19" w:rsidRPr="00403A68" w:rsidRDefault="00205F19" w:rsidP="00666947">
            <w:pPr>
              <w:pStyle w:val="TableTextLeft"/>
            </w:pPr>
            <w:r w:rsidRPr="00403A68">
              <w:t>9</w:t>
            </w:r>
          </w:p>
        </w:tc>
        <w:tc>
          <w:tcPr>
            <w:tcW w:w="930" w:type="pct"/>
            <w:hideMark/>
          </w:tcPr>
          <w:p w14:paraId="48DD6145" w14:textId="77777777" w:rsidR="00205F19" w:rsidRPr="00403A68" w:rsidRDefault="00205F19" w:rsidP="00666947">
            <w:pPr>
              <w:pStyle w:val="TableTextLeft"/>
            </w:pPr>
            <w:r w:rsidRPr="00403A68">
              <w:t>Environmental Health</w:t>
            </w:r>
          </w:p>
        </w:tc>
        <w:tc>
          <w:tcPr>
            <w:tcW w:w="979" w:type="pct"/>
            <w:hideMark/>
          </w:tcPr>
          <w:p w14:paraId="6FE96330" w14:textId="77777777" w:rsidR="00205F19" w:rsidRPr="00403A68" w:rsidRDefault="00205F19" w:rsidP="00666947">
            <w:pPr>
              <w:pStyle w:val="TableTextLeft"/>
            </w:pPr>
            <w:r w:rsidRPr="00403A68">
              <w:t>Water Quality &amp; Catchment Inputs</w:t>
            </w:r>
          </w:p>
        </w:tc>
        <w:tc>
          <w:tcPr>
            <w:tcW w:w="1933" w:type="pct"/>
            <w:hideMark/>
          </w:tcPr>
          <w:p w14:paraId="678F2172" w14:textId="77777777" w:rsidR="00205F19" w:rsidRPr="00403A68" w:rsidRDefault="00205F19" w:rsidP="00666947">
            <w:pPr>
              <w:pStyle w:val="TableTextLeft"/>
            </w:pPr>
            <w:r w:rsidRPr="00403A68">
              <w:t>Total nutrient loads</w:t>
            </w:r>
          </w:p>
        </w:tc>
        <w:tc>
          <w:tcPr>
            <w:tcW w:w="774" w:type="pct"/>
            <w:shd w:val="clear" w:color="auto" w:fill="92D050"/>
          </w:tcPr>
          <w:p w14:paraId="7902F9BD" w14:textId="77777777" w:rsidR="00205F19" w:rsidRPr="00403A68" w:rsidRDefault="00205F19" w:rsidP="00666947">
            <w:pPr>
              <w:pStyle w:val="TableTextLeft"/>
            </w:pPr>
            <w:r w:rsidRPr="00403A68">
              <w:t>Pressures assessment</w:t>
            </w:r>
          </w:p>
        </w:tc>
      </w:tr>
      <w:tr w:rsidR="00205F19" w:rsidRPr="00403A68" w14:paraId="03EBE7F6" w14:textId="77777777" w:rsidTr="003632AC">
        <w:trPr>
          <w:trHeight w:val="25"/>
        </w:trPr>
        <w:tc>
          <w:tcPr>
            <w:tcW w:w="384" w:type="pct"/>
            <w:noWrap/>
            <w:hideMark/>
          </w:tcPr>
          <w:p w14:paraId="148D7D62" w14:textId="77777777" w:rsidR="00205F19" w:rsidRPr="00403A68" w:rsidRDefault="00205F19" w:rsidP="00666947">
            <w:pPr>
              <w:pStyle w:val="TableTextLeft"/>
            </w:pPr>
            <w:r w:rsidRPr="00403A68">
              <w:t>10</w:t>
            </w:r>
          </w:p>
        </w:tc>
        <w:tc>
          <w:tcPr>
            <w:tcW w:w="930" w:type="pct"/>
            <w:hideMark/>
          </w:tcPr>
          <w:p w14:paraId="130FC51D" w14:textId="77777777" w:rsidR="00205F19" w:rsidRPr="00403A68" w:rsidRDefault="00205F19" w:rsidP="00666947">
            <w:pPr>
              <w:pStyle w:val="TableTextLeft"/>
            </w:pPr>
            <w:r w:rsidRPr="00403A68">
              <w:t>Environmental Health</w:t>
            </w:r>
          </w:p>
        </w:tc>
        <w:tc>
          <w:tcPr>
            <w:tcW w:w="979" w:type="pct"/>
            <w:hideMark/>
          </w:tcPr>
          <w:p w14:paraId="5F09AFF7" w14:textId="77777777" w:rsidR="00205F19" w:rsidRPr="00403A68" w:rsidRDefault="00205F19" w:rsidP="00666947">
            <w:pPr>
              <w:pStyle w:val="TableTextLeft"/>
            </w:pPr>
            <w:r w:rsidRPr="00403A68">
              <w:t>Water Quality &amp; Catchment Inputs</w:t>
            </w:r>
          </w:p>
        </w:tc>
        <w:tc>
          <w:tcPr>
            <w:tcW w:w="1933" w:type="pct"/>
            <w:hideMark/>
          </w:tcPr>
          <w:p w14:paraId="11B08D0C" w14:textId="77777777" w:rsidR="00205F19" w:rsidRPr="00403A68" w:rsidRDefault="00205F19" w:rsidP="00666947">
            <w:pPr>
              <w:pStyle w:val="TableTextLeft"/>
            </w:pPr>
            <w:r w:rsidRPr="00403A68">
              <w:t>Total fine sediment loads</w:t>
            </w:r>
          </w:p>
        </w:tc>
        <w:tc>
          <w:tcPr>
            <w:tcW w:w="774" w:type="pct"/>
            <w:shd w:val="clear" w:color="auto" w:fill="92D050"/>
          </w:tcPr>
          <w:p w14:paraId="3D1FB191" w14:textId="77777777" w:rsidR="00205F19" w:rsidRPr="00403A68" w:rsidRDefault="00205F19" w:rsidP="00666947">
            <w:pPr>
              <w:pStyle w:val="TableTextLeft"/>
            </w:pPr>
            <w:r w:rsidRPr="00403A68">
              <w:t>Pressures assessment</w:t>
            </w:r>
          </w:p>
        </w:tc>
      </w:tr>
      <w:tr w:rsidR="00205F19" w:rsidRPr="00403A68" w14:paraId="4430AF33" w14:textId="77777777" w:rsidTr="003632AC">
        <w:trPr>
          <w:trHeight w:val="33"/>
        </w:trPr>
        <w:tc>
          <w:tcPr>
            <w:tcW w:w="384" w:type="pct"/>
            <w:noWrap/>
            <w:hideMark/>
          </w:tcPr>
          <w:p w14:paraId="0C2E8B82" w14:textId="77777777" w:rsidR="00205F19" w:rsidRPr="00403A68" w:rsidRDefault="00205F19" w:rsidP="00666947">
            <w:pPr>
              <w:pStyle w:val="TableTextLeft"/>
            </w:pPr>
            <w:r w:rsidRPr="00403A68">
              <w:t>11</w:t>
            </w:r>
          </w:p>
        </w:tc>
        <w:tc>
          <w:tcPr>
            <w:tcW w:w="930" w:type="pct"/>
            <w:hideMark/>
          </w:tcPr>
          <w:p w14:paraId="70AAA41C" w14:textId="77777777" w:rsidR="00205F19" w:rsidRPr="00403A68" w:rsidRDefault="00205F19" w:rsidP="00666947">
            <w:pPr>
              <w:pStyle w:val="TableTextLeft"/>
            </w:pPr>
            <w:r w:rsidRPr="00403A68">
              <w:t>Environmental Health</w:t>
            </w:r>
          </w:p>
        </w:tc>
        <w:tc>
          <w:tcPr>
            <w:tcW w:w="979" w:type="pct"/>
            <w:hideMark/>
          </w:tcPr>
          <w:p w14:paraId="5D66B49D" w14:textId="77777777" w:rsidR="00205F19" w:rsidRPr="00403A68" w:rsidRDefault="00205F19" w:rsidP="00666947">
            <w:pPr>
              <w:pStyle w:val="TableTextLeft"/>
            </w:pPr>
            <w:r w:rsidRPr="00403A68">
              <w:t>Water Quality &amp; Catchment Inputs</w:t>
            </w:r>
          </w:p>
        </w:tc>
        <w:tc>
          <w:tcPr>
            <w:tcW w:w="1933" w:type="pct"/>
            <w:hideMark/>
          </w:tcPr>
          <w:p w14:paraId="482BE159" w14:textId="77777777" w:rsidR="00205F19" w:rsidRPr="00403A68" w:rsidRDefault="00205F19" w:rsidP="00666947">
            <w:pPr>
              <w:pStyle w:val="TableTextLeft"/>
            </w:pPr>
            <w:r w:rsidRPr="00403A68">
              <w:t>Coastal acid sulphate soils</w:t>
            </w:r>
          </w:p>
        </w:tc>
        <w:tc>
          <w:tcPr>
            <w:tcW w:w="774" w:type="pct"/>
            <w:shd w:val="clear" w:color="auto" w:fill="FFFF00"/>
          </w:tcPr>
          <w:p w14:paraId="5670E5E7" w14:textId="77777777" w:rsidR="00205F19" w:rsidRPr="00403A68" w:rsidRDefault="00205F19" w:rsidP="00666947">
            <w:pPr>
              <w:pStyle w:val="TableTextLeft"/>
            </w:pPr>
            <w:r w:rsidRPr="00403A68">
              <w:t>Condition account</w:t>
            </w:r>
          </w:p>
        </w:tc>
      </w:tr>
      <w:tr w:rsidR="00205F19" w:rsidRPr="00403A68" w14:paraId="7B769057" w14:textId="77777777" w:rsidTr="003632AC">
        <w:trPr>
          <w:trHeight w:val="25"/>
        </w:trPr>
        <w:tc>
          <w:tcPr>
            <w:tcW w:w="384" w:type="pct"/>
            <w:noWrap/>
            <w:hideMark/>
          </w:tcPr>
          <w:p w14:paraId="1ABE2107" w14:textId="77777777" w:rsidR="00205F19" w:rsidRPr="00403A68" w:rsidRDefault="00205F19" w:rsidP="00666947">
            <w:pPr>
              <w:pStyle w:val="TableTextLeft"/>
            </w:pPr>
            <w:r w:rsidRPr="00403A68">
              <w:t>12</w:t>
            </w:r>
          </w:p>
        </w:tc>
        <w:tc>
          <w:tcPr>
            <w:tcW w:w="930" w:type="pct"/>
            <w:hideMark/>
          </w:tcPr>
          <w:p w14:paraId="0B05D9CB" w14:textId="77777777" w:rsidR="00205F19" w:rsidRPr="00403A68" w:rsidRDefault="00205F19" w:rsidP="00666947">
            <w:pPr>
              <w:pStyle w:val="TableTextLeft"/>
            </w:pPr>
            <w:r w:rsidRPr="00403A68">
              <w:t>Environmental Health</w:t>
            </w:r>
          </w:p>
        </w:tc>
        <w:tc>
          <w:tcPr>
            <w:tcW w:w="979" w:type="pct"/>
            <w:hideMark/>
          </w:tcPr>
          <w:p w14:paraId="7A8108D3" w14:textId="77777777" w:rsidR="00205F19" w:rsidRPr="00403A68" w:rsidRDefault="00205F19" w:rsidP="00666947">
            <w:pPr>
              <w:pStyle w:val="TableTextLeft"/>
            </w:pPr>
            <w:r w:rsidRPr="00403A68">
              <w:t>Flora and Fauna</w:t>
            </w:r>
          </w:p>
        </w:tc>
        <w:tc>
          <w:tcPr>
            <w:tcW w:w="1933" w:type="pct"/>
            <w:hideMark/>
          </w:tcPr>
          <w:p w14:paraId="433C7CD0" w14:textId="77777777" w:rsidR="00205F19" w:rsidRPr="00403A68" w:rsidRDefault="00205F19" w:rsidP="00666947">
            <w:pPr>
              <w:pStyle w:val="TableTextLeft"/>
            </w:pPr>
            <w:r w:rsidRPr="00403A68">
              <w:t>Conservation of coastal ecosystems in protected areas</w:t>
            </w:r>
          </w:p>
        </w:tc>
        <w:tc>
          <w:tcPr>
            <w:tcW w:w="774" w:type="pct"/>
            <w:shd w:val="clear" w:color="auto" w:fill="FFFF00"/>
          </w:tcPr>
          <w:p w14:paraId="028D22A4" w14:textId="77777777" w:rsidR="00205F19" w:rsidRPr="00403A68" w:rsidRDefault="00205F19" w:rsidP="00666947">
            <w:pPr>
              <w:pStyle w:val="TableTextLeft"/>
            </w:pPr>
            <w:r w:rsidRPr="00403A68">
              <w:t>Condition account</w:t>
            </w:r>
          </w:p>
        </w:tc>
      </w:tr>
      <w:tr w:rsidR="00205F19" w:rsidRPr="00403A68" w14:paraId="2D5BE653" w14:textId="77777777" w:rsidTr="003632AC">
        <w:trPr>
          <w:trHeight w:val="54"/>
        </w:trPr>
        <w:tc>
          <w:tcPr>
            <w:tcW w:w="384" w:type="pct"/>
            <w:noWrap/>
            <w:hideMark/>
          </w:tcPr>
          <w:p w14:paraId="0E8C649A" w14:textId="77777777" w:rsidR="00205F19" w:rsidRPr="00403A68" w:rsidRDefault="00205F19" w:rsidP="00666947">
            <w:pPr>
              <w:pStyle w:val="TableTextLeft"/>
            </w:pPr>
            <w:r w:rsidRPr="00403A68">
              <w:t>13</w:t>
            </w:r>
          </w:p>
        </w:tc>
        <w:tc>
          <w:tcPr>
            <w:tcW w:w="930" w:type="pct"/>
            <w:hideMark/>
          </w:tcPr>
          <w:p w14:paraId="3AFC3040" w14:textId="77777777" w:rsidR="00205F19" w:rsidRPr="00403A68" w:rsidRDefault="00205F19" w:rsidP="00666947">
            <w:pPr>
              <w:pStyle w:val="TableTextLeft"/>
            </w:pPr>
            <w:r w:rsidRPr="00403A68">
              <w:t>Environmental Health</w:t>
            </w:r>
          </w:p>
        </w:tc>
        <w:tc>
          <w:tcPr>
            <w:tcW w:w="979" w:type="pct"/>
            <w:hideMark/>
          </w:tcPr>
          <w:p w14:paraId="77D3EBF3" w14:textId="77777777" w:rsidR="00205F19" w:rsidRPr="00403A68" w:rsidRDefault="00205F19" w:rsidP="00666947">
            <w:pPr>
              <w:pStyle w:val="TableTextLeft"/>
            </w:pPr>
            <w:r w:rsidRPr="00403A68">
              <w:t>Flora and Fauna</w:t>
            </w:r>
          </w:p>
        </w:tc>
        <w:tc>
          <w:tcPr>
            <w:tcW w:w="1933" w:type="pct"/>
            <w:hideMark/>
          </w:tcPr>
          <w:p w14:paraId="180FCE47" w14:textId="77777777" w:rsidR="00205F19" w:rsidRPr="00403A68" w:rsidRDefault="00205F19" w:rsidP="00666947">
            <w:pPr>
              <w:pStyle w:val="TableTextLeft"/>
            </w:pPr>
            <w:r w:rsidRPr="00403A68">
              <w:t>Saltmarsh</w:t>
            </w:r>
          </w:p>
        </w:tc>
        <w:tc>
          <w:tcPr>
            <w:tcW w:w="774" w:type="pct"/>
            <w:shd w:val="clear" w:color="auto" w:fill="7F68D2"/>
          </w:tcPr>
          <w:p w14:paraId="31693D28" w14:textId="77777777" w:rsidR="00205F19" w:rsidRPr="00403A68" w:rsidRDefault="00205F19" w:rsidP="00666947">
            <w:pPr>
              <w:pStyle w:val="TableTextLeft"/>
            </w:pPr>
            <w:r w:rsidRPr="00403A68">
              <w:t>Extent account</w:t>
            </w:r>
          </w:p>
        </w:tc>
      </w:tr>
      <w:tr w:rsidR="00205F19" w:rsidRPr="00403A68" w14:paraId="350462C4" w14:textId="77777777" w:rsidTr="003632AC">
        <w:trPr>
          <w:trHeight w:val="25"/>
        </w:trPr>
        <w:tc>
          <w:tcPr>
            <w:tcW w:w="384" w:type="pct"/>
            <w:noWrap/>
            <w:hideMark/>
          </w:tcPr>
          <w:p w14:paraId="399FB9DF" w14:textId="77777777" w:rsidR="00205F19" w:rsidRPr="00403A68" w:rsidRDefault="00205F19" w:rsidP="00666947">
            <w:pPr>
              <w:pStyle w:val="TableTextLeft"/>
            </w:pPr>
            <w:r w:rsidRPr="00403A68">
              <w:t>14</w:t>
            </w:r>
          </w:p>
        </w:tc>
        <w:tc>
          <w:tcPr>
            <w:tcW w:w="930" w:type="pct"/>
            <w:hideMark/>
          </w:tcPr>
          <w:p w14:paraId="3FAA70EF" w14:textId="77777777" w:rsidR="00205F19" w:rsidRPr="00403A68" w:rsidRDefault="00205F19" w:rsidP="00666947">
            <w:pPr>
              <w:pStyle w:val="TableTextLeft"/>
            </w:pPr>
            <w:r w:rsidRPr="00403A68">
              <w:t>Environmental Health</w:t>
            </w:r>
          </w:p>
        </w:tc>
        <w:tc>
          <w:tcPr>
            <w:tcW w:w="979" w:type="pct"/>
            <w:hideMark/>
          </w:tcPr>
          <w:p w14:paraId="08BB6143" w14:textId="77777777" w:rsidR="00205F19" w:rsidRPr="00403A68" w:rsidRDefault="00205F19" w:rsidP="00666947">
            <w:pPr>
              <w:pStyle w:val="TableTextLeft"/>
            </w:pPr>
            <w:r w:rsidRPr="00403A68">
              <w:t>Flora and Fauna</w:t>
            </w:r>
          </w:p>
        </w:tc>
        <w:tc>
          <w:tcPr>
            <w:tcW w:w="1933" w:type="pct"/>
            <w:hideMark/>
          </w:tcPr>
          <w:p w14:paraId="178EF20D" w14:textId="77777777" w:rsidR="00205F19" w:rsidRPr="00403A68" w:rsidRDefault="00205F19" w:rsidP="00666947">
            <w:pPr>
              <w:pStyle w:val="TableTextLeft"/>
            </w:pPr>
            <w:r w:rsidRPr="00403A68">
              <w:t>Mangroves</w:t>
            </w:r>
          </w:p>
        </w:tc>
        <w:tc>
          <w:tcPr>
            <w:tcW w:w="774" w:type="pct"/>
            <w:shd w:val="clear" w:color="auto" w:fill="7F68D2"/>
          </w:tcPr>
          <w:p w14:paraId="61E8A4BA" w14:textId="77777777" w:rsidR="00205F19" w:rsidRPr="00403A68" w:rsidRDefault="00205F19" w:rsidP="00666947">
            <w:pPr>
              <w:pStyle w:val="TableTextLeft"/>
            </w:pPr>
            <w:r w:rsidRPr="00403A68">
              <w:t>Extent account</w:t>
            </w:r>
          </w:p>
        </w:tc>
      </w:tr>
      <w:tr w:rsidR="00205F19" w:rsidRPr="00403A68" w14:paraId="41CAD385" w14:textId="77777777" w:rsidTr="003632AC">
        <w:trPr>
          <w:trHeight w:val="20"/>
        </w:trPr>
        <w:tc>
          <w:tcPr>
            <w:tcW w:w="384" w:type="pct"/>
            <w:noWrap/>
            <w:hideMark/>
          </w:tcPr>
          <w:p w14:paraId="044DC1F6" w14:textId="77777777" w:rsidR="00205F19" w:rsidRPr="00403A68" w:rsidRDefault="00205F19" w:rsidP="00666947">
            <w:pPr>
              <w:pStyle w:val="TableTextLeft"/>
            </w:pPr>
            <w:r w:rsidRPr="00403A68">
              <w:t>15</w:t>
            </w:r>
          </w:p>
        </w:tc>
        <w:tc>
          <w:tcPr>
            <w:tcW w:w="930" w:type="pct"/>
            <w:hideMark/>
          </w:tcPr>
          <w:p w14:paraId="3616BC28" w14:textId="77777777" w:rsidR="00205F19" w:rsidRPr="00403A68" w:rsidRDefault="00205F19" w:rsidP="00666947">
            <w:pPr>
              <w:pStyle w:val="TableTextLeft"/>
            </w:pPr>
            <w:r w:rsidRPr="00403A68">
              <w:t>Environmental Health</w:t>
            </w:r>
          </w:p>
        </w:tc>
        <w:tc>
          <w:tcPr>
            <w:tcW w:w="979" w:type="pct"/>
            <w:hideMark/>
          </w:tcPr>
          <w:p w14:paraId="213D1071" w14:textId="77777777" w:rsidR="00205F19" w:rsidRPr="00403A68" w:rsidRDefault="00205F19" w:rsidP="00666947">
            <w:pPr>
              <w:pStyle w:val="TableTextLeft"/>
            </w:pPr>
            <w:r w:rsidRPr="00403A68">
              <w:t>Flora and Fauna</w:t>
            </w:r>
          </w:p>
        </w:tc>
        <w:tc>
          <w:tcPr>
            <w:tcW w:w="1933" w:type="pct"/>
            <w:hideMark/>
          </w:tcPr>
          <w:p w14:paraId="3EAC8496" w14:textId="77777777" w:rsidR="00205F19" w:rsidRPr="00403A68" w:rsidRDefault="00205F19" w:rsidP="00666947">
            <w:pPr>
              <w:pStyle w:val="TableTextLeft"/>
            </w:pPr>
            <w:r w:rsidRPr="00403A68">
              <w:t>Other coastal, wetland and estuary vegetation</w:t>
            </w:r>
          </w:p>
        </w:tc>
        <w:tc>
          <w:tcPr>
            <w:tcW w:w="774" w:type="pct"/>
            <w:shd w:val="clear" w:color="auto" w:fill="7F68D2"/>
          </w:tcPr>
          <w:p w14:paraId="7B67378B" w14:textId="77777777" w:rsidR="00205F19" w:rsidRPr="00403A68" w:rsidRDefault="00205F19" w:rsidP="00666947">
            <w:pPr>
              <w:pStyle w:val="TableTextLeft"/>
            </w:pPr>
            <w:r w:rsidRPr="00403A68">
              <w:t>Extent account</w:t>
            </w:r>
          </w:p>
        </w:tc>
      </w:tr>
      <w:tr w:rsidR="00205F19" w:rsidRPr="00403A68" w14:paraId="03508E6C" w14:textId="77777777" w:rsidTr="003632AC">
        <w:trPr>
          <w:trHeight w:val="20"/>
        </w:trPr>
        <w:tc>
          <w:tcPr>
            <w:tcW w:w="384" w:type="pct"/>
            <w:noWrap/>
            <w:hideMark/>
          </w:tcPr>
          <w:p w14:paraId="1D217142" w14:textId="77777777" w:rsidR="00205F19" w:rsidRPr="00403A68" w:rsidRDefault="00205F19" w:rsidP="00666947">
            <w:pPr>
              <w:pStyle w:val="TableTextLeft"/>
            </w:pPr>
            <w:r w:rsidRPr="00403A68">
              <w:t>16</w:t>
            </w:r>
          </w:p>
        </w:tc>
        <w:tc>
          <w:tcPr>
            <w:tcW w:w="930" w:type="pct"/>
            <w:hideMark/>
          </w:tcPr>
          <w:p w14:paraId="27029F95" w14:textId="77777777" w:rsidR="00205F19" w:rsidRPr="00403A68" w:rsidRDefault="00205F19" w:rsidP="00666947">
            <w:pPr>
              <w:pStyle w:val="TableTextLeft"/>
            </w:pPr>
            <w:r w:rsidRPr="00403A68">
              <w:t>Environmental Health</w:t>
            </w:r>
          </w:p>
        </w:tc>
        <w:tc>
          <w:tcPr>
            <w:tcW w:w="979" w:type="pct"/>
            <w:hideMark/>
          </w:tcPr>
          <w:p w14:paraId="2AB0F038" w14:textId="77777777" w:rsidR="00205F19" w:rsidRPr="00403A68" w:rsidRDefault="00205F19" w:rsidP="00666947">
            <w:pPr>
              <w:pStyle w:val="TableTextLeft"/>
            </w:pPr>
            <w:r w:rsidRPr="00403A68">
              <w:t>Flora and Fauna</w:t>
            </w:r>
          </w:p>
        </w:tc>
        <w:tc>
          <w:tcPr>
            <w:tcW w:w="1933" w:type="pct"/>
            <w:hideMark/>
          </w:tcPr>
          <w:p w14:paraId="60FC6D0F" w14:textId="77777777" w:rsidR="00205F19" w:rsidRPr="00403A68" w:rsidRDefault="00205F19" w:rsidP="00666947">
            <w:pPr>
              <w:pStyle w:val="TableTextLeft"/>
            </w:pPr>
            <w:r w:rsidRPr="00403A68">
              <w:t>Threatened species abundance</w:t>
            </w:r>
          </w:p>
        </w:tc>
        <w:tc>
          <w:tcPr>
            <w:tcW w:w="774" w:type="pct"/>
            <w:shd w:val="clear" w:color="auto" w:fill="FFFF00"/>
          </w:tcPr>
          <w:p w14:paraId="4EF0B4AF" w14:textId="77777777" w:rsidR="00205F19" w:rsidRPr="00403A68" w:rsidRDefault="00205F19" w:rsidP="00666947">
            <w:pPr>
              <w:pStyle w:val="TableTextLeft"/>
            </w:pPr>
            <w:r w:rsidRPr="00403A68">
              <w:t>Condition account</w:t>
            </w:r>
          </w:p>
        </w:tc>
      </w:tr>
      <w:tr w:rsidR="00205F19" w:rsidRPr="00403A68" w14:paraId="702D6F43" w14:textId="77777777" w:rsidTr="003632AC">
        <w:trPr>
          <w:trHeight w:val="59"/>
        </w:trPr>
        <w:tc>
          <w:tcPr>
            <w:tcW w:w="384" w:type="pct"/>
            <w:noWrap/>
            <w:hideMark/>
          </w:tcPr>
          <w:p w14:paraId="4474677A" w14:textId="77777777" w:rsidR="00205F19" w:rsidRPr="00403A68" w:rsidRDefault="00205F19" w:rsidP="00666947">
            <w:pPr>
              <w:pStyle w:val="TableTextLeft"/>
            </w:pPr>
            <w:r w:rsidRPr="00403A68">
              <w:t>17</w:t>
            </w:r>
          </w:p>
        </w:tc>
        <w:tc>
          <w:tcPr>
            <w:tcW w:w="930" w:type="pct"/>
            <w:hideMark/>
          </w:tcPr>
          <w:p w14:paraId="40B28D89" w14:textId="77777777" w:rsidR="00205F19" w:rsidRPr="00403A68" w:rsidRDefault="00205F19" w:rsidP="00666947">
            <w:pPr>
              <w:pStyle w:val="TableTextLeft"/>
            </w:pPr>
            <w:r w:rsidRPr="00403A68">
              <w:t>Environmental Health</w:t>
            </w:r>
          </w:p>
        </w:tc>
        <w:tc>
          <w:tcPr>
            <w:tcW w:w="979" w:type="pct"/>
            <w:hideMark/>
          </w:tcPr>
          <w:p w14:paraId="1CECA5ED" w14:textId="77777777" w:rsidR="00205F19" w:rsidRPr="00403A68" w:rsidRDefault="00205F19" w:rsidP="00666947">
            <w:pPr>
              <w:pStyle w:val="TableTextLeft"/>
            </w:pPr>
            <w:r w:rsidRPr="00403A68">
              <w:t>Flora and Fauna</w:t>
            </w:r>
          </w:p>
        </w:tc>
        <w:tc>
          <w:tcPr>
            <w:tcW w:w="1933" w:type="pct"/>
            <w:hideMark/>
          </w:tcPr>
          <w:p w14:paraId="3DA630D1" w14:textId="77777777" w:rsidR="00205F19" w:rsidRPr="00403A68" w:rsidRDefault="00205F19" w:rsidP="00666947">
            <w:pPr>
              <w:pStyle w:val="TableTextLeft"/>
            </w:pPr>
            <w:r w:rsidRPr="00403A68">
              <w:t>Plankton</w:t>
            </w:r>
          </w:p>
        </w:tc>
        <w:tc>
          <w:tcPr>
            <w:tcW w:w="774" w:type="pct"/>
            <w:shd w:val="clear" w:color="auto" w:fill="FFFF00"/>
          </w:tcPr>
          <w:p w14:paraId="2BAB92DA" w14:textId="77777777" w:rsidR="00205F19" w:rsidRPr="00403A68" w:rsidRDefault="00205F19" w:rsidP="00666947">
            <w:pPr>
              <w:pStyle w:val="TableTextLeft"/>
            </w:pPr>
            <w:r w:rsidRPr="00403A68">
              <w:t>Condition account</w:t>
            </w:r>
          </w:p>
        </w:tc>
      </w:tr>
      <w:tr w:rsidR="00205F19" w:rsidRPr="00403A68" w14:paraId="53109D3E" w14:textId="77777777" w:rsidTr="003632AC">
        <w:trPr>
          <w:trHeight w:val="20"/>
        </w:trPr>
        <w:tc>
          <w:tcPr>
            <w:tcW w:w="384" w:type="pct"/>
            <w:noWrap/>
            <w:hideMark/>
          </w:tcPr>
          <w:p w14:paraId="1A1254C7" w14:textId="77777777" w:rsidR="00205F19" w:rsidRPr="00403A68" w:rsidRDefault="00205F19" w:rsidP="00666947">
            <w:pPr>
              <w:pStyle w:val="TableTextLeft"/>
            </w:pPr>
            <w:r w:rsidRPr="00403A68">
              <w:t>18</w:t>
            </w:r>
          </w:p>
        </w:tc>
        <w:tc>
          <w:tcPr>
            <w:tcW w:w="930" w:type="pct"/>
            <w:hideMark/>
          </w:tcPr>
          <w:p w14:paraId="4C4B1E73" w14:textId="77777777" w:rsidR="00205F19" w:rsidRPr="00403A68" w:rsidRDefault="00205F19" w:rsidP="00666947">
            <w:pPr>
              <w:pStyle w:val="TableTextLeft"/>
            </w:pPr>
            <w:r w:rsidRPr="00403A68">
              <w:t>Environmental Health</w:t>
            </w:r>
          </w:p>
        </w:tc>
        <w:tc>
          <w:tcPr>
            <w:tcW w:w="979" w:type="pct"/>
            <w:hideMark/>
          </w:tcPr>
          <w:p w14:paraId="78DBF88B" w14:textId="77777777" w:rsidR="00205F19" w:rsidRPr="00403A68" w:rsidRDefault="00205F19" w:rsidP="00666947">
            <w:pPr>
              <w:pStyle w:val="TableTextLeft"/>
            </w:pPr>
            <w:r w:rsidRPr="00403A68">
              <w:t>Flora and Fauna</w:t>
            </w:r>
          </w:p>
        </w:tc>
        <w:tc>
          <w:tcPr>
            <w:tcW w:w="1933" w:type="pct"/>
            <w:hideMark/>
          </w:tcPr>
          <w:p w14:paraId="29DAD360" w14:textId="77777777" w:rsidR="00205F19" w:rsidRPr="00403A68" w:rsidRDefault="00205F19" w:rsidP="00666947">
            <w:pPr>
              <w:pStyle w:val="TableTextLeft"/>
            </w:pPr>
            <w:r w:rsidRPr="00403A68">
              <w:t>Mobile invertebrates on intertidal reefs</w:t>
            </w:r>
          </w:p>
        </w:tc>
        <w:tc>
          <w:tcPr>
            <w:tcW w:w="774" w:type="pct"/>
            <w:shd w:val="clear" w:color="auto" w:fill="FFFF00"/>
          </w:tcPr>
          <w:p w14:paraId="4AEBCC7C" w14:textId="77777777" w:rsidR="00205F19" w:rsidRPr="00403A68" w:rsidRDefault="00205F19" w:rsidP="00666947">
            <w:pPr>
              <w:pStyle w:val="TableTextLeft"/>
            </w:pPr>
            <w:r w:rsidRPr="00403A68">
              <w:t>Condition account</w:t>
            </w:r>
          </w:p>
        </w:tc>
      </w:tr>
      <w:tr w:rsidR="00205F19" w:rsidRPr="00403A68" w14:paraId="1013EE42" w14:textId="77777777" w:rsidTr="003632AC">
        <w:trPr>
          <w:trHeight w:val="172"/>
        </w:trPr>
        <w:tc>
          <w:tcPr>
            <w:tcW w:w="384" w:type="pct"/>
            <w:noWrap/>
            <w:hideMark/>
          </w:tcPr>
          <w:p w14:paraId="3F6D3874" w14:textId="77777777" w:rsidR="00205F19" w:rsidRPr="00403A68" w:rsidRDefault="00205F19" w:rsidP="00666947">
            <w:pPr>
              <w:pStyle w:val="TableTextLeft"/>
            </w:pPr>
            <w:r w:rsidRPr="00403A68">
              <w:t>19</w:t>
            </w:r>
          </w:p>
        </w:tc>
        <w:tc>
          <w:tcPr>
            <w:tcW w:w="930" w:type="pct"/>
            <w:hideMark/>
          </w:tcPr>
          <w:p w14:paraId="5C1B8751" w14:textId="77777777" w:rsidR="00205F19" w:rsidRPr="00403A68" w:rsidRDefault="00205F19" w:rsidP="00666947">
            <w:pPr>
              <w:pStyle w:val="TableTextLeft"/>
            </w:pPr>
            <w:r w:rsidRPr="00403A68">
              <w:t>Environmental Health</w:t>
            </w:r>
          </w:p>
        </w:tc>
        <w:tc>
          <w:tcPr>
            <w:tcW w:w="979" w:type="pct"/>
            <w:hideMark/>
          </w:tcPr>
          <w:p w14:paraId="27230BB7" w14:textId="77777777" w:rsidR="00205F19" w:rsidRPr="00403A68" w:rsidRDefault="00205F19" w:rsidP="00666947">
            <w:pPr>
              <w:pStyle w:val="TableTextLeft"/>
            </w:pPr>
            <w:r w:rsidRPr="00403A68">
              <w:t>Flora and Fauna</w:t>
            </w:r>
          </w:p>
        </w:tc>
        <w:tc>
          <w:tcPr>
            <w:tcW w:w="1933" w:type="pct"/>
            <w:hideMark/>
          </w:tcPr>
          <w:p w14:paraId="0685246E" w14:textId="77777777" w:rsidR="00205F19" w:rsidRPr="00403A68" w:rsidRDefault="00205F19" w:rsidP="00666947">
            <w:pPr>
              <w:pStyle w:val="TableTextLeft"/>
            </w:pPr>
            <w:r w:rsidRPr="00403A68">
              <w:t>Sessile invertebrates on intertidal reefs</w:t>
            </w:r>
          </w:p>
        </w:tc>
        <w:tc>
          <w:tcPr>
            <w:tcW w:w="774" w:type="pct"/>
            <w:shd w:val="clear" w:color="auto" w:fill="FFFF00"/>
          </w:tcPr>
          <w:p w14:paraId="3CD3453C" w14:textId="77777777" w:rsidR="00205F19" w:rsidRPr="00403A68" w:rsidRDefault="00205F19" w:rsidP="00666947">
            <w:pPr>
              <w:pStyle w:val="TableTextLeft"/>
            </w:pPr>
            <w:r w:rsidRPr="00403A68">
              <w:t>Condition account</w:t>
            </w:r>
          </w:p>
        </w:tc>
      </w:tr>
      <w:tr w:rsidR="00205F19" w:rsidRPr="00403A68" w14:paraId="3A8C7BC0" w14:textId="77777777" w:rsidTr="003632AC">
        <w:trPr>
          <w:trHeight w:val="32"/>
        </w:trPr>
        <w:tc>
          <w:tcPr>
            <w:tcW w:w="384" w:type="pct"/>
            <w:noWrap/>
            <w:hideMark/>
          </w:tcPr>
          <w:p w14:paraId="67A81D2F" w14:textId="77777777" w:rsidR="00205F19" w:rsidRPr="00403A68" w:rsidRDefault="00205F19" w:rsidP="00666947">
            <w:pPr>
              <w:pStyle w:val="TableTextLeft"/>
            </w:pPr>
            <w:r w:rsidRPr="00403A68">
              <w:t>20</w:t>
            </w:r>
          </w:p>
        </w:tc>
        <w:tc>
          <w:tcPr>
            <w:tcW w:w="930" w:type="pct"/>
            <w:hideMark/>
          </w:tcPr>
          <w:p w14:paraId="377491A8" w14:textId="77777777" w:rsidR="00205F19" w:rsidRPr="00403A68" w:rsidRDefault="00205F19" w:rsidP="00666947">
            <w:pPr>
              <w:pStyle w:val="TableTextLeft"/>
            </w:pPr>
            <w:r w:rsidRPr="00403A68">
              <w:t>Environmental Health</w:t>
            </w:r>
          </w:p>
        </w:tc>
        <w:tc>
          <w:tcPr>
            <w:tcW w:w="979" w:type="pct"/>
            <w:hideMark/>
          </w:tcPr>
          <w:p w14:paraId="0E049DFF" w14:textId="77777777" w:rsidR="00205F19" w:rsidRPr="00403A68" w:rsidRDefault="00205F19" w:rsidP="00666947">
            <w:pPr>
              <w:pStyle w:val="TableTextLeft"/>
            </w:pPr>
            <w:r w:rsidRPr="00403A68">
              <w:t>Flora and Fauna</w:t>
            </w:r>
          </w:p>
        </w:tc>
        <w:tc>
          <w:tcPr>
            <w:tcW w:w="1933" w:type="pct"/>
            <w:hideMark/>
          </w:tcPr>
          <w:p w14:paraId="622DE972" w14:textId="77777777" w:rsidR="00205F19" w:rsidRPr="00403A68" w:rsidRDefault="00205F19" w:rsidP="00666947">
            <w:pPr>
              <w:pStyle w:val="TableTextLeft"/>
            </w:pPr>
            <w:r w:rsidRPr="00403A68">
              <w:t>Mobile megafaunal invertebrates on subtidal reefs</w:t>
            </w:r>
          </w:p>
        </w:tc>
        <w:tc>
          <w:tcPr>
            <w:tcW w:w="774" w:type="pct"/>
            <w:shd w:val="clear" w:color="auto" w:fill="FFFF00"/>
          </w:tcPr>
          <w:p w14:paraId="1661A1E5" w14:textId="77777777" w:rsidR="00205F19" w:rsidRPr="00403A68" w:rsidRDefault="00205F19" w:rsidP="00666947">
            <w:pPr>
              <w:pStyle w:val="TableTextLeft"/>
            </w:pPr>
            <w:r w:rsidRPr="00403A68">
              <w:t>Condition account</w:t>
            </w:r>
          </w:p>
        </w:tc>
      </w:tr>
      <w:tr w:rsidR="00205F19" w:rsidRPr="00403A68" w14:paraId="335655D2" w14:textId="77777777" w:rsidTr="003632AC">
        <w:trPr>
          <w:trHeight w:val="144"/>
        </w:trPr>
        <w:tc>
          <w:tcPr>
            <w:tcW w:w="384" w:type="pct"/>
            <w:noWrap/>
            <w:hideMark/>
          </w:tcPr>
          <w:p w14:paraId="3A743903" w14:textId="77777777" w:rsidR="00205F19" w:rsidRPr="00403A68" w:rsidRDefault="00205F19" w:rsidP="00666947">
            <w:pPr>
              <w:pStyle w:val="TableTextLeft"/>
            </w:pPr>
            <w:r w:rsidRPr="00403A68">
              <w:t>21</w:t>
            </w:r>
          </w:p>
        </w:tc>
        <w:tc>
          <w:tcPr>
            <w:tcW w:w="930" w:type="pct"/>
            <w:hideMark/>
          </w:tcPr>
          <w:p w14:paraId="17BBEDC7" w14:textId="77777777" w:rsidR="00205F19" w:rsidRPr="00403A68" w:rsidRDefault="00205F19" w:rsidP="00666947">
            <w:pPr>
              <w:pStyle w:val="TableTextLeft"/>
            </w:pPr>
            <w:r w:rsidRPr="00403A68">
              <w:t>Environmental Health</w:t>
            </w:r>
          </w:p>
        </w:tc>
        <w:tc>
          <w:tcPr>
            <w:tcW w:w="979" w:type="pct"/>
            <w:hideMark/>
          </w:tcPr>
          <w:p w14:paraId="1F9D9BEC" w14:textId="77777777" w:rsidR="00205F19" w:rsidRPr="00403A68" w:rsidRDefault="00205F19" w:rsidP="00666947">
            <w:pPr>
              <w:pStyle w:val="TableTextLeft"/>
            </w:pPr>
            <w:r w:rsidRPr="00403A68">
              <w:t>Flora and Fauna</w:t>
            </w:r>
          </w:p>
        </w:tc>
        <w:tc>
          <w:tcPr>
            <w:tcW w:w="1933" w:type="pct"/>
            <w:hideMark/>
          </w:tcPr>
          <w:p w14:paraId="7C738226" w14:textId="77777777" w:rsidR="00205F19" w:rsidRPr="00403A68" w:rsidRDefault="00205F19" w:rsidP="00666947">
            <w:pPr>
              <w:pStyle w:val="TableTextLeft"/>
            </w:pPr>
            <w:r w:rsidRPr="00403A68">
              <w:t xml:space="preserve">Commercially and recreationally important invertebrates </w:t>
            </w:r>
          </w:p>
        </w:tc>
        <w:tc>
          <w:tcPr>
            <w:tcW w:w="774" w:type="pct"/>
            <w:shd w:val="clear" w:color="auto" w:fill="FFFF00"/>
          </w:tcPr>
          <w:p w14:paraId="7654EEB4" w14:textId="77777777" w:rsidR="00205F19" w:rsidRPr="00403A68" w:rsidRDefault="00205F19" w:rsidP="00666947">
            <w:pPr>
              <w:pStyle w:val="TableTextLeft"/>
            </w:pPr>
            <w:r w:rsidRPr="00403A68">
              <w:t>Condition account</w:t>
            </w:r>
          </w:p>
        </w:tc>
      </w:tr>
      <w:tr w:rsidR="00205F19" w:rsidRPr="00403A68" w14:paraId="6A262805" w14:textId="77777777" w:rsidTr="003632AC">
        <w:trPr>
          <w:trHeight w:val="179"/>
        </w:trPr>
        <w:tc>
          <w:tcPr>
            <w:tcW w:w="384" w:type="pct"/>
            <w:noWrap/>
            <w:hideMark/>
          </w:tcPr>
          <w:p w14:paraId="12271875" w14:textId="77777777" w:rsidR="00205F19" w:rsidRPr="00403A68" w:rsidRDefault="00205F19" w:rsidP="00666947">
            <w:pPr>
              <w:pStyle w:val="TableTextLeft"/>
            </w:pPr>
            <w:r w:rsidRPr="00403A68">
              <w:t>22</w:t>
            </w:r>
          </w:p>
        </w:tc>
        <w:tc>
          <w:tcPr>
            <w:tcW w:w="930" w:type="pct"/>
            <w:hideMark/>
          </w:tcPr>
          <w:p w14:paraId="00E1F8B4" w14:textId="77777777" w:rsidR="00205F19" w:rsidRPr="00403A68" w:rsidRDefault="00205F19" w:rsidP="00666947">
            <w:pPr>
              <w:pStyle w:val="TableTextLeft"/>
            </w:pPr>
            <w:r w:rsidRPr="00403A68">
              <w:t>Environmental Health</w:t>
            </w:r>
          </w:p>
        </w:tc>
        <w:tc>
          <w:tcPr>
            <w:tcW w:w="979" w:type="pct"/>
            <w:hideMark/>
          </w:tcPr>
          <w:p w14:paraId="780ECDB4" w14:textId="77777777" w:rsidR="00205F19" w:rsidRPr="00403A68" w:rsidRDefault="00205F19" w:rsidP="00666947">
            <w:pPr>
              <w:pStyle w:val="TableTextLeft"/>
            </w:pPr>
            <w:r w:rsidRPr="00403A68">
              <w:t>Flora and Fauna</w:t>
            </w:r>
          </w:p>
        </w:tc>
        <w:tc>
          <w:tcPr>
            <w:tcW w:w="1933" w:type="pct"/>
            <w:hideMark/>
          </w:tcPr>
          <w:p w14:paraId="6AF67B0F" w14:textId="77777777" w:rsidR="00205F19" w:rsidRPr="00403A68" w:rsidRDefault="00205F19" w:rsidP="00666947">
            <w:pPr>
              <w:pStyle w:val="TableTextLeft"/>
            </w:pPr>
            <w:r w:rsidRPr="00403A68">
              <w:t>Migratory shorebirds</w:t>
            </w:r>
          </w:p>
        </w:tc>
        <w:tc>
          <w:tcPr>
            <w:tcW w:w="774" w:type="pct"/>
            <w:shd w:val="clear" w:color="auto" w:fill="FFFF00"/>
          </w:tcPr>
          <w:p w14:paraId="0CDBDFD2" w14:textId="77777777" w:rsidR="00205F19" w:rsidRPr="00403A68" w:rsidRDefault="00205F19" w:rsidP="00666947">
            <w:pPr>
              <w:pStyle w:val="TableTextLeft"/>
            </w:pPr>
            <w:r w:rsidRPr="00403A68">
              <w:t>Condition account</w:t>
            </w:r>
          </w:p>
        </w:tc>
      </w:tr>
      <w:tr w:rsidR="00205F19" w:rsidRPr="00403A68" w14:paraId="46154B7C" w14:textId="77777777" w:rsidTr="003632AC">
        <w:trPr>
          <w:trHeight w:val="81"/>
        </w:trPr>
        <w:tc>
          <w:tcPr>
            <w:tcW w:w="384" w:type="pct"/>
            <w:noWrap/>
            <w:hideMark/>
          </w:tcPr>
          <w:p w14:paraId="54DA3283" w14:textId="77777777" w:rsidR="00205F19" w:rsidRPr="00403A68" w:rsidRDefault="00205F19" w:rsidP="00666947">
            <w:pPr>
              <w:pStyle w:val="TableTextLeft"/>
            </w:pPr>
            <w:r w:rsidRPr="00403A68">
              <w:t>23</w:t>
            </w:r>
          </w:p>
        </w:tc>
        <w:tc>
          <w:tcPr>
            <w:tcW w:w="930" w:type="pct"/>
            <w:hideMark/>
          </w:tcPr>
          <w:p w14:paraId="51D0BE9B" w14:textId="77777777" w:rsidR="00205F19" w:rsidRPr="00403A68" w:rsidRDefault="00205F19" w:rsidP="00666947">
            <w:pPr>
              <w:pStyle w:val="TableTextLeft"/>
            </w:pPr>
            <w:r w:rsidRPr="00403A68">
              <w:t>Environmental Health</w:t>
            </w:r>
          </w:p>
        </w:tc>
        <w:tc>
          <w:tcPr>
            <w:tcW w:w="979" w:type="pct"/>
            <w:hideMark/>
          </w:tcPr>
          <w:p w14:paraId="502D132E" w14:textId="77777777" w:rsidR="00205F19" w:rsidRPr="00403A68" w:rsidRDefault="00205F19" w:rsidP="00666947">
            <w:pPr>
              <w:pStyle w:val="TableTextLeft"/>
            </w:pPr>
            <w:r w:rsidRPr="00403A68">
              <w:t>Flora and Fauna</w:t>
            </w:r>
          </w:p>
        </w:tc>
        <w:tc>
          <w:tcPr>
            <w:tcW w:w="1933" w:type="pct"/>
            <w:hideMark/>
          </w:tcPr>
          <w:p w14:paraId="6C45A180" w14:textId="77777777" w:rsidR="00205F19" w:rsidRPr="00403A68" w:rsidRDefault="00205F19" w:rsidP="00666947">
            <w:pPr>
              <w:pStyle w:val="TableTextLeft"/>
            </w:pPr>
            <w:r w:rsidRPr="00403A68">
              <w:t>Piscivorous (fish-eating) birds</w:t>
            </w:r>
          </w:p>
        </w:tc>
        <w:tc>
          <w:tcPr>
            <w:tcW w:w="774" w:type="pct"/>
            <w:shd w:val="clear" w:color="auto" w:fill="FFFF00"/>
          </w:tcPr>
          <w:p w14:paraId="4651AAE1" w14:textId="77777777" w:rsidR="00205F19" w:rsidRPr="00403A68" w:rsidRDefault="00205F19" w:rsidP="00666947">
            <w:pPr>
              <w:pStyle w:val="TableTextLeft"/>
            </w:pPr>
            <w:r w:rsidRPr="00403A68">
              <w:t>Condition account</w:t>
            </w:r>
          </w:p>
        </w:tc>
      </w:tr>
      <w:tr w:rsidR="00205F19" w:rsidRPr="00403A68" w14:paraId="46F36104" w14:textId="77777777" w:rsidTr="003632AC">
        <w:trPr>
          <w:trHeight w:val="25"/>
        </w:trPr>
        <w:tc>
          <w:tcPr>
            <w:tcW w:w="384" w:type="pct"/>
            <w:noWrap/>
            <w:hideMark/>
          </w:tcPr>
          <w:p w14:paraId="39FDB468" w14:textId="77777777" w:rsidR="00205F19" w:rsidRPr="00403A68" w:rsidRDefault="00205F19" w:rsidP="00666947">
            <w:pPr>
              <w:pStyle w:val="TableTextLeft"/>
            </w:pPr>
            <w:r w:rsidRPr="00403A68">
              <w:t>24</w:t>
            </w:r>
          </w:p>
        </w:tc>
        <w:tc>
          <w:tcPr>
            <w:tcW w:w="930" w:type="pct"/>
            <w:hideMark/>
          </w:tcPr>
          <w:p w14:paraId="54FEC3E2" w14:textId="77777777" w:rsidR="00205F19" w:rsidRPr="00403A68" w:rsidRDefault="00205F19" w:rsidP="00666947">
            <w:pPr>
              <w:pStyle w:val="TableTextLeft"/>
            </w:pPr>
            <w:r w:rsidRPr="00403A68">
              <w:t>Environmental Health</w:t>
            </w:r>
          </w:p>
        </w:tc>
        <w:tc>
          <w:tcPr>
            <w:tcW w:w="979" w:type="pct"/>
            <w:hideMark/>
          </w:tcPr>
          <w:p w14:paraId="4CADA797" w14:textId="77777777" w:rsidR="00205F19" w:rsidRPr="00403A68" w:rsidRDefault="00205F19" w:rsidP="00666947">
            <w:pPr>
              <w:pStyle w:val="TableTextLeft"/>
            </w:pPr>
            <w:r w:rsidRPr="00403A68">
              <w:t>Flora and Fauna</w:t>
            </w:r>
          </w:p>
        </w:tc>
        <w:tc>
          <w:tcPr>
            <w:tcW w:w="1933" w:type="pct"/>
            <w:hideMark/>
          </w:tcPr>
          <w:p w14:paraId="3D033AAD" w14:textId="77777777" w:rsidR="00205F19" w:rsidRPr="00403A68" w:rsidRDefault="00205F19" w:rsidP="00666947">
            <w:pPr>
              <w:pStyle w:val="TableTextLeft"/>
            </w:pPr>
            <w:r w:rsidRPr="00403A68">
              <w:t>Marine and coastal waterbirds</w:t>
            </w:r>
          </w:p>
        </w:tc>
        <w:tc>
          <w:tcPr>
            <w:tcW w:w="774" w:type="pct"/>
            <w:shd w:val="clear" w:color="auto" w:fill="FFFF00"/>
          </w:tcPr>
          <w:p w14:paraId="3FEECB20" w14:textId="77777777" w:rsidR="00205F19" w:rsidRPr="00403A68" w:rsidRDefault="00205F19" w:rsidP="00666947">
            <w:pPr>
              <w:pStyle w:val="TableTextLeft"/>
            </w:pPr>
            <w:r w:rsidRPr="00403A68">
              <w:t>Condition account</w:t>
            </w:r>
          </w:p>
        </w:tc>
      </w:tr>
      <w:tr w:rsidR="00205F19" w:rsidRPr="00403A68" w14:paraId="01C1FD33" w14:textId="77777777" w:rsidTr="003632AC">
        <w:trPr>
          <w:trHeight w:val="33"/>
        </w:trPr>
        <w:tc>
          <w:tcPr>
            <w:tcW w:w="384" w:type="pct"/>
            <w:noWrap/>
            <w:hideMark/>
          </w:tcPr>
          <w:p w14:paraId="01DDC0DB" w14:textId="77777777" w:rsidR="00205F19" w:rsidRPr="00403A68" w:rsidRDefault="00205F19" w:rsidP="00666947">
            <w:pPr>
              <w:pStyle w:val="TableTextLeft"/>
            </w:pPr>
            <w:r w:rsidRPr="00403A68">
              <w:t>25</w:t>
            </w:r>
          </w:p>
        </w:tc>
        <w:tc>
          <w:tcPr>
            <w:tcW w:w="930" w:type="pct"/>
            <w:hideMark/>
          </w:tcPr>
          <w:p w14:paraId="333C4257" w14:textId="77777777" w:rsidR="00205F19" w:rsidRPr="00403A68" w:rsidRDefault="00205F19" w:rsidP="00666947">
            <w:pPr>
              <w:pStyle w:val="TableTextLeft"/>
            </w:pPr>
            <w:r w:rsidRPr="00403A68">
              <w:t>Environmental Health</w:t>
            </w:r>
          </w:p>
        </w:tc>
        <w:tc>
          <w:tcPr>
            <w:tcW w:w="979" w:type="pct"/>
            <w:hideMark/>
          </w:tcPr>
          <w:p w14:paraId="29C9C09A" w14:textId="77777777" w:rsidR="00205F19" w:rsidRPr="00403A68" w:rsidRDefault="00205F19" w:rsidP="00666947">
            <w:pPr>
              <w:pStyle w:val="TableTextLeft"/>
            </w:pPr>
            <w:r w:rsidRPr="00403A68">
              <w:t>Flora and Fauna</w:t>
            </w:r>
          </w:p>
        </w:tc>
        <w:tc>
          <w:tcPr>
            <w:tcW w:w="1933" w:type="pct"/>
            <w:hideMark/>
          </w:tcPr>
          <w:p w14:paraId="3BEE98E1" w14:textId="77777777" w:rsidR="00205F19" w:rsidRPr="00403A68" w:rsidRDefault="00205F19" w:rsidP="00666947">
            <w:pPr>
              <w:pStyle w:val="TableTextLeft"/>
            </w:pPr>
            <w:r w:rsidRPr="00403A68">
              <w:t xml:space="preserve">Seagrass-dependent fish </w:t>
            </w:r>
          </w:p>
        </w:tc>
        <w:tc>
          <w:tcPr>
            <w:tcW w:w="774" w:type="pct"/>
            <w:shd w:val="clear" w:color="auto" w:fill="FFFF00"/>
          </w:tcPr>
          <w:p w14:paraId="4B6BCDC6" w14:textId="77777777" w:rsidR="00205F19" w:rsidRPr="00403A68" w:rsidRDefault="00205F19" w:rsidP="00666947">
            <w:pPr>
              <w:pStyle w:val="TableTextLeft"/>
            </w:pPr>
            <w:r w:rsidRPr="00403A68">
              <w:t>Condition account</w:t>
            </w:r>
          </w:p>
        </w:tc>
      </w:tr>
      <w:tr w:rsidR="00205F19" w:rsidRPr="00403A68" w14:paraId="312A72C2" w14:textId="77777777" w:rsidTr="003632AC">
        <w:trPr>
          <w:trHeight w:val="126"/>
        </w:trPr>
        <w:tc>
          <w:tcPr>
            <w:tcW w:w="384" w:type="pct"/>
            <w:noWrap/>
            <w:hideMark/>
          </w:tcPr>
          <w:p w14:paraId="0A1B3FF5" w14:textId="77777777" w:rsidR="00205F19" w:rsidRPr="00403A68" w:rsidRDefault="00205F19" w:rsidP="00666947">
            <w:pPr>
              <w:pStyle w:val="TableTextLeft"/>
            </w:pPr>
            <w:r w:rsidRPr="00403A68">
              <w:t>26</w:t>
            </w:r>
          </w:p>
        </w:tc>
        <w:tc>
          <w:tcPr>
            <w:tcW w:w="930" w:type="pct"/>
            <w:hideMark/>
          </w:tcPr>
          <w:p w14:paraId="527156D9" w14:textId="77777777" w:rsidR="00205F19" w:rsidRPr="00403A68" w:rsidRDefault="00205F19" w:rsidP="00666947">
            <w:pPr>
              <w:pStyle w:val="TableTextLeft"/>
            </w:pPr>
            <w:r w:rsidRPr="00403A68">
              <w:t>Environmental Health</w:t>
            </w:r>
          </w:p>
        </w:tc>
        <w:tc>
          <w:tcPr>
            <w:tcW w:w="979" w:type="pct"/>
            <w:hideMark/>
          </w:tcPr>
          <w:p w14:paraId="611DA02E" w14:textId="77777777" w:rsidR="00205F19" w:rsidRPr="00403A68" w:rsidRDefault="00205F19" w:rsidP="00666947">
            <w:pPr>
              <w:pStyle w:val="TableTextLeft"/>
            </w:pPr>
            <w:r w:rsidRPr="00403A68">
              <w:t>Flora and Fauna</w:t>
            </w:r>
          </w:p>
        </w:tc>
        <w:tc>
          <w:tcPr>
            <w:tcW w:w="1933" w:type="pct"/>
            <w:hideMark/>
          </w:tcPr>
          <w:p w14:paraId="48970211" w14:textId="77777777" w:rsidR="00205F19" w:rsidRPr="00403A68" w:rsidRDefault="00205F19" w:rsidP="00666947">
            <w:pPr>
              <w:pStyle w:val="TableTextLeft"/>
            </w:pPr>
            <w:r w:rsidRPr="00403A68">
              <w:t>Subtidal reef fish</w:t>
            </w:r>
          </w:p>
        </w:tc>
        <w:tc>
          <w:tcPr>
            <w:tcW w:w="774" w:type="pct"/>
            <w:shd w:val="clear" w:color="auto" w:fill="FFFF00"/>
          </w:tcPr>
          <w:p w14:paraId="64371B98" w14:textId="77777777" w:rsidR="00205F19" w:rsidRPr="00403A68" w:rsidRDefault="00205F19" w:rsidP="00666947">
            <w:pPr>
              <w:pStyle w:val="TableTextLeft"/>
            </w:pPr>
            <w:r w:rsidRPr="00403A68">
              <w:t>Condition account</w:t>
            </w:r>
          </w:p>
        </w:tc>
      </w:tr>
      <w:tr w:rsidR="00205F19" w:rsidRPr="00403A68" w14:paraId="6EBD0F24" w14:textId="77777777" w:rsidTr="003632AC">
        <w:trPr>
          <w:trHeight w:val="25"/>
        </w:trPr>
        <w:tc>
          <w:tcPr>
            <w:tcW w:w="384" w:type="pct"/>
            <w:noWrap/>
            <w:hideMark/>
          </w:tcPr>
          <w:p w14:paraId="44813C77" w14:textId="77777777" w:rsidR="00205F19" w:rsidRPr="00403A68" w:rsidRDefault="00205F19" w:rsidP="00666947">
            <w:pPr>
              <w:pStyle w:val="TableTextLeft"/>
            </w:pPr>
            <w:r w:rsidRPr="00403A68">
              <w:t>27</w:t>
            </w:r>
          </w:p>
        </w:tc>
        <w:tc>
          <w:tcPr>
            <w:tcW w:w="930" w:type="pct"/>
            <w:hideMark/>
          </w:tcPr>
          <w:p w14:paraId="2CF97FB7" w14:textId="77777777" w:rsidR="00205F19" w:rsidRPr="00403A68" w:rsidRDefault="00205F19" w:rsidP="00666947">
            <w:pPr>
              <w:pStyle w:val="TableTextLeft"/>
            </w:pPr>
            <w:r w:rsidRPr="00403A68">
              <w:t>Environmental Health</w:t>
            </w:r>
          </w:p>
        </w:tc>
        <w:tc>
          <w:tcPr>
            <w:tcW w:w="979" w:type="pct"/>
            <w:hideMark/>
          </w:tcPr>
          <w:p w14:paraId="7AA56B30" w14:textId="77777777" w:rsidR="00205F19" w:rsidRPr="00403A68" w:rsidRDefault="00205F19" w:rsidP="00666947">
            <w:pPr>
              <w:pStyle w:val="TableTextLeft"/>
            </w:pPr>
            <w:r w:rsidRPr="00403A68">
              <w:t>Flora and Fauna</w:t>
            </w:r>
          </w:p>
        </w:tc>
        <w:tc>
          <w:tcPr>
            <w:tcW w:w="1933" w:type="pct"/>
            <w:hideMark/>
          </w:tcPr>
          <w:p w14:paraId="370E1D3B" w14:textId="77777777" w:rsidR="00205F19" w:rsidRPr="00403A68" w:rsidRDefault="00205F19" w:rsidP="00666947">
            <w:pPr>
              <w:pStyle w:val="TableTextLeft"/>
            </w:pPr>
            <w:r w:rsidRPr="00403A68">
              <w:t xml:space="preserve">Other commercially and recreationally important fish </w:t>
            </w:r>
          </w:p>
        </w:tc>
        <w:tc>
          <w:tcPr>
            <w:tcW w:w="774" w:type="pct"/>
            <w:shd w:val="clear" w:color="auto" w:fill="FFFF00"/>
          </w:tcPr>
          <w:p w14:paraId="33841F99" w14:textId="77777777" w:rsidR="00205F19" w:rsidRPr="00403A68" w:rsidRDefault="00205F19" w:rsidP="00666947">
            <w:pPr>
              <w:pStyle w:val="TableTextLeft"/>
            </w:pPr>
            <w:r w:rsidRPr="00403A68">
              <w:t>Condition account</w:t>
            </w:r>
          </w:p>
        </w:tc>
      </w:tr>
      <w:tr w:rsidR="00205F19" w:rsidRPr="00403A68" w14:paraId="5F98EDE4" w14:textId="77777777" w:rsidTr="003632AC">
        <w:trPr>
          <w:trHeight w:val="229"/>
        </w:trPr>
        <w:tc>
          <w:tcPr>
            <w:tcW w:w="384" w:type="pct"/>
            <w:noWrap/>
            <w:hideMark/>
          </w:tcPr>
          <w:p w14:paraId="65FABAC2" w14:textId="77777777" w:rsidR="00205F19" w:rsidRPr="00403A68" w:rsidRDefault="00205F19" w:rsidP="00666947">
            <w:pPr>
              <w:pStyle w:val="TableTextLeft"/>
            </w:pPr>
            <w:r w:rsidRPr="00403A68">
              <w:t>28</w:t>
            </w:r>
          </w:p>
        </w:tc>
        <w:tc>
          <w:tcPr>
            <w:tcW w:w="930" w:type="pct"/>
            <w:hideMark/>
          </w:tcPr>
          <w:p w14:paraId="5EDB86DB" w14:textId="77777777" w:rsidR="00205F19" w:rsidRPr="00403A68" w:rsidRDefault="00205F19" w:rsidP="00666947">
            <w:pPr>
              <w:pStyle w:val="TableTextLeft"/>
            </w:pPr>
            <w:r w:rsidRPr="00403A68">
              <w:t>Environmental Health</w:t>
            </w:r>
          </w:p>
        </w:tc>
        <w:tc>
          <w:tcPr>
            <w:tcW w:w="979" w:type="pct"/>
            <w:hideMark/>
          </w:tcPr>
          <w:p w14:paraId="26D16C5B" w14:textId="77777777" w:rsidR="00205F19" w:rsidRPr="00403A68" w:rsidRDefault="00205F19" w:rsidP="00666947">
            <w:pPr>
              <w:pStyle w:val="TableTextLeft"/>
            </w:pPr>
            <w:r w:rsidRPr="00403A68">
              <w:t>Flora and Fauna</w:t>
            </w:r>
          </w:p>
        </w:tc>
        <w:tc>
          <w:tcPr>
            <w:tcW w:w="1933" w:type="pct"/>
            <w:hideMark/>
          </w:tcPr>
          <w:p w14:paraId="4B36AF02" w14:textId="77777777" w:rsidR="00205F19" w:rsidRPr="00403A68" w:rsidRDefault="00205F19" w:rsidP="00666947">
            <w:pPr>
              <w:pStyle w:val="TableTextLeft"/>
            </w:pPr>
            <w:r w:rsidRPr="00403A68">
              <w:t>Other threatened fish species</w:t>
            </w:r>
          </w:p>
        </w:tc>
        <w:tc>
          <w:tcPr>
            <w:tcW w:w="774" w:type="pct"/>
            <w:shd w:val="clear" w:color="auto" w:fill="FFFF00"/>
          </w:tcPr>
          <w:p w14:paraId="0BE4B24D" w14:textId="77777777" w:rsidR="00205F19" w:rsidRPr="00403A68" w:rsidRDefault="00205F19" w:rsidP="00666947">
            <w:pPr>
              <w:pStyle w:val="TableTextLeft"/>
            </w:pPr>
            <w:r w:rsidRPr="00403A68">
              <w:t>Condition account</w:t>
            </w:r>
          </w:p>
        </w:tc>
      </w:tr>
      <w:tr w:rsidR="00205F19" w:rsidRPr="00403A68" w14:paraId="79897FA0" w14:textId="77777777" w:rsidTr="003632AC">
        <w:trPr>
          <w:trHeight w:val="25"/>
        </w:trPr>
        <w:tc>
          <w:tcPr>
            <w:tcW w:w="384" w:type="pct"/>
            <w:noWrap/>
            <w:hideMark/>
          </w:tcPr>
          <w:p w14:paraId="08EB2D55" w14:textId="77777777" w:rsidR="00205F19" w:rsidRPr="00403A68" w:rsidRDefault="00205F19" w:rsidP="00666947">
            <w:pPr>
              <w:pStyle w:val="TableTextLeft"/>
            </w:pPr>
            <w:r w:rsidRPr="00403A68">
              <w:t>29</w:t>
            </w:r>
          </w:p>
        </w:tc>
        <w:tc>
          <w:tcPr>
            <w:tcW w:w="930" w:type="pct"/>
            <w:hideMark/>
          </w:tcPr>
          <w:p w14:paraId="4136BFC4" w14:textId="77777777" w:rsidR="00205F19" w:rsidRPr="00403A68" w:rsidRDefault="00205F19" w:rsidP="00666947">
            <w:pPr>
              <w:pStyle w:val="TableTextLeft"/>
            </w:pPr>
            <w:r w:rsidRPr="00403A68">
              <w:t>Environmental Health</w:t>
            </w:r>
          </w:p>
        </w:tc>
        <w:tc>
          <w:tcPr>
            <w:tcW w:w="979" w:type="pct"/>
            <w:hideMark/>
          </w:tcPr>
          <w:p w14:paraId="6C678A48" w14:textId="77777777" w:rsidR="00205F19" w:rsidRPr="00403A68" w:rsidRDefault="00205F19" w:rsidP="00666947">
            <w:pPr>
              <w:pStyle w:val="TableTextLeft"/>
            </w:pPr>
            <w:r w:rsidRPr="00403A68">
              <w:t>Flora and Fauna</w:t>
            </w:r>
          </w:p>
        </w:tc>
        <w:tc>
          <w:tcPr>
            <w:tcW w:w="1933" w:type="pct"/>
            <w:hideMark/>
          </w:tcPr>
          <w:p w14:paraId="5B30E251" w14:textId="77777777" w:rsidR="00205F19" w:rsidRPr="00403A68" w:rsidRDefault="00205F19" w:rsidP="00666947">
            <w:pPr>
              <w:pStyle w:val="TableTextLeft"/>
            </w:pPr>
            <w:r w:rsidRPr="00403A68">
              <w:t>Diadromous fish</w:t>
            </w:r>
          </w:p>
        </w:tc>
        <w:tc>
          <w:tcPr>
            <w:tcW w:w="774" w:type="pct"/>
            <w:shd w:val="clear" w:color="auto" w:fill="FFFF00"/>
          </w:tcPr>
          <w:p w14:paraId="7D67287F" w14:textId="77777777" w:rsidR="00205F19" w:rsidRPr="00403A68" w:rsidRDefault="00205F19" w:rsidP="00666947">
            <w:pPr>
              <w:pStyle w:val="TableTextLeft"/>
            </w:pPr>
            <w:r w:rsidRPr="00403A68">
              <w:t>Condition account</w:t>
            </w:r>
          </w:p>
        </w:tc>
      </w:tr>
      <w:tr w:rsidR="00205F19" w:rsidRPr="00403A68" w14:paraId="704945AA" w14:textId="77777777" w:rsidTr="003632AC">
        <w:trPr>
          <w:trHeight w:val="25"/>
        </w:trPr>
        <w:tc>
          <w:tcPr>
            <w:tcW w:w="384" w:type="pct"/>
            <w:noWrap/>
            <w:hideMark/>
          </w:tcPr>
          <w:p w14:paraId="2AF2281E" w14:textId="77777777" w:rsidR="00205F19" w:rsidRPr="00403A68" w:rsidRDefault="00205F19" w:rsidP="00666947">
            <w:pPr>
              <w:pStyle w:val="TableTextLeft"/>
            </w:pPr>
            <w:r w:rsidRPr="00403A68">
              <w:t>30</w:t>
            </w:r>
          </w:p>
        </w:tc>
        <w:tc>
          <w:tcPr>
            <w:tcW w:w="930" w:type="pct"/>
            <w:hideMark/>
          </w:tcPr>
          <w:p w14:paraId="26F9DEA4" w14:textId="77777777" w:rsidR="00205F19" w:rsidRPr="00403A68" w:rsidRDefault="00205F19" w:rsidP="00666947">
            <w:pPr>
              <w:pStyle w:val="TableTextLeft"/>
            </w:pPr>
            <w:r w:rsidRPr="00403A68">
              <w:t>Environmental Health</w:t>
            </w:r>
          </w:p>
        </w:tc>
        <w:tc>
          <w:tcPr>
            <w:tcW w:w="979" w:type="pct"/>
            <w:hideMark/>
          </w:tcPr>
          <w:p w14:paraId="5ADF07F4" w14:textId="77777777" w:rsidR="00205F19" w:rsidRPr="00403A68" w:rsidRDefault="00205F19" w:rsidP="00666947">
            <w:pPr>
              <w:pStyle w:val="TableTextLeft"/>
            </w:pPr>
            <w:r w:rsidRPr="00403A68">
              <w:t>Flora and Fauna</w:t>
            </w:r>
          </w:p>
        </w:tc>
        <w:tc>
          <w:tcPr>
            <w:tcW w:w="1933" w:type="pct"/>
            <w:hideMark/>
          </w:tcPr>
          <w:p w14:paraId="3940F555" w14:textId="77777777" w:rsidR="00205F19" w:rsidRPr="00403A68" w:rsidRDefault="00205F19" w:rsidP="00666947">
            <w:pPr>
              <w:pStyle w:val="TableTextLeft"/>
            </w:pPr>
            <w:r w:rsidRPr="00403A68">
              <w:t>Marine Mammals</w:t>
            </w:r>
          </w:p>
        </w:tc>
        <w:tc>
          <w:tcPr>
            <w:tcW w:w="774" w:type="pct"/>
            <w:shd w:val="clear" w:color="auto" w:fill="FFFF00"/>
          </w:tcPr>
          <w:p w14:paraId="0C10819E" w14:textId="77777777" w:rsidR="00205F19" w:rsidRPr="00403A68" w:rsidRDefault="00205F19" w:rsidP="00666947">
            <w:pPr>
              <w:pStyle w:val="TableTextLeft"/>
            </w:pPr>
            <w:r w:rsidRPr="00403A68">
              <w:t>Condition account</w:t>
            </w:r>
          </w:p>
        </w:tc>
      </w:tr>
      <w:tr w:rsidR="00205F19" w:rsidRPr="00403A68" w14:paraId="584FD1EC" w14:textId="77777777" w:rsidTr="003632AC">
        <w:trPr>
          <w:trHeight w:val="120"/>
        </w:trPr>
        <w:tc>
          <w:tcPr>
            <w:tcW w:w="384" w:type="pct"/>
            <w:noWrap/>
            <w:hideMark/>
          </w:tcPr>
          <w:p w14:paraId="46027E99" w14:textId="77777777" w:rsidR="00205F19" w:rsidRPr="00403A68" w:rsidRDefault="00205F19" w:rsidP="00666947">
            <w:pPr>
              <w:pStyle w:val="TableTextLeft"/>
            </w:pPr>
            <w:r w:rsidRPr="00403A68">
              <w:t>31</w:t>
            </w:r>
          </w:p>
        </w:tc>
        <w:tc>
          <w:tcPr>
            <w:tcW w:w="930" w:type="pct"/>
            <w:hideMark/>
          </w:tcPr>
          <w:p w14:paraId="68BF8687" w14:textId="77777777" w:rsidR="00205F19" w:rsidRPr="00403A68" w:rsidRDefault="00205F19" w:rsidP="00666947">
            <w:pPr>
              <w:pStyle w:val="TableTextLeft"/>
            </w:pPr>
            <w:r w:rsidRPr="00403A68">
              <w:t>Environmental Health</w:t>
            </w:r>
          </w:p>
        </w:tc>
        <w:tc>
          <w:tcPr>
            <w:tcW w:w="979" w:type="pct"/>
            <w:hideMark/>
          </w:tcPr>
          <w:p w14:paraId="1698C5CF" w14:textId="77777777" w:rsidR="00205F19" w:rsidRPr="00403A68" w:rsidRDefault="00205F19" w:rsidP="00666947">
            <w:pPr>
              <w:pStyle w:val="TableTextLeft"/>
            </w:pPr>
            <w:r w:rsidRPr="00403A68">
              <w:t>Pests and Invasive Species</w:t>
            </w:r>
          </w:p>
        </w:tc>
        <w:tc>
          <w:tcPr>
            <w:tcW w:w="1933" w:type="pct"/>
            <w:hideMark/>
          </w:tcPr>
          <w:p w14:paraId="7DE944BA" w14:textId="77777777" w:rsidR="00205F19" w:rsidRPr="00403A68" w:rsidRDefault="00205F19" w:rsidP="00666947">
            <w:pPr>
              <w:pStyle w:val="TableTextLeft"/>
            </w:pPr>
            <w:r w:rsidRPr="00403A68">
              <w:t>Invasive marine species</w:t>
            </w:r>
          </w:p>
        </w:tc>
        <w:tc>
          <w:tcPr>
            <w:tcW w:w="774" w:type="pct"/>
            <w:shd w:val="clear" w:color="auto" w:fill="92D050"/>
          </w:tcPr>
          <w:p w14:paraId="78FE8C0D" w14:textId="77777777" w:rsidR="00205F19" w:rsidRPr="00403A68" w:rsidRDefault="00205F19" w:rsidP="00666947">
            <w:pPr>
              <w:pStyle w:val="TableTextLeft"/>
            </w:pPr>
            <w:r w:rsidRPr="00403A68">
              <w:t>Pressures assessment</w:t>
            </w:r>
          </w:p>
        </w:tc>
      </w:tr>
      <w:tr w:rsidR="00205F19" w:rsidRPr="00403A68" w14:paraId="0484168E" w14:textId="77777777" w:rsidTr="003632AC">
        <w:trPr>
          <w:trHeight w:val="25"/>
        </w:trPr>
        <w:tc>
          <w:tcPr>
            <w:tcW w:w="384" w:type="pct"/>
            <w:noWrap/>
            <w:hideMark/>
          </w:tcPr>
          <w:p w14:paraId="093526AD" w14:textId="77777777" w:rsidR="00205F19" w:rsidRPr="00403A68" w:rsidRDefault="00205F19" w:rsidP="00666947">
            <w:pPr>
              <w:pStyle w:val="TableTextLeft"/>
            </w:pPr>
            <w:r w:rsidRPr="00403A68">
              <w:t>32</w:t>
            </w:r>
          </w:p>
        </w:tc>
        <w:tc>
          <w:tcPr>
            <w:tcW w:w="930" w:type="pct"/>
            <w:hideMark/>
          </w:tcPr>
          <w:p w14:paraId="57196974" w14:textId="77777777" w:rsidR="00205F19" w:rsidRPr="00403A68" w:rsidRDefault="00205F19" w:rsidP="00666947">
            <w:pPr>
              <w:pStyle w:val="TableTextLeft"/>
            </w:pPr>
            <w:r w:rsidRPr="00403A68">
              <w:t>Environmental Health</w:t>
            </w:r>
          </w:p>
        </w:tc>
        <w:tc>
          <w:tcPr>
            <w:tcW w:w="979" w:type="pct"/>
            <w:hideMark/>
          </w:tcPr>
          <w:p w14:paraId="04EF603C" w14:textId="77777777" w:rsidR="00205F19" w:rsidRPr="00403A68" w:rsidRDefault="00205F19" w:rsidP="00666947">
            <w:pPr>
              <w:pStyle w:val="TableTextLeft"/>
            </w:pPr>
            <w:r w:rsidRPr="00403A68">
              <w:t>Pests and Invasive Species</w:t>
            </w:r>
          </w:p>
        </w:tc>
        <w:tc>
          <w:tcPr>
            <w:tcW w:w="1933" w:type="pct"/>
            <w:hideMark/>
          </w:tcPr>
          <w:p w14:paraId="6E4B9025" w14:textId="77777777" w:rsidR="00205F19" w:rsidRPr="00403A68" w:rsidRDefault="00205F19" w:rsidP="00666947">
            <w:pPr>
              <w:pStyle w:val="TableTextLeft"/>
            </w:pPr>
            <w:r w:rsidRPr="00403A68">
              <w:t>Invasive terrestrial plants and animals</w:t>
            </w:r>
          </w:p>
        </w:tc>
        <w:tc>
          <w:tcPr>
            <w:tcW w:w="774" w:type="pct"/>
            <w:shd w:val="clear" w:color="auto" w:fill="92D050"/>
          </w:tcPr>
          <w:p w14:paraId="63E5DE0A" w14:textId="77777777" w:rsidR="00205F19" w:rsidRPr="00403A68" w:rsidRDefault="00205F19" w:rsidP="00666947">
            <w:pPr>
              <w:pStyle w:val="TableTextLeft"/>
            </w:pPr>
            <w:r w:rsidRPr="00403A68">
              <w:t>Pressures assessment</w:t>
            </w:r>
          </w:p>
        </w:tc>
      </w:tr>
      <w:tr w:rsidR="00205F19" w:rsidRPr="00403A68" w14:paraId="171D7AA3" w14:textId="77777777" w:rsidTr="003632AC">
        <w:trPr>
          <w:trHeight w:val="217"/>
        </w:trPr>
        <w:tc>
          <w:tcPr>
            <w:tcW w:w="384" w:type="pct"/>
            <w:noWrap/>
            <w:hideMark/>
          </w:tcPr>
          <w:p w14:paraId="5A61EECC" w14:textId="77777777" w:rsidR="00205F19" w:rsidRPr="00403A68" w:rsidRDefault="00205F19" w:rsidP="00666947">
            <w:pPr>
              <w:pStyle w:val="TableTextLeft"/>
            </w:pPr>
            <w:r w:rsidRPr="00403A68">
              <w:t>33</w:t>
            </w:r>
          </w:p>
        </w:tc>
        <w:tc>
          <w:tcPr>
            <w:tcW w:w="930" w:type="pct"/>
            <w:hideMark/>
          </w:tcPr>
          <w:p w14:paraId="7A12DE33" w14:textId="77777777" w:rsidR="00205F19" w:rsidRPr="00403A68" w:rsidRDefault="00205F19" w:rsidP="00666947">
            <w:pPr>
              <w:pStyle w:val="TableTextLeft"/>
            </w:pPr>
            <w:r w:rsidRPr="00403A68">
              <w:t>Environmental Health</w:t>
            </w:r>
          </w:p>
        </w:tc>
        <w:tc>
          <w:tcPr>
            <w:tcW w:w="979" w:type="pct"/>
            <w:hideMark/>
          </w:tcPr>
          <w:p w14:paraId="40E33F6A" w14:textId="77777777" w:rsidR="00205F19" w:rsidRPr="00403A68" w:rsidRDefault="00205F19" w:rsidP="00666947">
            <w:pPr>
              <w:pStyle w:val="TableTextLeft"/>
            </w:pPr>
            <w:r w:rsidRPr="00403A68">
              <w:t>Pests and Invasive Species</w:t>
            </w:r>
          </w:p>
        </w:tc>
        <w:tc>
          <w:tcPr>
            <w:tcW w:w="1933" w:type="pct"/>
            <w:hideMark/>
          </w:tcPr>
          <w:p w14:paraId="6904AD22" w14:textId="77777777" w:rsidR="00205F19" w:rsidRPr="00403A68" w:rsidRDefault="00205F19" w:rsidP="00666947">
            <w:pPr>
              <w:pStyle w:val="TableTextLeft"/>
            </w:pPr>
            <w:r w:rsidRPr="00403A68">
              <w:t>Invasive freshwater plants and animals</w:t>
            </w:r>
          </w:p>
        </w:tc>
        <w:tc>
          <w:tcPr>
            <w:tcW w:w="774" w:type="pct"/>
            <w:shd w:val="clear" w:color="auto" w:fill="92D050"/>
          </w:tcPr>
          <w:p w14:paraId="7372D335" w14:textId="77777777" w:rsidR="00205F19" w:rsidRPr="00403A68" w:rsidRDefault="00205F19" w:rsidP="00666947">
            <w:pPr>
              <w:pStyle w:val="TableTextLeft"/>
            </w:pPr>
            <w:r w:rsidRPr="00403A68">
              <w:t>Pressures assessment</w:t>
            </w:r>
          </w:p>
        </w:tc>
      </w:tr>
      <w:tr w:rsidR="00205F19" w:rsidRPr="00403A68" w14:paraId="46C8EAFF" w14:textId="77777777" w:rsidTr="003632AC">
        <w:trPr>
          <w:trHeight w:val="32"/>
        </w:trPr>
        <w:tc>
          <w:tcPr>
            <w:tcW w:w="384" w:type="pct"/>
            <w:noWrap/>
            <w:hideMark/>
          </w:tcPr>
          <w:p w14:paraId="60F685B8" w14:textId="77777777" w:rsidR="00205F19" w:rsidRPr="00403A68" w:rsidRDefault="00205F19" w:rsidP="00666947">
            <w:pPr>
              <w:pStyle w:val="TableTextLeft"/>
            </w:pPr>
            <w:r w:rsidRPr="00403A68">
              <w:t>34</w:t>
            </w:r>
          </w:p>
        </w:tc>
        <w:tc>
          <w:tcPr>
            <w:tcW w:w="930" w:type="pct"/>
            <w:hideMark/>
          </w:tcPr>
          <w:p w14:paraId="6C74E11F" w14:textId="77777777" w:rsidR="00205F19" w:rsidRPr="00403A68" w:rsidRDefault="00205F19" w:rsidP="00666947">
            <w:pPr>
              <w:pStyle w:val="TableTextLeft"/>
            </w:pPr>
            <w:r w:rsidRPr="00403A68">
              <w:t>Environmental Health</w:t>
            </w:r>
          </w:p>
        </w:tc>
        <w:tc>
          <w:tcPr>
            <w:tcW w:w="979" w:type="pct"/>
            <w:hideMark/>
          </w:tcPr>
          <w:p w14:paraId="5AED5713" w14:textId="77777777" w:rsidR="00205F19" w:rsidRPr="00403A68" w:rsidRDefault="00205F19" w:rsidP="00666947">
            <w:pPr>
              <w:pStyle w:val="TableTextLeft"/>
            </w:pPr>
            <w:r w:rsidRPr="00403A68">
              <w:t>Seafloor integrity and health</w:t>
            </w:r>
          </w:p>
        </w:tc>
        <w:tc>
          <w:tcPr>
            <w:tcW w:w="1933" w:type="pct"/>
            <w:hideMark/>
          </w:tcPr>
          <w:p w14:paraId="5E3254A2" w14:textId="77777777" w:rsidR="00205F19" w:rsidRPr="00403A68" w:rsidRDefault="00205F19" w:rsidP="00666947">
            <w:pPr>
              <w:pStyle w:val="TableTextLeft"/>
            </w:pPr>
            <w:r w:rsidRPr="00403A68">
              <w:t>Conservation of marine ecosystems in protected areas</w:t>
            </w:r>
          </w:p>
        </w:tc>
        <w:tc>
          <w:tcPr>
            <w:tcW w:w="774" w:type="pct"/>
            <w:shd w:val="clear" w:color="auto" w:fill="FFFF00"/>
          </w:tcPr>
          <w:p w14:paraId="4BE5B7CC" w14:textId="77777777" w:rsidR="00205F19" w:rsidRPr="00403A68" w:rsidRDefault="00205F19" w:rsidP="00666947">
            <w:pPr>
              <w:pStyle w:val="TableTextLeft"/>
            </w:pPr>
            <w:r w:rsidRPr="00403A68">
              <w:t>Condition account</w:t>
            </w:r>
          </w:p>
        </w:tc>
      </w:tr>
      <w:tr w:rsidR="00205F19" w:rsidRPr="00403A68" w14:paraId="67B68E51" w14:textId="77777777" w:rsidTr="003632AC">
        <w:trPr>
          <w:trHeight w:val="25"/>
        </w:trPr>
        <w:tc>
          <w:tcPr>
            <w:tcW w:w="384" w:type="pct"/>
            <w:noWrap/>
            <w:hideMark/>
          </w:tcPr>
          <w:p w14:paraId="24EC02F8" w14:textId="77777777" w:rsidR="00205F19" w:rsidRPr="00403A68" w:rsidRDefault="00205F19" w:rsidP="00666947">
            <w:pPr>
              <w:pStyle w:val="TableTextLeft"/>
            </w:pPr>
            <w:r w:rsidRPr="00403A68">
              <w:t>35</w:t>
            </w:r>
          </w:p>
        </w:tc>
        <w:tc>
          <w:tcPr>
            <w:tcW w:w="930" w:type="pct"/>
            <w:hideMark/>
          </w:tcPr>
          <w:p w14:paraId="0D3A9EC4" w14:textId="77777777" w:rsidR="00205F19" w:rsidRPr="00403A68" w:rsidRDefault="00205F19" w:rsidP="00666947">
            <w:pPr>
              <w:pStyle w:val="TableTextLeft"/>
            </w:pPr>
            <w:r w:rsidRPr="00403A68">
              <w:t>Environmental Health</w:t>
            </w:r>
          </w:p>
        </w:tc>
        <w:tc>
          <w:tcPr>
            <w:tcW w:w="979" w:type="pct"/>
            <w:hideMark/>
          </w:tcPr>
          <w:p w14:paraId="1CE9814C" w14:textId="77777777" w:rsidR="00205F19" w:rsidRPr="00403A68" w:rsidRDefault="00205F19" w:rsidP="00666947">
            <w:pPr>
              <w:pStyle w:val="TableTextLeft"/>
            </w:pPr>
            <w:r w:rsidRPr="00403A68">
              <w:t>Seafloor integrity and health</w:t>
            </w:r>
          </w:p>
        </w:tc>
        <w:tc>
          <w:tcPr>
            <w:tcW w:w="1933" w:type="pct"/>
            <w:hideMark/>
          </w:tcPr>
          <w:p w14:paraId="45120E03" w14:textId="77777777" w:rsidR="00205F19" w:rsidRPr="00403A68" w:rsidRDefault="00205F19" w:rsidP="00666947">
            <w:pPr>
              <w:pStyle w:val="TableTextLeft"/>
            </w:pPr>
            <w:r w:rsidRPr="00403A68">
              <w:t>Nitrogen cycle</w:t>
            </w:r>
          </w:p>
        </w:tc>
        <w:tc>
          <w:tcPr>
            <w:tcW w:w="774" w:type="pct"/>
            <w:shd w:val="clear" w:color="auto" w:fill="FFFF00"/>
          </w:tcPr>
          <w:p w14:paraId="60B054EA" w14:textId="77777777" w:rsidR="00205F19" w:rsidRPr="00403A68" w:rsidRDefault="00205F19" w:rsidP="00666947">
            <w:pPr>
              <w:pStyle w:val="TableTextLeft"/>
            </w:pPr>
            <w:r w:rsidRPr="00403A68">
              <w:t>Condition account</w:t>
            </w:r>
          </w:p>
        </w:tc>
      </w:tr>
      <w:tr w:rsidR="00205F19" w:rsidRPr="00403A68" w14:paraId="777C6C4E" w14:textId="77777777" w:rsidTr="003632AC">
        <w:trPr>
          <w:trHeight w:val="67"/>
        </w:trPr>
        <w:tc>
          <w:tcPr>
            <w:tcW w:w="384" w:type="pct"/>
            <w:noWrap/>
            <w:hideMark/>
          </w:tcPr>
          <w:p w14:paraId="617E962F" w14:textId="77777777" w:rsidR="00205F19" w:rsidRPr="00403A68" w:rsidRDefault="00205F19" w:rsidP="00666947">
            <w:pPr>
              <w:pStyle w:val="TableTextLeft"/>
            </w:pPr>
            <w:r w:rsidRPr="00403A68">
              <w:t>36</w:t>
            </w:r>
          </w:p>
        </w:tc>
        <w:tc>
          <w:tcPr>
            <w:tcW w:w="930" w:type="pct"/>
            <w:hideMark/>
          </w:tcPr>
          <w:p w14:paraId="50548455" w14:textId="77777777" w:rsidR="00205F19" w:rsidRPr="00403A68" w:rsidRDefault="00205F19" w:rsidP="00666947">
            <w:pPr>
              <w:pStyle w:val="TableTextLeft"/>
            </w:pPr>
            <w:r w:rsidRPr="00403A68">
              <w:t>Environmental Health</w:t>
            </w:r>
          </w:p>
        </w:tc>
        <w:tc>
          <w:tcPr>
            <w:tcW w:w="979" w:type="pct"/>
            <w:hideMark/>
          </w:tcPr>
          <w:p w14:paraId="55658300" w14:textId="77777777" w:rsidR="00205F19" w:rsidRPr="00403A68" w:rsidRDefault="00205F19" w:rsidP="00666947">
            <w:pPr>
              <w:pStyle w:val="TableTextLeft"/>
            </w:pPr>
            <w:r w:rsidRPr="00403A68">
              <w:t>Seafloor integrity and health</w:t>
            </w:r>
          </w:p>
        </w:tc>
        <w:tc>
          <w:tcPr>
            <w:tcW w:w="1933" w:type="pct"/>
            <w:hideMark/>
          </w:tcPr>
          <w:p w14:paraId="325F73D6" w14:textId="77777777" w:rsidR="00205F19" w:rsidRPr="00403A68" w:rsidRDefault="00205F19" w:rsidP="00666947">
            <w:pPr>
              <w:pStyle w:val="TableTextLeft"/>
            </w:pPr>
            <w:r w:rsidRPr="00403A68">
              <w:t>Macroalgae on intertidal reefs</w:t>
            </w:r>
          </w:p>
        </w:tc>
        <w:tc>
          <w:tcPr>
            <w:tcW w:w="774" w:type="pct"/>
            <w:shd w:val="clear" w:color="auto" w:fill="FFFF00"/>
          </w:tcPr>
          <w:p w14:paraId="12EBB49B" w14:textId="77777777" w:rsidR="00205F19" w:rsidRPr="00403A68" w:rsidRDefault="00205F19" w:rsidP="00666947">
            <w:pPr>
              <w:pStyle w:val="TableTextLeft"/>
            </w:pPr>
            <w:r w:rsidRPr="00403A68">
              <w:t>Condition account</w:t>
            </w:r>
          </w:p>
        </w:tc>
      </w:tr>
      <w:tr w:rsidR="00205F19" w:rsidRPr="00403A68" w14:paraId="38D55BC1" w14:textId="77777777" w:rsidTr="003632AC">
        <w:trPr>
          <w:trHeight w:val="96"/>
        </w:trPr>
        <w:tc>
          <w:tcPr>
            <w:tcW w:w="384" w:type="pct"/>
            <w:noWrap/>
            <w:hideMark/>
          </w:tcPr>
          <w:p w14:paraId="7B53EFE8" w14:textId="77777777" w:rsidR="00205F19" w:rsidRPr="00403A68" w:rsidRDefault="00205F19" w:rsidP="00666947">
            <w:pPr>
              <w:pStyle w:val="TableTextLeft"/>
            </w:pPr>
            <w:r w:rsidRPr="00403A68">
              <w:t>37</w:t>
            </w:r>
          </w:p>
        </w:tc>
        <w:tc>
          <w:tcPr>
            <w:tcW w:w="930" w:type="pct"/>
            <w:hideMark/>
          </w:tcPr>
          <w:p w14:paraId="5E2795FC" w14:textId="77777777" w:rsidR="00205F19" w:rsidRPr="00403A68" w:rsidRDefault="00205F19" w:rsidP="00666947">
            <w:pPr>
              <w:pStyle w:val="TableTextLeft"/>
            </w:pPr>
            <w:r w:rsidRPr="00403A68">
              <w:t>Environmental Health</w:t>
            </w:r>
          </w:p>
        </w:tc>
        <w:tc>
          <w:tcPr>
            <w:tcW w:w="979" w:type="pct"/>
            <w:hideMark/>
          </w:tcPr>
          <w:p w14:paraId="2FB1C462" w14:textId="77777777" w:rsidR="00205F19" w:rsidRPr="00403A68" w:rsidRDefault="00205F19" w:rsidP="00666947">
            <w:pPr>
              <w:pStyle w:val="TableTextLeft"/>
            </w:pPr>
            <w:r w:rsidRPr="00403A68">
              <w:t>Seafloor integrity and health</w:t>
            </w:r>
          </w:p>
        </w:tc>
        <w:tc>
          <w:tcPr>
            <w:tcW w:w="1933" w:type="pct"/>
            <w:hideMark/>
          </w:tcPr>
          <w:p w14:paraId="51C7A34A" w14:textId="77777777" w:rsidR="00205F19" w:rsidRPr="00403A68" w:rsidRDefault="00205F19" w:rsidP="00666947">
            <w:pPr>
              <w:pStyle w:val="TableTextLeft"/>
            </w:pPr>
            <w:r w:rsidRPr="00403A68">
              <w:t>Macroalgae dominated subtidal reefs</w:t>
            </w:r>
          </w:p>
        </w:tc>
        <w:tc>
          <w:tcPr>
            <w:tcW w:w="774" w:type="pct"/>
            <w:shd w:val="clear" w:color="auto" w:fill="FFFF00"/>
          </w:tcPr>
          <w:p w14:paraId="72D036DB" w14:textId="77777777" w:rsidR="00205F19" w:rsidRPr="00403A68" w:rsidRDefault="00205F19" w:rsidP="00666947">
            <w:pPr>
              <w:pStyle w:val="TableTextLeft"/>
            </w:pPr>
            <w:r w:rsidRPr="00403A68">
              <w:t>Condition account</w:t>
            </w:r>
          </w:p>
        </w:tc>
      </w:tr>
      <w:tr w:rsidR="00205F19" w:rsidRPr="00403A68" w14:paraId="3FBCB075" w14:textId="77777777" w:rsidTr="003632AC">
        <w:trPr>
          <w:trHeight w:val="113"/>
        </w:trPr>
        <w:tc>
          <w:tcPr>
            <w:tcW w:w="384" w:type="pct"/>
            <w:noWrap/>
            <w:hideMark/>
          </w:tcPr>
          <w:p w14:paraId="6C2DE00A" w14:textId="77777777" w:rsidR="00205F19" w:rsidRPr="00403A68" w:rsidRDefault="00205F19" w:rsidP="00666947">
            <w:pPr>
              <w:pStyle w:val="TableTextLeft"/>
            </w:pPr>
            <w:r w:rsidRPr="00403A68">
              <w:t>38</w:t>
            </w:r>
          </w:p>
        </w:tc>
        <w:tc>
          <w:tcPr>
            <w:tcW w:w="930" w:type="pct"/>
            <w:hideMark/>
          </w:tcPr>
          <w:p w14:paraId="36F8D32C" w14:textId="77777777" w:rsidR="00205F19" w:rsidRPr="00403A68" w:rsidRDefault="00205F19" w:rsidP="00666947">
            <w:pPr>
              <w:pStyle w:val="TableTextLeft"/>
            </w:pPr>
            <w:r w:rsidRPr="00403A68">
              <w:t>Environmental Health</w:t>
            </w:r>
          </w:p>
        </w:tc>
        <w:tc>
          <w:tcPr>
            <w:tcW w:w="979" w:type="pct"/>
            <w:hideMark/>
          </w:tcPr>
          <w:p w14:paraId="02CA1C6D" w14:textId="77777777" w:rsidR="00205F19" w:rsidRPr="00403A68" w:rsidRDefault="00205F19" w:rsidP="00666947">
            <w:pPr>
              <w:pStyle w:val="TableTextLeft"/>
            </w:pPr>
            <w:r w:rsidRPr="00403A68">
              <w:t>Seafloor integrity and health</w:t>
            </w:r>
          </w:p>
        </w:tc>
        <w:tc>
          <w:tcPr>
            <w:tcW w:w="1933" w:type="pct"/>
            <w:hideMark/>
          </w:tcPr>
          <w:p w14:paraId="1EB1221E" w14:textId="77777777" w:rsidR="00205F19" w:rsidRPr="00403A68" w:rsidRDefault="00205F19" w:rsidP="00666947">
            <w:pPr>
              <w:pStyle w:val="TableTextLeft"/>
            </w:pPr>
            <w:r w:rsidRPr="00403A68">
              <w:t>Estuary - submerged vegetation</w:t>
            </w:r>
          </w:p>
        </w:tc>
        <w:tc>
          <w:tcPr>
            <w:tcW w:w="774" w:type="pct"/>
            <w:shd w:val="clear" w:color="auto" w:fill="FFFF00"/>
          </w:tcPr>
          <w:p w14:paraId="0C76AC4D" w14:textId="77777777" w:rsidR="00205F19" w:rsidRPr="00403A68" w:rsidRDefault="00205F19" w:rsidP="00666947">
            <w:pPr>
              <w:pStyle w:val="TableTextLeft"/>
            </w:pPr>
            <w:r w:rsidRPr="00403A68">
              <w:t>Condition account</w:t>
            </w:r>
          </w:p>
        </w:tc>
      </w:tr>
      <w:tr w:rsidR="00205F19" w:rsidRPr="00403A68" w14:paraId="06F381F2" w14:textId="77777777" w:rsidTr="003632AC">
        <w:trPr>
          <w:trHeight w:val="25"/>
        </w:trPr>
        <w:tc>
          <w:tcPr>
            <w:tcW w:w="384" w:type="pct"/>
            <w:noWrap/>
            <w:hideMark/>
          </w:tcPr>
          <w:p w14:paraId="44CA51F8" w14:textId="77777777" w:rsidR="00205F19" w:rsidRPr="00403A68" w:rsidRDefault="00205F19" w:rsidP="00666947">
            <w:pPr>
              <w:pStyle w:val="TableTextLeft"/>
            </w:pPr>
            <w:r w:rsidRPr="00403A68">
              <w:t>39</w:t>
            </w:r>
          </w:p>
        </w:tc>
        <w:tc>
          <w:tcPr>
            <w:tcW w:w="930" w:type="pct"/>
            <w:hideMark/>
          </w:tcPr>
          <w:p w14:paraId="20B76C4A" w14:textId="77777777" w:rsidR="00205F19" w:rsidRPr="00403A68" w:rsidRDefault="00205F19" w:rsidP="00666947">
            <w:pPr>
              <w:pStyle w:val="TableTextLeft"/>
            </w:pPr>
            <w:r w:rsidRPr="00403A68">
              <w:t>Environmental Health</w:t>
            </w:r>
          </w:p>
        </w:tc>
        <w:tc>
          <w:tcPr>
            <w:tcW w:w="979" w:type="pct"/>
            <w:hideMark/>
          </w:tcPr>
          <w:p w14:paraId="37C21A84" w14:textId="77777777" w:rsidR="00205F19" w:rsidRPr="00403A68" w:rsidRDefault="00205F19" w:rsidP="00666947">
            <w:pPr>
              <w:pStyle w:val="TableTextLeft"/>
            </w:pPr>
            <w:r w:rsidRPr="00403A68">
              <w:t>Seafloor integrity and health</w:t>
            </w:r>
          </w:p>
        </w:tc>
        <w:tc>
          <w:tcPr>
            <w:tcW w:w="1933" w:type="pct"/>
            <w:hideMark/>
          </w:tcPr>
          <w:p w14:paraId="2C80064E" w14:textId="77777777" w:rsidR="00205F19" w:rsidRPr="00403A68" w:rsidRDefault="00205F19" w:rsidP="00666947">
            <w:pPr>
              <w:pStyle w:val="TableTextLeft"/>
            </w:pPr>
            <w:r w:rsidRPr="00403A68">
              <w:t>Seagrass</w:t>
            </w:r>
          </w:p>
        </w:tc>
        <w:tc>
          <w:tcPr>
            <w:tcW w:w="774" w:type="pct"/>
            <w:shd w:val="clear" w:color="auto" w:fill="755CCF"/>
          </w:tcPr>
          <w:p w14:paraId="467EBBB2" w14:textId="77777777" w:rsidR="00205F19" w:rsidRPr="00403A68" w:rsidRDefault="00205F19" w:rsidP="00666947">
            <w:pPr>
              <w:pStyle w:val="TableTextLeft"/>
            </w:pPr>
            <w:r w:rsidRPr="00403A68">
              <w:t>Extent account</w:t>
            </w:r>
          </w:p>
        </w:tc>
      </w:tr>
      <w:tr w:rsidR="00205F19" w:rsidRPr="00403A68" w14:paraId="508BEB7B" w14:textId="77777777" w:rsidTr="003632AC">
        <w:trPr>
          <w:trHeight w:val="187"/>
        </w:trPr>
        <w:tc>
          <w:tcPr>
            <w:tcW w:w="384" w:type="pct"/>
            <w:noWrap/>
            <w:hideMark/>
          </w:tcPr>
          <w:p w14:paraId="46CCD211" w14:textId="77777777" w:rsidR="00205F19" w:rsidRPr="00403A68" w:rsidRDefault="00205F19" w:rsidP="00666947">
            <w:pPr>
              <w:pStyle w:val="TableTextLeft"/>
            </w:pPr>
            <w:r w:rsidRPr="00403A68">
              <w:t>40</w:t>
            </w:r>
          </w:p>
        </w:tc>
        <w:tc>
          <w:tcPr>
            <w:tcW w:w="930" w:type="pct"/>
            <w:hideMark/>
          </w:tcPr>
          <w:p w14:paraId="3AA3B602" w14:textId="77777777" w:rsidR="00205F19" w:rsidRPr="00403A68" w:rsidRDefault="00205F19" w:rsidP="00666947">
            <w:pPr>
              <w:pStyle w:val="TableTextLeft"/>
            </w:pPr>
            <w:r w:rsidRPr="00403A68">
              <w:t>Environmental Health</w:t>
            </w:r>
          </w:p>
        </w:tc>
        <w:tc>
          <w:tcPr>
            <w:tcW w:w="979" w:type="pct"/>
            <w:hideMark/>
          </w:tcPr>
          <w:p w14:paraId="358A50C8" w14:textId="77777777" w:rsidR="00205F19" w:rsidRPr="00403A68" w:rsidRDefault="00205F19" w:rsidP="00666947">
            <w:pPr>
              <w:pStyle w:val="TableTextLeft"/>
            </w:pPr>
            <w:r w:rsidRPr="00403A68">
              <w:t>Seafloor integrity and health</w:t>
            </w:r>
          </w:p>
        </w:tc>
        <w:tc>
          <w:tcPr>
            <w:tcW w:w="1933" w:type="pct"/>
            <w:hideMark/>
          </w:tcPr>
          <w:p w14:paraId="1649CB45" w14:textId="77777777" w:rsidR="00205F19" w:rsidRPr="00403A68" w:rsidRDefault="00205F19" w:rsidP="00666947">
            <w:pPr>
              <w:pStyle w:val="TableTextLeft"/>
            </w:pPr>
            <w:r w:rsidRPr="00403A68">
              <w:t>Extent and condition of shellfish reefs</w:t>
            </w:r>
          </w:p>
        </w:tc>
        <w:tc>
          <w:tcPr>
            <w:tcW w:w="774" w:type="pct"/>
            <w:shd w:val="clear" w:color="auto" w:fill="755CCF"/>
          </w:tcPr>
          <w:p w14:paraId="2807DBE7" w14:textId="77777777" w:rsidR="00205F19" w:rsidRPr="00403A68" w:rsidRDefault="00205F19" w:rsidP="00666947">
            <w:pPr>
              <w:pStyle w:val="TableTextLeft"/>
            </w:pPr>
            <w:r w:rsidRPr="00403A68">
              <w:t>Extent account</w:t>
            </w:r>
          </w:p>
        </w:tc>
      </w:tr>
      <w:tr w:rsidR="00205F19" w:rsidRPr="00403A68" w14:paraId="684618F7" w14:textId="77777777" w:rsidTr="003632AC">
        <w:trPr>
          <w:trHeight w:val="25"/>
        </w:trPr>
        <w:tc>
          <w:tcPr>
            <w:tcW w:w="384" w:type="pct"/>
            <w:noWrap/>
            <w:hideMark/>
          </w:tcPr>
          <w:p w14:paraId="22D5C13A" w14:textId="77777777" w:rsidR="00205F19" w:rsidRPr="00403A68" w:rsidRDefault="00205F19" w:rsidP="00666947">
            <w:pPr>
              <w:pStyle w:val="TableTextLeft"/>
            </w:pPr>
            <w:r w:rsidRPr="00403A68">
              <w:t>41</w:t>
            </w:r>
          </w:p>
        </w:tc>
        <w:tc>
          <w:tcPr>
            <w:tcW w:w="930" w:type="pct"/>
            <w:hideMark/>
          </w:tcPr>
          <w:p w14:paraId="7D6284FD" w14:textId="77777777" w:rsidR="00205F19" w:rsidRPr="00403A68" w:rsidRDefault="00205F19" w:rsidP="00666947">
            <w:pPr>
              <w:pStyle w:val="TableTextLeft"/>
            </w:pPr>
            <w:r w:rsidRPr="00403A68">
              <w:t>Environmental Health</w:t>
            </w:r>
          </w:p>
        </w:tc>
        <w:tc>
          <w:tcPr>
            <w:tcW w:w="979" w:type="pct"/>
            <w:hideMark/>
          </w:tcPr>
          <w:p w14:paraId="4794E395" w14:textId="77777777" w:rsidR="00205F19" w:rsidRPr="00403A68" w:rsidRDefault="00205F19" w:rsidP="00666947">
            <w:pPr>
              <w:pStyle w:val="TableTextLeft"/>
            </w:pPr>
            <w:r w:rsidRPr="00403A68">
              <w:t>Seafloor integrity and health</w:t>
            </w:r>
          </w:p>
        </w:tc>
        <w:tc>
          <w:tcPr>
            <w:tcW w:w="1933" w:type="pct"/>
            <w:hideMark/>
          </w:tcPr>
          <w:p w14:paraId="35EBA6C4" w14:textId="77777777" w:rsidR="00205F19" w:rsidRPr="00403A68" w:rsidRDefault="00205F19" w:rsidP="00666947">
            <w:pPr>
              <w:pStyle w:val="TableTextLeft"/>
            </w:pPr>
            <w:r w:rsidRPr="00403A68">
              <w:t xml:space="preserve">Sediment toxicants </w:t>
            </w:r>
          </w:p>
        </w:tc>
        <w:tc>
          <w:tcPr>
            <w:tcW w:w="774" w:type="pct"/>
            <w:shd w:val="clear" w:color="auto" w:fill="92D050"/>
          </w:tcPr>
          <w:p w14:paraId="2C698CAA" w14:textId="77777777" w:rsidR="00205F19" w:rsidRPr="00403A68" w:rsidRDefault="00205F19" w:rsidP="00666947">
            <w:pPr>
              <w:pStyle w:val="TableTextLeft"/>
            </w:pPr>
            <w:r w:rsidRPr="00403A68">
              <w:t>Pressures assessment</w:t>
            </w:r>
          </w:p>
        </w:tc>
      </w:tr>
      <w:tr w:rsidR="00205F19" w:rsidRPr="00403A68" w14:paraId="31E92353" w14:textId="77777777" w:rsidTr="003632AC">
        <w:trPr>
          <w:trHeight w:val="25"/>
        </w:trPr>
        <w:tc>
          <w:tcPr>
            <w:tcW w:w="384" w:type="pct"/>
            <w:noWrap/>
            <w:hideMark/>
          </w:tcPr>
          <w:p w14:paraId="6438B94F" w14:textId="77777777" w:rsidR="00205F19" w:rsidRPr="00403A68" w:rsidRDefault="00205F19" w:rsidP="00666947">
            <w:pPr>
              <w:pStyle w:val="TableTextLeft"/>
            </w:pPr>
            <w:r w:rsidRPr="00403A68">
              <w:t>42</w:t>
            </w:r>
          </w:p>
        </w:tc>
        <w:tc>
          <w:tcPr>
            <w:tcW w:w="930" w:type="pct"/>
            <w:hideMark/>
          </w:tcPr>
          <w:p w14:paraId="6F29F605" w14:textId="77777777" w:rsidR="00205F19" w:rsidRPr="00403A68" w:rsidRDefault="00205F19" w:rsidP="00666947">
            <w:pPr>
              <w:pStyle w:val="TableTextLeft"/>
            </w:pPr>
            <w:r w:rsidRPr="00403A68">
              <w:t>Environmental Health</w:t>
            </w:r>
          </w:p>
        </w:tc>
        <w:tc>
          <w:tcPr>
            <w:tcW w:w="979" w:type="pct"/>
            <w:hideMark/>
          </w:tcPr>
          <w:p w14:paraId="37D0145B" w14:textId="77777777" w:rsidR="00205F19" w:rsidRPr="00403A68" w:rsidRDefault="00205F19" w:rsidP="00666947">
            <w:pPr>
              <w:pStyle w:val="TableTextLeft"/>
            </w:pPr>
            <w:r w:rsidRPr="00403A68">
              <w:t>Litter and Pollution</w:t>
            </w:r>
          </w:p>
        </w:tc>
        <w:tc>
          <w:tcPr>
            <w:tcW w:w="1933" w:type="pct"/>
            <w:hideMark/>
          </w:tcPr>
          <w:p w14:paraId="44A9A852" w14:textId="77777777" w:rsidR="00205F19" w:rsidRPr="00403A68" w:rsidRDefault="00205F19" w:rsidP="00666947">
            <w:pPr>
              <w:pStyle w:val="TableTextLeft"/>
            </w:pPr>
            <w:r w:rsidRPr="00403A68">
              <w:t>Litter and plastics</w:t>
            </w:r>
          </w:p>
        </w:tc>
        <w:tc>
          <w:tcPr>
            <w:tcW w:w="774" w:type="pct"/>
            <w:shd w:val="clear" w:color="auto" w:fill="92D050"/>
          </w:tcPr>
          <w:p w14:paraId="3BAB33A5" w14:textId="77777777" w:rsidR="00205F19" w:rsidRPr="00403A68" w:rsidRDefault="00205F19" w:rsidP="00666947">
            <w:pPr>
              <w:pStyle w:val="TableTextLeft"/>
            </w:pPr>
            <w:r w:rsidRPr="00403A68">
              <w:t>Pressures assessment</w:t>
            </w:r>
          </w:p>
        </w:tc>
      </w:tr>
      <w:tr w:rsidR="00205F19" w:rsidRPr="00403A68" w14:paraId="0A7EB763" w14:textId="77777777" w:rsidTr="003632AC">
        <w:trPr>
          <w:trHeight w:val="25"/>
        </w:trPr>
        <w:tc>
          <w:tcPr>
            <w:tcW w:w="384" w:type="pct"/>
            <w:noWrap/>
            <w:hideMark/>
          </w:tcPr>
          <w:p w14:paraId="57FCED95" w14:textId="77777777" w:rsidR="00205F19" w:rsidRPr="00403A68" w:rsidRDefault="00205F19" w:rsidP="00666947">
            <w:pPr>
              <w:pStyle w:val="TableTextLeft"/>
            </w:pPr>
            <w:r w:rsidRPr="00403A68">
              <w:t>43</w:t>
            </w:r>
          </w:p>
        </w:tc>
        <w:tc>
          <w:tcPr>
            <w:tcW w:w="930" w:type="pct"/>
            <w:hideMark/>
          </w:tcPr>
          <w:p w14:paraId="1D336371" w14:textId="77777777" w:rsidR="00205F19" w:rsidRPr="00403A68" w:rsidRDefault="00205F19" w:rsidP="00666947">
            <w:pPr>
              <w:pStyle w:val="TableTextLeft"/>
            </w:pPr>
            <w:r w:rsidRPr="00403A68">
              <w:t>Environmental Health</w:t>
            </w:r>
          </w:p>
        </w:tc>
        <w:tc>
          <w:tcPr>
            <w:tcW w:w="979" w:type="pct"/>
            <w:hideMark/>
          </w:tcPr>
          <w:p w14:paraId="577AB89F" w14:textId="77777777" w:rsidR="00205F19" w:rsidRPr="00403A68" w:rsidRDefault="00205F19" w:rsidP="00666947">
            <w:pPr>
              <w:pStyle w:val="TableTextLeft"/>
            </w:pPr>
            <w:r w:rsidRPr="00403A68">
              <w:t>Litter and Pollution</w:t>
            </w:r>
          </w:p>
        </w:tc>
        <w:tc>
          <w:tcPr>
            <w:tcW w:w="1933" w:type="pct"/>
            <w:hideMark/>
          </w:tcPr>
          <w:p w14:paraId="1A098C0C" w14:textId="77777777" w:rsidR="00205F19" w:rsidRPr="00403A68" w:rsidRDefault="00205F19" w:rsidP="00666947">
            <w:pPr>
              <w:pStyle w:val="TableTextLeft"/>
            </w:pPr>
            <w:r w:rsidRPr="00403A68">
              <w:t>Light Pollution</w:t>
            </w:r>
          </w:p>
        </w:tc>
        <w:tc>
          <w:tcPr>
            <w:tcW w:w="774" w:type="pct"/>
            <w:shd w:val="clear" w:color="auto" w:fill="92D050"/>
          </w:tcPr>
          <w:p w14:paraId="7B4E6B7E" w14:textId="77777777" w:rsidR="00205F19" w:rsidRPr="00403A68" w:rsidRDefault="00205F19" w:rsidP="00666947">
            <w:pPr>
              <w:pStyle w:val="TableTextLeft"/>
            </w:pPr>
            <w:r w:rsidRPr="00403A68">
              <w:t>Pressures assessment</w:t>
            </w:r>
          </w:p>
        </w:tc>
      </w:tr>
      <w:tr w:rsidR="00205F19" w:rsidRPr="00403A68" w14:paraId="66E72FDE" w14:textId="77777777" w:rsidTr="003632AC">
        <w:trPr>
          <w:trHeight w:val="76"/>
        </w:trPr>
        <w:tc>
          <w:tcPr>
            <w:tcW w:w="384" w:type="pct"/>
            <w:noWrap/>
            <w:hideMark/>
          </w:tcPr>
          <w:p w14:paraId="3A4E191F" w14:textId="77777777" w:rsidR="00205F19" w:rsidRPr="00403A68" w:rsidRDefault="00205F19" w:rsidP="00666947">
            <w:pPr>
              <w:pStyle w:val="TableTextLeft"/>
            </w:pPr>
            <w:r w:rsidRPr="00403A68">
              <w:lastRenderedPageBreak/>
              <w:t>44</w:t>
            </w:r>
          </w:p>
        </w:tc>
        <w:tc>
          <w:tcPr>
            <w:tcW w:w="930" w:type="pct"/>
            <w:hideMark/>
          </w:tcPr>
          <w:p w14:paraId="61269107" w14:textId="77777777" w:rsidR="00205F19" w:rsidRPr="00403A68" w:rsidRDefault="00205F19" w:rsidP="00666947">
            <w:pPr>
              <w:pStyle w:val="TableTextLeft"/>
            </w:pPr>
            <w:r w:rsidRPr="00403A68">
              <w:t>Environmental Health</w:t>
            </w:r>
          </w:p>
        </w:tc>
        <w:tc>
          <w:tcPr>
            <w:tcW w:w="979" w:type="pct"/>
            <w:hideMark/>
          </w:tcPr>
          <w:p w14:paraId="1F96A06C" w14:textId="77777777" w:rsidR="00205F19" w:rsidRPr="00403A68" w:rsidRDefault="00205F19" w:rsidP="00666947">
            <w:pPr>
              <w:pStyle w:val="TableTextLeft"/>
            </w:pPr>
            <w:r w:rsidRPr="00403A68">
              <w:t>Litter and Pollution</w:t>
            </w:r>
          </w:p>
        </w:tc>
        <w:tc>
          <w:tcPr>
            <w:tcW w:w="1933" w:type="pct"/>
            <w:hideMark/>
          </w:tcPr>
          <w:p w14:paraId="709511C5" w14:textId="77777777" w:rsidR="00205F19" w:rsidRPr="00403A68" w:rsidRDefault="00205F19" w:rsidP="00666947">
            <w:pPr>
              <w:pStyle w:val="TableTextLeft"/>
            </w:pPr>
            <w:r w:rsidRPr="00403A68">
              <w:t>Coastal contaminated land</w:t>
            </w:r>
          </w:p>
        </w:tc>
        <w:tc>
          <w:tcPr>
            <w:tcW w:w="774" w:type="pct"/>
            <w:shd w:val="clear" w:color="auto" w:fill="FFFF00"/>
          </w:tcPr>
          <w:p w14:paraId="21D797CC" w14:textId="77777777" w:rsidR="00205F19" w:rsidRPr="00403A68" w:rsidRDefault="00205F19" w:rsidP="00666947">
            <w:pPr>
              <w:pStyle w:val="TableTextLeft"/>
            </w:pPr>
            <w:r w:rsidRPr="00403A68">
              <w:t>Condition account</w:t>
            </w:r>
          </w:p>
        </w:tc>
      </w:tr>
      <w:tr w:rsidR="00205F19" w:rsidRPr="00403A68" w14:paraId="0D591647" w14:textId="77777777" w:rsidTr="003632AC">
        <w:trPr>
          <w:trHeight w:val="25"/>
        </w:trPr>
        <w:tc>
          <w:tcPr>
            <w:tcW w:w="384" w:type="pct"/>
            <w:noWrap/>
            <w:hideMark/>
          </w:tcPr>
          <w:p w14:paraId="4E2451C8" w14:textId="77777777" w:rsidR="00205F19" w:rsidRPr="00403A68" w:rsidRDefault="00205F19" w:rsidP="00666947">
            <w:pPr>
              <w:pStyle w:val="TableTextLeft"/>
            </w:pPr>
            <w:r w:rsidRPr="00403A68">
              <w:t>45</w:t>
            </w:r>
          </w:p>
        </w:tc>
        <w:tc>
          <w:tcPr>
            <w:tcW w:w="930" w:type="pct"/>
            <w:hideMark/>
          </w:tcPr>
          <w:p w14:paraId="62624257" w14:textId="77777777" w:rsidR="00205F19" w:rsidRPr="00403A68" w:rsidRDefault="00205F19" w:rsidP="00666947">
            <w:pPr>
              <w:pStyle w:val="TableTextLeft"/>
            </w:pPr>
            <w:r w:rsidRPr="00403A68">
              <w:t>Environmental Health</w:t>
            </w:r>
          </w:p>
        </w:tc>
        <w:tc>
          <w:tcPr>
            <w:tcW w:w="979" w:type="pct"/>
            <w:hideMark/>
          </w:tcPr>
          <w:p w14:paraId="6E97F7E4" w14:textId="77777777" w:rsidR="00205F19" w:rsidRPr="00403A68" w:rsidRDefault="00205F19" w:rsidP="00666947">
            <w:pPr>
              <w:pStyle w:val="TableTextLeft"/>
            </w:pPr>
            <w:r w:rsidRPr="00403A68">
              <w:t>Litter and Pollution</w:t>
            </w:r>
          </w:p>
        </w:tc>
        <w:tc>
          <w:tcPr>
            <w:tcW w:w="1933" w:type="pct"/>
            <w:hideMark/>
          </w:tcPr>
          <w:p w14:paraId="570DE26F" w14:textId="77777777" w:rsidR="00205F19" w:rsidRPr="00403A68" w:rsidRDefault="00205F19" w:rsidP="00666947">
            <w:pPr>
              <w:pStyle w:val="TableTextLeft"/>
            </w:pPr>
            <w:r w:rsidRPr="00403A68">
              <w:t>Coastal air quality</w:t>
            </w:r>
          </w:p>
        </w:tc>
        <w:tc>
          <w:tcPr>
            <w:tcW w:w="774" w:type="pct"/>
            <w:shd w:val="clear" w:color="auto" w:fill="FFFF00"/>
          </w:tcPr>
          <w:p w14:paraId="4AB498DC" w14:textId="77777777" w:rsidR="00205F19" w:rsidRPr="00403A68" w:rsidRDefault="00205F19" w:rsidP="00666947">
            <w:pPr>
              <w:pStyle w:val="TableTextLeft"/>
            </w:pPr>
            <w:r w:rsidRPr="00403A68">
              <w:t>Condition account</w:t>
            </w:r>
          </w:p>
        </w:tc>
      </w:tr>
      <w:tr w:rsidR="00205F19" w:rsidRPr="00403A68" w14:paraId="125185D4" w14:textId="77777777" w:rsidTr="003632AC">
        <w:trPr>
          <w:trHeight w:val="404"/>
        </w:trPr>
        <w:tc>
          <w:tcPr>
            <w:tcW w:w="384" w:type="pct"/>
            <w:noWrap/>
            <w:hideMark/>
          </w:tcPr>
          <w:p w14:paraId="2DB859EA" w14:textId="77777777" w:rsidR="00205F19" w:rsidRPr="00403A68" w:rsidRDefault="00205F19" w:rsidP="00666947">
            <w:pPr>
              <w:pStyle w:val="TableTextLeft"/>
            </w:pPr>
            <w:r w:rsidRPr="00403A68">
              <w:t>46</w:t>
            </w:r>
          </w:p>
        </w:tc>
        <w:tc>
          <w:tcPr>
            <w:tcW w:w="930" w:type="pct"/>
            <w:hideMark/>
          </w:tcPr>
          <w:p w14:paraId="145E41B9" w14:textId="77777777" w:rsidR="00205F19" w:rsidRPr="00403A68" w:rsidRDefault="00205F19" w:rsidP="00666947">
            <w:pPr>
              <w:pStyle w:val="TableTextLeft"/>
            </w:pPr>
            <w:r w:rsidRPr="00403A68">
              <w:t>Climate, Coastal Hazard Risks and Climate Change Impacts</w:t>
            </w:r>
          </w:p>
        </w:tc>
        <w:tc>
          <w:tcPr>
            <w:tcW w:w="979" w:type="pct"/>
            <w:hideMark/>
          </w:tcPr>
          <w:p w14:paraId="7F0C1644" w14:textId="77777777" w:rsidR="00205F19" w:rsidRPr="00403A68" w:rsidRDefault="00205F19" w:rsidP="00666947">
            <w:pPr>
              <w:pStyle w:val="TableTextLeft"/>
            </w:pPr>
            <w:r w:rsidRPr="00403A68">
              <w:t>Climate and climate change impacts</w:t>
            </w:r>
          </w:p>
        </w:tc>
        <w:tc>
          <w:tcPr>
            <w:tcW w:w="1933" w:type="pct"/>
            <w:hideMark/>
          </w:tcPr>
          <w:p w14:paraId="0DBF3A86" w14:textId="77777777" w:rsidR="00205F19" w:rsidRPr="00403A68" w:rsidRDefault="00205F19" w:rsidP="00666947">
            <w:pPr>
              <w:pStyle w:val="TableTextLeft"/>
            </w:pPr>
            <w:r w:rsidRPr="00403A68">
              <w:t>Rainfall</w:t>
            </w:r>
          </w:p>
        </w:tc>
        <w:tc>
          <w:tcPr>
            <w:tcW w:w="774" w:type="pct"/>
            <w:shd w:val="clear" w:color="auto" w:fill="92D050"/>
          </w:tcPr>
          <w:p w14:paraId="7C34D80E" w14:textId="77777777" w:rsidR="00205F19" w:rsidRPr="00403A68" w:rsidRDefault="00205F19" w:rsidP="00666947">
            <w:pPr>
              <w:pStyle w:val="TableTextLeft"/>
            </w:pPr>
            <w:r w:rsidRPr="00403A68">
              <w:t>Pressures assessment</w:t>
            </w:r>
          </w:p>
        </w:tc>
      </w:tr>
      <w:tr w:rsidR="00205F19" w:rsidRPr="00403A68" w14:paraId="30AE06A8" w14:textId="77777777" w:rsidTr="003632AC">
        <w:trPr>
          <w:trHeight w:val="283"/>
        </w:trPr>
        <w:tc>
          <w:tcPr>
            <w:tcW w:w="384" w:type="pct"/>
            <w:noWrap/>
            <w:hideMark/>
          </w:tcPr>
          <w:p w14:paraId="5C87C97D" w14:textId="77777777" w:rsidR="00205F19" w:rsidRPr="00403A68" w:rsidRDefault="00205F19" w:rsidP="00666947">
            <w:pPr>
              <w:pStyle w:val="TableTextLeft"/>
            </w:pPr>
            <w:r w:rsidRPr="00403A68">
              <w:t>47</w:t>
            </w:r>
          </w:p>
        </w:tc>
        <w:tc>
          <w:tcPr>
            <w:tcW w:w="930" w:type="pct"/>
            <w:hideMark/>
          </w:tcPr>
          <w:p w14:paraId="6049B872" w14:textId="77777777" w:rsidR="00205F19" w:rsidRPr="00403A68" w:rsidRDefault="00205F19" w:rsidP="00666947">
            <w:pPr>
              <w:pStyle w:val="TableTextLeft"/>
            </w:pPr>
            <w:r w:rsidRPr="00403A68">
              <w:t>Climate, Coastal Hazard Risks and Climate Change Impacts</w:t>
            </w:r>
          </w:p>
        </w:tc>
        <w:tc>
          <w:tcPr>
            <w:tcW w:w="979" w:type="pct"/>
            <w:hideMark/>
          </w:tcPr>
          <w:p w14:paraId="0735C6CF" w14:textId="77777777" w:rsidR="00205F19" w:rsidRPr="00403A68" w:rsidRDefault="00205F19" w:rsidP="00666947">
            <w:pPr>
              <w:pStyle w:val="TableTextLeft"/>
            </w:pPr>
            <w:r w:rsidRPr="00403A68">
              <w:t>Climate and climate change impacts</w:t>
            </w:r>
          </w:p>
        </w:tc>
        <w:tc>
          <w:tcPr>
            <w:tcW w:w="1933" w:type="pct"/>
            <w:hideMark/>
          </w:tcPr>
          <w:p w14:paraId="35189B10" w14:textId="77777777" w:rsidR="00205F19" w:rsidRPr="00403A68" w:rsidRDefault="00205F19" w:rsidP="00666947">
            <w:pPr>
              <w:pStyle w:val="TableTextLeft"/>
            </w:pPr>
            <w:r w:rsidRPr="00403A68">
              <w:t>Air temperature</w:t>
            </w:r>
          </w:p>
        </w:tc>
        <w:tc>
          <w:tcPr>
            <w:tcW w:w="774" w:type="pct"/>
            <w:shd w:val="clear" w:color="auto" w:fill="92D050"/>
          </w:tcPr>
          <w:p w14:paraId="0C018092" w14:textId="77777777" w:rsidR="00205F19" w:rsidRPr="00403A68" w:rsidRDefault="00205F19" w:rsidP="00666947">
            <w:pPr>
              <w:pStyle w:val="TableTextLeft"/>
            </w:pPr>
            <w:r w:rsidRPr="00403A68">
              <w:t>Pressures assessment</w:t>
            </w:r>
          </w:p>
        </w:tc>
      </w:tr>
      <w:tr w:rsidR="00205F19" w:rsidRPr="00403A68" w14:paraId="44137AF3" w14:textId="77777777" w:rsidTr="003632AC">
        <w:trPr>
          <w:trHeight w:val="354"/>
        </w:trPr>
        <w:tc>
          <w:tcPr>
            <w:tcW w:w="384" w:type="pct"/>
            <w:noWrap/>
            <w:hideMark/>
          </w:tcPr>
          <w:p w14:paraId="1F42158D" w14:textId="77777777" w:rsidR="00205F19" w:rsidRPr="00403A68" w:rsidRDefault="00205F19" w:rsidP="00666947">
            <w:pPr>
              <w:pStyle w:val="TableTextLeft"/>
            </w:pPr>
            <w:r w:rsidRPr="00403A68">
              <w:t>48</w:t>
            </w:r>
          </w:p>
        </w:tc>
        <w:tc>
          <w:tcPr>
            <w:tcW w:w="930" w:type="pct"/>
            <w:hideMark/>
          </w:tcPr>
          <w:p w14:paraId="454196BE" w14:textId="77777777" w:rsidR="00205F19" w:rsidRPr="00403A68" w:rsidRDefault="00205F19" w:rsidP="00666947">
            <w:pPr>
              <w:pStyle w:val="TableTextLeft"/>
            </w:pPr>
            <w:r w:rsidRPr="00403A68">
              <w:t>Climate, Coastal Hazard Risks and Climate Change Impacts</w:t>
            </w:r>
          </w:p>
        </w:tc>
        <w:tc>
          <w:tcPr>
            <w:tcW w:w="979" w:type="pct"/>
            <w:hideMark/>
          </w:tcPr>
          <w:p w14:paraId="0040CCAC" w14:textId="77777777" w:rsidR="00205F19" w:rsidRPr="00403A68" w:rsidRDefault="00205F19" w:rsidP="00666947">
            <w:pPr>
              <w:pStyle w:val="TableTextLeft"/>
            </w:pPr>
            <w:r w:rsidRPr="00403A68">
              <w:t>Climate and climate change impacts</w:t>
            </w:r>
          </w:p>
        </w:tc>
        <w:tc>
          <w:tcPr>
            <w:tcW w:w="1933" w:type="pct"/>
            <w:hideMark/>
          </w:tcPr>
          <w:p w14:paraId="50F88733" w14:textId="77777777" w:rsidR="00205F19" w:rsidRPr="00403A68" w:rsidRDefault="00205F19" w:rsidP="00666947">
            <w:pPr>
              <w:pStyle w:val="TableTextLeft"/>
            </w:pPr>
            <w:r w:rsidRPr="00403A68">
              <w:t>Water Temperature</w:t>
            </w:r>
          </w:p>
        </w:tc>
        <w:tc>
          <w:tcPr>
            <w:tcW w:w="774" w:type="pct"/>
            <w:shd w:val="clear" w:color="auto" w:fill="92D050"/>
          </w:tcPr>
          <w:p w14:paraId="69678984" w14:textId="77777777" w:rsidR="00205F19" w:rsidRPr="00403A68" w:rsidRDefault="00205F19" w:rsidP="00666947">
            <w:pPr>
              <w:pStyle w:val="TableTextLeft"/>
            </w:pPr>
            <w:r w:rsidRPr="00403A68">
              <w:t>Pressures assessment</w:t>
            </w:r>
          </w:p>
        </w:tc>
      </w:tr>
      <w:tr w:rsidR="00205F19" w:rsidRPr="00403A68" w14:paraId="1581EB9F" w14:textId="77777777" w:rsidTr="003632AC">
        <w:trPr>
          <w:trHeight w:val="283"/>
        </w:trPr>
        <w:tc>
          <w:tcPr>
            <w:tcW w:w="384" w:type="pct"/>
            <w:noWrap/>
            <w:hideMark/>
          </w:tcPr>
          <w:p w14:paraId="3A6088A1" w14:textId="77777777" w:rsidR="00205F19" w:rsidRPr="00403A68" w:rsidRDefault="00205F19" w:rsidP="00666947">
            <w:pPr>
              <w:pStyle w:val="TableTextLeft"/>
            </w:pPr>
            <w:r w:rsidRPr="00403A68">
              <w:t>49</w:t>
            </w:r>
          </w:p>
        </w:tc>
        <w:tc>
          <w:tcPr>
            <w:tcW w:w="930" w:type="pct"/>
            <w:hideMark/>
          </w:tcPr>
          <w:p w14:paraId="246665DA" w14:textId="77777777" w:rsidR="00205F19" w:rsidRPr="00403A68" w:rsidRDefault="00205F19" w:rsidP="00666947">
            <w:pPr>
              <w:pStyle w:val="TableTextLeft"/>
            </w:pPr>
            <w:r w:rsidRPr="00403A68">
              <w:t>Climate, Coastal Hazard Risks and Climate Change Impacts</w:t>
            </w:r>
          </w:p>
        </w:tc>
        <w:tc>
          <w:tcPr>
            <w:tcW w:w="979" w:type="pct"/>
            <w:hideMark/>
          </w:tcPr>
          <w:p w14:paraId="075E1C1D" w14:textId="77777777" w:rsidR="00205F19" w:rsidRPr="00403A68" w:rsidRDefault="00205F19" w:rsidP="00666947">
            <w:pPr>
              <w:pStyle w:val="TableTextLeft"/>
            </w:pPr>
            <w:r w:rsidRPr="00403A68">
              <w:t>Climate and climate change impacts</w:t>
            </w:r>
          </w:p>
        </w:tc>
        <w:tc>
          <w:tcPr>
            <w:tcW w:w="1933" w:type="pct"/>
            <w:hideMark/>
          </w:tcPr>
          <w:p w14:paraId="406935B0" w14:textId="77777777" w:rsidR="00205F19" w:rsidRPr="00403A68" w:rsidRDefault="00205F19" w:rsidP="00666947">
            <w:pPr>
              <w:pStyle w:val="TableTextLeft"/>
            </w:pPr>
            <w:r w:rsidRPr="00403A68">
              <w:t>Ocean Acidification</w:t>
            </w:r>
          </w:p>
        </w:tc>
        <w:tc>
          <w:tcPr>
            <w:tcW w:w="774" w:type="pct"/>
            <w:shd w:val="clear" w:color="auto" w:fill="FFFF00"/>
          </w:tcPr>
          <w:p w14:paraId="1F3D80C6" w14:textId="77777777" w:rsidR="00205F19" w:rsidRPr="00403A68" w:rsidRDefault="00205F19" w:rsidP="00666947">
            <w:pPr>
              <w:pStyle w:val="TableTextLeft"/>
            </w:pPr>
            <w:r w:rsidRPr="00403A68">
              <w:t>Condition account</w:t>
            </w:r>
          </w:p>
        </w:tc>
      </w:tr>
      <w:tr w:rsidR="00205F19" w:rsidRPr="00403A68" w14:paraId="1A44B295" w14:textId="77777777" w:rsidTr="003632AC">
        <w:trPr>
          <w:trHeight w:val="183"/>
        </w:trPr>
        <w:tc>
          <w:tcPr>
            <w:tcW w:w="384" w:type="pct"/>
            <w:noWrap/>
            <w:hideMark/>
          </w:tcPr>
          <w:p w14:paraId="3438F560" w14:textId="77777777" w:rsidR="00205F19" w:rsidRPr="00403A68" w:rsidRDefault="00205F19" w:rsidP="00666947">
            <w:pPr>
              <w:pStyle w:val="TableTextLeft"/>
            </w:pPr>
            <w:r w:rsidRPr="00403A68">
              <w:t>50</w:t>
            </w:r>
          </w:p>
        </w:tc>
        <w:tc>
          <w:tcPr>
            <w:tcW w:w="930" w:type="pct"/>
            <w:hideMark/>
          </w:tcPr>
          <w:p w14:paraId="082A29B6" w14:textId="77777777" w:rsidR="00205F19" w:rsidRPr="00403A68" w:rsidRDefault="00205F19" w:rsidP="00666947">
            <w:pPr>
              <w:pStyle w:val="TableTextLeft"/>
            </w:pPr>
            <w:r w:rsidRPr="00403A68">
              <w:t>Climate, Coastal Hazard Risks and Climate Change Impacts</w:t>
            </w:r>
          </w:p>
        </w:tc>
        <w:tc>
          <w:tcPr>
            <w:tcW w:w="979" w:type="pct"/>
            <w:hideMark/>
          </w:tcPr>
          <w:p w14:paraId="548EE9AE" w14:textId="77777777" w:rsidR="00205F19" w:rsidRPr="00403A68" w:rsidRDefault="00205F19" w:rsidP="00666947">
            <w:pPr>
              <w:pStyle w:val="TableTextLeft"/>
            </w:pPr>
            <w:r w:rsidRPr="00403A68">
              <w:t>Climate and climate change impacts</w:t>
            </w:r>
          </w:p>
        </w:tc>
        <w:tc>
          <w:tcPr>
            <w:tcW w:w="1933" w:type="pct"/>
            <w:hideMark/>
          </w:tcPr>
          <w:p w14:paraId="09A7ABC1" w14:textId="77777777" w:rsidR="00205F19" w:rsidRPr="00403A68" w:rsidRDefault="00205F19" w:rsidP="00666947">
            <w:pPr>
              <w:pStyle w:val="TableTextLeft"/>
            </w:pPr>
            <w:r w:rsidRPr="00403A68">
              <w:t>Areas of coastal vulnerability</w:t>
            </w:r>
          </w:p>
        </w:tc>
        <w:tc>
          <w:tcPr>
            <w:tcW w:w="774" w:type="pct"/>
            <w:shd w:val="clear" w:color="auto" w:fill="92D050"/>
          </w:tcPr>
          <w:p w14:paraId="0074C20A" w14:textId="77777777" w:rsidR="00205F19" w:rsidRPr="00403A68" w:rsidRDefault="00205F19" w:rsidP="00666947">
            <w:pPr>
              <w:pStyle w:val="TableTextLeft"/>
            </w:pPr>
            <w:r w:rsidRPr="00403A68">
              <w:t>Pressures assessment</w:t>
            </w:r>
          </w:p>
        </w:tc>
      </w:tr>
      <w:tr w:rsidR="00205F19" w:rsidRPr="00403A68" w14:paraId="1973562B" w14:textId="77777777" w:rsidTr="003632AC">
        <w:trPr>
          <w:trHeight w:val="25"/>
        </w:trPr>
        <w:tc>
          <w:tcPr>
            <w:tcW w:w="384" w:type="pct"/>
            <w:noWrap/>
            <w:hideMark/>
          </w:tcPr>
          <w:p w14:paraId="5883B367" w14:textId="77777777" w:rsidR="00205F19" w:rsidRPr="00403A68" w:rsidRDefault="00205F19" w:rsidP="00666947">
            <w:pPr>
              <w:pStyle w:val="TableTextLeft"/>
            </w:pPr>
            <w:r w:rsidRPr="00403A68">
              <w:t>51</w:t>
            </w:r>
          </w:p>
        </w:tc>
        <w:tc>
          <w:tcPr>
            <w:tcW w:w="930" w:type="pct"/>
            <w:hideMark/>
          </w:tcPr>
          <w:p w14:paraId="4F866161" w14:textId="77777777" w:rsidR="00205F19" w:rsidRPr="00403A68" w:rsidRDefault="00205F19" w:rsidP="00666947">
            <w:pPr>
              <w:pStyle w:val="TableTextLeft"/>
            </w:pPr>
            <w:r w:rsidRPr="00403A68">
              <w:t>Climate, Coastal Hazard Risks and Climate Change Impacts</w:t>
            </w:r>
          </w:p>
        </w:tc>
        <w:tc>
          <w:tcPr>
            <w:tcW w:w="979" w:type="pct"/>
            <w:hideMark/>
          </w:tcPr>
          <w:p w14:paraId="7152980F" w14:textId="77777777" w:rsidR="00205F19" w:rsidRPr="00403A68" w:rsidRDefault="00205F19" w:rsidP="00666947">
            <w:pPr>
              <w:pStyle w:val="TableTextLeft"/>
            </w:pPr>
            <w:r w:rsidRPr="00403A68">
              <w:t>Climate and climate change impacts</w:t>
            </w:r>
          </w:p>
        </w:tc>
        <w:tc>
          <w:tcPr>
            <w:tcW w:w="1933" w:type="pct"/>
            <w:hideMark/>
          </w:tcPr>
          <w:p w14:paraId="08A05EC7" w14:textId="77777777" w:rsidR="00205F19" w:rsidRPr="00403A68" w:rsidRDefault="00205F19" w:rsidP="00666947">
            <w:pPr>
              <w:pStyle w:val="TableTextLeft"/>
            </w:pPr>
            <w:r w:rsidRPr="00403A68">
              <w:t>Sea level and coastal inundation</w:t>
            </w:r>
          </w:p>
        </w:tc>
        <w:tc>
          <w:tcPr>
            <w:tcW w:w="774" w:type="pct"/>
            <w:shd w:val="clear" w:color="auto" w:fill="92D050"/>
          </w:tcPr>
          <w:p w14:paraId="0B60BE5B" w14:textId="77777777" w:rsidR="00205F19" w:rsidRPr="00403A68" w:rsidRDefault="00205F19" w:rsidP="00666947">
            <w:pPr>
              <w:pStyle w:val="TableTextLeft"/>
            </w:pPr>
            <w:r w:rsidRPr="00403A68">
              <w:t>Pressures assessment</w:t>
            </w:r>
          </w:p>
        </w:tc>
      </w:tr>
      <w:tr w:rsidR="00205F19" w:rsidRPr="00403A68" w14:paraId="448F947F" w14:textId="77777777" w:rsidTr="003632AC">
        <w:trPr>
          <w:trHeight w:val="283"/>
        </w:trPr>
        <w:tc>
          <w:tcPr>
            <w:tcW w:w="384" w:type="pct"/>
            <w:noWrap/>
            <w:hideMark/>
          </w:tcPr>
          <w:p w14:paraId="78BD706E" w14:textId="77777777" w:rsidR="00205F19" w:rsidRPr="00403A68" w:rsidRDefault="00205F19" w:rsidP="00666947">
            <w:pPr>
              <w:pStyle w:val="TableTextLeft"/>
            </w:pPr>
            <w:r w:rsidRPr="00403A68">
              <w:t>52</w:t>
            </w:r>
          </w:p>
        </w:tc>
        <w:tc>
          <w:tcPr>
            <w:tcW w:w="930" w:type="pct"/>
            <w:hideMark/>
          </w:tcPr>
          <w:p w14:paraId="168F30BD" w14:textId="77777777" w:rsidR="00205F19" w:rsidRPr="00403A68" w:rsidRDefault="00205F19" w:rsidP="00666947">
            <w:pPr>
              <w:pStyle w:val="TableTextLeft"/>
            </w:pPr>
            <w:r w:rsidRPr="00403A68">
              <w:t>Climate, Coastal Hazard Risks and Climate Change Impacts</w:t>
            </w:r>
          </w:p>
        </w:tc>
        <w:tc>
          <w:tcPr>
            <w:tcW w:w="979" w:type="pct"/>
            <w:hideMark/>
          </w:tcPr>
          <w:p w14:paraId="0E4D710B" w14:textId="77777777" w:rsidR="00205F19" w:rsidRPr="00403A68" w:rsidRDefault="00205F19" w:rsidP="00666947">
            <w:pPr>
              <w:pStyle w:val="TableTextLeft"/>
            </w:pPr>
            <w:r w:rsidRPr="00403A68">
              <w:t>Climate and climate change impacts</w:t>
            </w:r>
          </w:p>
        </w:tc>
        <w:tc>
          <w:tcPr>
            <w:tcW w:w="1933" w:type="pct"/>
            <w:hideMark/>
          </w:tcPr>
          <w:p w14:paraId="4BF6772E" w14:textId="77777777" w:rsidR="00205F19" w:rsidRPr="00403A68" w:rsidRDefault="00205F19" w:rsidP="00666947">
            <w:pPr>
              <w:pStyle w:val="TableTextLeft"/>
            </w:pPr>
            <w:r w:rsidRPr="00403A68">
              <w:t>Coastal erosion</w:t>
            </w:r>
          </w:p>
        </w:tc>
        <w:tc>
          <w:tcPr>
            <w:tcW w:w="774" w:type="pct"/>
            <w:shd w:val="clear" w:color="auto" w:fill="92D050"/>
          </w:tcPr>
          <w:p w14:paraId="494704CA" w14:textId="77777777" w:rsidR="00205F19" w:rsidRPr="00403A68" w:rsidRDefault="00205F19" w:rsidP="00666947">
            <w:pPr>
              <w:pStyle w:val="TableTextLeft"/>
            </w:pPr>
            <w:r w:rsidRPr="00403A68">
              <w:t>Pressures assessment</w:t>
            </w:r>
          </w:p>
        </w:tc>
      </w:tr>
      <w:tr w:rsidR="00205F19" w:rsidRPr="00403A68" w14:paraId="08BAE555" w14:textId="77777777" w:rsidTr="003632AC">
        <w:trPr>
          <w:trHeight w:val="273"/>
        </w:trPr>
        <w:tc>
          <w:tcPr>
            <w:tcW w:w="384" w:type="pct"/>
            <w:noWrap/>
            <w:hideMark/>
          </w:tcPr>
          <w:p w14:paraId="5340A12E" w14:textId="77777777" w:rsidR="00205F19" w:rsidRPr="00403A68" w:rsidRDefault="00205F19" w:rsidP="00666947">
            <w:pPr>
              <w:pStyle w:val="TableTextLeft"/>
            </w:pPr>
            <w:r w:rsidRPr="00403A68">
              <w:t>53</w:t>
            </w:r>
          </w:p>
        </w:tc>
        <w:tc>
          <w:tcPr>
            <w:tcW w:w="930" w:type="pct"/>
            <w:hideMark/>
          </w:tcPr>
          <w:p w14:paraId="717441C4" w14:textId="77777777" w:rsidR="00205F19" w:rsidRPr="00403A68" w:rsidRDefault="00205F19" w:rsidP="00666947">
            <w:pPr>
              <w:pStyle w:val="TableTextLeft"/>
            </w:pPr>
            <w:r w:rsidRPr="00403A68">
              <w:t>Climate, Coastal Hazard Risks and Climate Change Impacts</w:t>
            </w:r>
          </w:p>
        </w:tc>
        <w:tc>
          <w:tcPr>
            <w:tcW w:w="979" w:type="pct"/>
            <w:hideMark/>
          </w:tcPr>
          <w:p w14:paraId="140BF72A" w14:textId="77777777" w:rsidR="00205F19" w:rsidRPr="00403A68" w:rsidRDefault="00205F19" w:rsidP="00666947">
            <w:pPr>
              <w:pStyle w:val="TableTextLeft"/>
            </w:pPr>
            <w:r w:rsidRPr="00403A68">
              <w:t>Climate and climate change impacts</w:t>
            </w:r>
          </w:p>
        </w:tc>
        <w:tc>
          <w:tcPr>
            <w:tcW w:w="1933" w:type="pct"/>
            <w:hideMark/>
          </w:tcPr>
          <w:p w14:paraId="2A15BC95" w14:textId="77777777" w:rsidR="00205F19" w:rsidRPr="00403A68" w:rsidRDefault="00205F19" w:rsidP="00666947">
            <w:pPr>
              <w:pStyle w:val="TableTextLeft"/>
            </w:pPr>
            <w:r w:rsidRPr="00403A68">
              <w:t>Wave Climate</w:t>
            </w:r>
          </w:p>
        </w:tc>
        <w:tc>
          <w:tcPr>
            <w:tcW w:w="774" w:type="pct"/>
            <w:shd w:val="clear" w:color="auto" w:fill="92D050"/>
          </w:tcPr>
          <w:p w14:paraId="1EF06E0F" w14:textId="77777777" w:rsidR="00205F19" w:rsidRPr="00403A68" w:rsidRDefault="00205F19" w:rsidP="00666947">
            <w:pPr>
              <w:pStyle w:val="TableTextLeft"/>
            </w:pPr>
            <w:r w:rsidRPr="00403A68">
              <w:t>Pressures assessment</w:t>
            </w:r>
          </w:p>
        </w:tc>
      </w:tr>
      <w:tr w:rsidR="00205F19" w:rsidRPr="00403A68" w14:paraId="2E915B7A" w14:textId="77777777" w:rsidTr="003632AC">
        <w:trPr>
          <w:trHeight w:val="78"/>
        </w:trPr>
        <w:tc>
          <w:tcPr>
            <w:tcW w:w="384" w:type="pct"/>
            <w:noWrap/>
            <w:hideMark/>
          </w:tcPr>
          <w:p w14:paraId="04FCA3FB" w14:textId="77777777" w:rsidR="00205F19" w:rsidRPr="00403A68" w:rsidRDefault="00205F19" w:rsidP="00666947">
            <w:pPr>
              <w:pStyle w:val="TableTextLeft"/>
            </w:pPr>
            <w:r w:rsidRPr="00403A68">
              <w:t>54</w:t>
            </w:r>
          </w:p>
        </w:tc>
        <w:tc>
          <w:tcPr>
            <w:tcW w:w="930" w:type="pct"/>
            <w:hideMark/>
          </w:tcPr>
          <w:p w14:paraId="6B2B8D34" w14:textId="77777777" w:rsidR="00205F19" w:rsidRPr="00403A68" w:rsidRDefault="00205F19" w:rsidP="00666947">
            <w:pPr>
              <w:pStyle w:val="TableTextLeft"/>
            </w:pPr>
            <w:r w:rsidRPr="00403A68">
              <w:t>Climate, Coastal Hazard Risks and Climate Change Impacts</w:t>
            </w:r>
          </w:p>
        </w:tc>
        <w:tc>
          <w:tcPr>
            <w:tcW w:w="979" w:type="pct"/>
            <w:hideMark/>
          </w:tcPr>
          <w:p w14:paraId="00D4E680" w14:textId="77777777" w:rsidR="00205F19" w:rsidRPr="00403A68" w:rsidRDefault="00205F19" w:rsidP="00666947">
            <w:pPr>
              <w:pStyle w:val="TableTextLeft"/>
            </w:pPr>
            <w:r w:rsidRPr="00403A68">
              <w:t>Climate and climate change impacts</w:t>
            </w:r>
          </w:p>
        </w:tc>
        <w:tc>
          <w:tcPr>
            <w:tcW w:w="1933" w:type="pct"/>
            <w:hideMark/>
          </w:tcPr>
          <w:p w14:paraId="029B717A" w14:textId="77777777" w:rsidR="00205F19" w:rsidRPr="00403A68" w:rsidRDefault="00205F19" w:rsidP="00666947">
            <w:pPr>
              <w:pStyle w:val="TableTextLeft"/>
            </w:pPr>
            <w:r w:rsidRPr="00403A68">
              <w:t>Groundwater and seawater intrusion into coastal aquifers</w:t>
            </w:r>
          </w:p>
        </w:tc>
        <w:tc>
          <w:tcPr>
            <w:tcW w:w="774" w:type="pct"/>
            <w:shd w:val="clear" w:color="auto" w:fill="92D050"/>
          </w:tcPr>
          <w:p w14:paraId="205D18E9" w14:textId="77777777" w:rsidR="00205F19" w:rsidRPr="00403A68" w:rsidRDefault="00205F19" w:rsidP="00666947">
            <w:pPr>
              <w:pStyle w:val="TableTextLeft"/>
            </w:pPr>
            <w:r w:rsidRPr="00403A68">
              <w:t>Pressures assessment</w:t>
            </w:r>
          </w:p>
        </w:tc>
      </w:tr>
      <w:tr w:rsidR="00205F19" w:rsidRPr="00403A68" w14:paraId="04E544FD" w14:textId="77777777" w:rsidTr="003632AC">
        <w:trPr>
          <w:trHeight w:val="25"/>
        </w:trPr>
        <w:tc>
          <w:tcPr>
            <w:tcW w:w="384" w:type="pct"/>
            <w:noWrap/>
            <w:hideMark/>
          </w:tcPr>
          <w:p w14:paraId="196F24B0" w14:textId="77777777" w:rsidR="00205F19" w:rsidRPr="00403A68" w:rsidRDefault="00205F19" w:rsidP="00666947">
            <w:pPr>
              <w:pStyle w:val="TableTextLeft"/>
            </w:pPr>
            <w:r w:rsidRPr="00403A68">
              <w:t>55</w:t>
            </w:r>
          </w:p>
        </w:tc>
        <w:tc>
          <w:tcPr>
            <w:tcW w:w="930" w:type="pct"/>
            <w:hideMark/>
          </w:tcPr>
          <w:p w14:paraId="57DF2919" w14:textId="77777777" w:rsidR="00205F19" w:rsidRPr="00403A68" w:rsidRDefault="00205F19" w:rsidP="00666947">
            <w:pPr>
              <w:pStyle w:val="TableTextLeft"/>
            </w:pPr>
            <w:r w:rsidRPr="00403A68">
              <w:t>Climate, Coastal Hazard Risks and Climate Change Impacts</w:t>
            </w:r>
          </w:p>
        </w:tc>
        <w:tc>
          <w:tcPr>
            <w:tcW w:w="979" w:type="pct"/>
            <w:hideMark/>
          </w:tcPr>
          <w:p w14:paraId="27388C46" w14:textId="77777777" w:rsidR="00205F19" w:rsidRPr="00403A68" w:rsidRDefault="00205F19" w:rsidP="00666947">
            <w:pPr>
              <w:pStyle w:val="TableTextLeft"/>
            </w:pPr>
            <w:r w:rsidRPr="00403A68">
              <w:t>Climate and climate change impacts</w:t>
            </w:r>
          </w:p>
        </w:tc>
        <w:tc>
          <w:tcPr>
            <w:tcW w:w="1933" w:type="pct"/>
            <w:hideMark/>
          </w:tcPr>
          <w:p w14:paraId="3F6A0FAE" w14:textId="77777777" w:rsidR="00205F19" w:rsidRPr="00403A68" w:rsidRDefault="00205F19" w:rsidP="00666947">
            <w:pPr>
              <w:pStyle w:val="TableTextLeft"/>
            </w:pPr>
            <w:r w:rsidRPr="00403A68">
              <w:t>Frequency and impact of fire on marine and coastal ecosystems</w:t>
            </w:r>
          </w:p>
        </w:tc>
        <w:tc>
          <w:tcPr>
            <w:tcW w:w="774" w:type="pct"/>
            <w:shd w:val="clear" w:color="auto" w:fill="92D050"/>
          </w:tcPr>
          <w:p w14:paraId="62E84D2B" w14:textId="77777777" w:rsidR="00205F19" w:rsidRPr="00403A68" w:rsidRDefault="00205F19" w:rsidP="00666947">
            <w:pPr>
              <w:pStyle w:val="TableTextLeft"/>
            </w:pPr>
            <w:r w:rsidRPr="00403A68">
              <w:t>Pressures assessment</w:t>
            </w:r>
          </w:p>
        </w:tc>
      </w:tr>
      <w:tr w:rsidR="00205F19" w:rsidRPr="00403A68" w14:paraId="64B5D8D9" w14:textId="77777777" w:rsidTr="003632AC">
        <w:trPr>
          <w:trHeight w:val="299"/>
        </w:trPr>
        <w:tc>
          <w:tcPr>
            <w:tcW w:w="384" w:type="pct"/>
            <w:noWrap/>
            <w:hideMark/>
          </w:tcPr>
          <w:p w14:paraId="6A9453A2" w14:textId="77777777" w:rsidR="00205F19" w:rsidRPr="00403A68" w:rsidRDefault="00205F19" w:rsidP="00666947">
            <w:pPr>
              <w:pStyle w:val="TableTextLeft"/>
            </w:pPr>
            <w:r w:rsidRPr="00403A68">
              <w:t>56</w:t>
            </w:r>
          </w:p>
        </w:tc>
        <w:tc>
          <w:tcPr>
            <w:tcW w:w="930" w:type="pct"/>
            <w:hideMark/>
          </w:tcPr>
          <w:p w14:paraId="575950C1" w14:textId="77777777" w:rsidR="00205F19" w:rsidRPr="00403A68" w:rsidRDefault="00205F19" w:rsidP="00666947">
            <w:pPr>
              <w:pStyle w:val="TableTextLeft"/>
            </w:pPr>
            <w:r w:rsidRPr="00403A68">
              <w:t>Climate, Coastal Hazard Risks and Climate Change Impacts</w:t>
            </w:r>
          </w:p>
        </w:tc>
        <w:tc>
          <w:tcPr>
            <w:tcW w:w="979" w:type="pct"/>
            <w:hideMark/>
          </w:tcPr>
          <w:p w14:paraId="187BF354" w14:textId="77777777" w:rsidR="00205F19" w:rsidRPr="00403A68" w:rsidRDefault="00205F19" w:rsidP="00666947">
            <w:pPr>
              <w:pStyle w:val="TableTextLeft"/>
            </w:pPr>
            <w:r w:rsidRPr="00403A68">
              <w:t>Climate and climate change impacts</w:t>
            </w:r>
          </w:p>
        </w:tc>
        <w:tc>
          <w:tcPr>
            <w:tcW w:w="1933" w:type="pct"/>
            <w:hideMark/>
          </w:tcPr>
          <w:p w14:paraId="6632909D" w14:textId="77777777" w:rsidR="00205F19" w:rsidRPr="00403A68" w:rsidRDefault="00205F19" w:rsidP="00666947">
            <w:pPr>
              <w:pStyle w:val="TableTextLeft"/>
            </w:pPr>
            <w:r w:rsidRPr="00403A68">
              <w:t>Climate Change Impact on Built Infrastructure</w:t>
            </w:r>
          </w:p>
        </w:tc>
        <w:tc>
          <w:tcPr>
            <w:tcW w:w="774" w:type="pct"/>
            <w:shd w:val="clear" w:color="auto" w:fill="BFBFBF"/>
          </w:tcPr>
          <w:p w14:paraId="3CE2D298" w14:textId="77777777" w:rsidR="00205F19" w:rsidRPr="00403A68" w:rsidRDefault="00205F19" w:rsidP="00666947">
            <w:pPr>
              <w:pStyle w:val="TableTextLeft"/>
            </w:pPr>
            <w:r w:rsidRPr="00403A68">
              <w:t>Outside of EEA framework</w:t>
            </w:r>
          </w:p>
        </w:tc>
      </w:tr>
      <w:tr w:rsidR="00205F19" w:rsidRPr="00403A68" w14:paraId="0EABC72E" w14:textId="77777777" w:rsidTr="003632AC">
        <w:trPr>
          <w:trHeight w:val="348"/>
        </w:trPr>
        <w:tc>
          <w:tcPr>
            <w:tcW w:w="384" w:type="pct"/>
            <w:noWrap/>
            <w:hideMark/>
          </w:tcPr>
          <w:p w14:paraId="2F4CEF8C" w14:textId="77777777" w:rsidR="00205F19" w:rsidRPr="00403A68" w:rsidRDefault="00205F19" w:rsidP="00666947">
            <w:pPr>
              <w:pStyle w:val="TableTextLeft"/>
            </w:pPr>
            <w:r w:rsidRPr="00403A68">
              <w:t>57</w:t>
            </w:r>
          </w:p>
        </w:tc>
        <w:tc>
          <w:tcPr>
            <w:tcW w:w="930" w:type="pct"/>
            <w:hideMark/>
          </w:tcPr>
          <w:p w14:paraId="358EAB39" w14:textId="77777777" w:rsidR="00205F19" w:rsidRPr="00403A68" w:rsidRDefault="00205F19" w:rsidP="00666947">
            <w:pPr>
              <w:pStyle w:val="TableTextLeft"/>
            </w:pPr>
            <w:r w:rsidRPr="00403A68">
              <w:t>Climate, Coastal Hazard Risks and Climate Change Impacts</w:t>
            </w:r>
          </w:p>
        </w:tc>
        <w:tc>
          <w:tcPr>
            <w:tcW w:w="979" w:type="pct"/>
            <w:hideMark/>
          </w:tcPr>
          <w:p w14:paraId="3D4B699F" w14:textId="77777777" w:rsidR="00205F19" w:rsidRPr="00403A68" w:rsidRDefault="00205F19" w:rsidP="00666947">
            <w:pPr>
              <w:pStyle w:val="TableTextLeft"/>
            </w:pPr>
            <w:r w:rsidRPr="00403A68">
              <w:t>Managing coastal hazard risks</w:t>
            </w:r>
          </w:p>
        </w:tc>
        <w:tc>
          <w:tcPr>
            <w:tcW w:w="1933" w:type="pct"/>
            <w:hideMark/>
          </w:tcPr>
          <w:p w14:paraId="111FD048" w14:textId="77777777" w:rsidR="00205F19" w:rsidRPr="00403A68" w:rsidRDefault="00205F19" w:rsidP="00666947">
            <w:pPr>
              <w:pStyle w:val="TableTextLeft"/>
            </w:pPr>
            <w:r w:rsidRPr="00403A68">
              <w:t>Considering climate change risks in land use planning</w:t>
            </w:r>
          </w:p>
        </w:tc>
        <w:tc>
          <w:tcPr>
            <w:tcW w:w="774" w:type="pct"/>
            <w:shd w:val="clear" w:color="auto" w:fill="92D050"/>
          </w:tcPr>
          <w:p w14:paraId="0C8613A1" w14:textId="77777777" w:rsidR="00205F19" w:rsidRPr="00403A68" w:rsidRDefault="00205F19" w:rsidP="00666947">
            <w:pPr>
              <w:pStyle w:val="TableTextLeft"/>
            </w:pPr>
            <w:r w:rsidRPr="00403A68">
              <w:t>Pressures assessment</w:t>
            </w:r>
          </w:p>
        </w:tc>
      </w:tr>
      <w:tr w:rsidR="00205F19" w:rsidRPr="00403A68" w14:paraId="770A539D" w14:textId="77777777" w:rsidTr="003632AC">
        <w:trPr>
          <w:trHeight w:val="396"/>
        </w:trPr>
        <w:tc>
          <w:tcPr>
            <w:tcW w:w="384" w:type="pct"/>
            <w:noWrap/>
            <w:hideMark/>
          </w:tcPr>
          <w:p w14:paraId="6F04F252" w14:textId="77777777" w:rsidR="00205F19" w:rsidRPr="00403A68" w:rsidRDefault="00205F19" w:rsidP="00666947">
            <w:pPr>
              <w:pStyle w:val="TableTextLeft"/>
            </w:pPr>
            <w:r w:rsidRPr="00403A68">
              <w:t>58</w:t>
            </w:r>
          </w:p>
        </w:tc>
        <w:tc>
          <w:tcPr>
            <w:tcW w:w="930" w:type="pct"/>
            <w:hideMark/>
          </w:tcPr>
          <w:p w14:paraId="2BD11FFD" w14:textId="77777777" w:rsidR="00205F19" w:rsidRPr="00403A68" w:rsidRDefault="00205F19" w:rsidP="00666947">
            <w:pPr>
              <w:pStyle w:val="TableTextLeft"/>
            </w:pPr>
            <w:r w:rsidRPr="00403A68">
              <w:t>Climate, Coastal Hazard Risks and Climate Change Impacts</w:t>
            </w:r>
          </w:p>
        </w:tc>
        <w:tc>
          <w:tcPr>
            <w:tcW w:w="979" w:type="pct"/>
            <w:hideMark/>
          </w:tcPr>
          <w:p w14:paraId="10C4EB7A" w14:textId="77777777" w:rsidR="00205F19" w:rsidRPr="00403A68" w:rsidRDefault="00205F19" w:rsidP="00666947">
            <w:pPr>
              <w:pStyle w:val="TableTextLeft"/>
            </w:pPr>
            <w:r w:rsidRPr="00403A68">
              <w:t>Managing coastal hazard risks</w:t>
            </w:r>
          </w:p>
        </w:tc>
        <w:tc>
          <w:tcPr>
            <w:tcW w:w="1933" w:type="pct"/>
            <w:hideMark/>
          </w:tcPr>
          <w:p w14:paraId="6D8A747E" w14:textId="77777777" w:rsidR="00205F19" w:rsidRPr="00403A68" w:rsidRDefault="00205F19" w:rsidP="00666947">
            <w:pPr>
              <w:pStyle w:val="TableTextLeft"/>
            </w:pPr>
            <w:r w:rsidRPr="00403A68">
              <w:t>Climate Change Adaptation Plans</w:t>
            </w:r>
          </w:p>
        </w:tc>
        <w:tc>
          <w:tcPr>
            <w:tcW w:w="774" w:type="pct"/>
            <w:shd w:val="clear" w:color="auto" w:fill="BFBFBF"/>
          </w:tcPr>
          <w:p w14:paraId="73A4096B" w14:textId="77777777" w:rsidR="00205F19" w:rsidRPr="00403A68" w:rsidRDefault="00205F19" w:rsidP="00666947">
            <w:pPr>
              <w:pStyle w:val="TableTextLeft"/>
            </w:pPr>
            <w:r w:rsidRPr="00403A68">
              <w:t>Outside of EEA framework</w:t>
            </w:r>
          </w:p>
        </w:tc>
      </w:tr>
      <w:tr w:rsidR="00205F19" w:rsidRPr="00403A68" w14:paraId="4229BDCE" w14:textId="77777777" w:rsidTr="003632AC">
        <w:trPr>
          <w:trHeight w:val="236"/>
        </w:trPr>
        <w:tc>
          <w:tcPr>
            <w:tcW w:w="384" w:type="pct"/>
            <w:noWrap/>
            <w:hideMark/>
          </w:tcPr>
          <w:p w14:paraId="6236B714" w14:textId="77777777" w:rsidR="00205F19" w:rsidRPr="00403A68" w:rsidRDefault="00205F19" w:rsidP="00666947">
            <w:pPr>
              <w:pStyle w:val="TableTextLeft"/>
            </w:pPr>
            <w:r w:rsidRPr="00403A68">
              <w:t>59</w:t>
            </w:r>
          </w:p>
        </w:tc>
        <w:tc>
          <w:tcPr>
            <w:tcW w:w="930" w:type="pct"/>
            <w:hideMark/>
          </w:tcPr>
          <w:p w14:paraId="681A5CA5" w14:textId="77777777" w:rsidR="00205F19" w:rsidRPr="00403A68" w:rsidRDefault="00205F19" w:rsidP="00666947">
            <w:pPr>
              <w:pStyle w:val="TableTextLeft"/>
            </w:pPr>
            <w:r w:rsidRPr="00403A68">
              <w:t>Climate, Coastal Hazard Risks and Climate Change Impacts</w:t>
            </w:r>
          </w:p>
        </w:tc>
        <w:tc>
          <w:tcPr>
            <w:tcW w:w="979" w:type="pct"/>
            <w:hideMark/>
          </w:tcPr>
          <w:p w14:paraId="566112BC" w14:textId="77777777" w:rsidR="00205F19" w:rsidRPr="00403A68" w:rsidRDefault="00205F19" w:rsidP="00666947">
            <w:pPr>
              <w:pStyle w:val="TableTextLeft"/>
            </w:pPr>
            <w:r w:rsidRPr="00403A68">
              <w:t>Managing coastal hazard risks</w:t>
            </w:r>
          </w:p>
        </w:tc>
        <w:tc>
          <w:tcPr>
            <w:tcW w:w="1933" w:type="pct"/>
            <w:hideMark/>
          </w:tcPr>
          <w:p w14:paraId="6518AC9B" w14:textId="77777777" w:rsidR="00205F19" w:rsidRPr="00403A68" w:rsidRDefault="00205F19" w:rsidP="00666947">
            <w:pPr>
              <w:pStyle w:val="TableTextLeft"/>
            </w:pPr>
            <w:r w:rsidRPr="00403A68">
              <w:t>Climate Regulation</w:t>
            </w:r>
          </w:p>
        </w:tc>
        <w:tc>
          <w:tcPr>
            <w:tcW w:w="774" w:type="pct"/>
            <w:shd w:val="clear" w:color="auto" w:fill="FF0000"/>
          </w:tcPr>
          <w:p w14:paraId="7EA2AF3D" w14:textId="77777777" w:rsidR="00205F19" w:rsidRPr="00403A68" w:rsidRDefault="00205F19" w:rsidP="00666947">
            <w:pPr>
              <w:pStyle w:val="TableTextLeft"/>
            </w:pPr>
            <w:r w:rsidRPr="00403A68">
              <w:t>Ecosystem service assessment</w:t>
            </w:r>
          </w:p>
        </w:tc>
      </w:tr>
      <w:tr w:rsidR="00205F19" w:rsidRPr="00403A68" w14:paraId="07915099" w14:textId="77777777" w:rsidTr="003632AC">
        <w:trPr>
          <w:trHeight w:val="297"/>
        </w:trPr>
        <w:tc>
          <w:tcPr>
            <w:tcW w:w="384" w:type="pct"/>
            <w:noWrap/>
            <w:hideMark/>
          </w:tcPr>
          <w:p w14:paraId="56637169" w14:textId="77777777" w:rsidR="00205F19" w:rsidRPr="00403A68" w:rsidRDefault="00205F19" w:rsidP="00666947">
            <w:pPr>
              <w:pStyle w:val="TableTextLeft"/>
            </w:pPr>
            <w:r w:rsidRPr="00403A68">
              <w:t>60</w:t>
            </w:r>
          </w:p>
        </w:tc>
        <w:tc>
          <w:tcPr>
            <w:tcW w:w="930" w:type="pct"/>
            <w:hideMark/>
          </w:tcPr>
          <w:p w14:paraId="4002A05D" w14:textId="77777777" w:rsidR="00205F19" w:rsidRPr="00403A68" w:rsidRDefault="00205F19" w:rsidP="00666947">
            <w:pPr>
              <w:pStyle w:val="TableTextLeft"/>
            </w:pPr>
            <w:r w:rsidRPr="00403A68">
              <w:t>Climate, Coastal Hazard Risks and Climate Change Impacts</w:t>
            </w:r>
          </w:p>
        </w:tc>
        <w:tc>
          <w:tcPr>
            <w:tcW w:w="979" w:type="pct"/>
            <w:hideMark/>
          </w:tcPr>
          <w:p w14:paraId="3FCED3BF" w14:textId="77777777" w:rsidR="00205F19" w:rsidRPr="00403A68" w:rsidRDefault="00205F19" w:rsidP="00666947">
            <w:pPr>
              <w:pStyle w:val="TableTextLeft"/>
            </w:pPr>
            <w:r w:rsidRPr="00403A68">
              <w:t>Managing coastal hazard risks</w:t>
            </w:r>
          </w:p>
        </w:tc>
        <w:tc>
          <w:tcPr>
            <w:tcW w:w="1933" w:type="pct"/>
            <w:hideMark/>
          </w:tcPr>
          <w:p w14:paraId="7C9E168E" w14:textId="77777777" w:rsidR="00205F19" w:rsidRPr="00403A68" w:rsidRDefault="00205F19" w:rsidP="00666947">
            <w:pPr>
              <w:pStyle w:val="TableTextLeft"/>
            </w:pPr>
            <w:r w:rsidRPr="00403A68">
              <w:t>Emergency Planning and Preparedness</w:t>
            </w:r>
          </w:p>
        </w:tc>
        <w:tc>
          <w:tcPr>
            <w:tcW w:w="774" w:type="pct"/>
            <w:shd w:val="clear" w:color="auto" w:fill="BFBFBF"/>
          </w:tcPr>
          <w:p w14:paraId="57D4536D" w14:textId="77777777" w:rsidR="00205F19" w:rsidRPr="00403A68" w:rsidRDefault="00205F19" w:rsidP="00666947">
            <w:pPr>
              <w:pStyle w:val="TableTextLeft"/>
            </w:pPr>
            <w:r w:rsidRPr="00403A68">
              <w:t>Outside of EEA framework</w:t>
            </w:r>
          </w:p>
        </w:tc>
      </w:tr>
      <w:tr w:rsidR="00205F19" w:rsidRPr="00403A68" w14:paraId="2A693D57" w14:textId="77777777" w:rsidTr="003632AC">
        <w:trPr>
          <w:trHeight w:val="172"/>
        </w:trPr>
        <w:tc>
          <w:tcPr>
            <w:tcW w:w="384" w:type="pct"/>
            <w:noWrap/>
            <w:hideMark/>
          </w:tcPr>
          <w:p w14:paraId="6CCDA272" w14:textId="77777777" w:rsidR="00205F19" w:rsidRPr="00403A68" w:rsidRDefault="00205F19" w:rsidP="00666947">
            <w:pPr>
              <w:pStyle w:val="TableTextLeft"/>
            </w:pPr>
            <w:r w:rsidRPr="00403A68">
              <w:t>61</w:t>
            </w:r>
          </w:p>
        </w:tc>
        <w:tc>
          <w:tcPr>
            <w:tcW w:w="930" w:type="pct"/>
            <w:hideMark/>
          </w:tcPr>
          <w:p w14:paraId="27DDD757" w14:textId="77777777" w:rsidR="00205F19" w:rsidRPr="00403A68" w:rsidRDefault="00205F19" w:rsidP="00666947">
            <w:pPr>
              <w:pStyle w:val="TableTextLeft"/>
            </w:pPr>
            <w:r w:rsidRPr="00403A68">
              <w:t>Communities</w:t>
            </w:r>
          </w:p>
        </w:tc>
        <w:tc>
          <w:tcPr>
            <w:tcW w:w="979" w:type="pct"/>
            <w:hideMark/>
          </w:tcPr>
          <w:p w14:paraId="049AFC0D" w14:textId="77777777" w:rsidR="00205F19" w:rsidRPr="00403A68" w:rsidRDefault="00205F19" w:rsidP="00666947">
            <w:pPr>
              <w:pStyle w:val="TableTextLeft"/>
            </w:pPr>
            <w:r w:rsidRPr="00403A68">
              <w:t>Coastal Population and Settlements</w:t>
            </w:r>
          </w:p>
        </w:tc>
        <w:tc>
          <w:tcPr>
            <w:tcW w:w="1933" w:type="pct"/>
            <w:hideMark/>
          </w:tcPr>
          <w:p w14:paraId="48C43139" w14:textId="77777777" w:rsidR="00205F19" w:rsidRPr="00403A68" w:rsidRDefault="00205F19" w:rsidP="00666947">
            <w:pPr>
              <w:pStyle w:val="TableTextLeft"/>
            </w:pPr>
            <w:r w:rsidRPr="00403A68">
              <w:t>Coastal populations</w:t>
            </w:r>
          </w:p>
        </w:tc>
        <w:tc>
          <w:tcPr>
            <w:tcW w:w="774" w:type="pct"/>
            <w:shd w:val="clear" w:color="auto" w:fill="92D050"/>
          </w:tcPr>
          <w:p w14:paraId="29A141E2" w14:textId="77777777" w:rsidR="00205F19" w:rsidRPr="00403A68" w:rsidRDefault="00205F19" w:rsidP="00666947">
            <w:pPr>
              <w:pStyle w:val="TableTextLeft"/>
            </w:pPr>
            <w:r w:rsidRPr="00403A68">
              <w:t>Pressures assessment</w:t>
            </w:r>
          </w:p>
        </w:tc>
      </w:tr>
      <w:tr w:rsidR="00205F19" w:rsidRPr="00403A68" w14:paraId="1FCCB321" w14:textId="77777777" w:rsidTr="003632AC">
        <w:trPr>
          <w:trHeight w:val="141"/>
        </w:trPr>
        <w:tc>
          <w:tcPr>
            <w:tcW w:w="384" w:type="pct"/>
            <w:noWrap/>
            <w:hideMark/>
          </w:tcPr>
          <w:p w14:paraId="2262FBF6" w14:textId="77777777" w:rsidR="00205F19" w:rsidRPr="00403A68" w:rsidRDefault="00205F19" w:rsidP="00666947">
            <w:pPr>
              <w:pStyle w:val="TableTextLeft"/>
            </w:pPr>
            <w:r w:rsidRPr="00403A68">
              <w:t>71</w:t>
            </w:r>
          </w:p>
        </w:tc>
        <w:tc>
          <w:tcPr>
            <w:tcW w:w="930" w:type="pct"/>
            <w:hideMark/>
          </w:tcPr>
          <w:p w14:paraId="4A68DF8A" w14:textId="77777777" w:rsidR="00205F19" w:rsidRPr="00403A68" w:rsidRDefault="00205F19" w:rsidP="00666947">
            <w:pPr>
              <w:pStyle w:val="TableTextLeft"/>
            </w:pPr>
            <w:r w:rsidRPr="00403A68">
              <w:t>Communities</w:t>
            </w:r>
          </w:p>
        </w:tc>
        <w:tc>
          <w:tcPr>
            <w:tcW w:w="979" w:type="pct"/>
            <w:hideMark/>
          </w:tcPr>
          <w:p w14:paraId="34547C70" w14:textId="77777777" w:rsidR="00205F19" w:rsidRPr="00403A68" w:rsidRDefault="00205F19" w:rsidP="00666947">
            <w:pPr>
              <w:pStyle w:val="TableTextLeft"/>
            </w:pPr>
            <w:r w:rsidRPr="00403A68">
              <w:t>Coastal Population and Settlements</w:t>
            </w:r>
          </w:p>
        </w:tc>
        <w:tc>
          <w:tcPr>
            <w:tcW w:w="1933" w:type="pct"/>
            <w:hideMark/>
          </w:tcPr>
          <w:p w14:paraId="28369D38" w14:textId="77777777" w:rsidR="00205F19" w:rsidRPr="00403A68" w:rsidRDefault="00205F19" w:rsidP="00666947">
            <w:pPr>
              <w:pStyle w:val="TableTextLeft"/>
            </w:pPr>
            <w:r w:rsidRPr="00403A68">
              <w:t>Visitor populations</w:t>
            </w:r>
          </w:p>
        </w:tc>
        <w:tc>
          <w:tcPr>
            <w:tcW w:w="774" w:type="pct"/>
            <w:shd w:val="clear" w:color="auto" w:fill="92D050"/>
          </w:tcPr>
          <w:p w14:paraId="523A4097" w14:textId="77777777" w:rsidR="00205F19" w:rsidRPr="00403A68" w:rsidRDefault="00205F19" w:rsidP="00666947">
            <w:pPr>
              <w:pStyle w:val="TableTextLeft"/>
            </w:pPr>
            <w:r w:rsidRPr="00403A68">
              <w:t>Pressures assessment</w:t>
            </w:r>
          </w:p>
        </w:tc>
      </w:tr>
      <w:tr w:rsidR="00205F19" w:rsidRPr="00403A68" w14:paraId="65CC1407" w14:textId="77777777" w:rsidTr="003632AC">
        <w:trPr>
          <w:trHeight w:val="109"/>
        </w:trPr>
        <w:tc>
          <w:tcPr>
            <w:tcW w:w="384" w:type="pct"/>
            <w:noWrap/>
            <w:hideMark/>
          </w:tcPr>
          <w:p w14:paraId="0B00BD67" w14:textId="77777777" w:rsidR="00205F19" w:rsidRPr="00403A68" w:rsidRDefault="00205F19" w:rsidP="00666947">
            <w:pPr>
              <w:pStyle w:val="TableTextLeft"/>
            </w:pPr>
            <w:r w:rsidRPr="00403A68">
              <w:t>62</w:t>
            </w:r>
          </w:p>
        </w:tc>
        <w:tc>
          <w:tcPr>
            <w:tcW w:w="930" w:type="pct"/>
            <w:hideMark/>
          </w:tcPr>
          <w:p w14:paraId="366EC5AD" w14:textId="77777777" w:rsidR="00205F19" w:rsidRPr="00403A68" w:rsidRDefault="00205F19" w:rsidP="00666947">
            <w:pPr>
              <w:pStyle w:val="TableTextLeft"/>
            </w:pPr>
            <w:r w:rsidRPr="00403A68">
              <w:t>Communities</w:t>
            </w:r>
          </w:p>
        </w:tc>
        <w:tc>
          <w:tcPr>
            <w:tcW w:w="979" w:type="pct"/>
            <w:hideMark/>
          </w:tcPr>
          <w:p w14:paraId="52A24C99" w14:textId="77777777" w:rsidR="00205F19" w:rsidRPr="00403A68" w:rsidRDefault="00205F19" w:rsidP="00666947">
            <w:pPr>
              <w:pStyle w:val="TableTextLeft"/>
            </w:pPr>
            <w:r w:rsidRPr="00403A68">
              <w:t>Coastal Population and Settlements</w:t>
            </w:r>
          </w:p>
        </w:tc>
        <w:tc>
          <w:tcPr>
            <w:tcW w:w="1933" w:type="pct"/>
            <w:hideMark/>
          </w:tcPr>
          <w:p w14:paraId="37615FC0" w14:textId="77777777" w:rsidR="00205F19" w:rsidRPr="00403A68" w:rsidRDefault="00205F19" w:rsidP="00666947">
            <w:pPr>
              <w:pStyle w:val="TableTextLeft"/>
            </w:pPr>
            <w:r w:rsidRPr="00403A68">
              <w:t>Landscapes of significance</w:t>
            </w:r>
          </w:p>
        </w:tc>
        <w:tc>
          <w:tcPr>
            <w:tcW w:w="774" w:type="pct"/>
            <w:shd w:val="clear" w:color="auto" w:fill="FFFF00"/>
          </w:tcPr>
          <w:p w14:paraId="2DA31E3F" w14:textId="77777777" w:rsidR="00205F19" w:rsidRPr="00403A68" w:rsidRDefault="00205F19" w:rsidP="00666947">
            <w:pPr>
              <w:pStyle w:val="TableTextLeft"/>
            </w:pPr>
            <w:r w:rsidRPr="00403A68">
              <w:t>Condition account</w:t>
            </w:r>
          </w:p>
        </w:tc>
      </w:tr>
      <w:tr w:rsidR="00205F19" w:rsidRPr="00403A68" w14:paraId="68F16F40" w14:textId="77777777" w:rsidTr="003632AC">
        <w:trPr>
          <w:trHeight w:val="136"/>
        </w:trPr>
        <w:tc>
          <w:tcPr>
            <w:tcW w:w="384" w:type="pct"/>
            <w:noWrap/>
            <w:hideMark/>
          </w:tcPr>
          <w:p w14:paraId="612932C6" w14:textId="77777777" w:rsidR="00205F19" w:rsidRPr="00403A68" w:rsidRDefault="00205F19" w:rsidP="00666947">
            <w:pPr>
              <w:pStyle w:val="TableTextLeft"/>
            </w:pPr>
            <w:r w:rsidRPr="00403A68">
              <w:t>63</w:t>
            </w:r>
          </w:p>
        </w:tc>
        <w:tc>
          <w:tcPr>
            <w:tcW w:w="930" w:type="pct"/>
            <w:hideMark/>
          </w:tcPr>
          <w:p w14:paraId="048DB4CB" w14:textId="77777777" w:rsidR="00205F19" w:rsidRPr="00403A68" w:rsidRDefault="00205F19" w:rsidP="00666947">
            <w:pPr>
              <w:pStyle w:val="TableTextLeft"/>
            </w:pPr>
            <w:r w:rsidRPr="00403A68">
              <w:t>Communities</w:t>
            </w:r>
          </w:p>
        </w:tc>
        <w:tc>
          <w:tcPr>
            <w:tcW w:w="979" w:type="pct"/>
            <w:hideMark/>
          </w:tcPr>
          <w:p w14:paraId="4B5D8193" w14:textId="77777777" w:rsidR="00205F19" w:rsidRPr="00403A68" w:rsidRDefault="00205F19" w:rsidP="00666947">
            <w:pPr>
              <w:pStyle w:val="TableTextLeft"/>
            </w:pPr>
            <w:r w:rsidRPr="00403A68">
              <w:t>Coastal Population and Settlements</w:t>
            </w:r>
          </w:p>
        </w:tc>
        <w:tc>
          <w:tcPr>
            <w:tcW w:w="1933" w:type="pct"/>
            <w:hideMark/>
          </w:tcPr>
          <w:p w14:paraId="5D40B639" w14:textId="77777777" w:rsidR="00205F19" w:rsidRPr="00403A68" w:rsidRDefault="00205F19" w:rsidP="00666947">
            <w:pPr>
              <w:pStyle w:val="TableTextLeft"/>
            </w:pPr>
            <w:r w:rsidRPr="00403A68">
              <w:t>Coastal Settlements</w:t>
            </w:r>
          </w:p>
        </w:tc>
        <w:tc>
          <w:tcPr>
            <w:tcW w:w="774" w:type="pct"/>
            <w:shd w:val="clear" w:color="auto" w:fill="92D050"/>
          </w:tcPr>
          <w:p w14:paraId="169B9009" w14:textId="77777777" w:rsidR="00205F19" w:rsidRPr="00403A68" w:rsidRDefault="00205F19" w:rsidP="00666947">
            <w:pPr>
              <w:pStyle w:val="TableTextLeft"/>
            </w:pPr>
            <w:r w:rsidRPr="00403A68">
              <w:t>Pressures assessment</w:t>
            </w:r>
          </w:p>
        </w:tc>
      </w:tr>
      <w:tr w:rsidR="00205F19" w:rsidRPr="00403A68" w14:paraId="2B00AD0D" w14:textId="77777777" w:rsidTr="003632AC">
        <w:trPr>
          <w:trHeight w:val="172"/>
        </w:trPr>
        <w:tc>
          <w:tcPr>
            <w:tcW w:w="384" w:type="pct"/>
            <w:noWrap/>
            <w:hideMark/>
          </w:tcPr>
          <w:p w14:paraId="1145DD1E" w14:textId="77777777" w:rsidR="00205F19" w:rsidRPr="00403A68" w:rsidRDefault="00205F19" w:rsidP="00666947">
            <w:pPr>
              <w:pStyle w:val="TableTextLeft"/>
            </w:pPr>
            <w:r w:rsidRPr="00403A68">
              <w:t>64</w:t>
            </w:r>
          </w:p>
        </w:tc>
        <w:tc>
          <w:tcPr>
            <w:tcW w:w="930" w:type="pct"/>
            <w:hideMark/>
          </w:tcPr>
          <w:p w14:paraId="40408CD5" w14:textId="77777777" w:rsidR="00205F19" w:rsidRPr="00403A68" w:rsidRDefault="00205F19" w:rsidP="00666947">
            <w:pPr>
              <w:pStyle w:val="TableTextLeft"/>
            </w:pPr>
            <w:r w:rsidRPr="00403A68">
              <w:t>Communities</w:t>
            </w:r>
          </w:p>
        </w:tc>
        <w:tc>
          <w:tcPr>
            <w:tcW w:w="979" w:type="pct"/>
            <w:hideMark/>
          </w:tcPr>
          <w:p w14:paraId="0767A56B" w14:textId="77777777" w:rsidR="00205F19" w:rsidRPr="00403A68" w:rsidRDefault="00205F19" w:rsidP="00666947">
            <w:pPr>
              <w:pStyle w:val="TableTextLeft"/>
            </w:pPr>
            <w:r w:rsidRPr="00403A68">
              <w:t>Coastal Population and Settlements</w:t>
            </w:r>
          </w:p>
        </w:tc>
        <w:tc>
          <w:tcPr>
            <w:tcW w:w="1933" w:type="pct"/>
            <w:hideMark/>
          </w:tcPr>
          <w:p w14:paraId="2E41ABC6" w14:textId="77777777" w:rsidR="00205F19" w:rsidRPr="00403A68" w:rsidRDefault="00205F19" w:rsidP="00666947">
            <w:pPr>
              <w:pStyle w:val="TableTextLeft"/>
            </w:pPr>
            <w:r w:rsidRPr="00403A68">
              <w:t>Cultural Heritage</w:t>
            </w:r>
          </w:p>
        </w:tc>
        <w:tc>
          <w:tcPr>
            <w:tcW w:w="774" w:type="pct"/>
            <w:shd w:val="clear" w:color="auto" w:fill="FFFF00"/>
          </w:tcPr>
          <w:p w14:paraId="2867A3B9" w14:textId="77777777" w:rsidR="00205F19" w:rsidRPr="00403A68" w:rsidRDefault="00205F19" w:rsidP="00666947">
            <w:pPr>
              <w:pStyle w:val="TableTextLeft"/>
            </w:pPr>
            <w:r w:rsidRPr="00403A68">
              <w:t>Condition account</w:t>
            </w:r>
          </w:p>
        </w:tc>
      </w:tr>
      <w:tr w:rsidR="00205F19" w:rsidRPr="00403A68" w14:paraId="69347188" w14:textId="77777777" w:rsidTr="003632AC">
        <w:trPr>
          <w:trHeight w:val="181"/>
        </w:trPr>
        <w:tc>
          <w:tcPr>
            <w:tcW w:w="384" w:type="pct"/>
            <w:noWrap/>
            <w:hideMark/>
          </w:tcPr>
          <w:p w14:paraId="53FB9214" w14:textId="77777777" w:rsidR="00205F19" w:rsidRPr="00403A68" w:rsidRDefault="00205F19" w:rsidP="00666947">
            <w:pPr>
              <w:pStyle w:val="TableTextLeft"/>
            </w:pPr>
            <w:r w:rsidRPr="00403A68">
              <w:t>70</w:t>
            </w:r>
          </w:p>
        </w:tc>
        <w:tc>
          <w:tcPr>
            <w:tcW w:w="930" w:type="pct"/>
            <w:hideMark/>
          </w:tcPr>
          <w:p w14:paraId="751FF89B" w14:textId="77777777" w:rsidR="00205F19" w:rsidRPr="00403A68" w:rsidRDefault="00205F19" w:rsidP="00666947">
            <w:pPr>
              <w:pStyle w:val="TableTextLeft"/>
            </w:pPr>
            <w:r w:rsidRPr="00403A68">
              <w:t>Communities</w:t>
            </w:r>
          </w:p>
        </w:tc>
        <w:tc>
          <w:tcPr>
            <w:tcW w:w="979" w:type="pct"/>
            <w:hideMark/>
          </w:tcPr>
          <w:p w14:paraId="66914F5D" w14:textId="77777777" w:rsidR="00205F19" w:rsidRPr="00403A68" w:rsidRDefault="00205F19" w:rsidP="00666947">
            <w:pPr>
              <w:pStyle w:val="TableTextLeft"/>
            </w:pPr>
            <w:r w:rsidRPr="00403A68">
              <w:t>Recreation and Tourism</w:t>
            </w:r>
          </w:p>
        </w:tc>
        <w:tc>
          <w:tcPr>
            <w:tcW w:w="1933" w:type="pct"/>
            <w:hideMark/>
          </w:tcPr>
          <w:p w14:paraId="6F9E82C4" w14:textId="77777777" w:rsidR="00205F19" w:rsidRPr="00403A68" w:rsidRDefault="00205F19" w:rsidP="00666947">
            <w:pPr>
              <w:pStyle w:val="TableTextLeft"/>
            </w:pPr>
            <w:r w:rsidRPr="00403A68">
              <w:t>Use of Marine and Coastal areas</w:t>
            </w:r>
          </w:p>
        </w:tc>
        <w:tc>
          <w:tcPr>
            <w:tcW w:w="774" w:type="pct"/>
            <w:shd w:val="clear" w:color="auto" w:fill="00B0F0"/>
          </w:tcPr>
          <w:p w14:paraId="2F0B8D32" w14:textId="77777777" w:rsidR="00205F19" w:rsidRPr="00403A68" w:rsidRDefault="00205F19" w:rsidP="00666947">
            <w:pPr>
              <w:pStyle w:val="TableTextLeft"/>
            </w:pPr>
            <w:r w:rsidRPr="00403A68">
              <w:t>Supply and Use assessment</w:t>
            </w:r>
          </w:p>
        </w:tc>
      </w:tr>
      <w:tr w:rsidR="00205F19" w:rsidRPr="00403A68" w14:paraId="5B3FC079" w14:textId="77777777" w:rsidTr="003632AC">
        <w:trPr>
          <w:trHeight w:val="42"/>
        </w:trPr>
        <w:tc>
          <w:tcPr>
            <w:tcW w:w="384" w:type="pct"/>
            <w:noWrap/>
            <w:hideMark/>
          </w:tcPr>
          <w:p w14:paraId="1BF45B5B" w14:textId="77777777" w:rsidR="00205F19" w:rsidRPr="00403A68" w:rsidRDefault="00205F19" w:rsidP="00666947">
            <w:pPr>
              <w:pStyle w:val="TableTextLeft"/>
            </w:pPr>
            <w:r w:rsidRPr="00403A68">
              <w:t>72</w:t>
            </w:r>
          </w:p>
        </w:tc>
        <w:tc>
          <w:tcPr>
            <w:tcW w:w="930" w:type="pct"/>
            <w:hideMark/>
          </w:tcPr>
          <w:p w14:paraId="08616996" w14:textId="77777777" w:rsidR="00205F19" w:rsidRPr="00403A68" w:rsidRDefault="00205F19" w:rsidP="00666947">
            <w:pPr>
              <w:pStyle w:val="TableTextLeft"/>
            </w:pPr>
            <w:r w:rsidRPr="00403A68">
              <w:t>Communities</w:t>
            </w:r>
          </w:p>
        </w:tc>
        <w:tc>
          <w:tcPr>
            <w:tcW w:w="979" w:type="pct"/>
            <w:hideMark/>
          </w:tcPr>
          <w:p w14:paraId="1C1C4376" w14:textId="77777777" w:rsidR="00205F19" w:rsidRPr="00403A68" w:rsidRDefault="00205F19" w:rsidP="00666947">
            <w:pPr>
              <w:pStyle w:val="TableTextLeft"/>
            </w:pPr>
            <w:r w:rsidRPr="00403A68">
              <w:t>Recreation and Tourism</w:t>
            </w:r>
          </w:p>
        </w:tc>
        <w:tc>
          <w:tcPr>
            <w:tcW w:w="1933" w:type="pct"/>
            <w:hideMark/>
          </w:tcPr>
          <w:p w14:paraId="0354C08A" w14:textId="77777777" w:rsidR="00205F19" w:rsidRPr="00403A68" w:rsidRDefault="00205F19" w:rsidP="00666947">
            <w:pPr>
              <w:pStyle w:val="TableTextLeft"/>
            </w:pPr>
            <w:r w:rsidRPr="00403A68">
              <w:t>Tourism</w:t>
            </w:r>
          </w:p>
        </w:tc>
        <w:tc>
          <w:tcPr>
            <w:tcW w:w="774" w:type="pct"/>
            <w:shd w:val="clear" w:color="auto" w:fill="FF0000"/>
          </w:tcPr>
          <w:p w14:paraId="656B2A39" w14:textId="77777777" w:rsidR="00205F19" w:rsidRPr="00403A68" w:rsidRDefault="00205F19" w:rsidP="00666947">
            <w:pPr>
              <w:pStyle w:val="TableTextLeft"/>
            </w:pPr>
            <w:r w:rsidRPr="00403A68">
              <w:t>Ecosystem service assessment</w:t>
            </w:r>
          </w:p>
        </w:tc>
      </w:tr>
      <w:tr w:rsidR="00205F19" w:rsidRPr="00403A68" w14:paraId="0FC5FDA4" w14:textId="77777777" w:rsidTr="003632AC">
        <w:trPr>
          <w:trHeight w:val="77"/>
        </w:trPr>
        <w:tc>
          <w:tcPr>
            <w:tcW w:w="384" w:type="pct"/>
            <w:noWrap/>
            <w:hideMark/>
          </w:tcPr>
          <w:p w14:paraId="37C7C4CA" w14:textId="77777777" w:rsidR="00205F19" w:rsidRPr="00403A68" w:rsidRDefault="00205F19" w:rsidP="00666947">
            <w:pPr>
              <w:pStyle w:val="TableTextLeft"/>
            </w:pPr>
            <w:r w:rsidRPr="00403A68">
              <w:t>69</w:t>
            </w:r>
          </w:p>
        </w:tc>
        <w:tc>
          <w:tcPr>
            <w:tcW w:w="930" w:type="pct"/>
            <w:hideMark/>
          </w:tcPr>
          <w:p w14:paraId="05D54344" w14:textId="77777777" w:rsidR="00205F19" w:rsidRPr="00403A68" w:rsidRDefault="00205F19" w:rsidP="00666947">
            <w:pPr>
              <w:pStyle w:val="TableTextLeft"/>
            </w:pPr>
            <w:r w:rsidRPr="00403A68">
              <w:t>Communities</w:t>
            </w:r>
          </w:p>
        </w:tc>
        <w:tc>
          <w:tcPr>
            <w:tcW w:w="979" w:type="pct"/>
            <w:hideMark/>
          </w:tcPr>
          <w:p w14:paraId="61823EEC" w14:textId="77777777" w:rsidR="00205F19" w:rsidRPr="00403A68" w:rsidRDefault="00205F19" w:rsidP="00666947">
            <w:pPr>
              <w:pStyle w:val="TableTextLeft"/>
            </w:pPr>
            <w:r w:rsidRPr="00403A68">
              <w:t>Recreation and Tourism</w:t>
            </w:r>
          </w:p>
        </w:tc>
        <w:tc>
          <w:tcPr>
            <w:tcW w:w="1933" w:type="pct"/>
            <w:hideMark/>
          </w:tcPr>
          <w:p w14:paraId="5CB4DEEA" w14:textId="77777777" w:rsidR="00205F19" w:rsidRPr="00403A68" w:rsidRDefault="00205F19" w:rsidP="00666947">
            <w:pPr>
              <w:pStyle w:val="TableTextLeft"/>
            </w:pPr>
            <w:r w:rsidRPr="00403A68">
              <w:t>Recreational boating and fishing contribution to the Victorian economy</w:t>
            </w:r>
          </w:p>
        </w:tc>
        <w:tc>
          <w:tcPr>
            <w:tcW w:w="774" w:type="pct"/>
            <w:shd w:val="clear" w:color="auto" w:fill="FF0000"/>
          </w:tcPr>
          <w:p w14:paraId="21D8A887" w14:textId="77777777" w:rsidR="00205F19" w:rsidRPr="00403A68" w:rsidRDefault="00205F19" w:rsidP="00666947">
            <w:pPr>
              <w:pStyle w:val="TableTextLeft"/>
            </w:pPr>
            <w:r w:rsidRPr="00403A68">
              <w:t>Ecosystem service assessment</w:t>
            </w:r>
          </w:p>
        </w:tc>
      </w:tr>
      <w:tr w:rsidR="00205F19" w:rsidRPr="00403A68" w14:paraId="4A4639A6" w14:textId="77777777" w:rsidTr="003632AC">
        <w:trPr>
          <w:trHeight w:val="39"/>
        </w:trPr>
        <w:tc>
          <w:tcPr>
            <w:tcW w:w="384" w:type="pct"/>
            <w:noWrap/>
            <w:hideMark/>
          </w:tcPr>
          <w:p w14:paraId="39A031B4" w14:textId="77777777" w:rsidR="00205F19" w:rsidRPr="00403A68" w:rsidRDefault="00205F19" w:rsidP="00666947">
            <w:pPr>
              <w:pStyle w:val="TableTextLeft"/>
            </w:pPr>
            <w:r w:rsidRPr="00403A68">
              <w:t>67</w:t>
            </w:r>
          </w:p>
        </w:tc>
        <w:tc>
          <w:tcPr>
            <w:tcW w:w="930" w:type="pct"/>
            <w:hideMark/>
          </w:tcPr>
          <w:p w14:paraId="519F97E9" w14:textId="77777777" w:rsidR="00205F19" w:rsidRPr="00403A68" w:rsidRDefault="00205F19" w:rsidP="00666947">
            <w:pPr>
              <w:pStyle w:val="TableTextLeft"/>
            </w:pPr>
            <w:r w:rsidRPr="00403A68">
              <w:t>Communities</w:t>
            </w:r>
          </w:p>
        </w:tc>
        <w:tc>
          <w:tcPr>
            <w:tcW w:w="979" w:type="pct"/>
            <w:hideMark/>
          </w:tcPr>
          <w:p w14:paraId="7293B775" w14:textId="77777777" w:rsidR="00205F19" w:rsidRPr="00403A68" w:rsidRDefault="00205F19" w:rsidP="00666947">
            <w:pPr>
              <w:pStyle w:val="TableTextLeft"/>
            </w:pPr>
            <w:r w:rsidRPr="00403A68">
              <w:t>Recreation and Tourism</w:t>
            </w:r>
          </w:p>
        </w:tc>
        <w:tc>
          <w:tcPr>
            <w:tcW w:w="1933" w:type="pct"/>
            <w:hideMark/>
          </w:tcPr>
          <w:p w14:paraId="27F20056" w14:textId="77777777" w:rsidR="00205F19" w:rsidRPr="00403A68" w:rsidRDefault="00205F19" w:rsidP="00666947">
            <w:pPr>
              <w:pStyle w:val="TableTextLeft"/>
            </w:pPr>
            <w:r w:rsidRPr="00403A68">
              <w:t>Recreational boating</w:t>
            </w:r>
          </w:p>
        </w:tc>
        <w:tc>
          <w:tcPr>
            <w:tcW w:w="774" w:type="pct"/>
            <w:shd w:val="clear" w:color="auto" w:fill="FF0000"/>
          </w:tcPr>
          <w:p w14:paraId="0A03AE66" w14:textId="77777777" w:rsidR="00205F19" w:rsidRPr="00403A68" w:rsidRDefault="00205F19" w:rsidP="00666947">
            <w:pPr>
              <w:pStyle w:val="TableTextLeft"/>
            </w:pPr>
            <w:r w:rsidRPr="00403A68">
              <w:t>Ecosystem service assessment</w:t>
            </w:r>
          </w:p>
        </w:tc>
      </w:tr>
      <w:tr w:rsidR="00205F19" w:rsidRPr="00403A68" w14:paraId="0188C2A3" w14:textId="77777777" w:rsidTr="003632AC">
        <w:trPr>
          <w:trHeight w:val="25"/>
        </w:trPr>
        <w:tc>
          <w:tcPr>
            <w:tcW w:w="384" w:type="pct"/>
            <w:noWrap/>
            <w:hideMark/>
          </w:tcPr>
          <w:p w14:paraId="031E70CC" w14:textId="77777777" w:rsidR="00205F19" w:rsidRPr="00403A68" w:rsidRDefault="00205F19" w:rsidP="00666947">
            <w:pPr>
              <w:pStyle w:val="TableTextLeft"/>
            </w:pPr>
            <w:r w:rsidRPr="00403A68">
              <w:t>68</w:t>
            </w:r>
          </w:p>
        </w:tc>
        <w:tc>
          <w:tcPr>
            <w:tcW w:w="930" w:type="pct"/>
            <w:hideMark/>
          </w:tcPr>
          <w:p w14:paraId="41D9ED45" w14:textId="77777777" w:rsidR="00205F19" w:rsidRPr="00403A68" w:rsidRDefault="00205F19" w:rsidP="00666947">
            <w:pPr>
              <w:pStyle w:val="TableTextLeft"/>
            </w:pPr>
            <w:r w:rsidRPr="00403A68">
              <w:t>Communities</w:t>
            </w:r>
          </w:p>
        </w:tc>
        <w:tc>
          <w:tcPr>
            <w:tcW w:w="979" w:type="pct"/>
            <w:hideMark/>
          </w:tcPr>
          <w:p w14:paraId="60703B85" w14:textId="77777777" w:rsidR="00205F19" w:rsidRPr="00403A68" w:rsidRDefault="00205F19" w:rsidP="00666947">
            <w:pPr>
              <w:pStyle w:val="TableTextLeft"/>
            </w:pPr>
            <w:r w:rsidRPr="00403A68">
              <w:t>Recreation and Tourism</w:t>
            </w:r>
          </w:p>
        </w:tc>
        <w:tc>
          <w:tcPr>
            <w:tcW w:w="1933" w:type="pct"/>
            <w:hideMark/>
          </w:tcPr>
          <w:p w14:paraId="4CA84AC9" w14:textId="77777777" w:rsidR="00205F19" w:rsidRPr="00403A68" w:rsidRDefault="00205F19" w:rsidP="00666947">
            <w:pPr>
              <w:pStyle w:val="TableTextLeft"/>
            </w:pPr>
            <w:r w:rsidRPr="00403A68">
              <w:t>Recreational fishing</w:t>
            </w:r>
          </w:p>
        </w:tc>
        <w:tc>
          <w:tcPr>
            <w:tcW w:w="774" w:type="pct"/>
            <w:shd w:val="clear" w:color="auto" w:fill="FF0000"/>
          </w:tcPr>
          <w:p w14:paraId="6F49E951" w14:textId="77777777" w:rsidR="00205F19" w:rsidRPr="00403A68" w:rsidRDefault="00205F19" w:rsidP="00666947">
            <w:pPr>
              <w:pStyle w:val="TableTextLeft"/>
            </w:pPr>
            <w:r w:rsidRPr="00403A68">
              <w:t>Ecosystem service assessment</w:t>
            </w:r>
          </w:p>
        </w:tc>
      </w:tr>
      <w:tr w:rsidR="00205F19" w:rsidRPr="00403A68" w14:paraId="4AA8E5BE" w14:textId="77777777" w:rsidTr="003632AC">
        <w:trPr>
          <w:trHeight w:val="241"/>
        </w:trPr>
        <w:tc>
          <w:tcPr>
            <w:tcW w:w="384" w:type="pct"/>
            <w:noWrap/>
            <w:hideMark/>
          </w:tcPr>
          <w:p w14:paraId="769FA494" w14:textId="77777777" w:rsidR="00205F19" w:rsidRPr="00403A68" w:rsidRDefault="00205F19" w:rsidP="00666947">
            <w:pPr>
              <w:pStyle w:val="TableTextLeft"/>
            </w:pPr>
            <w:r w:rsidRPr="00403A68">
              <w:t>75</w:t>
            </w:r>
          </w:p>
        </w:tc>
        <w:tc>
          <w:tcPr>
            <w:tcW w:w="930" w:type="pct"/>
            <w:hideMark/>
          </w:tcPr>
          <w:p w14:paraId="6579B8E7" w14:textId="77777777" w:rsidR="00205F19" w:rsidRPr="00403A68" w:rsidRDefault="00205F19" w:rsidP="00666947">
            <w:pPr>
              <w:pStyle w:val="TableTextLeft"/>
            </w:pPr>
            <w:r w:rsidRPr="00403A68">
              <w:t>Communities</w:t>
            </w:r>
          </w:p>
        </w:tc>
        <w:tc>
          <w:tcPr>
            <w:tcW w:w="979" w:type="pct"/>
            <w:hideMark/>
          </w:tcPr>
          <w:p w14:paraId="09B753F5" w14:textId="77777777" w:rsidR="00205F19" w:rsidRPr="00403A68" w:rsidRDefault="00205F19" w:rsidP="00666947">
            <w:pPr>
              <w:pStyle w:val="TableTextLeft"/>
            </w:pPr>
            <w:r w:rsidRPr="00403A68">
              <w:t>Marine and Coastal Industries</w:t>
            </w:r>
          </w:p>
        </w:tc>
        <w:tc>
          <w:tcPr>
            <w:tcW w:w="1933" w:type="pct"/>
            <w:hideMark/>
          </w:tcPr>
          <w:p w14:paraId="591C8FE8" w14:textId="77777777" w:rsidR="00205F19" w:rsidRPr="00403A68" w:rsidRDefault="00205F19" w:rsidP="00666947">
            <w:pPr>
              <w:pStyle w:val="TableTextLeft"/>
            </w:pPr>
            <w:r w:rsidRPr="00403A68">
              <w:t>Shipping and Ports</w:t>
            </w:r>
          </w:p>
        </w:tc>
        <w:tc>
          <w:tcPr>
            <w:tcW w:w="774" w:type="pct"/>
            <w:shd w:val="clear" w:color="auto" w:fill="92D050"/>
          </w:tcPr>
          <w:p w14:paraId="37C99012" w14:textId="77777777" w:rsidR="00205F19" w:rsidRPr="00403A68" w:rsidRDefault="00205F19" w:rsidP="00666947">
            <w:pPr>
              <w:pStyle w:val="TableTextLeft"/>
            </w:pPr>
            <w:r w:rsidRPr="00403A68">
              <w:t>Pressures assessment</w:t>
            </w:r>
          </w:p>
        </w:tc>
      </w:tr>
      <w:tr w:rsidR="00205F19" w:rsidRPr="00403A68" w14:paraId="0CE63107" w14:textId="77777777" w:rsidTr="003632AC">
        <w:trPr>
          <w:trHeight w:val="188"/>
        </w:trPr>
        <w:tc>
          <w:tcPr>
            <w:tcW w:w="384" w:type="pct"/>
            <w:noWrap/>
            <w:hideMark/>
          </w:tcPr>
          <w:p w14:paraId="4C8296BE" w14:textId="77777777" w:rsidR="00205F19" w:rsidRPr="00403A68" w:rsidRDefault="00205F19" w:rsidP="00666947">
            <w:pPr>
              <w:pStyle w:val="TableTextLeft"/>
            </w:pPr>
            <w:r w:rsidRPr="00403A68">
              <w:lastRenderedPageBreak/>
              <w:t>74</w:t>
            </w:r>
          </w:p>
        </w:tc>
        <w:tc>
          <w:tcPr>
            <w:tcW w:w="930" w:type="pct"/>
            <w:hideMark/>
          </w:tcPr>
          <w:p w14:paraId="48DDE65E" w14:textId="77777777" w:rsidR="00205F19" w:rsidRPr="00403A68" w:rsidRDefault="00205F19" w:rsidP="00666947">
            <w:pPr>
              <w:pStyle w:val="TableTextLeft"/>
            </w:pPr>
            <w:r w:rsidRPr="00403A68">
              <w:t>Communities</w:t>
            </w:r>
          </w:p>
        </w:tc>
        <w:tc>
          <w:tcPr>
            <w:tcW w:w="979" w:type="pct"/>
            <w:hideMark/>
          </w:tcPr>
          <w:p w14:paraId="03DB7AD8" w14:textId="77777777" w:rsidR="00205F19" w:rsidRPr="00403A68" w:rsidRDefault="00205F19" w:rsidP="00666947">
            <w:pPr>
              <w:pStyle w:val="TableTextLeft"/>
            </w:pPr>
            <w:r w:rsidRPr="00403A68">
              <w:t>Marine and Coastal Industries</w:t>
            </w:r>
          </w:p>
        </w:tc>
        <w:tc>
          <w:tcPr>
            <w:tcW w:w="1933" w:type="pct"/>
            <w:hideMark/>
          </w:tcPr>
          <w:p w14:paraId="16046A04" w14:textId="77777777" w:rsidR="00205F19" w:rsidRPr="00403A68" w:rsidRDefault="00205F19" w:rsidP="00666947">
            <w:pPr>
              <w:pStyle w:val="TableTextLeft"/>
            </w:pPr>
            <w:r w:rsidRPr="00403A68">
              <w:t>Commercial fisheries</w:t>
            </w:r>
          </w:p>
        </w:tc>
        <w:tc>
          <w:tcPr>
            <w:tcW w:w="774" w:type="pct"/>
            <w:shd w:val="clear" w:color="auto" w:fill="FF0000"/>
          </w:tcPr>
          <w:p w14:paraId="4263E21C" w14:textId="77777777" w:rsidR="00205F19" w:rsidRPr="00403A68" w:rsidRDefault="00205F19" w:rsidP="00666947">
            <w:pPr>
              <w:pStyle w:val="TableTextLeft"/>
            </w:pPr>
            <w:r w:rsidRPr="00403A68">
              <w:t>Ecosystem service assessment</w:t>
            </w:r>
          </w:p>
        </w:tc>
      </w:tr>
      <w:tr w:rsidR="00205F19" w:rsidRPr="00403A68" w14:paraId="3DA8853F" w14:textId="77777777" w:rsidTr="003632AC">
        <w:trPr>
          <w:trHeight w:val="211"/>
        </w:trPr>
        <w:tc>
          <w:tcPr>
            <w:tcW w:w="384" w:type="pct"/>
            <w:noWrap/>
            <w:hideMark/>
          </w:tcPr>
          <w:p w14:paraId="75F39FBF" w14:textId="77777777" w:rsidR="00205F19" w:rsidRPr="00403A68" w:rsidRDefault="00205F19" w:rsidP="00666947">
            <w:pPr>
              <w:pStyle w:val="TableTextLeft"/>
            </w:pPr>
            <w:r w:rsidRPr="00403A68">
              <w:t>76</w:t>
            </w:r>
          </w:p>
        </w:tc>
        <w:tc>
          <w:tcPr>
            <w:tcW w:w="930" w:type="pct"/>
            <w:hideMark/>
          </w:tcPr>
          <w:p w14:paraId="1E446A29" w14:textId="77777777" w:rsidR="00205F19" w:rsidRPr="00403A68" w:rsidRDefault="00205F19" w:rsidP="00666947">
            <w:pPr>
              <w:pStyle w:val="TableTextLeft"/>
            </w:pPr>
            <w:r w:rsidRPr="00403A68">
              <w:t>Communities</w:t>
            </w:r>
          </w:p>
        </w:tc>
        <w:tc>
          <w:tcPr>
            <w:tcW w:w="979" w:type="pct"/>
            <w:hideMark/>
          </w:tcPr>
          <w:p w14:paraId="41A95F77" w14:textId="77777777" w:rsidR="00205F19" w:rsidRPr="00403A68" w:rsidRDefault="00205F19" w:rsidP="00666947">
            <w:pPr>
              <w:pStyle w:val="TableTextLeft"/>
            </w:pPr>
            <w:r w:rsidRPr="00403A68">
              <w:t>Marine and Coastal Industries</w:t>
            </w:r>
          </w:p>
        </w:tc>
        <w:tc>
          <w:tcPr>
            <w:tcW w:w="1933" w:type="pct"/>
            <w:hideMark/>
          </w:tcPr>
          <w:p w14:paraId="19C03764" w14:textId="77777777" w:rsidR="00205F19" w:rsidRPr="00403A68" w:rsidRDefault="00205F19" w:rsidP="00666947">
            <w:pPr>
              <w:pStyle w:val="TableTextLeft"/>
            </w:pPr>
            <w:r w:rsidRPr="00403A68">
              <w:t>Aquaculture</w:t>
            </w:r>
          </w:p>
        </w:tc>
        <w:tc>
          <w:tcPr>
            <w:tcW w:w="774" w:type="pct"/>
            <w:shd w:val="clear" w:color="auto" w:fill="FF0000"/>
          </w:tcPr>
          <w:p w14:paraId="7E19C506" w14:textId="77777777" w:rsidR="00205F19" w:rsidRPr="00403A68" w:rsidRDefault="00205F19" w:rsidP="00666947">
            <w:pPr>
              <w:pStyle w:val="TableTextLeft"/>
            </w:pPr>
            <w:r w:rsidRPr="00403A68">
              <w:t>Ecosystem service assessment</w:t>
            </w:r>
          </w:p>
        </w:tc>
      </w:tr>
      <w:tr w:rsidR="00205F19" w:rsidRPr="00403A68" w14:paraId="222F2D65" w14:textId="77777777" w:rsidTr="003632AC">
        <w:trPr>
          <w:trHeight w:val="187"/>
        </w:trPr>
        <w:tc>
          <w:tcPr>
            <w:tcW w:w="384" w:type="pct"/>
            <w:noWrap/>
            <w:hideMark/>
          </w:tcPr>
          <w:p w14:paraId="050C845A" w14:textId="77777777" w:rsidR="00205F19" w:rsidRPr="00403A68" w:rsidRDefault="00205F19" w:rsidP="00666947">
            <w:pPr>
              <w:pStyle w:val="TableTextLeft"/>
            </w:pPr>
            <w:r w:rsidRPr="00403A68">
              <w:t>77</w:t>
            </w:r>
          </w:p>
        </w:tc>
        <w:tc>
          <w:tcPr>
            <w:tcW w:w="930" w:type="pct"/>
            <w:hideMark/>
          </w:tcPr>
          <w:p w14:paraId="4C3E2897" w14:textId="77777777" w:rsidR="00205F19" w:rsidRPr="00403A68" w:rsidRDefault="00205F19" w:rsidP="00666947">
            <w:pPr>
              <w:pStyle w:val="TableTextLeft"/>
            </w:pPr>
            <w:r w:rsidRPr="00403A68">
              <w:t>Communities</w:t>
            </w:r>
          </w:p>
        </w:tc>
        <w:tc>
          <w:tcPr>
            <w:tcW w:w="979" w:type="pct"/>
            <w:hideMark/>
          </w:tcPr>
          <w:p w14:paraId="07A81608" w14:textId="77777777" w:rsidR="00205F19" w:rsidRPr="00403A68" w:rsidRDefault="00205F19" w:rsidP="00666947">
            <w:pPr>
              <w:pStyle w:val="TableTextLeft"/>
            </w:pPr>
            <w:r w:rsidRPr="00403A68">
              <w:t>Marine and Coastal Industries</w:t>
            </w:r>
          </w:p>
        </w:tc>
        <w:tc>
          <w:tcPr>
            <w:tcW w:w="1933" w:type="pct"/>
            <w:hideMark/>
          </w:tcPr>
          <w:p w14:paraId="5661D6F8" w14:textId="77777777" w:rsidR="00205F19" w:rsidRPr="00403A68" w:rsidRDefault="00205F19" w:rsidP="00666947">
            <w:pPr>
              <w:pStyle w:val="TableTextLeft"/>
            </w:pPr>
            <w:r w:rsidRPr="00403A68">
              <w:t>Resources and energy generation</w:t>
            </w:r>
          </w:p>
        </w:tc>
        <w:tc>
          <w:tcPr>
            <w:tcW w:w="774" w:type="pct"/>
            <w:shd w:val="clear" w:color="auto" w:fill="FF0000"/>
          </w:tcPr>
          <w:p w14:paraId="0280CC6D" w14:textId="77777777" w:rsidR="00205F19" w:rsidRPr="00403A68" w:rsidRDefault="00205F19" w:rsidP="00666947">
            <w:pPr>
              <w:pStyle w:val="TableTextLeft"/>
            </w:pPr>
            <w:r w:rsidRPr="00403A68">
              <w:t>Ecosystem service assessment</w:t>
            </w:r>
          </w:p>
        </w:tc>
      </w:tr>
      <w:tr w:rsidR="00205F19" w:rsidRPr="00403A68" w14:paraId="084DAE88" w14:textId="77777777" w:rsidTr="003632AC">
        <w:trPr>
          <w:trHeight w:val="105"/>
        </w:trPr>
        <w:tc>
          <w:tcPr>
            <w:tcW w:w="384" w:type="pct"/>
            <w:noWrap/>
            <w:hideMark/>
          </w:tcPr>
          <w:p w14:paraId="06ED2D3A" w14:textId="77777777" w:rsidR="00205F19" w:rsidRPr="00403A68" w:rsidRDefault="00205F19" w:rsidP="00666947">
            <w:pPr>
              <w:pStyle w:val="TableTextLeft"/>
            </w:pPr>
            <w:r w:rsidRPr="00403A68">
              <w:t>78</w:t>
            </w:r>
          </w:p>
        </w:tc>
        <w:tc>
          <w:tcPr>
            <w:tcW w:w="930" w:type="pct"/>
            <w:hideMark/>
          </w:tcPr>
          <w:p w14:paraId="53ECB0A8" w14:textId="77777777" w:rsidR="00205F19" w:rsidRPr="00403A68" w:rsidRDefault="00205F19" w:rsidP="00666947">
            <w:pPr>
              <w:pStyle w:val="TableTextLeft"/>
            </w:pPr>
            <w:r w:rsidRPr="00403A68">
              <w:t>Communities</w:t>
            </w:r>
          </w:p>
        </w:tc>
        <w:tc>
          <w:tcPr>
            <w:tcW w:w="979" w:type="pct"/>
            <w:hideMark/>
          </w:tcPr>
          <w:p w14:paraId="3A420BC7" w14:textId="77777777" w:rsidR="00205F19" w:rsidRPr="00403A68" w:rsidRDefault="00205F19" w:rsidP="00666947">
            <w:pPr>
              <w:pStyle w:val="TableTextLeft"/>
            </w:pPr>
            <w:r w:rsidRPr="00403A68">
              <w:t>Marine and Coastal Industries</w:t>
            </w:r>
          </w:p>
        </w:tc>
        <w:tc>
          <w:tcPr>
            <w:tcW w:w="1933" w:type="pct"/>
            <w:hideMark/>
          </w:tcPr>
          <w:p w14:paraId="12CA969B" w14:textId="77777777" w:rsidR="00205F19" w:rsidRPr="00403A68" w:rsidRDefault="00205F19" w:rsidP="00666947">
            <w:pPr>
              <w:pStyle w:val="TableTextLeft"/>
            </w:pPr>
            <w:r w:rsidRPr="00403A68">
              <w:t>Agriculture</w:t>
            </w:r>
          </w:p>
        </w:tc>
        <w:tc>
          <w:tcPr>
            <w:tcW w:w="774" w:type="pct"/>
            <w:shd w:val="clear" w:color="auto" w:fill="FF0000"/>
          </w:tcPr>
          <w:p w14:paraId="01006C76" w14:textId="77777777" w:rsidR="00205F19" w:rsidRPr="00403A68" w:rsidRDefault="00205F19" w:rsidP="00666947">
            <w:pPr>
              <w:pStyle w:val="TableTextLeft"/>
            </w:pPr>
            <w:r w:rsidRPr="00403A68">
              <w:t>Ecosystem service assessment</w:t>
            </w:r>
          </w:p>
        </w:tc>
      </w:tr>
      <w:tr w:rsidR="00205F19" w:rsidRPr="00403A68" w14:paraId="42BA4358" w14:textId="77777777" w:rsidTr="003632AC">
        <w:trPr>
          <w:trHeight w:val="171"/>
        </w:trPr>
        <w:tc>
          <w:tcPr>
            <w:tcW w:w="384" w:type="pct"/>
            <w:noWrap/>
            <w:hideMark/>
          </w:tcPr>
          <w:p w14:paraId="272D4BB6" w14:textId="77777777" w:rsidR="00205F19" w:rsidRPr="00403A68" w:rsidRDefault="00205F19" w:rsidP="00666947">
            <w:pPr>
              <w:pStyle w:val="TableTextLeft"/>
            </w:pPr>
            <w:r w:rsidRPr="00403A68">
              <w:t>65</w:t>
            </w:r>
          </w:p>
        </w:tc>
        <w:tc>
          <w:tcPr>
            <w:tcW w:w="930" w:type="pct"/>
            <w:hideMark/>
          </w:tcPr>
          <w:p w14:paraId="0FBE3BDB" w14:textId="77777777" w:rsidR="00205F19" w:rsidRPr="00403A68" w:rsidRDefault="00205F19" w:rsidP="00666947">
            <w:pPr>
              <w:pStyle w:val="TableTextLeft"/>
            </w:pPr>
            <w:r w:rsidRPr="00403A68">
              <w:t>Communities</w:t>
            </w:r>
          </w:p>
        </w:tc>
        <w:tc>
          <w:tcPr>
            <w:tcW w:w="979" w:type="pct"/>
            <w:hideMark/>
          </w:tcPr>
          <w:p w14:paraId="100AFB45" w14:textId="77777777" w:rsidR="00205F19" w:rsidRPr="00403A68" w:rsidRDefault="00205F19" w:rsidP="00666947">
            <w:pPr>
              <w:pStyle w:val="TableTextLeft"/>
            </w:pPr>
            <w:r w:rsidRPr="00403A68">
              <w:t>Buildings, structures and access</w:t>
            </w:r>
          </w:p>
        </w:tc>
        <w:tc>
          <w:tcPr>
            <w:tcW w:w="1933" w:type="pct"/>
            <w:hideMark/>
          </w:tcPr>
          <w:p w14:paraId="10563277" w14:textId="77777777" w:rsidR="00205F19" w:rsidRPr="00403A68" w:rsidRDefault="00205F19" w:rsidP="00666947">
            <w:pPr>
              <w:pStyle w:val="TableTextLeft"/>
            </w:pPr>
            <w:r w:rsidRPr="00403A68">
              <w:t>Built and public benefit infrastructure</w:t>
            </w:r>
          </w:p>
        </w:tc>
        <w:tc>
          <w:tcPr>
            <w:tcW w:w="774" w:type="pct"/>
            <w:shd w:val="clear" w:color="auto" w:fill="FFFF00"/>
          </w:tcPr>
          <w:p w14:paraId="55DAB763" w14:textId="77777777" w:rsidR="00205F19" w:rsidRPr="00403A68" w:rsidRDefault="00205F19" w:rsidP="00666947">
            <w:pPr>
              <w:pStyle w:val="TableTextLeft"/>
            </w:pPr>
            <w:r w:rsidRPr="00403A68">
              <w:t>Condition account</w:t>
            </w:r>
          </w:p>
        </w:tc>
      </w:tr>
      <w:tr w:rsidR="00205F19" w:rsidRPr="00403A68" w14:paraId="7459DA9A" w14:textId="77777777" w:rsidTr="003632AC">
        <w:trPr>
          <w:trHeight w:val="202"/>
        </w:trPr>
        <w:tc>
          <w:tcPr>
            <w:tcW w:w="384" w:type="pct"/>
            <w:noWrap/>
            <w:hideMark/>
          </w:tcPr>
          <w:p w14:paraId="7EB65830" w14:textId="77777777" w:rsidR="00205F19" w:rsidRPr="00403A68" w:rsidRDefault="00205F19" w:rsidP="00666947">
            <w:pPr>
              <w:pStyle w:val="TableTextLeft"/>
            </w:pPr>
            <w:r w:rsidRPr="00403A68">
              <w:t>66</w:t>
            </w:r>
          </w:p>
        </w:tc>
        <w:tc>
          <w:tcPr>
            <w:tcW w:w="930" w:type="pct"/>
            <w:hideMark/>
          </w:tcPr>
          <w:p w14:paraId="346225BF" w14:textId="77777777" w:rsidR="00205F19" w:rsidRPr="00403A68" w:rsidRDefault="00205F19" w:rsidP="00666947">
            <w:pPr>
              <w:pStyle w:val="TableTextLeft"/>
            </w:pPr>
            <w:r w:rsidRPr="00403A68">
              <w:t>Communities</w:t>
            </w:r>
          </w:p>
        </w:tc>
        <w:tc>
          <w:tcPr>
            <w:tcW w:w="979" w:type="pct"/>
            <w:hideMark/>
          </w:tcPr>
          <w:p w14:paraId="344ED10D" w14:textId="77777777" w:rsidR="00205F19" w:rsidRPr="00403A68" w:rsidRDefault="00205F19" w:rsidP="00666947">
            <w:pPr>
              <w:pStyle w:val="TableTextLeft"/>
            </w:pPr>
            <w:r w:rsidRPr="00403A68">
              <w:t>Buildings, structures and access</w:t>
            </w:r>
          </w:p>
        </w:tc>
        <w:tc>
          <w:tcPr>
            <w:tcW w:w="1933" w:type="pct"/>
            <w:hideMark/>
          </w:tcPr>
          <w:p w14:paraId="4EB6B032" w14:textId="77777777" w:rsidR="00205F19" w:rsidRPr="00403A68" w:rsidRDefault="00205F19" w:rsidP="00666947">
            <w:pPr>
              <w:pStyle w:val="TableTextLeft"/>
            </w:pPr>
            <w:r w:rsidRPr="00403A68">
              <w:t>Recreational boating Infrastructure</w:t>
            </w:r>
          </w:p>
        </w:tc>
        <w:tc>
          <w:tcPr>
            <w:tcW w:w="774" w:type="pct"/>
            <w:shd w:val="clear" w:color="auto" w:fill="FFFF00"/>
          </w:tcPr>
          <w:p w14:paraId="51924B26" w14:textId="77777777" w:rsidR="00205F19" w:rsidRPr="00403A68" w:rsidRDefault="00205F19" w:rsidP="00666947">
            <w:pPr>
              <w:pStyle w:val="TableTextLeft"/>
            </w:pPr>
            <w:r w:rsidRPr="00403A68">
              <w:t>Condition account</w:t>
            </w:r>
          </w:p>
        </w:tc>
      </w:tr>
      <w:tr w:rsidR="00205F19" w:rsidRPr="00403A68" w14:paraId="2FDB9AA1" w14:textId="77777777" w:rsidTr="003632AC">
        <w:trPr>
          <w:trHeight w:val="25"/>
        </w:trPr>
        <w:tc>
          <w:tcPr>
            <w:tcW w:w="384" w:type="pct"/>
            <w:noWrap/>
            <w:hideMark/>
          </w:tcPr>
          <w:p w14:paraId="36243211" w14:textId="77777777" w:rsidR="00205F19" w:rsidRPr="00403A68" w:rsidRDefault="00205F19" w:rsidP="00666947">
            <w:pPr>
              <w:pStyle w:val="TableTextLeft"/>
            </w:pPr>
            <w:r w:rsidRPr="00403A68">
              <w:t>73</w:t>
            </w:r>
          </w:p>
        </w:tc>
        <w:tc>
          <w:tcPr>
            <w:tcW w:w="930" w:type="pct"/>
            <w:hideMark/>
          </w:tcPr>
          <w:p w14:paraId="25A19436" w14:textId="77777777" w:rsidR="00205F19" w:rsidRPr="00403A68" w:rsidRDefault="00205F19" w:rsidP="00666947">
            <w:pPr>
              <w:pStyle w:val="TableTextLeft"/>
            </w:pPr>
            <w:r w:rsidRPr="00403A68">
              <w:t>Communities</w:t>
            </w:r>
          </w:p>
        </w:tc>
        <w:tc>
          <w:tcPr>
            <w:tcW w:w="979" w:type="pct"/>
            <w:hideMark/>
          </w:tcPr>
          <w:p w14:paraId="42BFB3E2" w14:textId="77777777" w:rsidR="00205F19" w:rsidRPr="00403A68" w:rsidRDefault="00205F19" w:rsidP="00666947">
            <w:pPr>
              <w:pStyle w:val="TableTextLeft"/>
            </w:pPr>
            <w:r w:rsidRPr="00403A68">
              <w:t>Illegal Activities</w:t>
            </w:r>
          </w:p>
        </w:tc>
        <w:tc>
          <w:tcPr>
            <w:tcW w:w="1933" w:type="pct"/>
            <w:hideMark/>
          </w:tcPr>
          <w:p w14:paraId="4F64BDE4" w14:textId="77777777" w:rsidR="00205F19" w:rsidRPr="00403A68" w:rsidRDefault="00205F19" w:rsidP="00666947">
            <w:pPr>
              <w:pStyle w:val="TableTextLeft"/>
            </w:pPr>
            <w:r w:rsidRPr="00403A68">
              <w:t>Illegal activities</w:t>
            </w:r>
          </w:p>
        </w:tc>
        <w:tc>
          <w:tcPr>
            <w:tcW w:w="774" w:type="pct"/>
            <w:shd w:val="clear" w:color="auto" w:fill="92D050"/>
          </w:tcPr>
          <w:p w14:paraId="66D5B708" w14:textId="77777777" w:rsidR="00205F19" w:rsidRPr="00403A68" w:rsidRDefault="00205F19" w:rsidP="00666947">
            <w:pPr>
              <w:pStyle w:val="TableTextLeft"/>
            </w:pPr>
            <w:r w:rsidRPr="00403A68">
              <w:t>Pressures assessment</w:t>
            </w:r>
          </w:p>
        </w:tc>
      </w:tr>
      <w:tr w:rsidR="00205F19" w:rsidRPr="00403A68" w14:paraId="1936A0D3" w14:textId="77777777" w:rsidTr="003632AC">
        <w:trPr>
          <w:trHeight w:val="325"/>
        </w:trPr>
        <w:tc>
          <w:tcPr>
            <w:tcW w:w="384" w:type="pct"/>
            <w:noWrap/>
            <w:hideMark/>
          </w:tcPr>
          <w:p w14:paraId="16C7DB79" w14:textId="77777777" w:rsidR="00205F19" w:rsidRPr="00403A68" w:rsidRDefault="00205F19" w:rsidP="00666947">
            <w:pPr>
              <w:pStyle w:val="TableTextLeft"/>
            </w:pPr>
            <w:r w:rsidRPr="00403A68">
              <w:t>79</w:t>
            </w:r>
          </w:p>
        </w:tc>
        <w:tc>
          <w:tcPr>
            <w:tcW w:w="930" w:type="pct"/>
            <w:hideMark/>
          </w:tcPr>
          <w:p w14:paraId="0C3B614A" w14:textId="77777777" w:rsidR="00205F19" w:rsidRPr="00403A68" w:rsidRDefault="00205F19" w:rsidP="00666947">
            <w:pPr>
              <w:pStyle w:val="TableTextLeft"/>
            </w:pPr>
            <w:r w:rsidRPr="00403A68">
              <w:t>Governance, Collaborative Management and Capacity</w:t>
            </w:r>
          </w:p>
        </w:tc>
        <w:tc>
          <w:tcPr>
            <w:tcW w:w="979" w:type="pct"/>
            <w:hideMark/>
          </w:tcPr>
          <w:p w14:paraId="5D100D6D" w14:textId="77777777" w:rsidR="00205F19" w:rsidRPr="00403A68" w:rsidRDefault="00205F19" w:rsidP="00666947">
            <w:pPr>
              <w:pStyle w:val="TableTextLeft"/>
            </w:pPr>
            <w:r w:rsidRPr="00403A68">
              <w:t>Stewardship and collaborative management</w:t>
            </w:r>
          </w:p>
        </w:tc>
        <w:tc>
          <w:tcPr>
            <w:tcW w:w="1933" w:type="pct"/>
            <w:hideMark/>
          </w:tcPr>
          <w:p w14:paraId="4BDFFB9E" w14:textId="77777777" w:rsidR="00205F19" w:rsidRPr="00403A68" w:rsidRDefault="00205F19" w:rsidP="00666947">
            <w:pPr>
              <w:pStyle w:val="TableTextLeft"/>
            </w:pPr>
            <w:r w:rsidRPr="00403A68">
              <w:t>Planning and implementation</w:t>
            </w:r>
          </w:p>
        </w:tc>
        <w:tc>
          <w:tcPr>
            <w:tcW w:w="774" w:type="pct"/>
            <w:shd w:val="clear" w:color="auto" w:fill="BFBFBF"/>
          </w:tcPr>
          <w:p w14:paraId="6AC4C140" w14:textId="77777777" w:rsidR="00205F19" w:rsidRPr="00403A68" w:rsidRDefault="00205F19" w:rsidP="00666947">
            <w:pPr>
              <w:pStyle w:val="TableTextLeft"/>
            </w:pPr>
            <w:r w:rsidRPr="00403A68">
              <w:t>Outside of EEA framework</w:t>
            </w:r>
          </w:p>
        </w:tc>
      </w:tr>
      <w:tr w:rsidR="00205F19" w:rsidRPr="00403A68" w14:paraId="16368204" w14:textId="77777777" w:rsidTr="003632AC">
        <w:trPr>
          <w:trHeight w:val="120"/>
        </w:trPr>
        <w:tc>
          <w:tcPr>
            <w:tcW w:w="384" w:type="pct"/>
            <w:noWrap/>
            <w:hideMark/>
          </w:tcPr>
          <w:p w14:paraId="5FC479C5" w14:textId="77777777" w:rsidR="00205F19" w:rsidRPr="00403A68" w:rsidRDefault="00205F19" w:rsidP="00666947">
            <w:pPr>
              <w:pStyle w:val="TableTextLeft"/>
            </w:pPr>
            <w:r w:rsidRPr="00403A68">
              <w:t>80</w:t>
            </w:r>
          </w:p>
        </w:tc>
        <w:tc>
          <w:tcPr>
            <w:tcW w:w="930" w:type="pct"/>
            <w:hideMark/>
          </w:tcPr>
          <w:p w14:paraId="0F806079" w14:textId="77777777" w:rsidR="00205F19" w:rsidRPr="00403A68" w:rsidRDefault="00205F19" w:rsidP="00666947">
            <w:pPr>
              <w:pStyle w:val="TableTextLeft"/>
            </w:pPr>
            <w:r w:rsidRPr="00403A68">
              <w:t>Governance, Collaborative Management and Capacity</w:t>
            </w:r>
          </w:p>
        </w:tc>
        <w:tc>
          <w:tcPr>
            <w:tcW w:w="979" w:type="pct"/>
            <w:hideMark/>
          </w:tcPr>
          <w:p w14:paraId="4B01B6A2" w14:textId="77777777" w:rsidR="00205F19" w:rsidRPr="00403A68" w:rsidRDefault="00205F19" w:rsidP="00666947">
            <w:pPr>
              <w:pStyle w:val="TableTextLeft"/>
            </w:pPr>
            <w:r w:rsidRPr="00403A68">
              <w:t>Stewardship and collaborative management</w:t>
            </w:r>
          </w:p>
        </w:tc>
        <w:tc>
          <w:tcPr>
            <w:tcW w:w="1933" w:type="pct"/>
            <w:hideMark/>
          </w:tcPr>
          <w:p w14:paraId="1BC832EE" w14:textId="77777777" w:rsidR="00205F19" w:rsidRPr="00403A68" w:rsidRDefault="00205F19" w:rsidP="00666947">
            <w:pPr>
              <w:pStyle w:val="TableTextLeft"/>
            </w:pPr>
            <w:r w:rsidRPr="00403A68">
              <w:t>Committees and Councils</w:t>
            </w:r>
          </w:p>
        </w:tc>
        <w:tc>
          <w:tcPr>
            <w:tcW w:w="774" w:type="pct"/>
            <w:shd w:val="clear" w:color="auto" w:fill="BFBFBF"/>
          </w:tcPr>
          <w:p w14:paraId="6A569246" w14:textId="77777777" w:rsidR="00205F19" w:rsidRPr="00403A68" w:rsidRDefault="00205F19" w:rsidP="00666947">
            <w:pPr>
              <w:pStyle w:val="TableTextLeft"/>
            </w:pPr>
            <w:r w:rsidRPr="00403A68">
              <w:t>Outside of EEA framework</w:t>
            </w:r>
          </w:p>
        </w:tc>
      </w:tr>
      <w:tr w:rsidR="00205F19" w:rsidRPr="00403A68" w14:paraId="256F9B7C" w14:textId="77777777" w:rsidTr="003632AC">
        <w:trPr>
          <w:trHeight w:val="227"/>
        </w:trPr>
        <w:tc>
          <w:tcPr>
            <w:tcW w:w="384" w:type="pct"/>
            <w:noWrap/>
            <w:hideMark/>
          </w:tcPr>
          <w:p w14:paraId="44268D39" w14:textId="77777777" w:rsidR="00205F19" w:rsidRPr="00403A68" w:rsidRDefault="00205F19" w:rsidP="00666947">
            <w:pPr>
              <w:pStyle w:val="TableTextLeft"/>
            </w:pPr>
            <w:r w:rsidRPr="00403A68">
              <w:t>81</w:t>
            </w:r>
          </w:p>
        </w:tc>
        <w:tc>
          <w:tcPr>
            <w:tcW w:w="930" w:type="pct"/>
            <w:hideMark/>
          </w:tcPr>
          <w:p w14:paraId="16049F46" w14:textId="77777777" w:rsidR="00205F19" w:rsidRPr="00403A68" w:rsidRDefault="00205F19" w:rsidP="00666947">
            <w:pPr>
              <w:pStyle w:val="TableTextLeft"/>
            </w:pPr>
            <w:r w:rsidRPr="00403A68">
              <w:t>Governance, Collaborative Management and Capacity</w:t>
            </w:r>
          </w:p>
        </w:tc>
        <w:tc>
          <w:tcPr>
            <w:tcW w:w="979" w:type="pct"/>
            <w:hideMark/>
          </w:tcPr>
          <w:p w14:paraId="4A5EF28E" w14:textId="77777777" w:rsidR="00205F19" w:rsidRPr="00403A68" w:rsidRDefault="00205F19" w:rsidP="00666947">
            <w:pPr>
              <w:pStyle w:val="TableTextLeft"/>
            </w:pPr>
            <w:r w:rsidRPr="00403A68">
              <w:t>Stewardship and collaborative management</w:t>
            </w:r>
          </w:p>
        </w:tc>
        <w:tc>
          <w:tcPr>
            <w:tcW w:w="1933" w:type="pct"/>
            <w:hideMark/>
          </w:tcPr>
          <w:p w14:paraId="378C1F48" w14:textId="77777777" w:rsidR="00205F19" w:rsidRPr="00403A68" w:rsidRDefault="00205F19" w:rsidP="00666947">
            <w:pPr>
              <w:pStyle w:val="TableTextLeft"/>
            </w:pPr>
            <w:r w:rsidRPr="00403A68">
              <w:t>Institutional Capacity and Knowledge</w:t>
            </w:r>
          </w:p>
        </w:tc>
        <w:tc>
          <w:tcPr>
            <w:tcW w:w="774" w:type="pct"/>
            <w:shd w:val="clear" w:color="auto" w:fill="BFBFBF"/>
          </w:tcPr>
          <w:p w14:paraId="1598E400" w14:textId="77777777" w:rsidR="00205F19" w:rsidRPr="00403A68" w:rsidRDefault="00205F19" w:rsidP="00666947">
            <w:pPr>
              <w:pStyle w:val="TableTextLeft"/>
            </w:pPr>
            <w:r w:rsidRPr="00403A68">
              <w:t>Outside of EEA framework</w:t>
            </w:r>
          </w:p>
        </w:tc>
      </w:tr>
      <w:tr w:rsidR="00205F19" w:rsidRPr="00403A68" w14:paraId="6AD0CC66" w14:textId="77777777" w:rsidTr="003632AC">
        <w:trPr>
          <w:trHeight w:val="25"/>
        </w:trPr>
        <w:tc>
          <w:tcPr>
            <w:tcW w:w="384" w:type="pct"/>
            <w:noWrap/>
            <w:hideMark/>
          </w:tcPr>
          <w:p w14:paraId="45ACA276" w14:textId="77777777" w:rsidR="00205F19" w:rsidRPr="00403A68" w:rsidRDefault="00205F19" w:rsidP="00666947">
            <w:pPr>
              <w:pStyle w:val="TableTextLeft"/>
            </w:pPr>
            <w:r w:rsidRPr="00403A68">
              <w:t>82</w:t>
            </w:r>
          </w:p>
        </w:tc>
        <w:tc>
          <w:tcPr>
            <w:tcW w:w="930" w:type="pct"/>
            <w:hideMark/>
          </w:tcPr>
          <w:p w14:paraId="0AE16E79" w14:textId="77777777" w:rsidR="00205F19" w:rsidRPr="00403A68" w:rsidRDefault="00205F19" w:rsidP="00666947">
            <w:pPr>
              <w:pStyle w:val="TableTextLeft"/>
            </w:pPr>
            <w:r w:rsidRPr="00403A68">
              <w:t>Governance, Collaborative Management and Capacity</w:t>
            </w:r>
          </w:p>
        </w:tc>
        <w:tc>
          <w:tcPr>
            <w:tcW w:w="979" w:type="pct"/>
            <w:hideMark/>
          </w:tcPr>
          <w:p w14:paraId="0557D720" w14:textId="77777777" w:rsidR="00205F19" w:rsidRPr="00403A68" w:rsidRDefault="00205F19" w:rsidP="00666947">
            <w:pPr>
              <w:pStyle w:val="TableTextLeft"/>
            </w:pPr>
            <w:r w:rsidRPr="00403A68">
              <w:t>Stewardship and collaborative management</w:t>
            </w:r>
          </w:p>
        </w:tc>
        <w:tc>
          <w:tcPr>
            <w:tcW w:w="1933" w:type="pct"/>
            <w:hideMark/>
          </w:tcPr>
          <w:p w14:paraId="15E49ED3" w14:textId="77777777" w:rsidR="00205F19" w:rsidRPr="00403A68" w:rsidRDefault="00205F19" w:rsidP="00666947">
            <w:pPr>
              <w:pStyle w:val="TableTextLeft"/>
            </w:pPr>
            <w:r w:rsidRPr="00403A68">
              <w:t>Engagement and inclusiveness</w:t>
            </w:r>
          </w:p>
        </w:tc>
        <w:tc>
          <w:tcPr>
            <w:tcW w:w="774" w:type="pct"/>
            <w:shd w:val="clear" w:color="auto" w:fill="BFBFBF"/>
          </w:tcPr>
          <w:p w14:paraId="7EADC0F7" w14:textId="77777777" w:rsidR="00205F19" w:rsidRPr="00403A68" w:rsidRDefault="00205F19" w:rsidP="00666947">
            <w:pPr>
              <w:pStyle w:val="TableTextLeft"/>
            </w:pPr>
            <w:r w:rsidRPr="00403A68">
              <w:t>Outside of EEA framework</w:t>
            </w:r>
          </w:p>
        </w:tc>
      </w:tr>
      <w:tr w:rsidR="00205F19" w:rsidRPr="00403A68" w14:paraId="535D0368" w14:textId="77777777" w:rsidTr="003632AC">
        <w:trPr>
          <w:trHeight w:val="216"/>
        </w:trPr>
        <w:tc>
          <w:tcPr>
            <w:tcW w:w="384" w:type="pct"/>
            <w:noWrap/>
            <w:hideMark/>
          </w:tcPr>
          <w:p w14:paraId="673E4AE1" w14:textId="77777777" w:rsidR="00205F19" w:rsidRPr="00403A68" w:rsidRDefault="00205F19" w:rsidP="00666947">
            <w:pPr>
              <w:pStyle w:val="TableTextLeft"/>
            </w:pPr>
            <w:r w:rsidRPr="00403A68">
              <w:t>83</w:t>
            </w:r>
          </w:p>
        </w:tc>
        <w:tc>
          <w:tcPr>
            <w:tcW w:w="930" w:type="pct"/>
            <w:hideMark/>
          </w:tcPr>
          <w:p w14:paraId="5BCB943F" w14:textId="77777777" w:rsidR="00205F19" w:rsidRPr="00403A68" w:rsidRDefault="00205F19" w:rsidP="00666947">
            <w:pPr>
              <w:pStyle w:val="TableTextLeft"/>
            </w:pPr>
            <w:r w:rsidRPr="00403A68">
              <w:t>Governance, Collaborative Management and Capacity</w:t>
            </w:r>
          </w:p>
        </w:tc>
        <w:tc>
          <w:tcPr>
            <w:tcW w:w="979" w:type="pct"/>
            <w:hideMark/>
          </w:tcPr>
          <w:p w14:paraId="2C030E0E" w14:textId="77777777" w:rsidR="00205F19" w:rsidRPr="00403A68" w:rsidRDefault="00205F19" w:rsidP="00666947">
            <w:pPr>
              <w:pStyle w:val="TableTextLeft"/>
            </w:pPr>
            <w:r w:rsidRPr="00403A68">
              <w:t>Stewardship and collaborative management</w:t>
            </w:r>
          </w:p>
        </w:tc>
        <w:tc>
          <w:tcPr>
            <w:tcW w:w="1933" w:type="pct"/>
            <w:hideMark/>
          </w:tcPr>
          <w:p w14:paraId="0C3EE869" w14:textId="77777777" w:rsidR="00205F19" w:rsidRPr="00403A68" w:rsidRDefault="00205F19" w:rsidP="00666947">
            <w:pPr>
              <w:pStyle w:val="TableTextLeft"/>
            </w:pPr>
            <w:r w:rsidRPr="00403A68">
              <w:t>Delivery and Accountability</w:t>
            </w:r>
          </w:p>
        </w:tc>
        <w:tc>
          <w:tcPr>
            <w:tcW w:w="774" w:type="pct"/>
            <w:shd w:val="clear" w:color="auto" w:fill="BFBFBF"/>
          </w:tcPr>
          <w:p w14:paraId="6466B5E5" w14:textId="77777777" w:rsidR="00205F19" w:rsidRPr="00403A68" w:rsidRDefault="00205F19" w:rsidP="00666947">
            <w:pPr>
              <w:pStyle w:val="TableTextLeft"/>
            </w:pPr>
            <w:r w:rsidRPr="00403A68">
              <w:t>Outside of EEA framework</w:t>
            </w:r>
          </w:p>
        </w:tc>
      </w:tr>
      <w:tr w:rsidR="00205F19" w:rsidRPr="00403A68" w14:paraId="5121A52A" w14:textId="77777777" w:rsidTr="003632AC">
        <w:trPr>
          <w:trHeight w:val="25"/>
        </w:trPr>
        <w:tc>
          <w:tcPr>
            <w:tcW w:w="384" w:type="pct"/>
            <w:noWrap/>
            <w:hideMark/>
          </w:tcPr>
          <w:p w14:paraId="3258983B" w14:textId="77777777" w:rsidR="00205F19" w:rsidRPr="00403A68" w:rsidRDefault="00205F19" w:rsidP="00666947">
            <w:pPr>
              <w:pStyle w:val="TableTextLeft"/>
            </w:pPr>
            <w:r w:rsidRPr="00403A68">
              <w:t>84</w:t>
            </w:r>
          </w:p>
        </w:tc>
        <w:tc>
          <w:tcPr>
            <w:tcW w:w="930" w:type="pct"/>
            <w:hideMark/>
          </w:tcPr>
          <w:p w14:paraId="0BD4D50C" w14:textId="77777777" w:rsidR="00205F19" w:rsidRPr="00403A68" w:rsidRDefault="00205F19" w:rsidP="00666947">
            <w:pPr>
              <w:pStyle w:val="TableTextLeft"/>
            </w:pPr>
            <w:r w:rsidRPr="00403A68">
              <w:t>Governance, Collaborative Management and Capacity</w:t>
            </w:r>
          </w:p>
        </w:tc>
        <w:tc>
          <w:tcPr>
            <w:tcW w:w="979" w:type="pct"/>
            <w:hideMark/>
          </w:tcPr>
          <w:p w14:paraId="7EFDD704" w14:textId="77777777" w:rsidR="00205F19" w:rsidRPr="00403A68" w:rsidRDefault="00205F19" w:rsidP="00666947">
            <w:pPr>
              <w:pStyle w:val="TableTextLeft"/>
            </w:pPr>
            <w:r w:rsidRPr="00403A68">
              <w:t>Stewardship and collaborative management</w:t>
            </w:r>
          </w:p>
        </w:tc>
        <w:tc>
          <w:tcPr>
            <w:tcW w:w="1933" w:type="pct"/>
            <w:hideMark/>
          </w:tcPr>
          <w:p w14:paraId="6B2EB45A" w14:textId="77777777" w:rsidR="00205F19" w:rsidRPr="00403A68" w:rsidRDefault="00205F19" w:rsidP="00666947">
            <w:pPr>
              <w:pStyle w:val="TableTextLeft"/>
            </w:pPr>
            <w:r w:rsidRPr="00403A68">
              <w:t>Community connection to the coast</w:t>
            </w:r>
          </w:p>
        </w:tc>
        <w:tc>
          <w:tcPr>
            <w:tcW w:w="774" w:type="pct"/>
            <w:shd w:val="clear" w:color="auto" w:fill="FF0000"/>
          </w:tcPr>
          <w:p w14:paraId="79C9E34B" w14:textId="77777777" w:rsidR="00205F19" w:rsidRPr="00403A68" w:rsidRDefault="00205F19" w:rsidP="00666947">
            <w:pPr>
              <w:pStyle w:val="TableTextLeft"/>
            </w:pPr>
            <w:r w:rsidRPr="00403A68">
              <w:t>Ecosystem service assessment</w:t>
            </w:r>
          </w:p>
        </w:tc>
      </w:tr>
      <w:tr w:rsidR="00205F19" w:rsidRPr="00403A68" w14:paraId="009DA4C5" w14:textId="77777777" w:rsidTr="003632AC">
        <w:trPr>
          <w:trHeight w:val="235"/>
        </w:trPr>
        <w:tc>
          <w:tcPr>
            <w:tcW w:w="384" w:type="pct"/>
            <w:noWrap/>
            <w:hideMark/>
          </w:tcPr>
          <w:p w14:paraId="12CA0BE9" w14:textId="77777777" w:rsidR="00205F19" w:rsidRPr="00403A68" w:rsidRDefault="00205F19" w:rsidP="00666947">
            <w:pPr>
              <w:pStyle w:val="TableTextLeft"/>
            </w:pPr>
            <w:r w:rsidRPr="00403A68">
              <w:t>85</w:t>
            </w:r>
          </w:p>
        </w:tc>
        <w:tc>
          <w:tcPr>
            <w:tcW w:w="930" w:type="pct"/>
            <w:hideMark/>
          </w:tcPr>
          <w:p w14:paraId="6C37A057" w14:textId="77777777" w:rsidR="00205F19" w:rsidRPr="00403A68" w:rsidRDefault="00205F19" w:rsidP="00666947">
            <w:pPr>
              <w:pStyle w:val="TableTextLeft"/>
            </w:pPr>
            <w:r w:rsidRPr="00403A68">
              <w:t>Governance, Collaborative Management and Capacity</w:t>
            </w:r>
          </w:p>
        </w:tc>
        <w:tc>
          <w:tcPr>
            <w:tcW w:w="979" w:type="pct"/>
            <w:hideMark/>
          </w:tcPr>
          <w:p w14:paraId="2D0F1A60" w14:textId="77777777" w:rsidR="00205F19" w:rsidRPr="00403A68" w:rsidRDefault="00205F19" w:rsidP="00666947">
            <w:pPr>
              <w:pStyle w:val="TableTextLeft"/>
            </w:pPr>
            <w:r w:rsidRPr="00403A68">
              <w:t>Stewardship and collaborative management</w:t>
            </w:r>
          </w:p>
        </w:tc>
        <w:tc>
          <w:tcPr>
            <w:tcW w:w="1933" w:type="pct"/>
            <w:hideMark/>
          </w:tcPr>
          <w:p w14:paraId="37739697" w14:textId="77777777" w:rsidR="00205F19" w:rsidRPr="00403A68" w:rsidRDefault="00205F19" w:rsidP="00666947">
            <w:pPr>
              <w:pStyle w:val="TableTextLeft"/>
            </w:pPr>
            <w:r w:rsidRPr="00403A68">
              <w:t>Citizen Science</w:t>
            </w:r>
          </w:p>
        </w:tc>
        <w:tc>
          <w:tcPr>
            <w:tcW w:w="774" w:type="pct"/>
            <w:shd w:val="clear" w:color="auto" w:fill="FF0000"/>
          </w:tcPr>
          <w:p w14:paraId="6864DDCB" w14:textId="77777777" w:rsidR="00205F19" w:rsidRPr="00403A68" w:rsidRDefault="00205F19" w:rsidP="00666947">
            <w:pPr>
              <w:pStyle w:val="TableTextLeft"/>
            </w:pPr>
            <w:r w:rsidRPr="00403A68">
              <w:t>Ecosystem service assessment</w:t>
            </w:r>
          </w:p>
        </w:tc>
      </w:tr>
      <w:tr w:rsidR="00205F19" w:rsidRPr="00403A68" w14:paraId="11DE5B88" w14:textId="77777777" w:rsidTr="003632AC">
        <w:trPr>
          <w:trHeight w:val="270"/>
        </w:trPr>
        <w:tc>
          <w:tcPr>
            <w:tcW w:w="384" w:type="pct"/>
            <w:noWrap/>
            <w:hideMark/>
          </w:tcPr>
          <w:p w14:paraId="3AC6BBE2" w14:textId="77777777" w:rsidR="00205F19" w:rsidRPr="00403A68" w:rsidRDefault="00205F19" w:rsidP="00666947">
            <w:pPr>
              <w:pStyle w:val="TableTextLeft"/>
            </w:pPr>
            <w:r w:rsidRPr="00403A68">
              <w:t>86</w:t>
            </w:r>
          </w:p>
        </w:tc>
        <w:tc>
          <w:tcPr>
            <w:tcW w:w="930" w:type="pct"/>
            <w:hideMark/>
          </w:tcPr>
          <w:p w14:paraId="7522AE48" w14:textId="77777777" w:rsidR="00205F19" w:rsidRPr="00403A68" w:rsidRDefault="00205F19" w:rsidP="00666947">
            <w:pPr>
              <w:pStyle w:val="TableTextLeft"/>
            </w:pPr>
            <w:r w:rsidRPr="00403A68">
              <w:t>Governance, Collaborative Management and Capacity</w:t>
            </w:r>
          </w:p>
        </w:tc>
        <w:tc>
          <w:tcPr>
            <w:tcW w:w="979" w:type="pct"/>
            <w:hideMark/>
          </w:tcPr>
          <w:p w14:paraId="4E84FC03" w14:textId="77777777" w:rsidR="00205F19" w:rsidRPr="00403A68" w:rsidRDefault="00205F19" w:rsidP="00666947">
            <w:pPr>
              <w:pStyle w:val="TableTextLeft"/>
            </w:pPr>
            <w:r w:rsidRPr="00403A68">
              <w:t>Stewardship and collaborative management</w:t>
            </w:r>
          </w:p>
        </w:tc>
        <w:tc>
          <w:tcPr>
            <w:tcW w:w="1933" w:type="pct"/>
            <w:hideMark/>
          </w:tcPr>
          <w:p w14:paraId="5EC4E2AB" w14:textId="77777777" w:rsidR="00205F19" w:rsidRPr="00403A68" w:rsidRDefault="00205F19" w:rsidP="00666947">
            <w:pPr>
              <w:pStyle w:val="TableTextLeft"/>
            </w:pPr>
            <w:proofErr w:type="spellStart"/>
            <w:r w:rsidRPr="00403A68">
              <w:t>CoastCare</w:t>
            </w:r>
            <w:proofErr w:type="spellEnd"/>
          </w:p>
        </w:tc>
        <w:tc>
          <w:tcPr>
            <w:tcW w:w="774" w:type="pct"/>
            <w:shd w:val="clear" w:color="auto" w:fill="FFFF00"/>
          </w:tcPr>
          <w:p w14:paraId="4238A352" w14:textId="77777777" w:rsidR="00205F19" w:rsidRPr="00403A68" w:rsidRDefault="00205F19" w:rsidP="00666947">
            <w:pPr>
              <w:pStyle w:val="TableTextLeft"/>
            </w:pPr>
            <w:r w:rsidRPr="00403A68">
              <w:t>Condition account</w:t>
            </w:r>
          </w:p>
        </w:tc>
      </w:tr>
      <w:tr w:rsidR="00205F19" w:rsidRPr="00403A68" w14:paraId="3ACAB3D3" w14:textId="77777777" w:rsidTr="003632AC">
        <w:trPr>
          <w:trHeight w:val="179"/>
        </w:trPr>
        <w:tc>
          <w:tcPr>
            <w:tcW w:w="384" w:type="pct"/>
            <w:noWrap/>
            <w:hideMark/>
          </w:tcPr>
          <w:p w14:paraId="1A6A229C" w14:textId="77777777" w:rsidR="00205F19" w:rsidRPr="00403A68" w:rsidRDefault="00205F19" w:rsidP="00666947">
            <w:pPr>
              <w:pStyle w:val="TableTextLeft"/>
            </w:pPr>
            <w:r w:rsidRPr="00403A68">
              <w:t>87</w:t>
            </w:r>
          </w:p>
        </w:tc>
        <w:tc>
          <w:tcPr>
            <w:tcW w:w="930" w:type="pct"/>
            <w:hideMark/>
          </w:tcPr>
          <w:p w14:paraId="74BE88F8" w14:textId="77777777" w:rsidR="00205F19" w:rsidRPr="00403A68" w:rsidRDefault="00205F19" w:rsidP="00666947">
            <w:pPr>
              <w:pStyle w:val="TableTextLeft"/>
            </w:pPr>
            <w:r w:rsidRPr="00403A68">
              <w:t>Governance, Collaborative Management and Capacity</w:t>
            </w:r>
          </w:p>
        </w:tc>
        <w:tc>
          <w:tcPr>
            <w:tcW w:w="979" w:type="pct"/>
            <w:hideMark/>
          </w:tcPr>
          <w:p w14:paraId="4C998B2D" w14:textId="77777777" w:rsidR="00205F19" w:rsidRPr="00403A68" w:rsidRDefault="00205F19" w:rsidP="00666947">
            <w:pPr>
              <w:pStyle w:val="TableTextLeft"/>
            </w:pPr>
            <w:r w:rsidRPr="00403A68">
              <w:t>Stewardship and collaborative management</w:t>
            </w:r>
          </w:p>
        </w:tc>
        <w:tc>
          <w:tcPr>
            <w:tcW w:w="1933" w:type="pct"/>
            <w:hideMark/>
          </w:tcPr>
          <w:p w14:paraId="397D2B91" w14:textId="77777777" w:rsidR="00205F19" w:rsidRPr="00403A68" w:rsidRDefault="00205F19" w:rsidP="00666947">
            <w:pPr>
              <w:pStyle w:val="TableTextLeft"/>
            </w:pPr>
            <w:r w:rsidRPr="00403A68">
              <w:t>Stewardship</w:t>
            </w:r>
          </w:p>
        </w:tc>
        <w:tc>
          <w:tcPr>
            <w:tcW w:w="774" w:type="pct"/>
            <w:shd w:val="clear" w:color="auto" w:fill="FFFF00"/>
          </w:tcPr>
          <w:p w14:paraId="11FD3AF0" w14:textId="77777777" w:rsidR="00205F19" w:rsidRPr="00403A68" w:rsidRDefault="00205F19" w:rsidP="00666947">
            <w:pPr>
              <w:pStyle w:val="TableTextLeft"/>
            </w:pPr>
            <w:r w:rsidRPr="00403A68">
              <w:t>Condition account</w:t>
            </w:r>
          </w:p>
        </w:tc>
      </w:tr>
    </w:tbl>
    <w:p w14:paraId="0D6166B2" w14:textId="77777777" w:rsidR="00205F19" w:rsidRPr="00403A68" w:rsidRDefault="00205F19" w:rsidP="00205F19">
      <w:pPr>
        <w:pStyle w:val="BodyText"/>
        <w:sectPr w:rsidR="00205F19" w:rsidRPr="00403A68" w:rsidSect="00E52A9A">
          <w:headerReference w:type="even" r:id="rId420"/>
          <w:headerReference w:type="default" r:id="rId421"/>
          <w:footerReference w:type="even" r:id="rId422"/>
          <w:footerReference w:type="default" r:id="rId423"/>
          <w:pgSz w:w="16838" w:h="23811" w:code="8"/>
          <w:pgMar w:top="1134" w:right="1134" w:bottom="1134" w:left="1134" w:header="283" w:footer="283" w:gutter="0"/>
          <w:cols w:space="284"/>
          <w:docGrid w:linePitch="360"/>
        </w:sectPr>
      </w:pPr>
    </w:p>
    <w:p w14:paraId="6CAD6140" w14:textId="429EF93E" w:rsidR="00205F19" w:rsidRPr="00403A68" w:rsidRDefault="00D56960" w:rsidP="0004232F">
      <w:pPr>
        <w:pStyle w:val="Heading1"/>
        <w:numPr>
          <w:ilvl w:val="0"/>
          <w:numId w:val="0"/>
        </w:numPr>
      </w:pPr>
      <w:bookmarkStart w:id="450" w:name="_Toc98854719"/>
      <w:bookmarkStart w:id="451" w:name="_Toc163547115"/>
      <w:r>
        <w:lastRenderedPageBreak/>
        <w:t>A</w:t>
      </w:r>
      <w:r w:rsidR="00205F19" w:rsidRPr="00403A68">
        <w:t>nnex 9. Assessment of ecosystem services</w:t>
      </w:r>
      <w:bookmarkEnd w:id="450"/>
      <w:bookmarkEnd w:id="451"/>
      <w:r w:rsidR="00205F19" w:rsidRPr="00403A68">
        <w:t xml:space="preserve"> </w:t>
      </w:r>
    </w:p>
    <w:p w14:paraId="5278C2FE" w14:textId="77777777" w:rsidR="00205F19" w:rsidRPr="00403A68" w:rsidRDefault="00205F19" w:rsidP="00D56960">
      <w:pPr>
        <w:pStyle w:val="Heading2"/>
        <w:numPr>
          <w:ilvl w:val="0"/>
          <w:numId w:val="0"/>
        </w:numPr>
      </w:pPr>
      <w:bookmarkStart w:id="452" w:name="_Toc163547116"/>
      <w:r w:rsidRPr="00403A68">
        <w:t>A9.1. Physical quantification of ecosystem services</w:t>
      </w:r>
      <w:bookmarkEnd w:id="452"/>
    </w:p>
    <w:p w14:paraId="7DDD7618" w14:textId="77777777" w:rsidR="00205F19" w:rsidRPr="00403A68" w:rsidRDefault="00205F19" w:rsidP="00205F19">
      <w:pPr>
        <w:pStyle w:val="BodyText"/>
      </w:pPr>
      <w:r w:rsidRPr="00403A68">
        <w:t>Draft guidance on biophysical modelling for SEEA-EA (</w:t>
      </w:r>
      <w:proofErr w:type="spellStart"/>
      <w:r w:rsidRPr="00403A68">
        <w:t>Tomscha</w:t>
      </w:r>
      <w:proofErr w:type="spellEnd"/>
      <w:r w:rsidRPr="00403A68">
        <w:t>, 2019) outlines a tiered approach to developing environmental-economic accounts:</w:t>
      </w:r>
    </w:p>
    <w:p w14:paraId="34085F2B" w14:textId="77777777" w:rsidR="00205F19" w:rsidRPr="00403A68" w:rsidRDefault="00205F19" w:rsidP="000035CB">
      <w:pPr>
        <w:pStyle w:val="ListAlpha"/>
        <w:numPr>
          <w:ilvl w:val="0"/>
          <w:numId w:val="37"/>
        </w:numPr>
      </w:pPr>
      <w:r w:rsidRPr="00403A68">
        <w:t xml:space="preserve">Tier 1: relies on globally available </w:t>
      </w:r>
      <w:r w:rsidRPr="00A459D5">
        <w:t>datasets</w:t>
      </w:r>
      <w:r w:rsidRPr="00403A68">
        <w:t xml:space="preserve"> and pre-constructed ecosystem service models using freely available tools, requiring very little user input.</w:t>
      </w:r>
    </w:p>
    <w:p w14:paraId="4037D68D" w14:textId="77777777" w:rsidR="00205F19" w:rsidRPr="00403A68" w:rsidRDefault="00205F19" w:rsidP="000035CB">
      <w:pPr>
        <w:pStyle w:val="ListAlpha"/>
        <w:numPr>
          <w:ilvl w:val="0"/>
          <w:numId w:val="37"/>
        </w:numPr>
      </w:pPr>
      <w:r w:rsidRPr="00403A68">
        <w:t>Tier 2: models ecosystem services using national datasets, requiring some customisation and validation of ecosystem service models.</w:t>
      </w:r>
    </w:p>
    <w:p w14:paraId="392EC893" w14:textId="77777777" w:rsidR="00205F19" w:rsidRPr="00403A68" w:rsidRDefault="00205F19" w:rsidP="000035CB">
      <w:pPr>
        <w:pStyle w:val="ListAlpha"/>
        <w:numPr>
          <w:ilvl w:val="0"/>
          <w:numId w:val="37"/>
        </w:numPr>
      </w:pPr>
      <w:r w:rsidRPr="00403A68">
        <w:t>Tier 3: draws on the best available local data using bespoke models, parametrised for local contexts.</w:t>
      </w:r>
    </w:p>
    <w:p w14:paraId="52D171B7" w14:textId="77777777" w:rsidR="00205F19" w:rsidRPr="00403A68" w:rsidRDefault="00205F19" w:rsidP="00D56960">
      <w:pPr>
        <w:pStyle w:val="BodyText12ptBefore"/>
      </w:pPr>
      <w:r w:rsidRPr="00403A68">
        <w:t>A Tier 3 SEEA-EA is ideal for accuracy, however, rough estimates based on global models and global datasets are a first step towards locally parametrised models, and many organisations may choose to initiate SEEA-EA using a Tier 1 approach (</w:t>
      </w:r>
      <w:proofErr w:type="spellStart"/>
      <w:r w:rsidRPr="00403A68">
        <w:t>Tomscha</w:t>
      </w:r>
      <w:proofErr w:type="spellEnd"/>
      <w:r w:rsidRPr="00403A68">
        <w:t>, 2019).</w:t>
      </w:r>
    </w:p>
    <w:p w14:paraId="480449CE" w14:textId="77777777" w:rsidR="00205F19" w:rsidRPr="00403A68" w:rsidRDefault="00205F19" w:rsidP="00205F19">
      <w:pPr>
        <w:pStyle w:val="BodyText"/>
      </w:pPr>
      <w:r w:rsidRPr="00403A68">
        <w:t xml:space="preserve">Many of the methods adopted to quantify (and value) ecosystem service provision in the reviewed literature are bespoke based on the data and methods available within each country/region (i.e. Tier 3), although some of the reviewed studies (specifically the Canadian account developed by Guerry et al (2012) and the Mapping Ocean Wealth Australia analysis developed by Carnell et al., 2019) adopt the publicly available biophysical model </w:t>
      </w:r>
      <w:proofErr w:type="spellStart"/>
      <w:r w:rsidRPr="00403A68">
        <w:t>InVEST</w:t>
      </w:r>
      <w:proofErr w:type="spellEnd"/>
      <w:r w:rsidRPr="00403A68">
        <w:t xml:space="preserve"> (Integrated Valuation of Ecosystem Services and Trade-offs) (i.e. Tier 1). </w:t>
      </w:r>
    </w:p>
    <w:p w14:paraId="679032E2" w14:textId="77777777" w:rsidR="00205F19" w:rsidRPr="00403A68" w:rsidRDefault="00205F19" w:rsidP="00205F19">
      <w:pPr>
        <w:pStyle w:val="BodyText"/>
      </w:pPr>
      <w:r w:rsidRPr="00403A68">
        <w:t>Physical quantification commonly focuses on measurement of ecosystem structures, processes and functions (i.e. the supply side of ecosystem service flows) but quantification of ecosystem contributions can also take place through a focus on the use of ecosystem services, for example the number of visits to a national park (SEEA-EEA, 2020a).</w:t>
      </w:r>
    </w:p>
    <w:p w14:paraId="21FCFA25" w14:textId="77777777" w:rsidR="00205F19" w:rsidRPr="00403A68" w:rsidRDefault="00205F19" w:rsidP="00205F19">
      <w:pPr>
        <w:pStyle w:val="BodyText"/>
      </w:pPr>
      <w:r w:rsidRPr="00403A68">
        <w:t xml:space="preserve">Martínez-Harms and Balvanera (2012) reviewed methods used to estimate ecosystem service supply (i.e. physical provision) and concluded that the most frequently used method to estimate ecosystem service provision is the use of causal relationships based on the understanding of ecosystem services and readily available information (e.g. dose-response functions where the provision of a service by an ecosystem asset varies according to the prevailing environmental conditions / status of the asset. For example, carbon sequestration rates are dependent upon the vegetation type and condition), with other methods including the extrapolation of primary data (e.g. field data, surveys, census data – especially relevant for recreational visits), expert knowledge, regression models and look-up tables. </w:t>
      </w:r>
    </w:p>
    <w:p w14:paraId="01152274" w14:textId="77777777" w:rsidR="00205F19" w:rsidRPr="00403A68" w:rsidRDefault="00205F19" w:rsidP="00205F19">
      <w:pPr>
        <w:pStyle w:val="BodyText"/>
      </w:pPr>
      <w:r w:rsidRPr="00403A68">
        <w:t xml:space="preserve">The studies reviewed quantify (and value) ecosystem service provision for specific ecosystems where possible (this is mostly for regulating and provisioning services) and for the assessment area as a whole where it is not appropriate to attribute provision to specific ecosystems (mostly cultural services). This approach is recommended in the scoping report for UK marine account developed by </w:t>
      </w:r>
      <w:proofErr w:type="spellStart"/>
      <w:r w:rsidRPr="00403A68">
        <w:t>eftec</w:t>
      </w:r>
      <w:proofErr w:type="spellEnd"/>
      <w:r w:rsidRPr="00403A68">
        <w:t xml:space="preserve"> (2015) and re-iterated in the ONS (2016) report on scoping UK coastal margin environmental-economic accounts. Worley Parsons (2013) estimated the value of cultural services as recreation value for the Victorian coast as a whole, independent of habitat type. </w:t>
      </w:r>
    </w:p>
    <w:p w14:paraId="22D77AC8" w14:textId="77777777" w:rsidR="00205F19" w:rsidRPr="00403A68" w:rsidRDefault="00205F19" w:rsidP="00205F19">
      <w:pPr>
        <w:pStyle w:val="BodyText"/>
      </w:pPr>
      <w:r w:rsidRPr="00403A68">
        <w:t>The interconnections across ecosystem assets are noted as a key issue that make attribution of ecosystem services to specific ecosystem assets challenging. The challenge of attributing ecosystem service provision to specific assets is particularly pronounced in the marine ecosystem, which is arguably more dynamic and three dimensional than terrestrial habitats and associations between species and habitat patches can be more difficult to discern (Guerry et al, 2012). For example, all studies that assessed commercial fisheries noted the challenge of estimating the contribution of coastal and marine ecosystems to fish production. This is partly due to the range of ecosystems that support fish throughout their life cycle, whereby nursery habitats for fish differ from feeding habitats and from habitats where harvested (</w:t>
      </w:r>
      <w:proofErr w:type="spellStart"/>
      <w:r w:rsidRPr="00403A68">
        <w:t>Dvarskas</w:t>
      </w:r>
      <w:proofErr w:type="spellEnd"/>
      <w:r w:rsidRPr="00403A68">
        <w:t xml:space="preserve">, 2018). This suggests that it is appropriate to model / attribute marine ecosystem services in a way that is less tightly coupled to detailed habitat maps (than for terrestrial ecosystems) (Guerry et al, 2012). </w:t>
      </w:r>
    </w:p>
    <w:p w14:paraId="3F8E1ECD" w14:textId="77777777" w:rsidR="00205F19" w:rsidRPr="00403A68" w:rsidRDefault="00205F19" w:rsidP="00205F19">
      <w:pPr>
        <w:pStyle w:val="BodyText"/>
      </w:pPr>
      <w:r w:rsidRPr="00403A68">
        <w:t xml:space="preserve">The physical assessments in the reviewed studies focus on final ecosystem services (e.g. crop yield) as well as intermediate or supporting ecosystem services (e.g. pollination which supports crops). Whilst supporting services are quantified in some of the reviewed studies including DELWP (2016) study of Port Phillip Bay (which assessed maintenance of nursery populations and the provision of habitat), it is recognised (in DELWP, 2016) that these services ultimately support the provision of other ecosystem services (for example </w:t>
      </w:r>
      <w:r w:rsidRPr="00403A68">
        <w:lastRenderedPageBreak/>
        <w:t xml:space="preserve">recreation opportunities (fishing, snorkelling, diving) and uncultivated animals for food (commercial fisheries)). The GORCAP EEA captures these “supporting services” including biodiversity information as stock metrics in the asset extent and condition (as a minimum i.e. where the link to final ecosystem services is not being quantified). </w:t>
      </w:r>
    </w:p>
    <w:p w14:paraId="4A408323" w14:textId="77777777" w:rsidR="00205F19" w:rsidRPr="00403A68" w:rsidRDefault="00205F19" w:rsidP="00205F19">
      <w:pPr>
        <w:pStyle w:val="BodyText"/>
      </w:pPr>
      <w:r w:rsidRPr="00403A68">
        <w:t>Supporting services such as biodiversity habitat and some cultural services such as the existence value associated with cultural/spiritual wellbeing from ecosystem assets to Traditional Owners will be captured as stock metrics in the asset extent and condition assessment. Accounting for biodiversity and cultural assets in the GORCAP EEA is particularly important given that the VEAC (2020) report on coastal reserves identified the values and uses of coastal reserves that were most frequently mentioned by participants at a VEAC facilitated workshop</w:t>
      </w:r>
      <w:r w:rsidRPr="00403A68">
        <w:rPr>
          <w:vertAlign w:val="superscript"/>
        </w:rPr>
        <w:footnoteReference w:id="115"/>
      </w:r>
      <w:r w:rsidRPr="00403A68">
        <w:t xml:space="preserve"> were (i) biodiversity and habitat (ii) Aboriginal values and non-Aboriginal</w:t>
      </w:r>
      <w:r w:rsidRPr="00403A68">
        <w:rPr>
          <w:vertAlign w:val="superscript"/>
        </w:rPr>
        <w:footnoteReference w:id="116"/>
      </w:r>
      <w:r w:rsidRPr="00403A68">
        <w:t xml:space="preserve"> cultural heritage (iii) recreation and tourism.</w:t>
      </w:r>
    </w:p>
    <w:p w14:paraId="27F3C403" w14:textId="77777777" w:rsidR="00205F19" w:rsidRPr="00403A68" w:rsidRDefault="00205F19" w:rsidP="00205F19">
      <w:pPr>
        <w:pStyle w:val="BodyText"/>
      </w:pPr>
      <w:r w:rsidRPr="00403A68">
        <w:t>Assessments also estimate the socio-economic impact of ecosystem service provision where this is necessary for monetary valuation. There is not a dedicated account within the SEEA guidance (UN et al, 2012), but this could be usefully reported as an additional flow account. Such “socio-economic” impacts typically estimate the population affected by regulating services through metrics such as:</w:t>
      </w:r>
    </w:p>
    <w:p w14:paraId="4DB368F4" w14:textId="77777777" w:rsidR="00205F19" w:rsidRPr="00403A68" w:rsidRDefault="00205F19" w:rsidP="00205F19">
      <w:pPr>
        <w:pStyle w:val="ListBullet"/>
      </w:pPr>
      <w:r w:rsidRPr="00403A68">
        <w:t xml:space="preserve">Population exposed. </w:t>
      </w:r>
    </w:p>
    <w:p w14:paraId="76CE2584" w14:textId="77777777" w:rsidR="00205F19" w:rsidRPr="00403A68" w:rsidRDefault="00205F19" w:rsidP="00205F19">
      <w:pPr>
        <w:pStyle w:val="ListBullet"/>
      </w:pPr>
      <w:r w:rsidRPr="00403A68">
        <w:t>Quality adjusted life years (QALY’s).</w:t>
      </w:r>
    </w:p>
    <w:p w14:paraId="5D8220BA" w14:textId="77777777" w:rsidR="00205F19" w:rsidRPr="00403A68" w:rsidRDefault="00205F19" w:rsidP="00205F19">
      <w:pPr>
        <w:pStyle w:val="ListBullet"/>
      </w:pPr>
      <w:r w:rsidRPr="00403A68">
        <w:t>Change in morbidity incidence.</w:t>
      </w:r>
    </w:p>
    <w:p w14:paraId="642E6F70" w14:textId="77777777" w:rsidR="00205F19" w:rsidRPr="00403A68" w:rsidRDefault="00205F19" w:rsidP="00205F19">
      <w:pPr>
        <w:pStyle w:val="ListBullet"/>
      </w:pPr>
      <w:r w:rsidRPr="00403A68">
        <w:t>Change in mortality incidence.</w:t>
      </w:r>
    </w:p>
    <w:p w14:paraId="6475FCCB" w14:textId="77777777" w:rsidR="00205F19" w:rsidRPr="00403A68" w:rsidRDefault="00205F19" w:rsidP="00D56960">
      <w:pPr>
        <w:pStyle w:val="Heading2"/>
        <w:numPr>
          <w:ilvl w:val="0"/>
          <w:numId w:val="0"/>
        </w:numPr>
      </w:pPr>
      <w:bookmarkStart w:id="453" w:name="_Toc163547117"/>
      <w:r w:rsidRPr="00403A68">
        <w:t>A9.2. Estimating the monetary value of ecosystem services</w:t>
      </w:r>
      <w:bookmarkEnd w:id="453"/>
    </w:p>
    <w:p w14:paraId="1D6FE12C" w14:textId="77777777" w:rsidR="00205F19" w:rsidRPr="00403A68" w:rsidRDefault="00205F19" w:rsidP="00205F19">
      <w:pPr>
        <w:pStyle w:val="BodyText"/>
      </w:pPr>
      <w:r w:rsidRPr="00403A68">
        <w:t>The reviewed studies used a mix of exchange and welfare values to monetise ($) the physical provision of ecosystem services as follows:</w:t>
      </w:r>
    </w:p>
    <w:p w14:paraId="681E1E43" w14:textId="77777777" w:rsidR="00205F19" w:rsidRPr="00403A68" w:rsidRDefault="00205F19" w:rsidP="00205F19">
      <w:pPr>
        <w:pStyle w:val="ListBullet"/>
      </w:pPr>
      <w:r w:rsidRPr="00403A68">
        <w:t xml:space="preserve">Exchange values (e.g. resource rent from market prices) are used where possible, to align with SEEA (2012) guidance and make environmental-economic accounts consistent with the System of National Accounts (SNA), which is the central framework for measuring and presenting information about the stocks and flows within the economy. The SNA will capture the market value of environmental goods and services that are produced using ecosystem services in combination with other inputs (e.g. timber (the good) is produced from biomass (the ecosystem service) using inputs of other inputs such as machinery and labour). Relevant exchange values include food prices (for foraged food, otherwise the contribution of other capitals to the market value needs to be stripped out to estimate the resource rent) and fees for recreational visits. </w:t>
      </w:r>
    </w:p>
    <w:p w14:paraId="667BE2E7" w14:textId="77777777" w:rsidR="00205F19" w:rsidRPr="00403A68" w:rsidRDefault="00205F19" w:rsidP="00205F19">
      <w:pPr>
        <w:pStyle w:val="ListBullet"/>
      </w:pPr>
      <w:r w:rsidRPr="00403A68">
        <w:t>Of the studies reviewed, some attempted to isolate the “resource rent” component from the market price. Resource rent isolates the contribution to market price of the ecosystem asset through ecosystem service provision, stripping out the contribution of other inputs to that market price such as labour and machinery. Where not pursued, this is presumably due to a lack of readily available estimates for the cost of other (non-natural) capital inputs and because it was not a proportionate use of resources given the studies were preliminary assessments.</w:t>
      </w:r>
    </w:p>
    <w:p w14:paraId="39BCADB5" w14:textId="77777777" w:rsidR="00205F19" w:rsidRPr="00403A68" w:rsidRDefault="00205F19" w:rsidP="00205F19">
      <w:pPr>
        <w:pStyle w:val="ListBullet"/>
      </w:pPr>
      <w:r w:rsidRPr="00403A68">
        <w:t xml:space="preserve">Some studies used imputed exchange values for ecosystem services which can be estimated using “revealed preference” economic valuation methods which utilise expenditure on related goods, such as hedonic property pricing and travel costs to indirectly measure the value of ecosystem services. Avoided cost was also used in some studies to indirectly measure the value of ecosystem services, for example the avoided cost of upgrading infrastructure or wetland enhancement for denitrification (DELWP, 2016). </w:t>
      </w:r>
    </w:p>
    <w:p w14:paraId="1660C0EA" w14:textId="77777777" w:rsidR="00205F19" w:rsidRPr="00403A68" w:rsidRDefault="00205F19" w:rsidP="00205F19">
      <w:pPr>
        <w:pStyle w:val="ListBullet"/>
      </w:pPr>
      <w:r w:rsidRPr="00403A68">
        <w:t>Some studies also utilise welfare values (which include full consumer surplus value, based on individual willingness-to-pay) for at least some ecosystem services, which are typically:</w:t>
      </w:r>
    </w:p>
    <w:p w14:paraId="18D5816A" w14:textId="77777777" w:rsidR="00205F19" w:rsidRPr="00403A68" w:rsidRDefault="00205F19" w:rsidP="00A459D5">
      <w:pPr>
        <w:pStyle w:val="ListNumber2"/>
        <w:ind w:left="851" w:hanging="284"/>
      </w:pPr>
      <w:r w:rsidRPr="00403A68">
        <w:lastRenderedPageBreak/>
        <w:t xml:space="preserve">Estimated using “stated preference” (or “contingent valuation”) studies to elicit people’s willingness-to-pay for certain outcomes. </w:t>
      </w:r>
    </w:p>
    <w:p w14:paraId="51D28005" w14:textId="77777777" w:rsidR="00205F19" w:rsidRPr="00403A68" w:rsidRDefault="00205F19" w:rsidP="00A459D5">
      <w:pPr>
        <w:pStyle w:val="ListNumber2"/>
        <w:ind w:left="851" w:hanging="284"/>
      </w:pPr>
      <w:r w:rsidRPr="00403A68">
        <w:t xml:space="preserve">Have been developed for policy appraisal purposes to capture the value of ecosystem services that do not contribute to a market good or service (which is predominantly because these ecosystem services are public goods that are enjoyed for free at the point of use e.g. recreation). </w:t>
      </w:r>
    </w:p>
    <w:p w14:paraId="138628B8" w14:textId="77777777" w:rsidR="00205F19" w:rsidRPr="00403A68" w:rsidRDefault="00205F19" w:rsidP="00205F19">
      <w:pPr>
        <w:pStyle w:val="BodyText12ptBefore"/>
      </w:pPr>
      <w:r w:rsidRPr="00403A68">
        <w:t xml:space="preserve">Whilst estimating the physical (kilograms) and monetary reliance of final services (e.g. food production) on intermediate or supporting services (e.g. natural pollination) is both worthwhile and legitimate from an economic perspective, reporting its value </w:t>
      </w:r>
      <w:r w:rsidRPr="00403A68">
        <w:rPr>
          <w:i/>
        </w:rPr>
        <w:t>alongside</w:t>
      </w:r>
      <w:r w:rsidRPr="00403A68">
        <w:t xml:space="preserve"> the (ecosystem asset resource rent) value of final services (e.g. crop production) in an environmental-economic account risks double counting (and therefore overstating) the value of ecosystem assets. Double counting can also occur when the contribution of multiple supporting services to the same final ecosystem service are assessed and valued separately. </w:t>
      </w:r>
    </w:p>
    <w:p w14:paraId="1CD4D9B6" w14:textId="77777777" w:rsidR="00205F19" w:rsidRPr="00403A68" w:rsidRDefault="00205F19" w:rsidP="00205F19">
      <w:pPr>
        <w:pStyle w:val="BodyText"/>
      </w:pPr>
      <w:r w:rsidRPr="00403A68">
        <w:t xml:space="preserve">Valuing supporting services is considered by the study team to be acceptable so long as the </w:t>
      </w:r>
      <w:r w:rsidRPr="00403A68">
        <w:rPr>
          <w:i/>
        </w:rPr>
        <w:t>indirect</w:t>
      </w:r>
      <w:r w:rsidRPr="00403A68">
        <w:t xml:space="preserve"> contribution to socio-economic benefits (through supporting the ecological functioning of ecosystems) is estimated in a way that avoids double counting the value that the natural environment provides to society. Given the conceptual and practical challenges associated with this, the GOR Coast and Parks assessment focuses on quantifying and valuing “final ecosystem services” as far as possible. “Final ecosystem services” are defined as ecosystem services that </w:t>
      </w:r>
      <w:r w:rsidRPr="00403A68">
        <w:rPr>
          <w:i/>
        </w:rPr>
        <w:t xml:space="preserve">directly </w:t>
      </w:r>
      <w:r w:rsidRPr="00403A68">
        <w:t>contribute to human wellbeing through the benefits that they support. This is consistent with the ONS (2016) study into UK coastal margin accounts which recommend the exclusion of supporting services in order to avoid double counting.</w:t>
      </w:r>
    </w:p>
    <w:p w14:paraId="2CB0DDCE" w14:textId="77777777" w:rsidR="00205F19" w:rsidRPr="00403A68" w:rsidRDefault="00205F19" w:rsidP="00205F19">
      <w:pPr>
        <w:pStyle w:val="BodyText"/>
      </w:pPr>
      <w:r w:rsidRPr="00403A68">
        <w:t xml:space="preserve">The studies reviewed do not include Traditional Owner (TO) living cultural values. This could be due to these studies not being located in areas with TO communities, rather than because the environmental-economic accounting framework does not include concepts of value beyond monetary value. </w:t>
      </w:r>
    </w:p>
    <w:p w14:paraId="1839F4A4" w14:textId="77777777" w:rsidR="00205F19" w:rsidRPr="00403A68" w:rsidRDefault="00205F19" w:rsidP="00205F19">
      <w:pPr>
        <w:pStyle w:val="BodyText"/>
      </w:pPr>
      <w:r w:rsidRPr="00403A68">
        <w:t>The SEEA-EEA (2020c) revision guidance on monetary valuation notes that accounts should be developed using exchange values which are defined as “the total value of income, production and expenditure as evidenced by transactions” (Brouwer et al., 2013) “or value at which goods and services could be exchanged for cash” (SEEA-EEA, 2020d) and measured as the product of market prices and quantities (</w:t>
      </w:r>
      <w:proofErr w:type="spellStart"/>
      <w:r w:rsidRPr="00403A68">
        <w:t>eftec</w:t>
      </w:r>
      <w:proofErr w:type="spellEnd"/>
      <w:r w:rsidRPr="00403A68">
        <w:t>, 2015):</w:t>
      </w:r>
    </w:p>
    <w:p w14:paraId="026AF207" w14:textId="77777777" w:rsidR="00205F19" w:rsidRPr="00403A68" w:rsidRDefault="00205F19" w:rsidP="00205F19">
      <w:pPr>
        <w:pStyle w:val="BodyText"/>
        <w:rPr>
          <w:i/>
        </w:rPr>
      </w:pPr>
      <w:r w:rsidRPr="00403A68">
        <w:rPr>
          <w:i/>
        </w:rPr>
        <w:t>“The primary purpose of environmental-economic accounting is to integrate information on ecosystems with measures of economic activity. To align with SNA principles, the environmental-economic accounts…record entries based on the exchange value concept. While this approach supports alignment with the accounting values of the national accounts, and hence with macro-economic policy, there are other monetary approaches and valuation concepts such as welfare values/willingness to pay and total economic values that have been extensively used in other policy contexts such as for cost-benefit analysis or within environmental policy.</w:t>
      </w:r>
    </w:p>
    <w:p w14:paraId="5BD39DBB" w14:textId="77777777" w:rsidR="00205F19" w:rsidRPr="00403A68" w:rsidRDefault="00205F19" w:rsidP="00205F19">
      <w:pPr>
        <w:pStyle w:val="BodyText"/>
        <w:rPr>
          <w:i/>
        </w:rPr>
      </w:pPr>
      <w:r w:rsidRPr="00403A68">
        <w:rPr>
          <w:i/>
        </w:rPr>
        <w:t>The alignment with SNA principles also implies that the monetary values recorded in the environmental-economic accounts reflect the current use of ecosystems. The monetary values reported reflect current use of the environment and are based on the existing management regimes and institutional arrangements regardless of whether the associated patterns of use may be considered (un)sustainable or (in)efficient.”</w:t>
      </w:r>
    </w:p>
    <w:p w14:paraId="6056E8B3" w14:textId="77777777" w:rsidR="00205F19" w:rsidRPr="00403A68" w:rsidRDefault="00205F19" w:rsidP="00205F19">
      <w:pPr>
        <w:pStyle w:val="BodyText"/>
      </w:pPr>
      <w:r w:rsidRPr="00403A68">
        <w:t xml:space="preserve">The fact that environmental-economic accounts might include values for uses (e.g. of ecosystems) that are inefficient or unsustainable presents a problem for the use of accounts to inform government decision making. This is because it is the role of government to address issues of inefficiency and unsustainability in order to maximise societal welfare. It is for this reason that the economic values that are used to inform government decision making (e.g. in cost-benefit analysis) measure the </w:t>
      </w:r>
      <w:r w:rsidRPr="00403A68">
        <w:rPr>
          <w:i/>
        </w:rPr>
        <w:t>total</w:t>
      </w:r>
      <w:r w:rsidRPr="00403A68">
        <w:t xml:space="preserve"> economic value of a good or service in terms of “its contribution to human welfare” (Brouwer et al. 2013 ; </w:t>
      </w:r>
      <w:proofErr w:type="spellStart"/>
      <w:r w:rsidRPr="00403A68">
        <w:t>eftec</w:t>
      </w:r>
      <w:proofErr w:type="spellEnd"/>
      <w:r w:rsidRPr="00403A68">
        <w:t xml:space="preserve">, 2015). In order to satisfy the requirements of the SEEA-EA and also be useful for informing government decision-making, the GORCAP EEA will develop estimates of exchange values (in order to develop SEEA-EA compliant environmental-economic account) alongside welfare values (for informing policy decisions). </w:t>
      </w:r>
    </w:p>
    <w:p w14:paraId="0129FCBD" w14:textId="77777777" w:rsidR="00205F19" w:rsidRPr="00403A68" w:rsidRDefault="00205F19" w:rsidP="00205F19">
      <w:pPr>
        <w:pStyle w:val="BodyText"/>
      </w:pPr>
      <w:r w:rsidRPr="00403A68">
        <w:t>The SEEA-EEA revision process outlines the techniques that have been developed over the last decade for imputing exchange values for non-market goods and services for their application in accounting (Barton et al, 2019 ; UN, 2019; SEEA-EEA, 2020c). See Table A9.1. which summarises these techniques and describes the way in which they can be used to impute unit prices consistent with the exchange value concept.</w:t>
      </w:r>
    </w:p>
    <w:p w14:paraId="42D18CBE" w14:textId="77777777" w:rsidR="00205F19" w:rsidRPr="00403A68" w:rsidRDefault="00205F19" w:rsidP="00205F19">
      <w:pPr>
        <w:pStyle w:val="BodyText"/>
        <w:sectPr w:rsidR="00205F19" w:rsidRPr="00403A68" w:rsidSect="00E52A9A">
          <w:headerReference w:type="even" r:id="rId424"/>
          <w:headerReference w:type="default" r:id="rId425"/>
          <w:footerReference w:type="even" r:id="rId426"/>
          <w:footerReference w:type="default" r:id="rId427"/>
          <w:pgSz w:w="11907" w:h="16840" w:code="9"/>
          <w:pgMar w:top="1134" w:right="1134" w:bottom="1134" w:left="1134" w:header="283" w:footer="283" w:gutter="0"/>
          <w:cols w:space="284"/>
          <w:docGrid w:linePitch="360"/>
        </w:sectPr>
      </w:pPr>
      <w:r w:rsidRPr="00403A68">
        <w:t>Irrespective of the method used, economic input costs (including labour, produced capital and intermediate inputs) need to be deducted to arrive at the value of an ecosystem service (SEEA-EEA, 2020e)</w:t>
      </w:r>
    </w:p>
    <w:p w14:paraId="7C1123B2" w14:textId="77777777" w:rsidR="00205F19" w:rsidRPr="00403A68" w:rsidRDefault="00205F19" w:rsidP="00D56960">
      <w:pPr>
        <w:pStyle w:val="Caption"/>
      </w:pPr>
      <w:r w:rsidRPr="00403A68">
        <w:lastRenderedPageBreak/>
        <w:t>Table A9.1. Techniques for economic valuation in environmental-economic accounting (Barton et al, 2019 ; UN, 2019; SEEA-EEA, 2020c)</w:t>
      </w:r>
    </w:p>
    <w:tbl>
      <w:tblPr>
        <w:tblStyle w:val="TableGrid"/>
        <w:tblW w:w="21026" w:type="dxa"/>
        <w:tblLook w:val="04A0" w:firstRow="1" w:lastRow="0" w:firstColumn="1" w:lastColumn="0" w:noHBand="0" w:noVBand="1"/>
      </w:tblPr>
      <w:tblGrid>
        <w:gridCol w:w="1538"/>
        <w:gridCol w:w="1832"/>
        <w:gridCol w:w="1592"/>
        <w:gridCol w:w="1464"/>
        <w:gridCol w:w="14600"/>
      </w:tblGrid>
      <w:tr w:rsidR="00205F19" w:rsidRPr="00403A68" w14:paraId="4FE1E4F2" w14:textId="77777777" w:rsidTr="00D56960">
        <w:trPr>
          <w:cnfStyle w:val="100000000000" w:firstRow="1" w:lastRow="0" w:firstColumn="0" w:lastColumn="0" w:oddVBand="0" w:evenVBand="0" w:oddHBand="0" w:evenHBand="0" w:firstRowFirstColumn="0" w:firstRowLastColumn="0" w:lastRowFirstColumn="0" w:lastRowLastColumn="0"/>
          <w:trHeight w:val="479"/>
        </w:trPr>
        <w:tc>
          <w:tcPr>
            <w:cnfStyle w:val="001000000000" w:firstRow="0" w:lastRow="0" w:firstColumn="1" w:lastColumn="0" w:oddVBand="0" w:evenVBand="0" w:oddHBand="0" w:evenHBand="0" w:firstRowFirstColumn="0" w:firstRowLastColumn="0" w:lastRowFirstColumn="0" w:lastRowLastColumn="0"/>
            <w:tcW w:w="6426" w:type="dxa"/>
            <w:gridSpan w:val="4"/>
          </w:tcPr>
          <w:p w14:paraId="098AAC0D" w14:textId="77777777" w:rsidR="00205F19" w:rsidRPr="00403A68" w:rsidRDefault="00205F19" w:rsidP="00666947">
            <w:pPr>
              <w:pStyle w:val="TableTextLeft"/>
            </w:pPr>
            <w:r w:rsidRPr="00403A68">
              <w:rPr>
                <w:b/>
              </w:rPr>
              <w:t>Valuation approaches</w:t>
            </w:r>
          </w:p>
        </w:tc>
        <w:tc>
          <w:tcPr>
            <w:tcW w:w="14600" w:type="dxa"/>
          </w:tcPr>
          <w:p w14:paraId="27F728B8" w14:textId="77777777" w:rsidR="00205F19" w:rsidRPr="00403A68" w:rsidRDefault="00205F19" w:rsidP="00666947">
            <w:pPr>
              <w:pStyle w:val="TableTextLeft"/>
              <w:cnfStyle w:val="100000000000" w:firstRow="1" w:lastRow="0" w:firstColumn="0" w:lastColumn="0" w:oddVBand="0" w:evenVBand="0" w:oddHBand="0" w:evenHBand="0" w:firstRowFirstColumn="0" w:firstRowLastColumn="0" w:lastRowFirstColumn="0" w:lastRowLastColumn="0"/>
              <w:rPr>
                <w:b/>
              </w:rPr>
            </w:pPr>
            <w:r w:rsidRPr="00403A68">
              <w:rPr>
                <w:b/>
              </w:rPr>
              <w:t>Use in GOR account</w:t>
            </w:r>
          </w:p>
        </w:tc>
      </w:tr>
      <w:tr w:rsidR="00205F19" w:rsidRPr="00403A68" w14:paraId="1B4B1CAB" w14:textId="77777777" w:rsidTr="00D56960">
        <w:trPr>
          <w:trHeight w:val="479"/>
        </w:trPr>
        <w:tc>
          <w:tcPr>
            <w:cnfStyle w:val="001000000000" w:firstRow="0" w:lastRow="0" w:firstColumn="1" w:lastColumn="0" w:oddVBand="0" w:evenVBand="0" w:oddHBand="0" w:evenHBand="0" w:firstRowFirstColumn="0" w:firstRowLastColumn="0" w:lastRowFirstColumn="0" w:lastRowLastColumn="0"/>
            <w:tcW w:w="1538" w:type="dxa"/>
            <w:vMerge w:val="restart"/>
          </w:tcPr>
          <w:p w14:paraId="28190A68" w14:textId="77777777" w:rsidR="00205F19" w:rsidRPr="00403A68" w:rsidRDefault="00205F19" w:rsidP="00666947">
            <w:pPr>
              <w:pStyle w:val="TableTextLeft"/>
            </w:pPr>
            <w:r w:rsidRPr="00403A68">
              <w:t xml:space="preserve">Market price for ecosystem service available </w:t>
            </w:r>
          </w:p>
        </w:tc>
        <w:tc>
          <w:tcPr>
            <w:tcW w:w="4888" w:type="dxa"/>
            <w:gridSpan w:val="3"/>
          </w:tcPr>
          <w:p w14:paraId="63B1003C"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 xml:space="preserve">Directly observable </w:t>
            </w:r>
          </w:p>
        </w:tc>
        <w:tc>
          <w:tcPr>
            <w:tcW w:w="14600" w:type="dxa"/>
          </w:tcPr>
          <w:p w14:paraId="26AECF15" w14:textId="7BA14A93" w:rsidR="00205F19" w:rsidRPr="00403A68" w:rsidRDefault="00205F19" w:rsidP="00D56960">
            <w:pPr>
              <w:pStyle w:val="TableTextLeft"/>
              <w:cnfStyle w:val="000000000000" w:firstRow="0" w:lastRow="0" w:firstColumn="0" w:lastColumn="0" w:oddVBand="0" w:evenVBand="0" w:oddHBand="0" w:evenHBand="0" w:firstRowFirstColumn="0" w:firstRowLastColumn="0" w:lastRowFirstColumn="0" w:lastRowLastColumn="0"/>
            </w:pPr>
            <w:r w:rsidRPr="00403A68">
              <w:t>The most convenient method to apply for valuation is one based on a direct observation of the market price of the ecosystem service when that is available. Stumpage values charged to timber logging businesses are an example of directly observed prices. Should only be applied directly for gathering of wild products, not for commercial cultivation on the basis that the value of crops includes labour and capital (i.e. a resource rent calculation is required).</w:t>
            </w:r>
          </w:p>
        </w:tc>
      </w:tr>
      <w:tr w:rsidR="00205F19" w:rsidRPr="00403A68" w14:paraId="6C31FA5D" w14:textId="77777777" w:rsidTr="00D56960">
        <w:trPr>
          <w:trHeight w:val="564"/>
        </w:trPr>
        <w:tc>
          <w:tcPr>
            <w:cnfStyle w:val="001000000000" w:firstRow="0" w:lastRow="0" w:firstColumn="1" w:lastColumn="0" w:oddVBand="0" w:evenVBand="0" w:oddHBand="0" w:evenHBand="0" w:firstRowFirstColumn="0" w:firstRowLastColumn="0" w:lastRowFirstColumn="0" w:lastRowLastColumn="0"/>
            <w:tcW w:w="1538" w:type="dxa"/>
            <w:vMerge/>
          </w:tcPr>
          <w:p w14:paraId="2B977CE7" w14:textId="77777777" w:rsidR="00205F19" w:rsidRPr="00403A68" w:rsidRDefault="00205F19" w:rsidP="00666947">
            <w:pPr>
              <w:pStyle w:val="TableTextLeft"/>
            </w:pPr>
          </w:p>
        </w:tc>
        <w:tc>
          <w:tcPr>
            <w:tcW w:w="4888" w:type="dxa"/>
            <w:gridSpan w:val="3"/>
          </w:tcPr>
          <w:p w14:paraId="6D9F66E8"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Price from similar market</w:t>
            </w:r>
          </w:p>
        </w:tc>
        <w:tc>
          <w:tcPr>
            <w:tcW w:w="14600" w:type="dxa"/>
          </w:tcPr>
          <w:p w14:paraId="173BCCF1"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rPr>
                <w:b/>
              </w:rPr>
            </w:pPr>
            <w:r w:rsidRPr="00403A68">
              <w:t>When market prices are not observable, valuation according to market price equivalents may provide an approximation to market prices. For example, observed prices from emission trading systems which may be used to value carbon sequestration services by forest ecosystems even if these ecosystems are not explicitly covered by the emission trading system.</w:t>
            </w:r>
          </w:p>
        </w:tc>
      </w:tr>
      <w:tr w:rsidR="00205F19" w:rsidRPr="00403A68" w14:paraId="1A5C595F" w14:textId="77777777" w:rsidTr="00D56960">
        <w:trPr>
          <w:trHeight w:val="479"/>
        </w:trPr>
        <w:tc>
          <w:tcPr>
            <w:cnfStyle w:val="001000000000" w:firstRow="0" w:lastRow="0" w:firstColumn="1" w:lastColumn="0" w:oddVBand="0" w:evenVBand="0" w:oddHBand="0" w:evenHBand="0" w:firstRowFirstColumn="0" w:firstRowLastColumn="0" w:lastRowFirstColumn="0" w:lastRowLastColumn="0"/>
            <w:tcW w:w="1538" w:type="dxa"/>
            <w:vMerge w:val="restart"/>
          </w:tcPr>
          <w:p w14:paraId="545EA032" w14:textId="77777777" w:rsidR="00205F19" w:rsidRPr="00403A68" w:rsidRDefault="00205F19" w:rsidP="00666947">
            <w:pPr>
              <w:pStyle w:val="TableTextLeft"/>
            </w:pPr>
            <w:r w:rsidRPr="00403A68">
              <w:t>No market price available</w:t>
            </w:r>
          </w:p>
        </w:tc>
        <w:tc>
          <w:tcPr>
            <w:tcW w:w="1832" w:type="dxa"/>
            <w:vMerge w:val="restart"/>
          </w:tcPr>
          <w:p w14:paraId="4D3472E8"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Production function based</w:t>
            </w:r>
          </w:p>
        </w:tc>
        <w:tc>
          <w:tcPr>
            <w:tcW w:w="3056" w:type="dxa"/>
            <w:gridSpan w:val="2"/>
          </w:tcPr>
          <w:p w14:paraId="702918D4"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Resource rent</w:t>
            </w:r>
          </w:p>
        </w:tc>
        <w:tc>
          <w:tcPr>
            <w:tcW w:w="14600" w:type="dxa"/>
          </w:tcPr>
          <w:p w14:paraId="6A820DE7" w14:textId="2A438710" w:rsidR="00205F19" w:rsidRPr="00403A68" w:rsidRDefault="00205F19" w:rsidP="00D56960">
            <w:pPr>
              <w:pStyle w:val="TableTextLeft"/>
              <w:cnfStyle w:val="000000000000" w:firstRow="0" w:lastRow="0" w:firstColumn="0" w:lastColumn="0" w:oddVBand="0" w:evenVBand="0" w:oddHBand="0" w:evenHBand="0" w:firstRowFirstColumn="0" w:firstRowLastColumn="0" w:lastRowFirstColumn="0" w:lastRowLastColumn="0"/>
              <w:rPr>
                <w:b/>
              </w:rPr>
            </w:pPr>
            <w:r w:rsidRPr="00403A68">
              <w:t xml:space="preserve">The resource rent method places a value on an ecosystem service by taking the gross value of the final products to which the ecosystem service provides an input and then deducts the cost of all other inputs, including labour, produced capital and intermediate inputs. For example, for food a fraction of the market price is needed and can be estimated by applying a single fixed percentage based on a research study across all estimates or income less costs methods. As stated above, irrespective of the methods used, economic inputs need to be deducted to arrive at the contribution of the ecosystem service. </w:t>
            </w:r>
          </w:p>
        </w:tc>
      </w:tr>
      <w:tr w:rsidR="00205F19" w:rsidRPr="00403A68" w14:paraId="292A3EE9" w14:textId="77777777" w:rsidTr="00D56960">
        <w:trPr>
          <w:trHeight w:val="479"/>
        </w:trPr>
        <w:tc>
          <w:tcPr>
            <w:cnfStyle w:val="001000000000" w:firstRow="0" w:lastRow="0" w:firstColumn="1" w:lastColumn="0" w:oddVBand="0" w:evenVBand="0" w:oddHBand="0" w:evenHBand="0" w:firstRowFirstColumn="0" w:firstRowLastColumn="0" w:lastRowFirstColumn="0" w:lastRowLastColumn="0"/>
            <w:tcW w:w="1538" w:type="dxa"/>
            <w:vMerge/>
          </w:tcPr>
          <w:p w14:paraId="63DD4E0D" w14:textId="77777777" w:rsidR="00205F19" w:rsidRPr="00403A68" w:rsidRDefault="00205F19" w:rsidP="00666947">
            <w:pPr>
              <w:pStyle w:val="TableTextLeft"/>
            </w:pPr>
          </w:p>
        </w:tc>
        <w:tc>
          <w:tcPr>
            <w:tcW w:w="1832" w:type="dxa"/>
            <w:vMerge/>
          </w:tcPr>
          <w:p w14:paraId="3C083FEF"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3056" w:type="dxa"/>
            <w:gridSpan w:val="2"/>
          </w:tcPr>
          <w:p w14:paraId="23898D4A"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Productivity change / Production function</w:t>
            </w:r>
          </w:p>
        </w:tc>
        <w:tc>
          <w:tcPr>
            <w:tcW w:w="14600" w:type="dxa"/>
          </w:tcPr>
          <w:p w14:paraId="26E137E6" w14:textId="2E50E8D5" w:rsidR="00205F19" w:rsidRPr="00403A68" w:rsidRDefault="00205F19" w:rsidP="00D56960">
            <w:pPr>
              <w:pStyle w:val="TableTextLeft"/>
              <w:cnfStyle w:val="000000000000" w:firstRow="0" w:lastRow="0" w:firstColumn="0" w:lastColumn="0" w:oddVBand="0" w:evenVBand="0" w:oddHBand="0" w:evenHBand="0" w:firstRowFirstColumn="0" w:firstRowLastColumn="0" w:lastRowFirstColumn="0" w:lastRowLastColumn="0"/>
            </w:pPr>
            <w:r w:rsidRPr="00403A68">
              <w:t>In the productivity change method, the ecosystem service is considered an input into the production function of a marketed good. Thus, changes in the service will lead to changes in the output of the marketed good other things being equal. The value of the change in the ecosystem service is therefore estimated as the change in the market value of production consequent upon a change in the supply of the ecosystem service. For example, the contribution of ecosystems to the coastal and marine tourism industry could be valued at the fraction of tourism revenue spatialised based on geotagged social media data. That is, the fraction of tourists visiting a specific ecosystem type is determined by their social media activity. That fraction is then applied to total tourism revenues.</w:t>
            </w:r>
            <w:r w:rsidRPr="00403A68">
              <w:tab/>
            </w:r>
          </w:p>
        </w:tc>
      </w:tr>
      <w:tr w:rsidR="00205F19" w:rsidRPr="00403A68" w14:paraId="30E8724F" w14:textId="77777777" w:rsidTr="00D56960">
        <w:trPr>
          <w:trHeight w:val="479"/>
        </w:trPr>
        <w:tc>
          <w:tcPr>
            <w:cnfStyle w:val="001000000000" w:firstRow="0" w:lastRow="0" w:firstColumn="1" w:lastColumn="0" w:oddVBand="0" w:evenVBand="0" w:oddHBand="0" w:evenHBand="0" w:firstRowFirstColumn="0" w:firstRowLastColumn="0" w:lastRowFirstColumn="0" w:lastRowLastColumn="0"/>
            <w:tcW w:w="1538" w:type="dxa"/>
            <w:vMerge/>
          </w:tcPr>
          <w:p w14:paraId="54BC27A4" w14:textId="77777777" w:rsidR="00205F19" w:rsidRPr="00403A68" w:rsidRDefault="00205F19" w:rsidP="00666947">
            <w:pPr>
              <w:pStyle w:val="TableTextLeft"/>
            </w:pPr>
          </w:p>
        </w:tc>
        <w:tc>
          <w:tcPr>
            <w:tcW w:w="1832" w:type="dxa"/>
            <w:vMerge w:val="restart"/>
          </w:tcPr>
          <w:p w14:paraId="5149A4DB"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Cost based</w:t>
            </w:r>
          </w:p>
        </w:tc>
        <w:tc>
          <w:tcPr>
            <w:tcW w:w="3056" w:type="dxa"/>
            <w:gridSpan w:val="2"/>
          </w:tcPr>
          <w:p w14:paraId="11463D14"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 xml:space="preserve">Replacement cost / Shadow project </w:t>
            </w:r>
          </w:p>
        </w:tc>
        <w:tc>
          <w:tcPr>
            <w:tcW w:w="14600" w:type="dxa"/>
          </w:tcPr>
          <w:p w14:paraId="335DCF5A" w14:textId="7100ECD9" w:rsidR="00205F19" w:rsidRPr="00403A68" w:rsidRDefault="00205F19" w:rsidP="00D56960">
            <w:pPr>
              <w:pStyle w:val="TableTextLeft"/>
              <w:cnfStyle w:val="000000000000" w:firstRow="0" w:lastRow="0" w:firstColumn="0" w:lastColumn="0" w:oddVBand="0" w:evenVBand="0" w:oddHBand="0" w:evenHBand="0" w:firstRowFirstColumn="0" w:firstRowLastColumn="0" w:lastRowFirstColumn="0" w:lastRowLastColumn="0"/>
            </w:pPr>
            <w:r w:rsidRPr="00403A68">
              <w:t>The replacement cost method estimates the cost of replacing the ecosystem service by something that provides the same benefits. The validity of the replacement cost approach to estimate exchange values depends upon three conditions being maintained: i) the substitute can provide exactly the same function as the ecosystem service being substituted for; ii) the substitute used is actually the least-cost alternative; and iii) evidence indicates an actual willingness to pay for the alternative to the ecosystem service if it were to be no longer supplied.</w:t>
            </w:r>
          </w:p>
        </w:tc>
      </w:tr>
      <w:tr w:rsidR="00205F19" w:rsidRPr="00403A68" w14:paraId="775416BD" w14:textId="77777777" w:rsidTr="00D56960">
        <w:trPr>
          <w:trHeight w:val="479"/>
        </w:trPr>
        <w:tc>
          <w:tcPr>
            <w:cnfStyle w:val="001000000000" w:firstRow="0" w:lastRow="0" w:firstColumn="1" w:lastColumn="0" w:oddVBand="0" w:evenVBand="0" w:oddHBand="0" w:evenHBand="0" w:firstRowFirstColumn="0" w:firstRowLastColumn="0" w:lastRowFirstColumn="0" w:lastRowLastColumn="0"/>
            <w:tcW w:w="1538" w:type="dxa"/>
            <w:vMerge/>
          </w:tcPr>
          <w:p w14:paraId="60760688" w14:textId="77777777" w:rsidR="00205F19" w:rsidRPr="00403A68" w:rsidRDefault="00205F19" w:rsidP="00666947">
            <w:pPr>
              <w:pStyle w:val="TableTextLeft"/>
            </w:pPr>
          </w:p>
        </w:tc>
        <w:tc>
          <w:tcPr>
            <w:tcW w:w="1832" w:type="dxa"/>
            <w:vMerge/>
          </w:tcPr>
          <w:p w14:paraId="2AE57456"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3056" w:type="dxa"/>
            <w:gridSpan w:val="2"/>
          </w:tcPr>
          <w:p w14:paraId="3FACD46B"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 xml:space="preserve">Avoided damage costs (least cost alternatives if less than willingness to pay) </w:t>
            </w:r>
          </w:p>
        </w:tc>
        <w:tc>
          <w:tcPr>
            <w:tcW w:w="14600" w:type="dxa"/>
          </w:tcPr>
          <w:p w14:paraId="01ECDFD8" w14:textId="4B8B26E2" w:rsidR="00205F19" w:rsidRPr="00403A68" w:rsidRDefault="00205F19" w:rsidP="00D56960">
            <w:pPr>
              <w:pStyle w:val="TableTextLeft"/>
              <w:cnfStyle w:val="000000000000" w:firstRow="0" w:lastRow="0" w:firstColumn="0" w:lastColumn="0" w:oddVBand="0" w:evenVBand="0" w:oddHBand="0" w:evenHBand="0" w:firstRowFirstColumn="0" w:firstRowLastColumn="0" w:lastRowFirstColumn="0" w:lastRowLastColumn="0"/>
            </w:pPr>
            <w:r w:rsidRPr="00403A68">
              <w:t>The avoided damage costs method estimates the value of ecosystem services based on the costs of the damages that would occur due to the loss of these services. These “avoided costs” are appropriate so long as the least cost alternative is less than the willingness to pay. This includes avoided storm damage provided by mangroves being estimated through the damages to property avoided by the presence of the mangrove. This requires knowledge of the risk to property with and without the mangroves in place. Willingness to Pay (WTP) is the amount affected people are willing to pay to avoid the damage and needs to be determined separately by survey or interview.</w:t>
            </w:r>
          </w:p>
        </w:tc>
      </w:tr>
      <w:tr w:rsidR="00205F19" w:rsidRPr="00403A68" w14:paraId="64892583" w14:textId="77777777" w:rsidTr="00D56960">
        <w:trPr>
          <w:trHeight w:val="479"/>
        </w:trPr>
        <w:tc>
          <w:tcPr>
            <w:cnfStyle w:val="001000000000" w:firstRow="0" w:lastRow="0" w:firstColumn="1" w:lastColumn="0" w:oddVBand="0" w:evenVBand="0" w:oddHBand="0" w:evenHBand="0" w:firstRowFirstColumn="0" w:firstRowLastColumn="0" w:lastRowFirstColumn="0" w:lastRowLastColumn="0"/>
            <w:tcW w:w="1538" w:type="dxa"/>
            <w:vMerge/>
          </w:tcPr>
          <w:p w14:paraId="6FF9567B" w14:textId="77777777" w:rsidR="00205F19" w:rsidRPr="00403A68" w:rsidRDefault="00205F19" w:rsidP="00666947">
            <w:pPr>
              <w:pStyle w:val="TableTextLeft"/>
            </w:pPr>
          </w:p>
        </w:tc>
        <w:tc>
          <w:tcPr>
            <w:tcW w:w="1832" w:type="dxa"/>
            <w:vMerge/>
          </w:tcPr>
          <w:p w14:paraId="4B77AD56"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3056" w:type="dxa"/>
            <w:gridSpan w:val="2"/>
          </w:tcPr>
          <w:p w14:paraId="4941916F"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 xml:space="preserve">Defensive expenditure </w:t>
            </w:r>
          </w:p>
        </w:tc>
        <w:tc>
          <w:tcPr>
            <w:tcW w:w="14600" w:type="dxa"/>
          </w:tcPr>
          <w:p w14:paraId="73BE3F23" w14:textId="345F9514"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The defensive expenditure method is based on the amount of money that individuals and communities spend on preventing or mitigating negative effects and damages caused by adverse environmental impacts. For example, extra filtration for purifying polluted water, air conditioning for avoiding polluted air The expenditures incurred are considered a lower bound estimate of the benefits of mitigation, since it is assumed that the benefits derived from avoiding damages are at least equal to the costs incurred to avoid them These expenditures are already part of the SEEA Central Framework. They describe the amount societies currently spend on environmental protection / conservation activities.</w:t>
            </w:r>
          </w:p>
        </w:tc>
      </w:tr>
      <w:tr w:rsidR="00205F19" w:rsidRPr="00403A68" w14:paraId="2EC5F2AA" w14:textId="77777777" w:rsidTr="00D56960">
        <w:trPr>
          <w:trHeight w:val="479"/>
        </w:trPr>
        <w:tc>
          <w:tcPr>
            <w:cnfStyle w:val="001000000000" w:firstRow="0" w:lastRow="0" w:firstColumn="1" w:lastColumn="0" w:oddVBand="0" w:evenVBand="0" w:oddHBand="0" w:evenHBand="0" w:firstRowFirstColumn="0" w:firstRowLastColumn="0" w:lastRowFirstColumn="0" w:lastRowLastColumn="0"/>
            <w:tcW w:w="1538" w:type="dxa"/>
            <w:vMerge/>
          </w:tcPr>
          <w:p w14:paraId="7C70FFE8" w14:textId="77777777" w:rsidR="00205F19" w:rsidRPr="00403A68" w:rsidRDefault="00205F19" w:rsidP="00666947">
            <w:pPr>
              <w:pStyle w:val="TableTextLeft"/>
            </w:pPr>
          </w:p>
        </w:tc>
        <w:tc>
          <w:tcPr>
            <w:tcW w:w="1832" w:type="dxa"/>
            <w:vMerge/>
          </w:tcPr>
          <w:p w14:paraId="16166803"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3056" w:type="dxa"/>
            <w:gridSpan w:val="2"/>
          </w:tcPr>
          <w:p w14:paraId="74A0F0F6"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 xml:space="preserve">Consumer expenditures </w:t>
            </w:r>
          </w:p>
        </w:tc>
        <w:tc>
          <w:tcPr>
            <w:tcW w:w="14600" w:type="dxa"/>
          </w:tcPr>
          <w:p w14:paraId="544D265F" w14:textId="51E6E619"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The consumer expenditure approach estimates the exchange value of recreation related ecosystem services by aggregating the expenditures incurred by households or individuals to reach and access a recreational area. In this approach it is assumed that the actual spending of households represents an approximation of the value provided by these ecosystem services but a challenge in applying this method is determining the share of the expenditures that relates to the ecosystem contribution.</w:t>
            </w:r>
          </w:p>
        </w:tc>
      </w:tr>
      <w:tr w:rsidR="00205F19" w:rsidRPr="00403A68" w14:paraId="11BA5F75" w14:textId="77777777" w:rsidTr="00D56960">
        <w:trPr>
          <w:trHeight w:val="479"/>
        </w:trPr>
        <w:tc>
          <w:tcPr>
            <w:cnfStyle w:val="001000000000" w:firstRow="0" w:lastRow="0" w:firstColumn="1" w:lastColumn="0" w:oddVBand="0" w:evenVBand="0" w:oddHBand="0" w:evenHBand="0" w:firstRowFirstColumn="0" w:firstRowLastColumn="0" w:lastRowFirstColumn="0" w:lastRowLastColumn="0"/>
            <w:tcW w:w="1538" w:type="dxa"/>
            <w:vMerge/>
          </w:tcPr>
          <w:p w14:paraId="7AFB29AA" w14:textId="77777777" w:rsidR="00205F19" w:rsidRPr="00403A68" w:rsidRDefault="00205F19" w:rsidP="00666947">
            <w:pPr>
              <w:pStyle w:val="TableTextLeft"/>
            </w:pPr>
          </w:p>
        </w:tc>
        <w:tc>
          <w:tcPr>
            <w:tcW w:w="1832" w:type="dxa"/>
            <w:vMerge w:val="restart"/>
          </w:tcPr>
          <w:p w14:paraId="107A4AA8"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Opportunity cost</w:t>
            </w:r>
          </w:p>
        </w:tc>
        <w:tc>
          <w:tcPr>
            <w:tcW w:w="3056" w:type="dxa"/>
            <w:gridSpan w:val="2"/>
          </w:tcPr>
          <w:p w14:paraId="3E8ED816"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Opportunity cost of alternative use (e.g. of land)</w:t>
            </w:r>
          </w:p>
        </w:tc>
        <w:tc>
          <w:tcPr>
            <w:tcW w:w="14600" w:type="dxa"/>
          </w:tcPr>
          <w:p w14:paraId="0904A1A8" w14:textId="77777777" w:rsidR="00205F19" w:rsidRPr="00403A68" w:rsidRDefault="00205F19" w:rsidP="00D56960">
            <w:pPr>
              <w:pStyle w:val="TableTextLeft"/>
              <w:cnfStyle w:val="000000000000" w:firstRow="0" w:lastRow="0" w:firstColumn="0" w:lastColumn="0" w:oddVBand="0" w:evenVBand="0" w:oddHBand="0" w:evenHBand="0" w:firstRowFirstColumn="0" w:firstRowLastColumn="0" w:lastRowFirstColumn="0" w:lastRowLastColumn="0"/>
            </w:pPr>
            <w:r w:rsidRPr="00403A68">
              <w:t>This approach imputes prices of ecosystem services by measuring the forgone benefits of not using the same ecosystem asset for alternative uses. For example, the value of ecosystem services arising from not harvesting trees for timber can be measured by using the forgone income from selling timber. Thus, this approach measures what has to be given up for the sake of securing the ecosystem services.</w:t>
            </w:r>
          </w:p>
        </w:tc>
      </w:tr>
      <w:tr w:rsidR="00205F19" w:rsidRPr="00403A68" w14:paraId="03AC8713" w14:textId="77777777" w:rsidTr="00D56960">
        <w:trPr>
          <w:trHeight w:val="464"/>
        </w:trPr>
        <w:tc>
          <w:tcPr>
            <w:cnfStyle w:val="001000000000" w:firstRow="0" w:lastRow="0" w:firstColumn="1" w:lastColumn="0" w:oddVBand="0" w:evenVBand="0" w:oddHBand="0" w:evenHBand="0" w:firstRowFirstColumn="0" w:firstRowLastColumn="0" w:lastRowFirstColumn="0" w:lastRowLastColumn="0"/>
            <w:tcW w:w="1538" w:type="dxa"/>
            <w:vMerge/>
          </w:tcPr>
          <w:p w14:paraId="35ECD289" w14:textId="77777777" w:rsidR="00205F19" w:rsidRPr="00403A68" w:rsidRDefault="00205F19" w:rsidP="00666947">
            <w:pPr>
              <w:pStyle w:val="TableTextLeft"/>
            </w:pPr>
          </w:p>
        </w:tc>
        <w:tc>
          <w:tcPr>
            <w:tcW w:w="1832" w:type="dxa"/>
            <w:vMerge/>
          </w:tcPr>
          <w:p w14:paraId="5955B31A"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3056" w:type="dxa"/>
            <w:gridSpan w:val="2"/>
          </w:tcPr>
          <w:p w14:paraId="47C4C469"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Simulated exchange value (opportunity cost of current use)</w:t>
            </w:r>
          </w:p>
        </w:tc>
        <w:tc>
          <w:tcPr>
            <w:tcW w:w="14600" w:type="dxa"/>
          </w:tcPr>
          <w:p w14:paraId="62AFD36C" w14:textId="77777777" w:rsidR="00205F19" w:rsidRPr="00403A68" w:rsidRDefault="00205F19" w:rsidP="00D56960">
            <w:pPr>
              <w:pStyle w:val="TableTextLeft"/>
              <w:cnfStyle w:val="000000000000" w:firstRow="0" w:lastRow="0" w:firstColumn="0" w:lastColumn="0" w:oddVBand="0" w:evenVBand="0" w:oddHBand="0" w:evenHBand="0" w:firstRowFirstColumn="0" w:firstRowLastColumn="0" w:lastRowFirstColumn="0" w:lastRowLastColumn="0"/>
            </w:pPr>
            <w:r w:rsidRPr="00403A68">
              <w:t>The simulated exchange value estimates the opportunity cost of not trading on the market the ecosystem services associated with the current use of the ecosystem asset, given the current ecosystem management objectives. For example, if the manager of a National Park decides not to charge visitors, the opportunity cost estimated with the SEV are the foregone benefits arising from not charging the visitors any entrance fee.</w:t>
            </w:r>
          </w:p>
          <w:p w14:paraId="7FA54DF4" w14:textId="028C1833" w:rsidR="00205F19" w:rsidRPr="00403A68" w:rsidRDefault="00205F19" w:rsidP="00D56960">
            <w:pPr>
              <w:pStyle w:val="TableTextLeft"/>
              <w:cnfStyle w:val="000000000000" w:firstRow="0" w:lastRow="0" w:firstColumn="0" w:lastColumn="0" w:oddVBand="0" w:evenVBand="0" w:oddHBand="0" w:evenHBand="0" w:firstRowFirstColumn="0" w:firstRowLastColumn="0" w:lastRowFirstColumn="0" w:lastRowLastColumn="0"/>
            </w:pPr>
            <w:r w:rsidRPr="00403A68">
              <w:t xml:space="preserve">For example, the contribution of ecosystems to “recreation” (i.e. nearby use) is recommended to be valued at “simulated exchange value”. That is, as though these non-market services were internalised (i.e. if it were actually marketed). This requires estimating demand based on non-market valuation techniques such as asking beneficiaries their willingness to pay for the service. This is then combined with knowledge of the supply and market structure. This can be estimated using a simplified approach involving simply multiplying 50 per cent of the visitors by the median willingness to pay (Barton et al, 2019), which is purported by </w:t>
            </w:r>
            <w:proofErr w:type="spellStart"/>
            <w:r w:rsidRPr="00403A68">
              <w:t>Caparrós</w:t>
            </w:r>
            <w:proofErr w:type="spellEnd"/>
            <w:r w:rsidRPr="00403A68">
              <w:t xml:space="preserve"> et al. (2017) to provide a reasonable approximation of the simulate exchange value estimated using a more sophisticated approach.</w:t>
            </w:r>
          </w:p>
        </w:tc>
      </w:tr>
      <w:tr w:rsidR="00205F19" w:rsidRPr="00403A68" w14:paraId="0686A648" w14:textId="77777777" w:rsidTr="00D56960">
        <w:trPr>
          <w:trHeight w:val="101"/>
        </w:trPr>
        <w:tc>
          <w:tcPr>
            <w:cnfStyle w:val="001000000000" w:firstRow="0" w:lastRow="0" w:firstColumn="1" w:lastColumn="0" w:oddVBand="0" w:evenVBand="0" w:oddHBand="0" w:evenHBand="0" w:firstRowFirstColumn="0" w:firstRowLastColumn="0" w:lastRowFirstColumn="0" w:lastRowLastColumn="0"/>
            <w:tcW w:w="1538" w:type="dxa"/>
            <w:vMerge/>
          </w:tcPr>
          <w:p w14:paraId="0CC69A14" w14:textId="77777777" w:rsidR="00205F19" w:rsidRPr="00403A68" w:rsidRDefault="00205F19" w:rsidP="00666947">
            <w:pPr>
              <w:pStyle w:val="TableTextLeft"/>
            </w:pPr>
          </w:p>
        </w:tc>
        <w:tc>
          <w:tcPr>
            <w:tcW w:w="1832" w:type="dxa"/>
            <w:vMerge w:val="restart"/>
          </w:tcPr>
          <w:p w14:paraId="3A11B141"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Based on consumer preferences</w:t>
            </w:r>
          </w:p>
        </w:tc>
        <w:tc>
          <w:tcPr>
            <w:tcW w:w="1592" w:type="dxa"/>
            <w:vMerge w:val="restart"/>
          </w:tcPr>
          <w:p w14:paraId="53C9E919"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 xml:space="preserve">Stated preference </w:t>
            </w:r>
          </w:p>
        </w:tc>
        <w:tc>
          <w:tcPr>
            <w:tcW w:w="1464" w:type="dxa"/>
          </w:tcPr>
          <w:p w14:paraId="04003FCC"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 xml:space="preserve">Contingent valuation </w:t>
            </w:r>
          </w:p>
        </w:tc>
        <w:tc>
          <w:tcPr>
            <w:tcW w:w="14600" w:type="dxa"/>
          </w:tcPr>
          <w:p w14:paraId="3BB0BE70" w14:textId="63F86724" w:rsidR="00205F19" w:rsidRPr="00403A68" w:rsidRDefault="00205F19" w:rsidP="00D56960">
            <w:pPr>
              <w:pStyle w:val="TableTextLeft"/>
              <w:cnfStyle w:val="000000000000" w:firstRow="0" w:lastRow="0" w:firstColumn="0" w:lastColumn="0" w:oddVBand="0" w:evenVBand="0" w:oddHBand="0" w:evenHBand="0" w:firstRowFirstColumn="0" w:firstRowLastColumn="0" w:lastRowFirstColumn="0" w:lastRowLastColumn="0"/>
            </w:pPr>
            <w:r w:rsidRPr="00403A68">
              <w:t xml:space="preserve">The contingent valuation (CV) method is a survey-based stated preference technique that elicits people’s behaviour in constructed markets. In a contingent valuation questionnaire, a hypothetical market is described where the good in question can be traded. This contingent market defines the good itself, the institutional context in which it would be provided, and the way it would be financed. Respondents are asked about their willingness to pay for, or willingness to accept, a hypothetical change in the level of provision of the good, usually by asking them if they would accept a particular scenario. Respondents are assumed to </w:t>
            </w:r>
            <w:r w:rsidRPr="00403A68">
              <w:lastRenderedPageBreak/>
              <w:t>behave as though they were in a real market (OECD, 2018). A typical application of these methods yields values that include consumer surplus. Consequently, to use the results of these methods to derive exchange values, it is necessary to apply them using the simulated exchange value method.</w:t>
            </w:r>
          </w:p>
        </w:tc>
      </w:tr>
      <w:tr w:rsidR="00205F19" w:rsidRPr="00403A68" w14:paraId="11BAB575" w14:textId="77777777" w:rsidTr="00D56960">
        <w:trPr>
          <w:trHeight w:val="959"/>
        </w:trPr>
        <w:tc>
          <w:tcPr>
            <w:cnfStyle w:val="001000000000" w:firstRow="0" w:lastRow="0" w:firstColumn="1" w:lastColumn="0" w:oddVBand="0" w:evenVBand="0" w:oddHBand="0" w:evenHBand="0" w:firstRowFirstColumn="0" w:firstRowLastColumn="0" w:lastRowFirstColumn="0" w:lastRowLastColumn="0"/>
            <w:tcW w:w="1538" w:type="dxa"/>
            <w:vMerge/>
          </w:tcPr>
          <w:p w14:paraId="76A5D897" w14:textId="77777777" w:rsidR="00205F19" w:rsidRPr="00403A68" w:rsidRDefault="00205F19" w:rsidP="00666947">
            <w:pPr>
              <w:pStyle w:val="TableTextLeft"/>
            </w:pPr>
          </w:p>
        </w:tc>
        <w:tc>
          <w:tcPr>
            <w:tcW w:w="1832" w:type="dxa"/>
            <w:vMerge/>
          </w:tcPr>
          <w:p w14:paraId="53732126"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592" w:type="dxa"/>
            <w:vMerge/>
          </w:tcPr>
          <w:p w14:paraId="02CB983C"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464" w:type="dxa"/>
          </w:tcPr>
          <w:p w14:paraId="579BD8B6"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Choice experiment</w:t>
            </w:r>
          </w:p>
        </w:tc>
        <w:tc>
          <w:tcPr>
            <w:tcW w:w="14600" w:type="dxa"/>
          </w:tcPr>
          <w:p w14:paraId="70E81000" w14:textId="4B99BDC6" w:rsidR="00205F19" w:rsidRPr="00403A68" w:rsidRDefault="00205F19" w:rsidP="00D56960">
            <w:pPr>
              <w:pStyle w:val="TableTextLeft"/>
              <w:cnfStyle w:val="000000000000" w:firstRow="0" w:lastRow="0" w:firstColumn="0" w:lastColumn="0" w:oddVBand="0" w:evenVBand="0" w:oddHBand="0" w:evenHBand="0" w:firstRowFirstColumn="0" w:firstRowLastColumn="0" w:lastRowFirstColumn="0" w:lastRowLastColumn="0"/>
            </w:pPr>
            <w:r w:rsidRPr="00403A68">
              <w:t>Choice experiments are those where an individual is offered a set of alternative levels of supply of goods or services (typically two or three), in which the characteristics vary according to defined dimensions of quality and cost. By analysing preferences across these different bundles of characteristics, it is possible to obtain the value placed by the individuals on each of the characteristics, provided (i) the bundles include a cost variable; and (ii) a baseline bundle is included that represents the status quo. A typical application of these methods yields values that include consumer surplus. Consequently, to use the results of these methods to derive exchange values, it is necessary to apply them using the simulated exchange value method.</w:t>
            </w:r>
          </w:p>
        </w:tc>
      </w:tr>
      <w:tr w:rsidR="00205F19" w:rsidRPr="00403A68" w14:paraId="2BD0A86F" w14:textId="77777777" w:rsidTr="00D56960">
        <w:trPr>
          <w:trHeight w:val="1026"/>
        </w:trPr>
        <w:tc>
          <w:tcPr>
            <w:cnfStyle w:val="001000000000" w:firstRow="0" w:lastRow="0" w:firstColumn="1" w:lastColumn="0" w:oddVBand="0" w:evenVBand="0" w:oddHBand="0" w:evenHBand="0" w:firstRowFirstColumn="0" w:firstRowLastColumn="0" w:lastRowFirstColumn="0" w:lastRowLastColumn="0"/>
            <w:tcW w:w="1538" w:type="dxa"/>
            <w:vMerge/>
          </w:tcPr>
          <w:p w14:paraId="42CFFAE2" w14:textId="77777777" w:rsidR="00205F19" w:rsidRPr="00403A68" w:rsidRDefault="00205F19" w:rsidP="00666947">
            <w:pPr>
              <w:pStyle w:val="TableTextLeft"/>
            </w:pPr>
          </w:p>
        </w:tc>
        <w:tc>
          <w:tcPr>
            <w:tcW w:w="1832" w:type="dxa"/>
            <w:vMerge/>
          </w:tcPr>
          <w:p w14:paraId="3FD87E7A"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592" w:type="dxa"/>
            <w:vMerge w:val="restart"/>
          </w:tcPr>
          <w:p w14:paraId="6F78E802"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Revealed preference</w:t>
            </w:r>
          </w:p>
        </w:tc>
        <w:tc>
          <w:tcPr>
            <w:tcW w:w="1464" w:type="dxa"/>
          </w:tcPr>
          <w:p w14:paraId="0C697ED4"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Hedonic pricing</w:t>
            </w:r>
          </w:p>
        </w:tc>
        <w:tc>
          <w:tcPr>
            <w:tcW w:w="14600" w:type="dxa"/>
          </w:tcPr>
          <w:p w14:paraId="381C2BFF" w14:textId="64122BC5" w:rsidR="00205F19" w:rsidRPr="00403A68" w:rsidRDefault="00205F19" w:rsidP="00D56960">
            <w:pPr>
              <w:pStyle w:val="TableTextLeft"/>
              <w:cnfStyle w:val="000000000000" w:firstRow="0" w:lastRow="0" w:firstColumn="0" w:lastColumn="0" w:oddVBand="0" w:evenVBand="0" w:oddHBand="0" w:evenHBand="0" w:firstRowFirstColumn="0" w:firstRowLastColumn="0" w:lastRowFirstColumn="0" w:lastRowLastColumn="0"/>
            </w:pPr>
            <w:r w:rsidRPr="00403A68">
              <w:t>The hedonic pricing method estimates the differential premium on property values/rentals (or for other composite goods) derived from proximity to some environmental characteristic. In order to obtain a measure of how the environmental characteristic affects the value of houses or other properties, all other variables of the house (number of rooms, central heating, garage space, etc.) are standardized. Moreover, any unit of housing is completely described by geographical, neighbourhood and environmental attributes. For example, amenity value - the contribution of ecosystems to “adjacent use” (such as reflected in property value) is suggested to be valued using hedonic pricing using a large sample of property sales data to determine the additional prices of properties being adjacent to desirable ecosystems (e.g., coast, beach, coral reefs, pristine protected area, etc.).</w:t>
            </w:r>
          </w:p>
        </w:tc>
      </w:tr>
      <w:tr w:rsidR="00205F19" w:rsidRPr="00403A68" w14:paraId="16149104" w14:textId="77777777" w:rsidTr="00D56960">
        <w:trPr>
          <w:trHeight w:val="959"/>
        </w:trPr>
        <w:tc>
          <w:tcPr>
            <w:cnfStyle w:val="001000000000" w:firstRow="0" w:lastRow="0" w:firstColumn="1" w:lastColumn="0" w:oddVBand="0" w:evenVBand="0" w:oddHBand="0" w:evenHBand="0" w:firstRowFirstColumn="0" w:firstRowLastColumn="0" w:lastRowFirstColumn="0" w:lastRowLastColumn="0"/>
            <w:tcW w:w="1538" w:type="dxa"/>
            <w:vMerge/>
          </w:tcPr>
          <w:p w14:paraId="7EDA7925" w14:textId="77777777" w:rsidR="00205F19" w:rsidRPr="00403A68" w:rsidRDefault="00205F19" w:rsidP="00666947">
            <w:pPr>
              <w:pStyle w:val="TableTextLeft"/>
            </w:pPr>
          </w:p>
        </w:tc>
        <w:tc>
          <w:tcPr>
            <w:tcW w:w="1832" w:type="dxa"/>
            <w:vMerge/>
          </w:tcPr>
          <w:p w14:paraId="1E6683F1"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592" w:type="dxa"/>
            <w:vMerge/>
          </w:tcPr>
          <w:p w14:paraId="5DE085FF"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1464" w:type="dxa"/>
          </w:tcPr>
          <w:p w14:paraId="0981727D"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Travel costs</w:t>
            </w:r>
          </w:p>
        </w:tc>
        <w:tc>
          <w:tcPr>
            <w:tcW w:w="14600" w:type="dxa"/>
          </w:tcPr>
          <w:p w14:paraId="35D70CD8" w14:textId="2826126A" w:rsidR="00205F19" w:rsidRPr="00403A68" w:rsidRDefault="00205F19" w:rsidP="00D56960">
            <w:pPr>
              <w:pStyle w:val="TableTextLeft"/>
              <w:cnfStyle w:val="000000000000" w:firstRow="0" w:lastRow="0" w:firstColumn="0" w:lastColumn="0" w:oddVBand="0" w:evenVBand="0" w:oddHBand="0" w:evenHBand="0" w:firstRowFirstColumn="0" w:firstRowLastColumn="0" w:lastRowFirstColumn="0" w:lastRowLastColumn="0"/>
            </w:pPr>
            <w:r w:rsidRPr="00403A68">
              <w:t>The travel cost method (TCM) estimates the demand function for recreation by observing the number of trips that take place at different costs of travelling. Costs of travelling include data on the expenditures incurred by households or individuals to reach a recreational site, entrance fees and the opportunity cost of time to travel and visit the site. Subtracting the actual costs incurred (i.e. excluding opportunity costs of time) from the estimated demand function gives the consumer surplus for a given number of visits. To impute an exchange value for use in environmental-economic accounting, the TCM results must therefore be applied using the simulated exchange value method.</w:t>
            </w:r>
          </w:p>
        </w:tc>
      </w:tr>
    </w:tbl>
    <w:p w14:paraId="38711039" w14:textId="77777777" w:rsidR="00205F19" w:rsidRPr="00403A68" w:rsidRDefault="00205F19" w:rsidP="00205F19">
      <w:pPr>
        <w:pStyle w:val="BodyText"/>
      </w:pPr>
    </w:p>
    <w:p w14:paraId="648827F5" w14:textId="77777777" w:rsidR="00205F19" w:rsidRPr="00403A68" w:rsidRDefault="00205F19" w:rsidP="00205F19">
      <w:pPr>
        <w:pStyle w:val="BodyText"/>
        <w:sectPr w:rsidR="00205F19" w:rsidRPr="00403A68" w:rsidSect="00E52A9A">
          <w:headerReference w:type="even" r:id="rId428"/>
          <w:headerReference w:type="default" r:id="rId429"/>
          <w:footerReference w:type="even" r:id="rId430"/>
          <w:footerReference w:type="default" r:id="rId431"/>
          <w:pgSz w:w="23811" w:h="16838" w:orient="landscape" w:code="8"/>
          <w:pgMar w:top="1134" w:right="1134" w:bottom="1134" w:left="1134" w:header="283" w:footer="283" w:gutter="0"/>
          <w:cols w:space="284"/>
          <w:docGrid w:linePitch="360"/>
        </w:sectPr>
      </w:pPr>
    </w:p>
    <w:p w14:paraId="5671C642" w14:textId="77777777" w:rsidR="00205F19" w:rsidRPr="00403A68" w:rsidRDefault="00205F19" w:rsidP="0004232F">
      <w:pPr>
        <w:pStyle w:val="Heading1"/>
        <w:numPr>
          <w:ilvl w:val="0"/>
          <w:numId w:val="0"/>
        </w:numPr>
      </w:pPr>
      <w:bookmarkStart w:id="454" w:name="_Toc98854720"/>
      <w:bookmarkStart w:id="455" w:name="_Toc163547118"/>
      <w:r w:rsidRPr="00403A68">
        <w:lastRenderedPageBreak/>
        <w:t>Annex 10. Supply and use of ecosystem services</w:t>
      </w:r>
      <w:bookmarkEnd w:id="454"/>
      <w:bookmarkEnd w:id="455"/>
    </w:p>
    <w:p w14:paraId="65CFAD2A" w14:textId="77777777" w:rsidR="00205F19" w:rsidRPr="00403A68" w:rsidRDefault="00205F19" w:rsidP="00205F19">
      <w:pPr>
        <w:pStyle w:val="BodyText"/>
      </w:pPr>
      <w:r w:rsidRPr="00403A68">
        <w:t xml:space="preserve">The SEEA guidance (UN et al., 2012) recommends reporting the “economic unit” and “ecosystem type” that is supplying and using ecosystem services (UN et al., </w:t>
      </w:r>
      <w:proofErr w:type="spellStart"/>
      <w:r w:rsidRPr="00403A68">
        <w:t>n.d</w:t>
      </w:r>
      <w:proofErr w:type="spellEnd"/>
      <w:r w:rsidRPr="00403A68">
        <w:t>) as follows:</w:t>
      </w:r>
    </w:p>
    <w:p w14:paraId="6B330044" w14:textId="77777777" w:rsidR="00205F19" w:rsidRPr="00403A68" w:rsidRDefault="00205F19" w:rsidP="00205F19">
      <w:pPr>
        <w:pStyle w:val="ListBullet"/>
      </w:pPr>
      <w:r w:rsidRPr="00403A68">
        <w:t>Economic units are defined as industrial sectors (e.g. agriculture, forestry and fisheries; tourism), government and households.</w:t>
      </w:r>
    </w:p>
    <w:p w14:paraId="1E9E3301" w14:textId="77777777" w:rsidR="00205F19" w:rsidRPr="00403A68" w:rsidRDefault="00205F19" w:rsidP="00205F19">
      <w:pPr>
        <w:pStyle w:val="ListBullet"/>
      </w:pPr>
      <w:r w:rsidRPr="00403A68">
        <w:t xml:space="preserve">The “supply” of ecosystem services arises from ecosystem types (forest produces biomass and recreational opportunities). SEEA guidance (SEEA EEA TR, </w:t>
      </w:r>
      <w:proofErr w:type="spellStart"/>
      <w:r w:rsidRPr="00403A68">
        <w:t>n.d</w:t>
      </w:r>
      <w:proofErr w:type="spellEnd"/>
      <w:r w:rsidRPr="00403A68">
        <w:t>) suggests “economic units cannot supply ecosystem services” which is true from an ecological perspective, but from a socio-economic perspective it is economic units that own and manage those ecosystem assets that underpin the supply of ecosystem services. Understanding the amount and proportion of ecosystem services “supplied” by ecosystem assets under different ownership (public versus private) is important from a policy perspective.</w:t>
      </w:r>
    </w:p>
    <w:p w14:paraId="36178268" w14:textId="77777777" w:rsidR="00205F19" w:rsidRPr="00403A68" w:rsidRDefault="00205F19" w:rsidP="00205F19">
      <w:pPr>
        <w:pStyle w:val="ListBullet"/>
      </w:pPr>
      <w:r w:rsidRPr="00403A68">
        <w:t xml:space="preserve">Economic units “use” ecosystem services as an input to the production of goods and services (e.g. biomass for timber) from economic units (forestry industry) or as a final consumed benefit (e.g. recreation). Policy makers are interested in distribution of ecosystem asset and ecosystem service use (e.g. access and use of green space) across socio-economic groups so future work to expand the accounts could report this alongside the more aggregated “households”.  </w:t>
      </w:r>
    </w:p>
    <w:p w14:paraId="3EF2AFD7" w14:textId="77777777" w:rsidR="00205F19" w:rsidRPr="00403A68" w:rsidRDefault="00205F19" w:rsidP="00205F19">
      <w:pPr>
        <w:pStyle w:val="BodyText12ptBefore"/>
      </w:pPr>
      <w:r w:rsidRPr="00403A68">
        <w:t>The URS (2007) assessment valuing Victoria’s coast provides information on land-use including horticulture, pasture, forestry and "non-farmland" (mostly public land) as well as remnant native vegetation and other. It also provides a breakdown of the percentage of coastal ecosystems located on public versus private land.</w:t>
      </w:r>
    </w:p>
    <w:p w14:paraId="7F509FB2" w14:textId="77777777" w:rsidR="00205F19" w:rsidRPr="00403A68" w:rsidRDefault="00205F19" w:rsidP="00205F19">
      <w:pPr>
        <w:pStyle w:val="BodyText"/>
      </w:pPr>
      <w:r w:rsidRPr="00403A68">
        <w:t xml:space="preserve">Mapping Ocean Wealth (2019) project identified the beneficiaries of the ecosystem services assessed (coastal protection, fisheries, recreational fishing and birdwatching and carbon storage) including coastal communities, fishers, seafood providers, carbon emitters and the visitor economy. </w:t>
      </w:r>
    </w:p>
    <w:p w14:paraId="530B72A3" w14:textId="77777777" w:rsidR="00205F19" w:rsidRPr="00403A68" w:rsidRDefault="00205F19" w:rsidP="00205F19">
      <w:pPr>
        <w:pStyle w:val="BodyText"/>
      </w:pPr>
      <w:r w:rsidRPr="00403A68">
        <w:t>DELWP’s (2016) Port Phillip Bay account notes how the boundaries of marine and coastal assets are generally less clear (compared to terrestrial assets) which makes attributing ecosystem service provision to specific assets, owners (private or public entities) and users difficult. This difficulty in assigning ecosystem service value to “users” is compounded by the “common pool” nature of many marine resources / ecosystem services whereby nobody can feasibly be excluded from the use/benefits of these resources (i.e. at a reasonable cost), yet overuse can result in asset degradation. For example, the waste assimilation ecosystem service provided within Port Phillip Bay benefits anyone who is (directly or indirectly) polluting waterways (as they do not bear the external costs of their polluting activity) as well as the range of users (and uses) benefitting from improved water quality. Further work is needed to consider how best to incorporate the concept of common pool resources within the supply and use account.</w:t>
      </w:r>
    </w:p>
    <w:p w14:paraId="7939C488" w14:textId="77777777" w:rsidR="00205F19" w:rsidRPr="00403A68" w:rsidRDefault="00205F19" w:rsidP="00205F19">
      <w:pPr>
        <w:pStyle w:val="BodyText"/>
      </w:pPr>
      <w:r w:rsidRPr="00403A68">
        <w:t>Valuing Victoria’s Parks account describes for each ecosystem service the direct beneficiaries and end users/ final beneficiaries which is a useful approach to adopt where these are not the same (e.g. water filtration services benefits economic sectors abstracting water as it results in lower treatment costs which also benefits consumers who have to pay less for goods and services provided by those sectors). Similarly, the AECOM (2016) study of protected areas in England and Scotland identified primary and secondary beneficiaries of environmental goods, for example crop production primarily benefits people who work the land and sell the crops with secondary beneficiaries being people who purchase the crops, those employed in agricultural and associated industries and those who value the aesthetic and cultural nature of agricultural landscapes and communities.</w:t>
      </w:r>
    </w:p>
    <w:p w14:paraId="38359622" w14:textId="77777777" w:rsidR="00205F19" w:rsidRPr="00403A68" w:rsidRDefault="00205F19" w:rsidP="00205F19">
      <w:pPr>
        <w:pStyle w:val="BodyText"/>
        <w:sectPr w:rsidR="00205F19" w:rsidRPr="00403A68" w:rsidSect="00E52A9A">
          <w:headerReference w:type="even" r:id="rId432"/>
          <w:headerReference w:type="default" r:id="rId433"/>
          <w:footerReference w:type="even" r:id="rId434"/>
          <w:footerReference w:type="default" r:id="rId435"/>
          <w:pgSz w:w="11906" w:h="16838" w:code="9"/>
          <w:pgMar w:top="1134" w:right="1134" w:bottom="1134" w:left="1134" w:header="283" w:footer="283" w:gutter="0"/>
          <w:cols w:space="284"/>
          <w:docGrid w:linePitch="360"/>
        </w:sectPr>
      </w:pPr>
    </w:p>
    <w:p w14:paraId="7ACD7296" w14:textId="77777777" w:rsidR="00205F19" w:rsidRPr="00403A68" w:rsidRDefault="00205F19" w:rsidP="0004232F">
      <w:pPr>
        <w:pStyle w:val="Heading1"/>
        <w:numPr>
          <w:ilvl w:val="0"/>
          <w:numId w:val="0"/>
        </w:numPr>
      </w:pPr>
      <w:bookmarkStart w:id="456" w:name="_Toc98854721"/>
      <w:bookmarkStart w:id="457" w:name="_Toc163547119"/>
      <w:r w:rsidRPr="00403A68">
        <w:lastRenderedPageBreak/>
        <w:t>Annex 11: Practical considerations</w:t>
      </w:r>
      <w:bookmarkEnd w:id="456"/>
      <w:bookmarkEnd w:id="457"/>
    </w:p>
    <w:p w14:paraId="36B1D556" w14:textId="77777777" w:rsidR="00205F19" w:rsidRPr="00403A68" w:rsidRDefault="00205F19" w:rsidP="00205F19">
      <w:pPr>
        <w:pStyle w:val="BodyText"/>
      </w:pPr>
      <w:r w:rsidRPr="00403A68">
        <w:t>This section summarises the approach to tackling some practical issues with developing environmental-economic accounts including the appropriate information to use and technical considerations including how to define the measurement baseline, what assessment year to use and how to estimate the value of an asset.</w:t>
      </w:r>
    </w:p>
    <w:p w14:paraId="5F520CFF" w14:textId="77777777" w:rsidR="00205F19" w:rsidRPr="00403A68" w:rsidRDefault="00205F19" w:rsidP="00BA5FDF">
      <w:pPr>
        <w:pStyle w:val="Heading2"/>
        <w:numPr>
          <w:ilvl w:val="0"/>
          <w:numId w:val="0"/>
        </w:numPr>
      </w:pPr>
      <w:bookmarkStart w:id="458" w:name="_Toc163547120"/>
      <w:r w:rsidRPr="00403A68">
        <w:t>A11.1. Establishing appropriate data for the account</w:t>
      </w:r>
      <w:bookmarkEnd w:id="458"/>
    </w:p>
    <w:p w14:paraId="69C97AC9" w14:textId="77777777" w:rsidR="00205F19" w:rsidRPr="00403A68" w:rsidRDefault="00205F19" w:rsidP="00A459D5">
      <w:pPr>
        <w:pStyle w:val="BodyText"/>
        <w:spacing w:after="240"/>
      </w:pPr>
      <w:r w:rsidRPr="00403A68">
        <w:t>SEEA guidance (UN et al, 2012) suggests environmental-economic accounts should be developed on a spatially explicit basis, mapping the status of assets and the physical and monetary value of ecosystem services across space (and time) at high resolution (e.g. Basic Spatial Units of 1km</w:t>
      </w:r>
      <w:r w:rsidRPr="00403A68">
        <w:rPr>
          <w:vertAlign w:val="superscript"/>
        </w:rPr>
        <w:t>2</w:t>
      </w:r>
      <w:r w:rsidRPr="00403A68">
        <w:t xml:space="preserve">, see Box A2). </w:t>
      </w:r>
    </w:p>
    <w:tbl>
      <w:tblPr>
        <w:tblStyle w:val="LogoPlaceholder"/>
        <w:tblW w:w="0" w:type="auto"/>
        <w:tblBorders>
          <w:top w:val="single" w:sz="18" w:space="0" w:color="004C97" w:themeColor="accent1"/>
          <w:left w:val="single" w:sz="18" w:space="0" w:color="004C97" w:themeColor="accent1"/>
          <w:bottom w:val="single" w:sz="18" w:space="0" w:color="004C97" w:themeColor="accent1"/>
          <w:right w:val="single" w:sz="18" w:space="0" w:color="004C97" w:themeColor="accent1"/>
        </w:tblBorders>
        <w:shd w:val="clear" w:color="auto" w:fill="E7F7F8" w:themeFill="accent2" w:themeFillTint="33"/>
        <w:tblLook w:val="04A0" w:firstRow="1" w:lastRow="0" w:firstColumn="1" w:lastColumn="0" w:noHBand="0" w:noVBand="1"/>
      </w:tblPr>
      <w:tblGrid>
        <w:gridCol w:w="9592"/>
      </w:tblGrid>
      <w:tr w:rsidR="00205F19" w:rsidRPr="00403A68" w14:paraId="71B6E514" w14:textId="77777777" w:rsidTr="00A459D5">
        <w:tc>
          <w:tcPr>
            <w:tcW w:w="9618" w:type="dxa"/>
            <w:shd w:val="clear" w:color="auto" w:fill="E7F7F8" w:themeFill="accent2" w:themeFillTint="33"/>
          </w:tcPr>
          <w:p w14:paraId="319FCBC8" w14:textId="77777777" w:rsidR="00205F19" w:rsidRPr="00BA5FDF" w:rsidRDefault="00205F19" w:rsidP="00A459D5">
            <w:pPr>
              <w:pStyle w:val="TableHeadingLeft"/>
              <w:spacing w:before="72"/>
              <w:rPr>
                <w:color w:val="201547" w:themeColor="text2"/>
              </w:rPr>
            </w:pPr>
            <w:r w:rsidRPr="00BA5FDF">
              <w:rPr>
                <w:color w:val="201547" w:themeColor="text2"/>
              </w:rPr>
              <w:t>Box A2. Framework for delineating spatial areas in environmental-economic accounts (DELWP, 2016)</w:t>
            </w:r>
          </w:p>
          <w:p w14:paraId="5A5980B6" w14:textId="77777777" w:rsidR="00205F19" w:rsidRPr="00BA5FDF" w:rsidRDefault="00205F19" w:rsidP="00A459D5">
            <w:pPr>
              <w:pStyle w:val="TableTextLeft"/>
              <w:spacing w:before="72"/>
            </w:pPr>
            <w:r w:rsidRPr="00BA5FDF">
              <w:t xml:space="preserve">The framework for delineating spatial areas for environmental-economic accounting consists of ecosystem assets (EA), basic spatial units (BSU) and geographical areas (GA). Conceptually, ecosystem assets are contiguous areas (collections of BSUs) of a single ecosystem type (e.g. an area of seagrass beds). </w:t>
            </w:r>
          </w:p>
          <w:p w14:paraId="36ABA3C7" w14:textId="77777777" w:rsidR="00205F19" w:rsidRPr="00403A68" w:rsidRDefault="00205F19" w:rsidP="00A459D5">
            <w:pPr>
              <w:pStyle w:val="TableTextLeft"/>
              <w:spacing w:before="72"/>
            </w:pPr>
            <w:r w:rsidRPr="00BA5FDF">
              <w:t>Typically, accounting will be done for a geographic area that may include multiple ecosystem assets and only part of some ecosystem assets (i.e. only part of a seagrass ecosystem assets may be inside a specific geographic accounting area). Using a grid of basic spatial units allows for aggregation to different boundaries for different purposes.</w:t>
            </w:r>
          </w:p>
        </w:tc>
      </w:tr>
    </w:tbl>
    <w:p w14:paraId="107F1DAA" w14:textId="77777777" w:rsidR="00205F19" w:rsidRPr="00403A68" w:rsidRDefault="00205F19" w:rsidP="00D56960">
      <w:pPr>
        <w:pStyle w:val="BodyText12ptBefore"/>
      </w:pPr>
      <w:r w:rsidRPr="00403A68">
        <w:t>The development of spatially explicit accounts at localised scales (e.g. 1km</w:t>
      </w:r>
      <w:r w:rsidRPr="00403A68">
        <w:rPr>
          <w:vertAlign w:val="superscript"/>
        </w:rPr>
        <w:t>2</w:t>
      </w:r>
      <w:r w:rsidRPr="00403A68">
        <w:t xml:space="preserve">) as per the UN SEEA guidance (2012) is preferable as it facilitates greater analytical insight than accounts that are developed in tabular form at aggregated scales including: </w:t>
      </w:r>
    </w:p>
    <w:p w14:paraId="77A1BDB9" w14:textId="77777777" w:rsidR="00205F19" w:rsidRPr="00403A68" w:rsidRDefault="00205F19" w:rsidP="00205F19">
      <w:pPr>
        <w:pStyle w:val="ListBullet"/>
      </w:pPr>
      <w:r w:rsidRPr="00403A68">
        <w:t>Improved communication of the significance of ecosystem service provision in a given location.</w:t>
      </w:r>
    </w:p>
    <w:p w14:paraId="12F8608A" w14:textId="77777777" w:rsidR="00205F19" w:rsidRPr="00403A68" w:rsidRDefault="00205F19" w:rsidP="00205F19">
      <w:pPr>
        <w:pStyle w:val="ListBullet"/>
      </w:pPr>
      <w:r w:rsidRPr="00403A68">
        <w:t>Understanding differences in the distribution of ecosystem asset status and productivity across space (and time).</w:t>
      </w:r>
    </w:p>
    <w:p w14:paraId="5D9C4B33" w14:textId="77777777" w:rsidR="00205F19" w:rsidRPr="00403A68" w:rsidRDefault="00205F19" w:rsidP="00205F19">
      <w:pPr>
        <w:pStyle w:val="ListBullet"/>
      </w:pPr>
      <w:r w:rsidRPr="00403A68">
        <w:t>Understanding the synergies and trade-offs across ecosystem services associated with changing land use / management / policies in a given location.</w:t>
      </w:r>
    </w:p>
    <w:p w14:paraId="4FFDBECA" w14:textId="77777777" w:rsidR="00205F19" w:rsidRPr="00403A68" w:rsidRDefault="00205F19" w:rsidP="00205F19">
      <w:pPr>
        <w:pStyle w:val="ListBullet"/>
      </w:pPr>
      <w:r w:rsidRPr="00403A68">
        <w:t>Spatially explicit prioritisation of ecosystem assets / services (e.g. through planning).</w:t>
      </w:r>
    </w:p>
    <w:p w14:paraId="548D2E5D" w14:textId="77777777" w:rsidR="00205F19" w:rsidRPr="00403A68" w:rsidRDefault="00205F19" w:rsidP="00205F19">
      <w:pPr>
        <w:pStyle w:val="ListBullet"/>
      </w:pPr>
      <w:r w:rsidRPr="00403A68">
        <w:t>Targeting habitat creation/restoration (e.g. through strategic policy decisions).</w:t>
      </w:r>
    </w:p>
    <w:p w14:paraId="47387D9A" w14:textId="77777777" w:rsidR="00205F19" w:rsidRPr="00403A68" w:rsidRDefault="00205F19" w:rsidP="00205F19">
      <w:pPr>
        <w:pStyle w:val="ListBullet"/>
      </w:pPr>
      <w:r w:rsidRPr="00403A68">
        <w:t>Targeting grant allocation / budget investments.</w:t>
      </w:r>
    </w:p>
    <w:p w14:paraId="5D37524A" w14:textId="77777777" w:rsidR="00205F19" w:rsidRPr="00403A68" w:rsidRDefault="00205F19" w:rsidP="00205F19">
      <w:pPr>
        <w:pStyle w:val="ListBullet"/>
      </w:pPr>
      <w:r w:rsidRPr="00403A68">
        <w:t>Risk identification (e.g. of ‘hotspots’ for pests and disease)</w:t>
      </w:r>
    </w:p>
    <w:p w14:paraId="2E5CB674" w14:textId="77777777" w:rsidR="00205F19" w:rsidRPr="00403A68" w:rsidRDefault="00205F19" w:rsidP="00205F19">
      <w:pPr>
        <w:pStyle w:val="BodyText12ptBefore"/>
      </w:pPr>
      <w:r w:rsidRPr="00403A68">
        <w:t>However, such highly localised accounts might not be practical or proportionate to produce where data is not available at high resolutions / in GIS format. This point is noted in the SEEA-EEA (2020a) guidance which states that detailed spatial data is not essential:</w:t>
      </w:r>
    </w:p>
    <w:p w14:paraId="35D04440" w14:textId="77777777" w:rsidR="00205F19" w:rsidRPr="00403A68" w:rsidRDefault="00205F19" w:rsidP="00205F19">
      <w:pPr>
        <w:pStyle w:val="BodyText"/>
        <w:rPr>
          <w:i/>
        </w:rPr>
      </w:pPr>
      <w:r w:rsidRPr="00403A68">
        <w:rPr>
          <w:i/>
        </w:rPr>
        <w:t>“In concept, where compilation of ecosystem services is undertaken using fine level spatial data, it would be possible to present information on the supply and use of ecosystem services for each individual ecosystem. However, in practice, there is no requirement for reporting at this level of detail, especially for accounts covering a national scale or large areas within a country.”</w:t>
      </w:r>
    </w:p>
    <w:p w14:paraId="11D7295D" w14:textId="77777777" w:rsidR="00205F19" w:rsidRPr="00403A68" w:rsidRDefault="00205F19" w:rsidP="00205F19">
      <w:pPr>
        <w:pStyle w:val="BodyText"/>
      </w:pPr>
      <w:r w:rsidRPr="00403A68">
        <w:t xml:space="preserve">The range of environmental, social and economic information required to develop SEEA compliant accounts is typically available at specific administrative scales such as country, state or city with data disaggregated to more localised scales (and in GIS) being available when this is important for the local and central government bodies who have collected it (i.e. data is collected for reasons other than environmental-economic accounting). </w:t>
      </w:r>
    </w:p>
    <w:p w14:paraId="065A8DA9" w14:textId="77777777" w:rsidR="00205F19" w:rsidRPr="00403A68" w:rsidRDefault="00205F19" w:rsidP="00205F19">
      <w:pPr>
        <w:pStyle w:val="BodyText"/>
      </w:pPr>
      <w:r w:rsidRPr="00403A68">
        <w:lastRenderedPageBreak/>
        <w:t xml:space="preserve">Where information </w:t>
      </w:r>
      <w:r w:rsidRPr="00403A68">
        <w:rPr>
          <w:i/>
        </w:rPr>
        <w:t>is</w:t>
      </w:r>
      <w:r w:rsidRPr="00403A68">
        <w:t xml:space="preserve"> available at localised scales / “disaggregated” at high resolution (e.g. by small area polygons or 1km</w:t>
      </w:r>
      <w:r w:rsidRPr="00403A68">
        <w:rPr>
          <w:vertAlign w:val="superscript"/>
        </w:rPr>
        <w:t>2</w:t>
      </w:r>
      <w:r w:rsidRPr="00403A68">
        <w:t xml:space="preserve"> in GIS) then it may be possible to map the status of assets and physical and monetary value of ecosystem services at this scale within the assessment boundary. This might require the use of bio-physical models to combine data sources and assumptions to produce justifiable estimates (based on a degree of robustness). The feasibility of such modelling will depend on the information and resources (time and skills) available.</w:t>
      </w:r>
    </w:p>
    <w:p w14:paraId="5AF93AB3" w14:textId="77777777" w:rsidR="00205F19" w:rsidRPr="00403A68" w:rsidRDefault="00205F19" w:rsidP="00205F19">
      <w:pPr>
        <w:pStyle w:val="BodyText"/>
      </w:pPr>
      <w:r w:rsidRPr="00403A68">
        <w:t>However, where information is only available at more aggregated scales (e.g. country, state or city level), it is not appropriate to disaggregate this information to a more localised scale / resolution (e.g. 1km</w:t>
      </w:r>
      <w:r w:rsidRPr="00403A68">
        <w:rPr>
          <w:vertAlign w:val="superscript"/>
        </w:rPr>
        <w:t>2</w:t>
      </w:r>
      <w:r w:rsidRPr="00403A68">
        <w:t xml:space="preserve">) because this will not deliver robust estimates / it will misrepresent the information. In this case, it may be more appropriate to pursue an “aggregated” approach which reports on the condition and productivity of assets within a defined geographic region. </w:t>
      </w:r>
    </w:p>
    <w:p w14:paraId="264DC89C" w14:textId="77777777" w:rsidR="00205F19" w:rsidRPr="00403A68" w:rsidRDefault="00205F19" w:rsidP="00205F19">
      <w:pPr>
        <w:pStyle w:val="BodyText"/>
      </w:pPr>
      <w:r w:rsidRPr="00403A68">
        <w:t xml:space="preserve">The use of “summary-level” (aggregated or “top-down”) information is noted within the SEEA-EEA Revision guidance: </w:t>
      </w:r>
    </w:p>
    <w:p w14:paraId="1115CB83" w14:textId="77777777" w:rsidR="00205F19" w:rsidRPr="00403A68" w:rsidRDefault="00205F19" w:rsidP="00205F19">
      <w:pPr>
        <w:pStyle w:val="BodyText"/>
      </w:pPr>
      <w:r w:rsidRPr="00403A68">
        <w:rPr>
          <w:i/>
        </w:rPr>
        <w:t>“Where top-down methods are used, for example where ecosystem service flows are based on aggregate visits to national parks or total volumes of timber harvested, the attribution to ecosystem type may be more generic or stylised and there will be no accompanying map outputs.”</w:t>
      </w:r>
      <w:r w:rsidRPr="00403A68">
        <w:t xml:space="preserve"> (SEEA-EEA, 2020a)</w:t>
      </w:r>
    </w:p>
    <w:p w14:paraId="0C2D14F8" w14:textId="77777777" w:rsidR="00205F19" w:rsidRPr="00403A68" w:rsidRDefault="00205F19" w:rsidP="00205F19">
      <w:pPr>
        <w:pStyle w:val="BodyText"/>
        <w:rPr>
          <w:i/>
        </w:rPr>
      </w:pPr>
      <w:r w:rsidRPr="00403A68">
        <w:rPr>
          <w:i/>
        </w:rPr>
        <w:t xml:space="preserve">“Certain indicators can provide useful summary-level information on the state and condition of urban areas. For example, the change in extent of lands converted from natural or seminatural ecosystem types to residential areas with associated infrastructures, tracked over time, provides a snapshot of urban expansion and ensuing loss of natural and semi-natural areas. Other related indicators could focus on the concept of land degradation (e.g., percentage of contaminated or brownfield areas and reclaimed areas). Indicators drawn from these accounts can also track the role urban green and blue spaces play in providing ecosystem services, including moderating air and water pollution and mitigating heat islands, and can support the measure of accessibility to green and blue spaces. </w:t>
      </w:r>
      <w:r w:rsidRPr="00403A68">
        <w:t>(SEEA-EEA, 2020)</w:t>
      </w:r>
    </w:p>
    <w:p w14:paraId="388A204C" w14:textId="77777777" w:rsidR="00205F19" w:rsidRPr="00403A68" w:rsidRDefault="00205F19" w:rsidP="00205F19">
      <w:pPr>
        <w:pStyle w:val="BodyText"/>
      </w:pPr>
      <w:r w:rsidRPr="00403A68">
        <w:t xml:space="preserve">An aggregated (“top-down”) approach has been pursued by DELWP and PV (2015) in developing the account for Victoria’s Parks with accounting tables reporting information for the entire parks network. This was also the typical approach taken in the UK national natural capital accounts, which have been developed for broad habitats in tabular form (for entire UK) with limited spatial mapping at local scale / high resolution (ONS, 2018). </w:t>
      </w:r>
    </w:p>
    <w:p w14:paraId="2605D1E9" w14:textId="77777777" w:rsidR="00205F19" w:rsidRPr="00403A68" w:rsidRDefault="00205F19" w:rsidP="00205F19">
      <w:pPr>
        <w:pStyle w:val="BodyText"/>
      </w:pPr>
      <w:r w:rsidRPr="00403A68">
        <w:t>Whilst the preference is to develop a GORCAP EEA with a strong spatial framing on which data of varying resolutions can be overlayed, constraints on the data and methods available could limit the extent to which this is feasible / proportionate for all sub-accounts. Data for stock accounts (i.e. ecosystem asset extent and condition) is more likely to be available on a spatial basis (i.e. in GIS format) than information for flow accounts (physical provision and monetary value of ecosystem services). In order to not constrain account development to geographic locations where highly localised spatial data is available or can be estimated with an acceptable level of robustness, it is considered appropriate for accounts to be developed at a resolution that is commensurate with data collection / appropriate given data available. This means that the GORCAP EEA will use the best available information to adhere as closely as possible to the strong spatial framing that is encouraged under the SEEA-EA statistical standard but will include non-spatially disaggregated (top-down) information where appropriate and useful for informing policy (potentially the case for flow accounts in particular)</w:t>
      </w:r>
      <w:r w:rsidRPr="00403A68">
        <w:rPr>
          <w:vertAlign w:val="superscript"/>
        </w:rPr>
        <w:footnoteReference w:id="117"/>
      </w:r>
      <w:r w:rsidRPr="00403A68">
        <w:t xml:space="preserve">. </w:t>
      </w:r>
    </w:p>
    <w:p w14:paraId="4852AA5D" w14:textId="77777777" w:rsidR="00205F19" w:rsidRPr="00403A68" w:rsidRDefault="00205F19" w:rsidP="00205F19">
      <w:pPr>
        <w:pStyle w:val="BodyText"/>
      </w:pPr>
      <w:r w:rsidRPr="00403A68">
        <w:t xml:space="preserve">DELWP (2016) accounts for Port Phillip Bay suggest that comprehensive accounts require </w:t>
      </w:r>
      <w:r w:rsidRPr="00403A68">
        <w:rPr>
          <w:i/>
        </w:rPr>
        <w:t xml:space="preserve">all </w:t>
      </w:r>
      <w:r w:rsidRPr="00403A68">
        <w:t>information to be “spatially referenced” insofar as it can be directly or indirectly referenced to a location and hence linked to an ecosystem asset. This suggests that accounting information simply has to be justified as being representative of an area as opposed to geo-referenced to a specific location. This provides for a more flexible approach to account development that facilitates the use of localised data where it is available and aggregated information where it is not. For example, information for the Great Ocean Road could be drawn from 1km</w:t>
      </w:r>
      <w:r w:rsidRPr="00403A68">
        <w:rPr>
          <w:vertAlign w:val="superscript"/>
        </w:rPr>
        <w:t xml:space="preserve">2 </w:t>
      </w:r>
      <w:r w:rsidRPr="00403A68">
        <w:t xml:space="preserve">data for the GORCAP region, from tabular data collected across the region as a whole or where this is not available information could be drawn from Victorian or Australian studies of relevance.  </w:t>
      </w:r>
    </w:p>
    <w:p w14:paraId="265EA002" w14:textId="77777777" w:rsidR="00205F19" w:rsidRPr="00403A68" w:rsidRDefault="00205F19" w:rsidP="00205F19">
      <w:pPr>
        <w:pStyle w:val="BodyText"/>
      </w:pPr>
      <w:r w:rsidRPr="00403A68">
        <w:t xml:space="preserve">Sousa et al (2016) note that the varying quality, scale and accuracy of the data collected for the environmental-economic account created a barrier to account development as it meant refinement, reclassification, and projection of data was required. This is particularly relevant where the data is spatially </w:t>
      </w:r>
      <w:r w:rsidRPr="00403A68">
        <w:lastRenderedPageBreak/>
        <w:t xml:space="preserve">referenced over different time periods as this can require projection to the same co-ordinate system and refinement for consistency (e.g. spatial data from different years and with different spatial resolutions may need to be combined in order to fill the spatial gaps in mapping an area). </w:t>
      </w:r>
    </w:p>
    <w:p w14:paraId="172D279F" w14:textId="77777777" w:rsidR="00205F19" w:rsidRPr="00403A68" w:rsidRDefault="00205F19" w:rsidP="00205F19">
      <w:pPr>
        <w:pStyle w:val="BodyText"/>
      </w:pPr>
      <w:r w:rsidRPr="00403A68">
        <w:t xml:space="preserve">Some of the reviewed assessments do not attempt to quantify or monetise ecosystem service provision at all, but rather use qualitative information to score assets within a certain geographic area according to their importance for different ecosystem services using expert opinion. For example, a DELWP working paper (unpublished, 2016) “Valuing the benefits provided by Port Phillip Bay” adopted a qualitative approach to assess if the quantity of ecosystem services in Port Phillip Bay is expected to increase, decrease or remain the same in 2050 under a given future management scenario, compared to a do nothing scenario. This may have been relevant because of very poor data availability at the scale of interest, a lack of modelling capacity and/or time and resource constraints which meant it was inappropriate to attempt to quantify and monetise ecosystem service provision. </w:t>
      </w:r>
    </w:p>
    <w:p w14:paraId="3A55CFC3" w14:textId="77777777" w:rsidR="00205F19" w:rsidRPr="00403A68" w:rsidRDefault="00205F19" w:rsidP="00205F19">
      <w:pPr>
        <w:pStyle w:val="BodyText"/>
      </w:pPr>
      <w:r w:rsidRPr="00403A68">
        <w:t>The approach for the GOR account is to adopt a mix of spatially specific, tabular, qualitative and quantitative information in order to develop a picture of the status and productivity of ecosystem assets within the GOR Coast and Parks area. There are potentially a number of data sources that could be used to develop the GOR accounts. The selected sources will be chosen on the basis of how well the data would enable the development of up-to-date environmental-economic accounts for the GORCAP EEA assessment area in line with SEEA (UN, 2012). Specifically, the following will be considered when selecting data sources:</w:t>
      </w:r>
    </w:p>
    <w:p w14:paraId="09102CE2" w14:textId="77777777" w:rsidR="00205F19" w:rsidRPr="00403A68" w:rsidRDefault="00205F19" w:rsidP="00205F19">
      <w:pPr>
        <w:pStyle w:val="ListBullet"/>
      </w:pPr>
      <w:r w:rsidRPr="00403A68">
        <w:rPr>
          <w:b/>
        </w:rPr>
        <w:t>Date:</w:t>
      </w:r>
      <w:r w:rsidRPr="00403A68">
        <w:t xml:space="preserve"> it is preferable for information to be as current as possible and for a single year. However, due to data constraints, it is likely that a range of data sources will be drawn on from different time periods and therefore that the figures will approximate status and productivity of assets over a certain period (e.g. 2015 to 2020). For example, the spatial information compiled in DELWP (2016) to estimate ecosystem extent in Port Phillip Bay was derived from different studies using different methods over the last 15 years, rather than a single point in time. Similarly, the best available data was used in developing the account for Victorian Parks network from a range of dates (DELWP and PV, 2015). </w:t>
      </w:r>
    </w:p>
    <w:p w14:paraId="4C9680B0" w14:textId="77777777" w:rsidR="00205F19" w:rsidRPr="00403A68" w:rsidRDefault="00205F19" w:rsidP="00BA5FDF">
      <w:pPr>
        <w:pStyle w:val="BodyText12ptBefore"/>
        <w:ind w:left="340"/>
      </w:pPr>
      <w:r w:rsidRPr="00403A68">
        <w:t xml:space="preserve">This differs from the approach taken in national accounts whereby data is adjusted or assumed to pertain to a single year. Whilst it is understood that presenting data for a range of years is not good accounting practice, the primary aim for the GORCAP EEA account is not to produce statistics (as developed by statistical agencies for national accounts) but rather to inform policy development. This means that a more pragmatic approach is being taken compared to the accounting / statistical rigour and standardisation required by SEEA-EA. To limit the scope of accounts to where data can be provided (or adjusted / assumed) for a given year could limit the scope of the account and therefore its use for informing policy decisions. Instead, all relevant data will be included and deficiencies in the evidence base (including but not limited to the date of information) will be clearly articulated with a view to informing future data collection. </w:t>
      </w:r>
    </w:p>
    <w:p w14:paraId="44D3CEAE" w14:textId="77777777" w:rsidR="00205F19" w:rsidRPr="00403A68" w:rsidRDefault="00205F19" w:rsidP="00205F19">
      <w:pPr>
        <w:pStyle w:val="ListBullet"/>
      </w:pPr>
      <w:r w:rsidRPr="00403A68">
        <w:rPr>
          <w:b/>
        </w:rPr>
        <w:t xml:space="preserve">Type: </w:t>
      </w:r>
      <w:r w:rsidRPr="00403A68">
        <w:t>quantitative information is preferable to qualitative information</w:t>
      </w:r>
      <w:r w:rsidRPr="00403A68">
        <w:rPr>
          <w:b/>
        </w:rPr>
        <w:t>.</w:t>
      </w:r>
    </w:p>
    <w:p w14:paraId="0CACD4E3" w14:textId="77777777" w:rsidR="00205F19" w:rsidRPr="00403A68" w:rsidRDefault="00205F19" w:rsidP="00205F19">
      <w:pPr>
        <w:pStyle w:val="ListBullet"/>
      </w:pPr>
      <w:r w:rsidRPr="00403A68">
        <w:rPr>
          <w:b/>
        </w:rPr>
        <w:t>Format</w:t>
      </w:r>
      <w:r w:rsidRPr="00403A68">
        <w:t xml:space="preserve">: ideally, we want information that is spatially explicit for use in GIS as it enables a more thorough analysis for the purpose of developing environmental-economic accounts. However, if spatial information is not available then tabular information (i.e. from reports) could still be useful and relevant. In some cases, information may have some spatial referencing, for example the DELWP (2016) study of Port Phillip Bay used water quality information (dissolved oxygen data) for eight discrete points around the Bay. Whilst this cannot provide a comprehensive account of water quality across the Bay, it is still useful to understand water quality in different parts of the Bay and (where time series data is available) how this changes over time. Also the mapping of some ecosystem services needs to be carefully considered due to their nature, for example Sousa et al (2016) note how a significant number of cultural services </w:t>
      </w:r>
      <w:r w:rsidRPr="00403A68">
        <w:rPr>
          <w:i/>
        </w:rPr>
        <w:t>can</w:t>
      </w:r>
      <w:r w:rsidRPr="00403A68">
        <w:t xml:space="preserve"> be geometrically represented by points which reflect locations that allow a better experience (e.g. recreational visits, birdwatching), but in reality it is the seascape and landscape characteristics / birds’ abundance and diversity that provide the ecosystem service. This point was noted in the </w:t>
      </w:r>
      <w:proofErr w:type="spellStart"/>
      <w:r w:rsidRPr="00403A68">
        <w:t>eftec</w:t>
      </w:r>
      <w:proofErr w:type="spellEnd"/>
      <w:r w:rsidRPr="00403A68">
        <w:t xml:space="preserve"> (2015) and ONS (2016) reports on UK coastal and marine accounts which suggested adopting combined accounts for these ecosystems. </w:t>
      </w:r>
    </w:p>
    <w:p w14:paraId="5D6FBC9D" w14:textId="77777777" w:rsidR="00205F19" w:rsidRPr="00403A68" w:rsidRDefault="00205F19" w:rsidP="00205F19">
      <w:pPr>
        <w:pStyle w:val="ListBullet"/>
      </w:pPr>
      <w:r w:rsidRPr="00403A68">
        <w:rPr>
          <w:b/>
        </w:rPr>
        <w:t>Resolution:</w:t>
      </w:r>
      <w:r w:rsidRPr="00403A68">
        <w:t xml:space="preserve"> if several spatial datasets have been identified, then resolution of that data might be an important factor in deciding which one to choose for developing the account. The highest resolution data is not always the preferred choice as the time required to process analysis using such data may be significant whilst the added value in terms of improved insights/understanding of the status or productivity of ecosystem assets may be minimal. </w:t>
      </w:r>
    </w:p>
    <w:p w14:paraId="22A3BD10" w14:textId="77777777" w:rsidR="00205F19" w:rsidRPr="00403A68" w:rsidRDefault="00205F19" w:rsidP="00205F19">
      <w:pPr>
        <w:pStyle w:val="ListBullet"/>
      </w:pPr>
      <w:r w:rsidRPr="00403A68">
        <w:rPr>
          <w:b/>
        </w:rPr>
        <w:lastRenderedPageBreak/>
        <w:t>Geographic area</w:t>
      </w:r>
      <w:r w:rsidRPr="00403A68">
        <w:t>: the boundary of the assessment will be unique (i.e. the GOR Coast and Parks is a new boundary) and therefore the ideal dataset is one that is spatial and covers all of Victoria because this can be cut to the assessment boundary. However, this may not be the case for all datasets because the information is collected for a specific purpose (i.e. not for developing environmental-economic accounts for GOR). Careful judgement has to be given as to if and when it is appropriate to transfer estimates from one region and apply them more widely within the assessment boundary, consulting with relevant economic valuation guidelines on benefit / value transfer.</w:t>
      </w:r>
    </w:p>
    <w:p w14:paraId="7E98C31C" w14:textId="77777777" w:rsidR="00205F19" w:rsidRPr="00403A68" w:rsidRDefault="00205F19" w:rsidP="00205F19">
      <w:pPr>
        <w:pStyle w:val="ListBullet"/>
      </w:pPr>
      <w:r w:rsidRPr="00403A68">
        <w:rPr>
          <w:b/>
        </w:rPr>
        <w:t>Temporal coverage</w:t>
      </w:r>
      <w:r w:rsidRPr="00403A68">
        <w:t xml:space="preserve">: having datasets that record changes over time in a consistent manner is useful for tracking and reporting trends and exploring relationships between these trends and causative factors. As noted in DELWP (2016) accounts will ideally have an opening and closing balance and show change in assets and ecosystem services over time, providing information for government reporting, investment and program evaluation and forward looking decision-making. Where time series data is not available, the accounts will represent a snapshot of the status and productivity of ecosystem assets. The ABS noted in the lessons learned from developing the Great Barrier Reef account that “point in time” case studies are not as valuable to policy and decision making as accounts that are built up using long time series data (Clark, 2019). </w:t>
      </w:r>
    </w:p>
    <w:p w14:paraId="45820122" w14:textId="77777777" w:rsidR="00205F19" w:rsidRPr="00403A68" w:rsidRDefault="00205F19" w:rsidP="00205F19">
      <w:pPr>
        <w:pStyle w:val="BodyText12ptBefore"/>
      </w:pPr>
      <w:r w:rsidRPr="00403A68">
        <w:t xml:space="preserve">Recommendations for refining the approach to deliver spatially explicit accounts will be outlined where appropriate.   </w:t>
      </w:r>
    </w:p>
    <w:p w14:paraId="277247D9" w14:textId="77777777" w:rsidR="00205F19" w:rsidRPr="00403A68" w:rsidRDefault="00205F19" w:rsidP="00205F19">
      <w:pPr>
        <w:pStyle w:val="BodyText"/>
      </w:pPr>
      <w:r w:rsidRPr="00403A68">
        <w:t>A11.2. Uncertainty assessment and sensitivity analysis</w:t>
      </w:r>
    </w:p>
    <w:p w14:paraId="663B2925" w14:textId="77777777" w:rsidR="00205F19" w:rsidRPr="00403A68" w:rsidRDefault="00205F19" w:rsidP="00205F19">
      <w:pPr>
        <w:pStyle w:val="BodyText"/>
      </w:pPr>
      <w:r w:rsidRPr="00403A68">
        <w:t xml:space="preserve">The GORCAP EEA will report a single estimate of ecosystem service provision (i.e. </w:t>
      </w:r>
      <w:r w:rsidRPr="00403A68">
        <w:rPr>
          <w:i/>
        </w:rPr>
        <w:t>physical</w:t>
      </w:r>
      <w:r w:rsidRPr="00403A68">
        <w:t xml:space="preserve"> provision) as opposed to a range, as per SEEA guidance. However, where possible and useful, a range of monetary valuation approaches (e.g. welfare and exchange values) will be taken and this range will be reported in the </w:t>
      </w:r>
      <w:r w:rsidRPr="00403A68">
        <w:rPr>
          <w:i/>
        </w:rPr>
        <w:t>monetary</w:t>
      </w:r>
      <w:r w:rsidRPr="00403A68">
        <w:t xml:space="preserve"> account. </w:t>
      </w:r>
    </w:p>
    <w:p w14:paraId="06A65E11" w14:textId="77777777" w:rsidR="00205F19" w:rsidRPr="00403A68" w:rsidRDefault="00205F19" w:rsidP="00205F19">
      <w:pPr>
        <w:pStyle w:val="BodyText"/>
      </w:pPr>
      <w:r w:rsidRPr="00403A68">
        <w:t>Uncertainty will be summarised by using scores of 1 (low), 2 (medium) and 3 (high) for (a) data sources and (b) methodological assumptions. These scores will be combined through multiplication to estimate an overall uncertainty score considering the confidence in the underlying data and key assumptions made, see Table A11.1.  The overall (i.e. combined) uncertainty ratings and scores are as follows:</w:t>
      </w:r>
    </w:p>
    <w:p w14:paraId="37735BB0" w14:textId="77777777" w:rsidR="00205F19" w:rsidRPr="00403A68" w:rsidRDefault="00205F19" w:rsidP="00205F19">
      <w:pPr>
        <w:pStyle w:val="ListBullet"/>
      </w:pPr>
      <w:r w:rsidRPr="00403A68">
        <w:t xml:space="preserve">Low uncertainty = 1 to 2 </w:t>
      </w:r>
      <w:r w:rsidRPr="00403A68">
        <w:rPr>
          <w:i/>
        </w:rPr>
        <w:t>(high confidence)</w:t>
      </w:r>
    </w:p>
    <w:p w14:paraId="5F913A8A" w14:textId="77777777" w:rsidR="00205F19" w:rsidRPr="00403A68" w:rsidRDefault="00205F19" w:rsidP="000035CB">
      <w:pPr>
        <w:pStyle w:val="ListBullet"/>
        <w:numPr>
          <w:ilvl w:val="0"/>
          <w:numId w:val="32"/>
        </w:numPr>
      </w:pPr>
      <w:r w:rsidRPr="00403A68">
        <w:t xml:space="preserve">Medium uncertainty = 3 to 4 </w:t>
      </w:r>
      <w:r w:rsidRPr="00205F19">
        <w:rPr>
          <w:i/>
        </w:rPr>
        <w:t>(medium confidence)</w:t>
      </w:r>
    </w:p>
    <w:p w14:paraId="617FA489" w14:textId="77777777" w:rsidR="00205F19" w:rsidRPr="00403A68" w:rsidRDefault="00205F19" w:rsidP="00205F19">
      <w:pPr>
        <w:pStyle w:val="ListBullet"/>
      </w:pPr>
      <w:r w:rsidRPr="00403A68">
        <w:t>High uncertainty = 6 to 9</w:t>
      </w:r>
      <w:r w:rsidRPr="00403A68">
        <w:rPr>
          <w:i/>
        </w:rPr>
        <w:t xml:space="preserve"> (low confidence)</w:t>
      </w:r>
    </w:p>
    <w:p w14:paraId="78D804E4" w14:textId="77777777" w:rsidR="00205F19" w:rsidRPr="00403A68" w:rsidRDefault="00205F19" w:rsidP="00BA5FDF">
      <w:pPr>
        <w:pStyle w:val="Caption"/>
      </w:pPr>
      <w:r w:rsidRPr="00403A68">
        <w:t>Table A11.1. Approach to assessing uncertainty</w:t>
      </w:r>
    </w:p>
    <w:tbl>
      <w:tblPr>
        <w:tblStyle w:val="TableGrid"/>
        <w:tblW w:w="0" w:type="auto"/>
        <w:tblLook w:val="04A0" w:firstRow="1" w:lastRow="0" w:firstColumn="1" w:lastColumn="0" w:noHBand="0" w:noVBand="1"/>
      </w:tblPr>
      <w:tblGrid>
        <w:gridCol w:w="2068"/>
        <w:gridCol w:w="1391"/>
        <w:gridCol w:w="2163"/>
        <w:gridCol w:w="1805"/>
        <w:gridCol w:w="2211"/>
      </w:tblGrid>
      <w:tr w:rsidR="00205F19" w:rsidRPr="00403A68" w14:paraId="19C6D7C0" w14:textId="77777777" w:rsidTr="00D5696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8" w:type="dxa"/>
          </w:tcPr>
          <w:p w14:paraId="5338F234" w14:textId="77777777" w:rsidR="00205F19" w:rsidRPr="00403A68" w:rsidRDefault="00205F19" w:rsidP="00666947">
            <w:pPr>
              <w:pStyle w:val="TableTextLeft"/>
            </w:pPr>
          </w:p>
        </w:tc>
        <w:tc>
          <w:tcPr>
            <w:tcW w:w="1391" w:type="dxa"/>
          </w:tcPr>
          <w:p w14:paraId="4AB090C1" w14:textId="77777777" w:rsidR="00205F19" w:rsidRPr="00403A68" w:rsidRDefault="00205F19" w:rsidP="00666947">
            <w:pPr>
              <w:pStyle w:val="TableTextLeft"/>
              <w:cnfStyle w:val="100000000000" w:firstRow="1" w:lastRow="0" w:firstColumn="0" w:lastColumn="0" w:oddVBand="0" w:evenVBand="0" w:oddHBand="0" w:evenHBand="0" w:firstRowFirstColumn="0" w:firstRowLastColumn="0" w:lastRowFirstColumn="0" w:lastRowLastColumn="0"/>
            </w:pPr>
          </w:p>
        </w:tc>
        <w:tc>
          <w:tcPr>
            <w:tcW w:w="6179" w:type="dxa"/>
            <w:gridSpan w:val="3"/>
          </w:tcPr>
          <w:p w14:paraId="72AE0A1C" w14:textId="77777777" w:rsidR="00205F19" w:rsidRPr="00403A68" w:rsidRDefault="00205F19" w:rsidP="00666947">
            <w:pPr>
              <w:pStyle w:val="TableTextLeft"/>
              <w:cnfStyle w:val="100000000000" w:firstRow="1" w:lastRow="0" w:firstColumn="0" w:lastColumn="0" w:oddVBand="0" w:evenVBand="0" w:oddHBand="0" w:evenHBand="0" w:firstRowFirstColumn="0" w:firstRowLastColumn="0" w:lastRowFirstColumn="0" w:lastRowLastColumn="0"/>
              <w:rPr>
                <w:b/>
              </w:rPr>
            </w:pPr>
            <w:r w:rsidRPr="00403A68">
              <w:rPr>
                <w:b/>
              </w:rPr>
              <w:t>Evidence (score)</w:t>
            </w:r>
          </w:p>
        </w:tc>
      </w:tr>
      <w:tr w:rsidR="00205F19" w:rsidRPr="00403A68" w14:paraId="3BEA2CFA" w14:textId="77777777" w:rsidTr="00D56960">
        <w:tc>
          <w:tcPr>
            <w:cnfStyle w:val="001000000000" w:firstRow="0" w:lastRow="0" w:firstColumn="1" w:lastColumn="0" w:oddVBand="0" w:evenVBand="0" w:oddHBand="0" w:evenHBand="0" w:firstRowFirstColumn="0" w:firstRowLastColumn="0" w:lastRowFirstColumn="0" w:lastRowLastColumn="0"/>
            <w:tcW w:w="2068" w:type="dxa"/>
            <w:tcBorders>
              <w:top w:val="nil"/>
              <w:bottom w:val="nil"/>
            </w:tcBorders>
            <w:shd w:val="clear" w:color="auto" w:fill="004C97" w:themeFill="accent1"/>
          </w:tcPr>
          <w:p w14:paraId="7C4F92B9" w14:textId="77777777" w:rsidR="00205F19" w:rsidRPr="00403A68" w:rsidRDefault="00205F19" w:rsidP="00BA5FDF">
            <w:pPr>
              <w:pStyle w:val="TableHeadingLeft"/>
            </w:pPr>
          </w:p>
        </w:tc>
        <w:tc>
          <w:tcPr>
            <w:tcW w:w="1391" w:type="dxa"/>
          </w:tcPr>
          <w:p w14:paraId="13BCC95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
        </w:tc>
        <w:tc>
          <w:tcPr>
            <w:tcW w:w="2163" w:type="dxa"/>
          </w:tcPr>
          <w:p w14:paraId="4C847AC0"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b/>
              </w:rPr>
              <w:t>Low (1)</w:t>
            </w:r>
          </w:p>
        </w:tc>
        <w:tc>
          <w:tcPr>
            <w:tcW w:w="1805" w:type="dxa"/>
          </w:tcPr>
          <w:p w14:paraId="1165EC6C"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rPr>
                <w:b/>
              </w:rPr>
              <w:t>Medium (2)</w:t>
            </w:r>
          </w:p>
        </w:tc>
        <w:tc>
          <w:tcPr>
            <w:tcW w:w="2211" w:type="dxa"/>
          </w:tcPr>
          <w:p w14:paraId="0E2BA874"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rPr>
                <w:b/>
              </w:rPr>
            </w:pPr>
            <w:r w:rsidRPr="00403A68">
              <w:rPr>
                <w:b/>
              </w:rPr>
              <w:t>High (3)</w:t>
            </w:r>
          </w:p>
        </w:tc>
      </w:tr>
      <w:tr w:rsidR="00205F19" w:rsidRPr="00403A68" w14:paraId="18742C57" w14:textId="77777777" w:rsidTr="00D56960">
        <w:tc>
          <w:tcPr>
            <w:cnfStyle w:val="001000000000" w:firstRow="0" w:lastRow="0" w:firstColumn="1" w:lastColumn="0" w:oddVBand="0" w:evenVBand="0" w:oddHBand="0" w:evenHBand="0" w:firstRowFirstColumn="0" w:firstRowLastColumn="0" w:lastRowFirstColumn="0" w:lastRowLastColumn="0"/>
            <w:tcW w:w="2068" w:type="dxa"/>
            <w:tcBorders>
              <w:top w:val="nil"/>
              <w:bottom w:val="nil"/>
            </w:tcBorders>
            <w:shd w:val="clear" w:color="auto" w:fill="004C97" w:themeFill="accent1"/>
          </w:tcPr>
          <w:p w14:paraId="21CC4D90" w14:textId="77777777" w:rsidR="00205F19" w:rsidRPr="00403A68" w:rsidRDefault="00205F19" w:rsidP="00BA5FDF">
            <w:pPr>
              <w:pStyle w:val="TableHeadingLeft"/>
            </w:pPr>
            <w:r w:rsidRPr="00403A68">
              <w:t>Assumptions (score)</w:t>
            </w:r>
          </w:p>
        </w:tc>
        <w:tc>
          <w:tcPr>
            <w:tcW w:w="1391" w:type="dxa"/>
          </w:tcPr>
          <w:p w14:paraId="35C83F84"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rPr>
                <w:b/>
              </w:rPr>
            </w:pPr>
            <w:r w:rsidRPr="00403A68">
              <w:rPr>
                <w:b/>
              </w:rPr>
              <w:t>Low (1)</w:t>
            </w:r>
          </w:p>
        </w:tc>
        <w:tc>
          <w:tcPr>
            <w:tcW w:w="2163" w:type="dxa"/>
          </w:tcPr>
          <w:p w14:paraId="5E397940"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1</w:t>
            </w:r>
          </w:p>
        </w:tc>
        <w:tc>
          <w:tcPr>
            <w:tcW w:w="1805" w:type="dxa"/>
          </w:tcPr>
          <w:p w14:paraId="5DED855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2</w:t>
            </w:r>
          </w:p>
        </w:tc>
        <w:tc>
          <w:tcPr>
            <w:tcW w:w="2211" w:type="dxa"/>
          </w:tcPr>
          <w:p w14:paraId="7C20FC18"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3</w:t>
            </w:r>
          </w:p>
        </w:tc>
      </w:tr>
      <w:tr w:rsidR="00205F19" w:rsidRPr="00403A68" w14:paraId="55993865" w14:textId="77777777" w:rsidTr="00D56960">
        <w:tc>
          <w:tcPr>
            <w:cnfStyle w:val="001000000000" w:firstRow="0" w:lastRow="0" w:firstColumn="1" w:lastColumn="0" w:oddVBand="0" w:evenVBand="0" w:oddHBand="0" w:evenHBand="0" w:firstRowFirstColumn="0" w:firstRowLastColumn="0" w:lastRowFirstColumn="0" w:lastRowLastColumn="0"/>
            <w:tcW w:w="2068" w:type="dxa"/>
            <w:tcBorders>
              <w:top w:val="nil"/>
              <w:bottom w:val="nil"/>
            </w:tcBorders>
            <w:shd w:val="clear" w:color="auto" w:fill="004C97" w:themeFill="accent1"/>
          </w:tcPr>
          <w:p w14:paraId="3BD5D6C1" w14:textId="77777777" w:rsidR="00205F19" w:rsidRPr="00403A68" w:rsidRDefault="00205F19" w:rsidP="00BA5FDF">
            <w:pPr>
              <w:pStyle w:val="TableHeadingLeft"/>
            </w:pPr>
          </w:p>
        </w:tc>
        <w:tc>
          <w:tcPr>
            <w:tcW w:w="1391" w:type="dxa"/>
          </w:tcPr>
          <w:p w14:paraId="159C7917"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rPr>
                <w:b/>
              </w:rPr>
            </w:pPr>
            <w:r w:rsidRPr="00403A68">
              <w:rPr>
                <w:b/>
              </w:rPr>
              <w:t>Medium (2)</w:t>
            </w:r>
          </w:p>
        </w:tc>
        <w:tc>
          <w:tcPr>
            <w:tcW w:w="2163" w:type="dxa"/>
          </w:tcPr>
          <w:p w14:paraId="2EDE2C11"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2</w:t>
            </w:r>
          </w:p>
        </w:tc>
        <w:tc>
          <w:tcPr>
            <w:tcW w:w="1805" w:type="dxa"/>
          </w:tcPr>
          <w:p w14:paraId="1C4D514F"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4</w:t>
            </w:r>
          </w:p>
        </w:tc>
        <w:tc>
          <w:tcPr>
            <w:tcW w:w="2211" w:type="dxa"/>
          </w:tcPr>
          <w:p w14:paraId="5D3501F7"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6</w:t>
            </w:r>
          </w:p>
        </w:tc>
      </w:tr>
      <w:tr w:rsidR="00205F19" w:rsidRPr="00403A68" w14:paraId="5BE65BC4" w14:textId="77777777" w:rsidTr="00D56960">
        <w:tc>
          <w:tcPr>
            <w:cnfStyle w:val="001000000000" w:firstRow="0" w:lastRow="0" w:firstColumn="1" w:lastColumn="0" w:oddVBand="0" w:evenVBand="0" w:oddHBand="0" w:evenHBand="0" w:firstRowFirstColumn="0" w:firstRowLastColumn="0" w:lastRowFirstColumn="0" w:lastRowLastColumn="0"/>
            <w:tcW w:w="2068" w:type="dxa"/>
            <w:tcBorders>
              <w:top w:val="nil"/>
              <w:bottom w:val="nil"/>
            </w:tcBorders>
            <w:shd w:val="clear" w:color="auto" w:fill="004C97" w:themeFill="accent1"/>
          </w:tcPr>
          <w:p w14:paraId="72156875" w14:textId="77777777" w:rsidR="00205F19" w:rsidRPr="00403A68" w:rsidRDefault="00205F19" w:rsidP="00BA5FDF">
            <w:pPr>
              <w:pStyle w:val="TableHeadingLeft"/>
            </w:pPr>
          </w:p>
        </w:tc>
        <w:tc>
          <w:tcPr>
            <w:tcW w:w="1391" w:type="dxa"/>
          </w:tcPr>
          <w:p w14:paraId="3A5554AE"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rPr>
                <w:b/>
              </w:rPr>
            </w:pPr>
            <w:r w:rsidRPr="00403A68">
              <w:rPr>
                <w:b/>
              </w:rPr>
              <w:t>High (3)</w:t>
            </w:r>
          </w:p>
        </w:tc>
        <w:tc>
          <w:tcPr>
            <w:tcW w:w="2163" w:type="dxa"/>
          </w:tcPr>
          <w:p w14:paraId="769E5A92"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3</w:t>
            </w:r>
          </w:p>
        </w:tc>
        <w:tc>
          <w:tcPr>
            <w:tcW w:w="1805" w:type="dxa"/>
          </w:tcPr>
          <w:p w14:paraId="34057831"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6</w:t>
            </w:r>
          </w:p>
        </w:tc>
        <w:tc>
          <w:tcPr>
            <w:tcW w:w="2211" w:type="dxa"/>
          </w:tcPr>
          <w:p w14:paraId="50E0D208"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9</w:t>
            </w:r>
          </w:p>
        </w:tc>
      </w:tr>
    </w:tbl>
    <w:p w14:paraId="5BA86283" w14:textId="77777777" w:rsidR="00205F19" w:rsidRPr="00403A68" w:rsidRDefault="00205F19" w:rsidP="00D56960">
      <w:pPr>
        <w:pStyle w:val="Heading2"/>
        <w:numPr>
          <w:ilvl w:val="0"/>
          <w:numId w:val="0"/>
        </w:numPr>
      </w:pPr>
      <w:bookmarkStart w:id="459" w:name="_Toc163547121"/>
      <w:r w:rsidRPr="00403A68">
        <w:t>A11.3. Measurement baseline</w:t>
      </w:r>
      <w:bookmarkEnd w:id="459"/>
    </w:p>
    <w:p w14:paraId="65D822EA" w14:textId="77777777" w:rsidR="00205F19" w:rsidRPr="00403A68" w:rsidRDefault="00205F19" w:rsidP="00205F19">
      <w:pPr>
        <w:pStyle w:val="BodyText"/>
      </w:pPr>
      <w:r w:rsidRPr="00403A68">
        <w:t>Ecosystem service measurement baselines (also referred to as counterfactuals) are needed in environmental-economic accounting to ensure consistent quantification of ecosystem service flows in different contexts and are implicitly set at zero (i.e. no ecosystem service provided) (SEEA-EEA, 2020a).</w:t>
      </w:r>
    </w:p>
    <w:p w14:paraId="2FC0575B" w14:textId="77777777" w:rsidR="00205F19" w:rsidRPr="00403A68" w:rsidRDefault="00205F19" w:rsidP="00205F19">
      <w:pPr>
        <w:pStyle w:val="BodyText"/>
      </w:pPr>
      <w:r w:rsidRPr="00403A68">
        <w:t>Whilst all of the reviewed studies acknowledge that environmental-economic accounts report the “total” (not marginal</w:t>
      </w:r>
      <w:r w:rsidRPr="00403A68">
        <w:rPr>
          <w:vertAlign w:val="superscript"/>
        </w:rPr>
        <w:footnoteReference w:id="118"/>
      </w:r>
      <w:r w:rsidRPr="00403A68">
        <w:t xml:space="preserve">) provision of ecosystem services by environmental assets, many imply a “no ecosystem asset </w:t>
      </w:r>
      <w:r w:rsidRPr="00403A68">
        <w:lastRenderedPageBreak/>
        <w:t xml:space="preserve">(natural capital)” is adopted without explicitly stating what this is. Assessing total value requires a measurement baseline to be established (i.e. what would be there in the absence of the natural environment). In developing the urban environmental-economic account in the UK, </w:t>
      </w:r>
      <w:proofErr w:type="spellStart"/>
      <w:r w:rsidRPr="00403A68">
        <w:t>eftec</w:t>
      </w:r>
      <w:proofErr w:type="spellEnd"/>
      <w:r w:rsidRPr="00403A68">
        <w:t xml:space="preserve"> (2017) discuss these potential measurement baselines as:</w:t>
      </w:r>
    </w:p>
    <w:p w14:paraId="00E40A91" w14:textId="77777777" w:rsidR="00205F19" w:rsidRPr="00D56960" w:rsidRDefault="00205F19" w:rsidP="000035CB">
      <w:pPr>
        <w:pStyle w:val="ListAlpha"/>
        <w:numPr>
          <w:ilvl w:val="0"/>
          <w:numId w:val="36"/>
        </w:numPr>
      </w:pPr>
      <w:r w:rsidRPr="00D56960">
        <w:t>Another type of natural capital. However, this would estimate the net ecosystem service provision and not the total level of provision because some level of ecosystem service provision would be delivered by the alternative land use;</w:t>
      </w:r>
    </w:p>
    <w:p w14:paraId="4775FB3F" w14:textId="77777777" w:rsidR="00205F19" w:rsidRPr="00D56960" w:rsidRDefault="00205F19" w:rsidP="000035CB">
      <w:pPr>
        <w:pStyle w:val="ListAlpha"/>
        <w:numPr>
          <w:ilvl w:val="0"/>
          <w:numId w:val="36"/>
        </w:numPr>
      </w:pPr>
      <w:r w:rsidRPr="00D56960">
        <w:t>No natural capital (i.e. a “concrete” baseline). While this is not realistic, it is the only baseline to give us the total provision of ecosystem services of the current natural capital. It also makes it easier for estimating some ecosystem services (e.g. carbon sequestration) as concrete would not provide them. For other services, however, further thought is needed: for example, a concrete baseline has some absorption capacity for different pollutants;</w:t>
      </w:r>
    </w:p>
    <w:p w14:paraId="14347DED" w14:textId="77777777" w:rsidR="00205F19" w:rsidRPr="00403A68" w:rsidRDefault="00205F19" w:rsidP="00D56960">
      <w:pPr>
        <w:pStyle w:val="BodyText12ptBefore"/>
      </w:pPr>
      <w:r w:rsidRPr="00403A68">
        <w:t xml:space="preserve">The Valuing Victoria Parks DELWP and PV (2015) account explicitly states that the measurement baselines is “the absence of parks” but the definition of what this constitutes varies throughout. For many ecosystem services an explicit definition of what a no ecosystem asset measurement baselines l looks like is not needed as total provision can simply be assumed to be zero. For example, no visitors to the natural environment and no carbon storage or sequestration. Interestingly, DELWP and PV (2015) do explicitly state the measurement baselines for coastal erosion as the absence of parks as a management designation, resulting in coastal wetland being cleared or degraded to a point where there would be zero protection against storm surge events, sea inundation or coastal erosion (and therefore built infrastructure would be required). </w:t>
      </w:r>
    </w:p>
    <w:p w14:paraId="3CCFAA77" w14:textId="77777777" w:rsidR="00205F19" w:rsidRPr="00403A68" w:rsidRDefault="00205F19" w:rsidP="00205F19">
      <w:pPr>
        <w:pStyle w:val="BodyText"/>
      </w:pPr>
      <w:r w:rsidRPr="00403A68">
        <w:t xml:space="preserve">Whilst this explicit explanation of the measurement baselines for coastal erosion is not necessarily required (as a zero protection could be assumed in the absence of ecosystem assets), the measurement baselines has to be explicitly stated for other ecosystem services. For example, flood risk is a relative metric, meaning that the risk under the measurement baselines cannot be assumed to be zero (as that would imply clearing all ecosystem assets is a good thing) and needs to be measured relative to the current level of risk. DELWP and PV (2015) adopt an “urban residential development” measurement baselines for flood risk as recommended by </w:t>
      </w:r>
      <w:proofErr w:type="spellStart"/>
      <w:r w:rsidRPr="00403A68">
        <w:t>eftec</w:t>
      </w:r>
      <w:proofErr w:type="spellEnd"/>
      <w:r w:rsidRPr="00403A68">
        <w:t xml:space="preserve"> (2017) for UK accounts.  </w:t>
      </w:r>
    </w:p>
    <w:p w14:paraId="05CB6802" w14:textId="77777777" w:rsidR="00205F19" w:rsidRPr="00403A68" w:rsidRDefault="00205F19" w:rsidP="00205F19">
      <w:pPr>
        <w:pStyle w:val="BodyText"/>
      </w:pPr>
      <w:r w:rsidRPr="00403A68">
        <w:t xml:space="preserve">Interestingly, for water filtration and purification, DELWP and PV (2015) adopt different measurement baselines based on the type of park being assessed. For non-metro parks the relevant measurement baselines was assumed to be grazing (agricultural) land use, where for metro parks the relevant measurement baselines was urban land use. Both are attempts to capture the total provision of the ecosystem service based on the most likely alternative “non-natural” land use (agricultural land is still a natural land use but can be justified for use as a measurement baseline on the basis that it is of relatively low ecological functioning compared to (for example) wetland, forest etc. However, this remains a marginal or net estimate as there will be some level of ecosystem service provision from agricultural land). </w:t>
      </w:r>
    </w:p>
    <w:p w14:paraId="6761C0DB" w14:textId="77777777" w:rsidR="00205F19" w:rsidRPr="00403A68" w:rsidRDefault="00205F19" w:rsidP="00205F19">
      <w:pPr>
        <w:pStyle w:val="BodyText"/>
      </w:pPr>
      <w:r w:rsidRPr="00403A68">
        <w:t xml:space="preserve">Some studies estimate the marginal change in ecosystem service provision under different management scenarios. For example, the Norwegian study (Chen et al, 2020) adopted two possible conditions for kelp forest, full forest and reduced forest condition with the reduced forest condition is assumed to have 50 per cent of the biomass of the full forest. Similarly, the Canadian study into coastal and marine ecosystem services (Guerry et al, 2012) used the biophysical model </w:t>
      </w:r>
      <w:proofErr w:type="spellStart"/>
      <w:r w:rsidRPr="00403A68">
        <w:t>InVEST</w:t>
      </w:r>
      <w:proofErr w:type="spellEnd"/>
      <w:r w:rsidRPr="00403A68">
        <w:t xml:space="preserve"> to estimate changes in a suite of services under different management scenarios. Whilst useful from a policy/management perspective, this marginal approach is not considered to be consistent with ecosystem focus on total contribution of the environment to society and the economy</w:t>
      </w:r>
    </w:p>
    <w:p w14:paraId="2C30913D" w14:textId="77777777" w:rsidR="00205F19" w:rsidRPr="00403A68" w:rsidRDefault="00205F19" w:rsidP="00205F19">
      <w:pPr>
        <w:pStyle w:val="BodyText"/>
      </w:pPr>
      <w:r w:rsidRPr="00403A68">
        <w:t>The SEEA-EEA (2020a) guidance suggests the use of bare land where an explicit measurement baseline is needed, although it is recognised that this may not be considered to be conceptually strong, may be counterintuitive in certain cases (e.g. where bare land provides some level of ecosystem service) or cannot be modelled. Therefore, the recommendation is to differentiate in a systematic way, between ecosystem services for which the baseline is bare land and services for which the baseline is zero service supply. Clear communication and explanation of the chosen methods is required. A “no ecosystem asset” baseline is used in the GORCAP EEA  as per SEEA-EA guidance and the UK accounts, because it is the only baseline to give us the total provision of ecosystem services of current ecosystem assets. The specific measurement baseline adopted will be defined appropriately for each ecosystem service with an accompanying explanation provided.</w:t>
      </w:r>
    </w:p>
    <w:p w14:paraId="5E40986A" w14:textId="77777777" w:rsidR="00205F19" w:rsidRPr="00403A68" w:rsidRDefault="00205F19" w:rsidP="00D56960">
      <w:pPr>
        <w:pStyle w:val="Heading2"/>
        <w:numPr>
          <w:ilvl w:val="0"/>
          <w:numId w:val="0"/>
        </w:numPr>
      </w:pPr>
      <w:bookmarkStart w:id="460" w:name="_Toc163547122"/>
      <w:r w:rsidRPr="00403A68">
        <w:lastRenderedPageBreak/>
        <w:t>A11.4. Assessment year</w:t>
      </w:r>
      <w:bookmarkEnd w:id="460"/>
    </w:p>
    <w:p w14:paraId="6F2410BE" w14:textId="77777777" w:rsidR="00205F19" w:rsidRPr="00403A68" w:rsidRDefault="00205F19" w:rsidP="00205F19">
      <w:pPr>
        <w:pStyle w:val="BodyText"/>
      </w:pPr>
      <w:r w:rsidRPr="00403A68">
        <w:t>The year for which an economic assessment is developed depends primarily on data availability. Because the underlying datasets for the GORCAP EEA are drawn from multiple years, the account can be more accurately described as an assessment for a given period (e.g. 2015 to 2019) rather than a specific year (e.g. 2019). This was the case for the DELWP (2016) Port Phillip Bay study which drew evidence from across a 15 year period. It is a more pragmatic approach to that taken in national accounts whereby data is adjusted or assumed to pertain to a single year.</w:t>
      </w:r>
    </w:p>
    <w:p w14:paraId="55A33AFD" w14:textId="77777777" w:rsidR="00205F19" w:rsidRPr="00403A68" w:rsidRDefault="00205F19" w:rsidP="00205F19">
      <w:pPr>
        <w:pStyle w:val="BodyText"/>
      </w:pPr>
      <w:r w:rsidRPr="00403A68">
        <w:t>Where necessary, assumptions are made to combine data from multiple years in a way that relates to a given year (i.e. 2019), although the year of the underlying source and data is still made clear. For example, estimates of the relationship between an ecosystem and its production of an ecosystem service may be from academic research undertaken in 2014 and an assumption is adopted that this relationship is stable and therefore relevant to apply to an analysis that is being developed for 2019.</w:t>
      </w:r>
    </w:p>
    <w:p w14:paraId="721AE063" w14:textId="77777777" w:rsidR="00205F19" w:rsidRPr="00403A68" w:rsidRDefault="00205F19" w:rsidP="00205F19">
      <w:pPr>
        <w:pStyle w:val="Heading2"/>
        <w:sectPr w:rsidR="00205F19" w:rsidRPr="00403A68" w:rsidSect="00E52A9A">
          <w:headerReference w:type="default" r:id="rId436"/>
          <w:footerReference w:type="even" r:id="rId437"/>
          <w:footerReference w:type="default" r:id="rId438"/>
          <w:pgSz w:w="11906" w:h="16838" w:code="9"/>
          <w:pgMar w:top="1134" w:right="1134" w:bottom="1134" w:left="1134" w:header="283" w:footer="283" w:gutter="0"/>
          <w:cols w:space="284"/>
          <w:docGrid w:linePitch="360"/>
        </w:sectPr>
      </w:pPr>
    </w:p>
    <w:p w14:paraId="0C1F2610" w14:textId="77777777" w:rsidR="00205F19" w:rsidRPr="00403A68" w:rsidRDefault="00205F19" w:rsidP="0004232F">
      <w:pPr>
        <w:pStyle w:val="Heading1"/>
        <w:numPr>
          <w:ilvl w:val="0"/>
          <w:numId w:val="0"/>
        </w:numPr>
      </w:pPr>
      <w:bookmarkStart w:id="461" w:name="_Toc98854722"/>
      <w:bookmarkStart w:id="462" w:name="_Toc163547123"/>
      <w:r w:rsidRPr="00403A68">
        <w:lastRenderedPageBreak/>
        <w:t>Annex 12. Community groups within the GORCAP EEA boundary</w:t>
      </w:r>
      <w:bookmarkEnd w:id="461"/>
      <w:bookmarkEnd w:id="462"/>
    </w:p>
    <w:p w14:paraId="2203DD1A" w14:textId="77777777" w:rsidR="00205F19" w:rsidRPr="00403A68" w:rsidRDefault="00205F19" w:rsidP="00205F19">
      <w:pPr>
        <w:pStyle w:val="BodyText"/>
      </w:pPr>
      <w:r w:rsidRPr="00403A68">
        <w:t xml:space="preserve">A detailed list of community groups within the GORCAP EEA boundary are outlined in Table A12.1. </w:t>
      </w:r>
    </w:p>
    <w:p w14:paraId="0945E526" w14:textId="77777777" w:rsidR="00205F19" w:rsidRPr="00403A68" w:rsidRDefault="00205F19" w:rsidP="00BA5FDF">
      <w:pPr>
        <w:pStyle w:val="Caption"/>
      </w:pPr>
      <w:r w:rsidRPr="00403A68">
        <w:t>Table A12.1. List of community groups within the GORCAP EEA boundary</w:t>
      </w:r>
    </w:p>
    <w:tbl>
      <w:tblPr>
        <w:tblStyle w:val="TableGrid"/>
        <w:tblW w:w="5000" w:type="pct"/>
        <w:tblLook w:val="04A0" w:firstRow="1" w:lastRow="0" w:firstColumn="1" w:lastColumn="0" w:noHBand="0" w:noVBand="1"/>
      </w:tblPr>
      <w:tblGrid>
        <w:gridCol w:w="1161"/>
        <w:gridCol w:w="7128"/>
        <w:gridCol w:w="1349"/>
      </w:tblGrid>
      <w:tr w:rsidR="00205F19" w:rsidRPr="00403A68" w14:paraId="688CA99D" w14:textId="77777777" w:rsidTr="00BA5FDF">
        <w:trPr>
          <w:cnfStyle w:val="100000000000" w:firstRow="1" w:lastRow="0" w:firstColumn="0" w:lastColumn="0" w:oddVBand="0" w:evenVBand="0" w:oddHBand="0" w:evenHBand="0" w:firstRowFirstColumn="0" w:firstRowLastColumn="0" w:lastRowFirstColumn="0" w:lastRowLastColumn="0"/>
          <w:trHeight w:val="192"/>
          <w:tblHeader/>
        </w:trPr>
        <w:tc>
          <w:tcPr>
            <w:cnfStyle w:val="001000000000" w:firstRow="0" w:lastRow="0" w:firstColumn="1" w:lastColumn="0" w:oddVBand="0" w:evenVBand="0" w:oddHBand="0" w:evenHBand="0" w:firstRowFirstColumn="0" w:firstRowLastColumn="0" w:lastRowFirstColumn="0" w:lastRowLastColumn="0"/>
            <w:tcW w:w="602" w:type="pct"/>
          </w:tcPr>
          <w:p w14:paraId="6665F478" w14:textId="77777777" w:rsidR="00205F19" w:rsidRPr="00403A68" w:rsidRDefault="00205F19" w:rsidP="00205F19">
            <w:pPr>
              <w:pStyle w:val="TableTextLeft"/>
              <w:keepNext w:val="0"/>
            </w:pPr>
            <w:r w:rsidRPr="00403A68">
              <w:rPr>
                <w:b/>
              </w:rPr>
              <w:t>Type</w:t>
            </w:r>
          </w:p>
        </w:tc>
        <w:tc>
          <w:tcPr>
            <w:tcW w:w="3698" w:type="pct"/>
            <w:noWrap/>
          </w:tcPr>
          <w:p w14:paraId="70607DED" w14:textId="77777777" w:rsidR="00205F19" w:rsidRPr="00403A68" w:rsidRDefault="00205F19" w:rsidP="00205F19">
            <w:pPr>
              <w:pStyle w:val="TableTextLeft"/>
              <w:keepNext w:val="0"/>
              <w:cnfStyle w:val="100000000000" w:firstRow="1" w:lastRow="0" w:firstColumn="0" w:lastColumn="0" w:oddVBand="0" w:evenVBand="0" w:oddHBand="0" w:evenHBand="0" w:firstRowFirstColumn="0" w:firstRowLastColumn="0" w:lastRowFirstColumn="0" w:lastRowLastColumn="0"/>
            </w:pPr>
            <w:r w:rsidRPr="00403A68">
              <w:rPr>
                <w:b/>
              </w:rPr>
              <w:t>Community group</w:t>
            </w:r>
          </w:p>
        </w:tc>
        <w:tc>
          <w:tcPr>
            <w:tcW w:w="700" w:type="pct"/>
          </w:tcPr>
          <w:p w14:paraId="40CBE13D" w14:textId="77777777" w:rsidR="00205F19" w:rsidRPr="00403A68" w:rsidRDefault="00205F19" w:rsidP="00205F19">
            <w:pPr>
              <w:pStyle w:val="TableTextLeft"/>
              <w:keepNext w:val="0"/>
              <w:cnfStyle w:val="100000000000" w:firstRow="1" w:lastRow="0" w:firstColumn="0" w:lastColumn="0" w:oddVBand="0" w:evenVBand="0" w:oddHBand="0" w:evenHBand="0" w:firstRowFirstColumn="0" w:firstRowLastColumn="0" w:lastRowFirstColumn="0" w:lastRowLastColumn="0"/>
              <w:rPr>
                <w:b/>
              </w:rPr>
            </w:pPr>
            <w:r w:rsidRPr="00403A68">
              <w:rPr>
                <w:b/>
              </w:rPr>
              <w:t>Number</w:t>
            </w:r>
          </w:p>
        </w:tc>
      </w:tr>
      <w:tr w:rsidR="00205F19" w:rsidRPr="00403A68" w14:paraId="78B5ABF5" w14:textId="77777777" w:rsidTr="00BA5FDF">
        <w:trPr>
          <w:trHeight w:val="192"/>
        </w:trPr>
        <w:tc>
          <w:tcPr>
            <w:cnfStyle w:val="001000000000" w:firstRow="0" w:lastRow="0" w:firstColumn="1" w:lastColumn="0" w:oddVBand="0" w:evenVBand="0" w:oddHBand="0" w:evenHBand="0" w:firstRowFirstColumn="0" w:firstRowLastColumn="0" w:lastRowFirstColumn="0" w:lastRowLastColumn="0"/>
            <w:tcW w:w="602" w:type="pct"/>
            <w:vMerge w:val="restart"/>
          </w:tcPr>
          <w:p w14:paraId="7753DEAC" w14:textId="77777777" w:rsidR="00205F19" w:rsidRPr="00403A68" w:rsidRDefault="00205F19" w:rsidP="00666947">
            <w:pPr>
              <w:pStyle w:val="TableTextLeft"/>
            </w:pPr>
            <w:r w:rsidRPr="00403A68">
              <w:t>Boating</w:t>
            </w:r>
          </w:p>
        </w:tc>
        <w:tc>
          <w:tcPr>
            <w:tcW w:w="3698" w:type="pct"/>
            <w:noWrap/>
          </w:tcPr>
          <w:p w14:paraId="6792693D"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Anglesea Motor Yacht Club</w:t>
            </w:r>
          </w:p>
        </w:tc>
        <w:tc>
          <w:tcPr>
            <w:tcW w:w="700" w:type="pct"/>
          </w:tcPr>
          <w:p w14:paraId="76DC33A1"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1</w:t>
            </w:r>
          </w:p>
        </w:tc>
      </w:tr>
      <w:tr w:rsidR="00205F19" w:rsidRPr="00403A68" w14:paraId="11D3AB00" w14:textId="77777777" w:rsidTr="00BA5FDF">
        <w:trPr>
          <w:trHeight w:val="192"/>
        </w:trPr>
        <w:tc>
          <w:tcPr>
            <w:cnfStyle w:val="001000000000" w:firstRow="0" w:lastRow="0" w:firstColumn="1" w:lastColumn="0" w:oddVBand="0" w:evenVBand="0" w:oddHBand="0" w:evenHBand="0" w:firstRowFirstColumn="0" w:firstRowLastColumn="0" w:lastRowFirstColumn="0" w:lastRowLastColumn="0"/>
            <w:tcW w:w="602" w:type="pct"/>
            <w:vMerge/>
          </w:tcPr>
          <w:p w14:paraId="6C92DB99" w14:textId="77777777" w:rsidR="00205F19" w:rsidRPr="00403A68" w:rsidRDefault="00205F19" w:rsidP="00666947">
            <w:pPr>
              <w:pStyle w:val="TableTextLeft"/>
            </w:pPr>
          </w:p>
        </w:tc>
        <w:tc>
          <w:tcPr>
            <w:tcW w:w="3698" w:type="pct"/>
            <w:noWrap/>
          </w:tcPr>
          <w:p w14:paraId="58FF77B0"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Apollo Bay Sailing Club</w:t>
            </w:r>
          </w:p>
        </w:tc>
        <w:tc>
          <w:tcPr>
            <w:tcW w:w="700" w:type="pct"/>
          </w:tcPr>
          <w:p w14:paraId="5B9F858F"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2</w:t>
            </w:r>
          </w:p>
        </w:tc>
      </w:tr>
      <w:tr w:rsidR="00205F19" w:rsidRPr="00403A68" w14:paraId="0979CEAB" w14:textId="77777777" w:rsidTr="00BA5FDF">
        <w:trPr>
          <w:trHeight w:val="192"/>
        </w:trPr>
        <w:tc>
          <w:tcPr>
            <w:cnfStyle w:val="001000000000" w:firstRow="0" w:lastRow="0" w:firstColumn="1" w:lastColumn="0" w:oddVBand="0" w:evenVBand="0" w:oddHBand="0" w:evenHBand="0" w:firstRowFirstColumn="0" w:firstRowLastColumn="0" w:lastRowFirstColumn="0" w:lastRowLastColumn="0"/>
            <w:tcW w:w="602" w:type="pct"/>
            <w:vMerge w:val="restart"/>
          </w:tcPr>
          <w:p w14:paraId="0053CFA2" w14:textId="77777777" w:rsidR="00205F19" w:rsidRPr="00403A68" w:rsidRDefault="00205F19" w:rsidP="00666947">
            <w:pPr>
              <w:pStyle w:val="TableTextLeft"/>
            </w:pPr>
            <w:r w:rsidRPr="00403A68">
              <w:t>Cycling</w:t>
            </w:r>
          </w:p>
        </w:tc>
        <w:tc>
          <w:tcPr>
            <w:tcW w:w="3698" w:type="pct"/>
            <w:noWrap/>
            <w:hideMark/>
          </w:tcPr>
          <w:p w14:paraId="2A5128E8"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Bicycle Network Victoria</w:t>
            </w:r>
          </w:p>
        </w:tc>
        <w:tc>
          <w:tcPr>
            <w:tcW w:w="700" w:type="pct"/>
          </w:tcPr>
          <w:p w14:paraId="069B28D3"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3</w:t>
            </w:r>
          </w:p>
        </w:tc>
      </w:tr>
      <w:tr w:rsidR="00205F19" w:rsidRPr="00403A68" w14:paraId="5A11F32E" w14:textId="77777777" w:rsidTr="00BA5FDF">
        <w:trPr>
          <w:trHeight w:val="226"/>
        </w:trPr>
        <w:tc>
          <w:tcPr>
            <w:cnfStyle w:val="001000000000" w:firstRow="0" w:lastRow="0" w:firstColumn="1" w:lastColumn="0" w:oddVBand="0" w:evenVBand="0" w:oddHBand="0" w:evenHBand="0" w:firstRowFirstColumn="0" w:firstRowLastColumn="0" w:lastRowFirstColumn="0" w:lastRowLastColumn="0"/>
            <w:tcW w:w="602" w:type="pct"/>
            <w:vMerge/>
          </w:tcPr>
          <w:p w14:paraId="20FA2973" w14:textId="77777777" w:rsidR="00205F19" w:rsidRPr="00403A68" w:rsidRDefault="00205F19" w:rsidP="00666947">
            <w:pPr>
              <w:pStyle w:val="TableTextLeft"/>
            </w:pPr>
          </w:p>
        </w:tc>
        <w:tc>
          <w:tcPr>
            <w:tcW w:w="3698" w:type="pct"/>
            <w:noWrap/>
            <w:hideMark/>
          </w:tcPr>
          <w:p w14:paraId="3814E483"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 xml:space="preserve">Cycling Victoria  </w:t>
            </w:r>
          </w:p>
        </w:tc>
        <w:tc>
          <w:tcPr>
            <w:tcW w:w="700" w:type="pct"/>
          </w:tcPr>
          <w:p w14:paraId="148F5739"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4</w:t>
            </w:r>
          </w:p>
        </w:tc>
      </w:tr>
      <w:tr w:rsidR="00205F19" w:rsidRPr="00403A68" w14:paraId="78AC741B" w14:textId="77777777" w:rsidTr="00BA5FDF">
        <w:trPr>
          <w:trHeight w:val="226"/>
        </w:trPr>
        <w:tc>
          <w:tcPr>
            <w:cnfStyle w:val="001000000000" w:firstRow="0" w:lastRow="0" w:firstColumn="1" w:lastColumn="0" w:oddVBand="0" w:evenVBand="0" w:oddHBand="0" w:evenHBand="0" w:firstRowFirstColumn="0" w:firstRowLastColumn="0" w:lastRowFirstColumn="0" w:lastRowLastColumn="0"/>
            <w:tcW w:w="602" w:type="pct"/>
            <w:vMerge/>
          </w:tcPr>
          <w:p w14:paraId="7DAB24DE" w14:textId="77777777" w:rsidR="00205F19" w:rsidRPr="00403A68" w:rsidRDefault="00205F19" w:rsidP="00666947">
            <w:pPr>
              <w:pStyle w:val="TableTextLeft"/>
            </w:pPr>
          </w:p>
        </w:tc>
        <w:tc>
          <w:tcPr>
            <w:tcW w:w="3698" w:type="pct"/>
            <w:noWrap/>
          </w:tcPr>
          <w:p w14:paraId="29B24DD7"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Geelong Cycling Club</w:t>
            </w:r>
          </w:p>
        </w:tc>
        <w:tc>
          <w:tcPr>
            <w:tcW w:w="700" w:type="pct"/>
          </w:tcPr>
          <w:p w14:paraId="3860E7E1"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5</w:t>
            </w:r>
          </w:p>
        </w:tc>
      </w:tr>
      <w:tr w:rsidR="00205F19" w:rsidRPr="00403A68" w14:paraId="490CE8B8" w14:textId="77777777" w:rsidTr="00BA5FDF">
        <w:trPr>
          <w:trHeight w:val="226"/>
        </w:trPr>
        <w:tc>
          <w:tcPr>
            <w:cnfStyle w:val="001000000000" w:firstRow="0" w:lastRow="0" w:firstColumn="1" w:lastColumn="0" w:oddVBand="0" w:evenVBand="0" w:oddHBand="0" w:evenHBand="0" w:firstRowFirstColumn="0" w:firstRowLastColumn="0" w:lastRowFirstColumn="0" w:lastRowLastColumn="0"/>
            <w:tcW w:w="602" w:type="pct"/>
            <w:vMerge/>
          </w:tcPr>
          <w:p w14:paraId="0AEF3A0E" w14:textId="77777777" w:rsidR="00205F19" w:rsidRPr="00403A68" w:rsidRDefault="00205F19" w:rsidP="00666947">
            <w:pPr>
              <w:pStyle w:val="TableTextLeft"/>
            </w:pPr>
          </w:p>
        </w:tc>
        <w:tc>
          <w:tcPr>
            <w:tcW w:w="3698" w:type="pct"/>
            <w:noWrap/>
          </w:tcPr>
          <w:p w14:paraId="1692E383"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Geelong &amp; Surf Coast Cycling Club</w:t>
            </w:r>
          </w:p>
        </w:tc>
        <w:tc>
          <w:tcPr>
            <w:tcW w:w="700" w:type="pct"/>
          </w:tcPr>
          <w:p w14:paraId="1C2EC374"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6</w:t>
            </w:r>
          </w:p>
        </w:tc>
      </w:tr>
      <w:tr w:rsidR="00205F19" w:rsidRPr="00403A68" w14:paraId="51294E80" w14:textId="77777777" w:rsidTr="00BA5FDF">
        <w:trPr>
          <w:trHeight w:val="226"/>
        </w:trPr>
        <w:tc>
          <w:tcPr>
            <w:cnfStyle w:val="001000000000" w:firstRow="0" w:lastRow="0" w:firstColumn="1" w:lastColumn="0" w:oddVBand="0" w:evenVBand="0" w:oddHBand="0" w:evenHBand="0" w:firstRowFirstColumn="0" w:firstRowLastColumn="0" w:lastRowFirstColumn="0" w:lastRowLastColumn="0"/>
            <w:tcW w:w="602" w:type="pct"/>
            <w:vMerge/>
          </w:tcPr>
          <w:p w14:paraId="0F48C1CC" w14:textId="77777777" w:rsidR="00205F19" w:rsidRPr="00403A68" w:rsidRDefault="00205F19" w:rsidP="00666947">
            <w:pPr>
              <w:pStyle w:val="TableTextLeft"/>
            </w:pPr>
          </w:p>
        </w:tc>
        <w:tc>
          <w:tcPr>
            <w:tcW w:w="3698" w:type="pct"/>
            <w:noWrap/>
          </w:tcPr>
          <w:p w14:paraId="753F789C"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Great Ocean Road Cycling</w:t>
            </w:r>
          </w:p>
        </w:tc>
        <w:tc>
          <w:tcPr>
            <w:tcW w:w="700" w:type="pct"/>
          </w:tcPr>
          <w:p w14:paraId="1F03002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7</w:t>
            </w:r>
          </w:p>
        </w:tc>
      </w:tr>
      <w:tr w:rsidR="00205F19" w:rsidRPr="00403A68" w14:paraId="38E0364E"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val="restart"/>
          </w:tcPr>
          <w:p w14:paraId="38B57425" w14:textId="77777777" w:rsidR="00205F19" w:rsidRPr="00403A68" w:rsidRDefault="00205F19" w:rsidP="00666947">
            <w:pPr>
              <w:pStyle w:val="TableTextLeft"/>
            </w:pPr>
            <w:r w:rsidRPr="00403A68">
              <w:t>Fishing</w:t>
            </w:r>
          </w:p>
        </w:tc>
        <w:tc>
          <w:tcPr>
            <w:tcW w:w="3698" w:type="pct"/>
            <w:noWrap/>
          </w:tcPr>
          <w:p w14:paraId="24357BA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Apollo Bay Recreational Fishing Club</w:t>
            </w:r>
          </w:p>
        </w:tc>
        <w:tc>
          <w:tcPr>
            <w:tcW w:w="700" w:type="pct"/>
          </w:tcPr>
          <w:p w14:paraId="32D5385E"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8</w:t>
            </w:r>
          </w:p>
        </w:tc>
      </w:tr>
      <w:tr w:rsidR="00205F19" w:rsidRPr="00403A68" w14:paraId="663F542A"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0C90251B" w14:textId="77777777" w:rsidR="00205F19" w:rsidRPr="00403A68" w:rsidRDefault="00205F19" w:rsidP="00666947">
            <w:pPr>
              <w:pStyle w:val="TableTextLeft"/>
            </w:pPr>
          </w:p>
        </w:tc>
        <w:tc>
          <w:tcPr>
            <w:tcW w:w="3698" w:type="pct"/>
            <w:noWrap/>
          </w:tcPr>
          <w:p w14:paraId="10EC3D53"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Lorne Aquatic and Angling Club</w:t>
            </w:r>
          </w:p>
        </w:tc>
        <w:tc>
          <w:tcPr>
            <w:tcW w:w="700" w:type="pct"/>
          </w:tcPr>
          <w:p w14:paraId="51F95BB0"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9</w:t>
            </w:r>
          </w:p>
        </w:tc>
      </w:tr>
      <w:tr w:rsidR="00205F19" w:rsidRPr="00403A68" w14:paraId="2426AA41"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val="restart"/>
          </w:tcPr>
          <w:p w14:paraId="268CB84F" w14:textId="77777777" w:rsidR="00205F19" w:rsidRPr="00403A68" w:rsidRDefault="00205F19" w:rsidP="00666947">
            <w:pPr>
              <w:pStyle w:val="TableTextLeft"/>
            </w:pPr>
            <w:r w:rsidRPr="00403A68">
              <w:t>Golf</w:t>
            </w:r>
          </w:p>
        </w:tc>
        <w:tc>
          <w:tcPr>
            <w:tcW w:w="3698" w:type="pct"/>
            <w:noWrap/>
            <w:hideMark/>
          </w:tcPr>
          <w:p w14:paraId="7F877B7F"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Apollo Bay Golf Club</w:t>
            </w:r>
          </w:p>
        </w:tc>
        <w:tc>
          <w:tcPr>
            <w:tcW w:w="700" w:type="pct"/>
          </w:tcPr>
          <w:p w14:paraId="0B99BE50"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10</w:t>
            </w:r>
          </w:p>
        </w:tc>
      </w:tr>
      <w:tr w:rsidR="00205F19" w:rsidRPr="00403A68" w14:paraId="7E99C2B7"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7A5E3303" w14:textId="77777777" w:rsidR="00205F19" w:rsidRPr="00403A68" w:rsidRDefault="00205F19" w:rsidP="00666947">
            <w:pPr>
              <w:pStyle w:val="TableTextLeft"/>
            </w:pPr>
          </w:p>
        </w:tc>
        <w:tc>
          <w:tcPr>
            <w:tcW w:w="3698" w:type="pct"/>
            <w:noWrap/>
          </w:tcPr>
          <w:p w14:paraId="0AD7EB29"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Anglesea Golf Club</w:t>
            </w:r>
          </w:p>
        </w:tc>
        <w:tc>
          <w:tcPr>
            <w:tcW w:w="700" w:type="pct"/>
          </w:tcPr>
          <w:p w14:paraId="18653B1F"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11</w:t>
            </w:r>
          </w:p>
        </w:tc>
      </w:tr>
      <w:tr w:rsidR="00205F19" w:rsidRPr="00403A68" w14:paraId="1B8E570A"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6BCFD7FF" w14:textId="77777777" w:rsidR="00205F19" w:rsidRPr="00403A68" w:rsidRDefault="00205F19" w:rsidP="00666947">
            <w:pPr>
              <w:pStyle w:val="TableTextLeft"/>
            </w:pPr>
          </w:p>
        </w:tc>
        <w:tc>
          <w:tcPr>
            <w:tcW w:w="3698" w:type="pct"/>
            <w:noWrap/>
          </w:tcPr>
          <w:p w14:paraId="1F9E32AC"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Lorne Country club</w:t>
            </w:r>
          </w:p>
        </w:tc>
        <w:tc>
          <w:tcPr>
            <w:tcW w:w="700" w:type="pct"/>
          </w:tcPr>
          <w:p w14:paraId="130AACA8"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12</w:t>
            </w:r>
          </w:p>
        </w:tc>
      </w:tr>
      <w:tr w:rsidR="00205F19" w:rsidRPr="00403A68" w14:paraId="0428B8E6"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3EADE257" w14:textId="77777777" w:rsidR="00205F19" w:rsidRPr="00403A68" w:rsidRDefault="00205F19" w:rsidP="00666947">
            <w:pPr>
              <w:pStyle w:val="TableTextLeft"/>
            </w:pPr>
          </w:p>
        </w:tc>
        <w:tc>
          <w:tcPr>
            <w:tcW w:w="3698" w:type="pct"/>
            <w:noWrap/>
          </w:tcPr>
          <w:p w14:paraId="2FD0F6ED"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Peterborough Golf Club</w:t>
            </w:r>
          </w:p>
        </w:tc>
        <w:tc>
          <w:tcPr>
            <w:tcW w:w="700" w:type="pct"/>
          </w:tcPr>
          <w:p w14:paraId="7E9DBB5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13</w:t>
            </w:r>
          </w:p>
        </w:tc>
      </w:tr>
      <w:tr w:rsidR="00205F19" w:rsidRPr="00403A68" w14:paraId="5BEDBB58"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2949FD56" w14:textId="77777777" w:rsidR="00205F19" w:rsidRPr="00403A68" w:rsidRDefault="00205F19" w:rsidP="00666947">
            <w:pPr>
              <w:pStyle w:val="TableTextLeft"/>
            </w:pPr>
          </w:p>
        </w:tc>
        <w:tc>
          <w:tcPr>
            <w:tcW w:w="3698" w:type="pct"/>
            <w:noWrap/>
          </w:tcPr>
          <w:p w14:paraId="1688A569"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Torquay Golf Course</w:t>
            </w:r>
          </w:p>
        </w:tc>
        <w:tc>
          <w:tcPr>
            <w:tcW w:w="700" w:type="pct"/>
          </w:tcPr>
          <w:p w14:paraId="133E6678"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14</w:t>
            </w:r>
          </w:p>
        </w:tc>
      </w:tr>
      <w:tr w:rsidR="00205F19" w:rsidRPr="00403A68" w14:paraId="174A8EE9"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4A39102F" w14:textId="77777777" w:rsidR="00205F19" w:rsidRPr="00403A68" w:rsidRDefault="00205F19" w:rsidP="00666947">
            <w:pPr>
              <w:pStyle w:val="TableTextLeft"/>
            </w:pPr>
          </w:p>
        </w:tc>
        <w:tc>
          <w:tcPr>
            <w:tcW w:w="3698" w:type="pct"/>
            <w:noWrap/>
          </w:tcPr>
          <w:p w14:paraId="0A2EC686"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Warrnambool Golf Club</w:t>
            </w:r>
          </w:p>
        </w:tc>
        <w:tc>
          <w:tcPr>
            <w:tcW w:w="700" w:type="pct"/>
          </w:tcPr>
          <w:p w14:paraId="3F82C84A"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15</w:t>
            </w:r>
          </w:p>
        </w:tc>
      </w:tr>
      <w:tr w:rsidR="00205F19" w:rsidRPr="00403A68" w14:paraId="0EFF3766"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val="restart"/>
          </w:tcPr>
          <w:p w14:paraId="225933D3" w14:textId="77777777" w:rsidR="00205F19" w:rsidRPr="00403A68" w:rsidRDefault="00205F19" w:rsidP="00666947">
            <w:pPr>
              <w:pStyle w:val="TableTextLeft"/>
            </w:pPr>
            <w:r w:rsidRPr="00403A68">
              <w:t>Surf Lifesaving</w:t>
            </w:r>
          </w:p>
        </w:tc>
        <w:tc>
          <w:tcPr>
            <w:tcW w:w="3698" w:type="pct"/>
            <w:noWrap/>
          </w:tcPr>
          <w:p w14:paraId="5325DB73"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Apollo Bay Surf Lifesaving Club</w:t>
            </w:r>
          </w:p>
        </w:tc>
        <w:tc>
          <w:tcPr>
            <w:tcW w:w="700" w:type="pct"/>
          </w:tcPr>
          <w:p w14:paraId="6E60B4A6"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16</w:t>
            </w:r>
          </w:p>
        </w:tc>
      </w:tr>
      <w:tr w:rsidR="00205F19" w:rsidRPr="00403A68" w14:paraId="0C9E1100"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6FFCF787" w14:textId="77777777" w:rsidR="00205F19" w:rsidRPr="00403A68" w:rsidRDefault="00205F19" w:rsidP="00666947">
            <w:pPr>
              <w:pStyle w:val="TableTextLeft"/>
            </w:pPr>
          </w:p>
        </w:tc>
        <w:tc>
          <w:tcPr>
            <w:tcW w:w="3698" w:type="pct"/>
            <w:noWrap/>
          </w:tcPr>
          <w:p w14:paraId="56B0EE14"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Anglesea Surf Lifesaving Club</w:t>
            </w:r>
          </w:p>
        </w:tc>
        <w:tc>
          <w:tcPr>
            <w:tcW w:w="700" w:type="pct"/>
          </w:tcPr>
          <w:p w14:paraId="5CAA4ECE"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17</w:t>
            </w:r>
          </w:p>
        </w:tc>
      </w:tr>
      <w:tr w:rsidR="00205F19" w:rsidRPr="00403A68" w14:paraId="36DFF960"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26FEF083" w14:textId="77777777" w:rsidR="00205F19" w:rsidRPr="00403A68" w:rsidRDefault="00205F19" w:rsidP="00666947">
            <w:pPr>
              <w:pStyle w:val="TableTextLeft"/>
            </w:pPr>
          </w:p>
        </w:tc>
        <w:tc>
          <w:tcPr>
            <w:tcW w:w="3698" w:type="pct"/>
            <w:noWrap/>
          </w:tcPr>
          <w:p w14:paraId="1D5D9E52"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Fairhaven Surf Lifesaving Club</w:t>
            </w:r>
          </w:p>
        </w:tc>
        <w:tc>
          <w:tcPr>
            <w:tcW w:w="700" w:type="pct"/>
          </w:tcPr>
          <w:p w14:paraId="2B8F6344"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18</w:t>
            </w:r>
          </w:p>
        </w:tc>
      </w:tr>
      <w:tr w:rsidR="00205F19" w:rsidRPr="00403A68" w14:paraId="3A38CAF5"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496EB144" w14:textId="77777777" w:rsidR="00205F19" w:rsidRPr="00403A68" w:rsidRDefault="00205F19" w:rsidP="00666947">
            <w:pPr>
              <w:pStyle w:val="TableTextLeft"/>
            </w:pPr>
          </w:p>
        </w:tc>
        <w:tc>
          <w:tcPr>
            <w:tcW w:w="3698" w:type="pct"/>
            <w:noWrap/>
          </w:tcPr>
          <w:p w14:paraId="36934BEE"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Kennett River Surf Lifesaving Club</w:t>
            </w:r>
          </w:p>
        </w:tc>
        <w:tc>
          <w:tcPr>
            <w:tcW w:w="700" w:type="pct"/>
          </w:tcPr>
          <w:p w14:paraId="4BD4B537"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19</w:t>
            </w:r>
          </w:p>
        </w:tc>
      </w:tr>
      <w:tr w:rsidR="00205F19" w:rsidRPr="00403A68" w14:paraId="70FE2CE0"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2FCEF9E3" w14:textId="77777777" w:rsidR="00205F19" w:rsidRPr="00403A68" w:rsidRDefault="00205F19" w:rsidP="00666947">
            <w:pPr>
              <w:pStyle w:val="TableTextLeft"/>
            </w:pPr>
          </w:p>
        </w:tc>
        <w:tc>
          <w:tcPr>
            <w:tcW w:w="3698" w:type="pct"/>
            <w:noWrap/>
          </w:tcPr>
          <w:p w14:paraId="32554DFC"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Port Campbell Surf Lifesaving Club</w:t>
            </w:r>
          </w:p>
        </w:tc>
        <w:tc>
          <w:tcPr>
            <w:tcW w:w="700" w:type="pct"/>
          </w:tcPr>
          <w:p w14:paraId="0D9D9231"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20</w:t>
            </w:r>
          </w:p>
        </w:tc>
      </w:tr>
      <w:tr w:rsidR="00205F19" w:rsidRPr="00403A68" w14:paraId="24E2A9CA"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620C8DBA" w14:textId="77777777" w:rsidR="00205F19" w:rsidRPr="00403A68" w:rsidRDefault="00205F19" w:rsidP="00666947">
            <w:pPr>
              <w:pStyle w:val="TableTextLeft"/>
            </w:pPr>
          </w:p>
        </w:tc>
        <w:tc>
          <w:tcPr>
            <w:tcW w:w="3698" w:type="pct"/>
            <w:noWrap/>
          </w:tcPr>
          <w:p w14:paraId="16A5F842"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Torquay Surf Lifesaving Club</w:t>
            </w:r>
          </w:p>
        </w:tc>
        <w:tc>
          <w:tcPr>
            <w:tcW w:w="700" w:type="pct"/>
          </w:tcPr>
          <w:p w14:paraId="7831ADBA"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21</w:t>
            </w:r>
          </w:p>
        </w:tc>
      </w:tr>
      <w:tr w:rsidR="00205F19" w:rsidRPr="00403A68" w14:paraId="5728E0C0"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26986F8B" w14:textId="77777777" w:rsidR="00205F19" w:rsidRPr="00403A68" w:rsidRDefault="00205F19" w:rsidP="00666947">
            <w:pPr>
              <w:pStyle w:val="TableTextLeft"/>
            </w:pPr>
          </w:p>
        </w:tc>
        <w:tc>
          <w:tcPr>
            <w:tcW w:w="3698" w:type="pct"/>
            <w:noWrap/>
          </w:tcPr>
          <w:p w14:paraId="40FBF413"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Wye River Surf Lifesaving Club</w:t>
            </w:r>
          </w:p>
        </w:tc>
        <w:tc>
          <w:tcPr>
            <w:tcW w:w="700" w:type="pct"/>
          </w:tcPr>
          <w:p w14:paraId="1CCF48CF"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22</w:t>
            </w:r>
          </w:p>
        </w:tc>
      </w:tr>
      <w:tr w:rsidR="00205F19" w:rsidRPr="00403A68" w14:paraId="65DA2E4E" w14:textId="77777777" w:rsidTr="00BA5FDF">
        <w:trPr>
          <w:trHeight w:val="256"/>
        </w:trPr>
        <w:tc>
          <w:tcPr>
            <w:cnfStyle w:val="001000000000" w:firstRow="0" w:lastRow="0" w:firstColumn="1" w:lastColumn="0" w:oddVBand="0" w:evenVBand="0" w:oddHBand="0" w:evenHBand="0" w:firstRowFirstColumn="0" w:firstRowLastColumn="0" w:lastRowFirstColumn="0" w:lastRowLastColumn="0"/>
            <w:tcW w:w="602" w:type="pct"/>
            <w:vMerge w:val="restart"/>
          </w:tcPr>
          <w:p w14:paraId="5642FE64" w14:textId="77777777" w:rsidR="00205F19" w:rsidRPr="00403A68" w:rsidRDefault="00205F19" w:rsidP="00666947">
            <w:pPr>
              <w:pStyle w:val="TableTextLeft"/>
            </w:pPr>
            <w:r w:rsidRPr="00403A68">
              <w:t>Surfing</w:t>
            </w:r>
          </w:p>
        </w:tc>
        <w:tc>
          <w:tcPr>
            <w:tcW w:w="3698" w:type="pct"/>
            <w:noWrap/>
          </w:tcPr>
          <w:p w14:paraId="63261798"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Surfers Appreciating Natural Environment (Sane)</w:t>
            </w:r>
          </w:p>
        </w:tc>
        <w:tc>
          <w:tcPr>
            <w:tcW w:w="700" w:type="pct"/>
          </w:tcPr>
          <w:p w14:paraId="4764172F"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23</w:t>
            </w:r>
          </w:p>
        </w:tc>
      </w:tr>
      <w:tr w:rsidR="00205F19" w:rsidRPr="00403A68" w14:paraId="63D9AED6"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7E2F4411" w14:textId="77777777" w:rsidR="00205F19" w:rsidRPr="00403A68" w:rsidRDefault="00205F19" w:rsidP="00666947">
            <w:pPr>
              <w:pStyle w:val="TableTextLeft"/>
            </w:pPr>
          </w:p>
        </w:tc>
        <w:tc>
          <w:tcPr>
            <w:tcW w:w="3698" w:type="pct"/>
            <w:noWrap/>
          </w:tcPr>
          <w:p w14:paraId="7653494B"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 xml:space="preserve">Torquay </w:t>
            </w:r>
            <w:proofErr w:type="spellStart"/>
            <w:r w:rsidRPr="00403A68">
              <w:t>Boardriders</w:t>
            </w:r>
            <w:proofErr w:type="spellEnd"/>
            <w:r w:rsidRPr="00403A68">
              <w:t xml:space="preserve"> Club</w:t>
            </w:r>
          </w:p>
        </w:tc>
        <w:tc>
          <w:tcPr>
            <w:tcW w:w="700" w:type="pct"/>
          </w:tcPr>
          <w:p w14:paraId="742FABAB"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24</w:t>
            </w:r>
          </w:p>
        </w:tc>
      </w:tr>
      <w:tr w:rsidR="00205F19" w:rsidRPr="00403A68" w14:paraId="6E07217B"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val="restart"/>
          </w:tcPr>
          <w:p w14:paraId="3115415A" w14:textId="77777777" w:rsidR="00205F19" w:rsidRPr="00403A68" w:rsidRDefault="00205F19" w:rsidP="00666947">
            <w:pPr>
              <w:pStyle w:val="TableTextLeft"/>
            </w:pPr>
            <w:r w:rsidRPr="00403A68">
              <w:t>Volunteer groups</w:t>
            </w:r>
          </w:p>
        </w:tc>
        <w:tc>
          <w:tcPr>
            <w:tcW w:w="3698" w:type="pct"/>
          </w:tcPr>
          <w:p w14:paraId="1778EBF8"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Aireys Inlet and District Association</w:t>
            </w:r>
          </w:p>
        </w:tc>
        <w:tc>
          <w:tcPr>
            <w:tcW w:w="700" w:type="pct"/>
          </w:tcPr>
          <w:p w14:paraId="15014D82"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25</w:t>
            </w:r>
          </w:p>
        </w:tc>
      </w:tr>
      <w:tr w:rsidR="00205F19" w:rsidRPr="00403A68" w14:paraId="4DC5BAEA"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229C60CC" w14:textId="77777777" w:rsidR="00205F19" w:rsidRPr="00403A68" w:rsidRDefault="00205F19" w:rsidP="00666947">
            <w:pPr>
              <w:pStyle w:val="TableTextLeft"/>
            </w:pPr>
          </w:p>
        </w:tc>
        <w:tc>
          <w:tcPr>
            <w:tcW w:w="3698" w:type="pct"/>
          </w:tcPr>
          <w:p w14:paraId="643A485A"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Aireys Inlet Community Garden</w:t>
            </w:r>
          </w:p>
        </w:tc>
        <w:tc>
          <w:tcPr>
            <w:tcW w:w="700" w:type="pct"/>
          </w:tcPr>
          <w:p w14:paraId="2AF68129"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26</w:t>
            </w:r>
          </w:p>
        </w:tc>
      </w:tr>
      <w:tr w:rsidR="00205F19" w:rsidRPr="00403A68" w14:paraId="5894DB90"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35A0859D" w14:textId="77777777" w:rsidR="00205F19" w:rsidRPr="00403A68" w:rsidRDefault="00205F19" w:rsidP="00666947">
            <w:pPr>
              <w:pStyle w:val="TableTextLeft"/>
            </w:pPr>
          </w:p>
        </w:tc>
        <w:tc>
          <w:tcPr>
            <w:tcW w:w="3698" w:type="pct"/>
            <w:hideMark/>
          </w:tcPr>
          <w:p w14:paraId="6A32B35F"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Allansford Recreation Reserve Inc</w:t>
            </w:r>
          </w:p>
        </w:tc>
        <w:tc>
          <w:tcPr>
            <w:tcW w:w="700" w:type="pct"/>
          </w:tcPr>
          <w:p w14:paraId="36182D76"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27</w:t>
            </w:r>
          </w:p>
        </w:tc>
      </w:tr>
      <w:tr w:rsidR="00205F19" w:rsidRPr="00403A68" w14:paraId="424B6A36"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61B7F907" w14:textId="77777777" w:rsidR="00205F19" w:rsidRPr="00403A68" w:rsidRDefault="00205F19" w:rsidP="00666947">
            <w:pPr>
              <w:pStyle w:val="TableTextLeft"/>
            </w:pPr>
          </w:p>
        </w:tc>
        <w:tc>
          <w:tcPr>
            <w:tcW w:w="3698" w:type="pct"/>
          </w:tcPr>
          <w:p w14:paraId="69D979F3"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Anglesea, Aireys Inlet Society for the Preservation of Flora and Fauna</w:t>
            </w:r>
          </w:p>
        </w:tc>
        <w:tc>
          <w:tcPr>
            <w:tcW w:w="700" w:type="pct"/>
          </w:tcPr>
          <w:p w14:paraId="57285B82"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28</w:t>
            </w:r>
          </w:p>
        </w:tc>
      </w:tr>
      <w:tr w:rsidR="00205F19" w:rsidRPr="00403A68" w14:paraId="5748D3D5"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6236673E" w14:textId="77777777" w:rsidR="00205F19" w:rsidRPr="00403A68" w:rsidRDefault="00205F19" w:rsidP="00666947">
            <w:pPr>
              <w:pStyle w:val="TableTextLeft"/>
            </w:pPr>
          </w:p>
        </w:tc>
        <w:tc>
          <w:tcPr>
            <w:tcW w:w="3698" w:type="pct"/>
          </w:tcPr>
          <w:p w14:paraId="5C239641"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roofErr w:type="spellStart"/>
            <w:r w:rsidRPr="00403A68">
              <w:t>Basault</w:t>
            </w:r>
            <w:proofErr w:type="spellEnd"/>
            <w:r w:rsidRPr="00403A68">
              <w:t xml:space="preserve"> to Bay Landcare Network</w:t>
            </w:r>
          </w:p>
        </w:tc>
        <w:tc>
          <w:tcPr>
            <w:tcW w:w="700" w:type="pct"/>
          </w:tcPr>
          <w:p w14:paraId="5C48288F"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29</w:t>
            </w:r>
          </w:p>
        </w:tc>
      </w:tr>
      <w:tr w:rsidR="00205F19" w:rsidRPr="00403A68" w14:paraId="628DA689"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1FF38313" w14:textId="77777777" w:rsidR="00205F19" w:rsidRPr="00403A68" w:rsidRDefault="00205F19" w:rsidP="00666947">
            <w:pPr>
              <w:pStyle w:val="TableTextLeft"/>
            </w:pPr>
          </w:p>
        </w:tc>
        <w:tc>
          <w:tcPr>
            <w:tcW w:w="3698" w:type="pct"/>
          </w:tcPr>
          <w:p w14:paraId="5BF82A92"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Birregurra Recreation Reserve Committee of Management Inc</w:t>
            </w:r>
          </w:p>
        </w:tc>
        <w:tc>
          <w:tcPr>
            <w:tcW w:w="700" w:type="pct"/>
          </w:tcPr>
          <w:p w14:paraId="5A86057E"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30</w:t>
            </w:r>
          </w:p>
        </w:tc>
      </w:tr>
      <w:tr w:rsidR="00205F19" w:rsidRPr="00403A68" w14:paraId="18FD3B6B" w14:textId="77777777" w:rsidTr="00BA5FDF">
        <w:trPr>
          <w:trHeight w:val="128"/>
        </w:trPr>
        <w:tc>
          <w:tcPr>
            <w:cnfStyle w:val="001000000000" w:firstRow="0" w:lastRow="0" w:firstColumn="1" w:lastColumn="0" w:oddVBand="0" w:evenVBand="0" w:oddHBand="0" w:evenHBand="0" w:firstRowFirstColumn="0" w:firstRowLastColumn="0" w:lastRowFirstColumn="0" w:lastRowLastColumn="0"/>
            <w:tcW w:w="602" w:type="pct"/>
            <w:vMerge/>
          </w:tcPr>
          <w:p w14:paraId="6F3AC7F5" w14:textId="77777777" w:rsidR="00205F19" w:rsidRPr="00403A68" w:rsidRDefault="00205F19" w:rsidP="00666947">
            <w:pPr>
              <w:pStyle w:val="TableTextLeft"/>
            </w:pPr>
          </w:p>
        </w:tc>
        <w:tc>
          <w:tcPr>
            <w:tcW w:w="3698" w:type="pct"/>
          </w:tcPr>
          <w:p w14:paraId="3D15FB50"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Colac Otway Residents Action Group</w:t>
            </w:r>
          </w:p>
        </w:tc>
        <w:tc>
          <w:tcPr>
            <w:tcW w:w="700" w:type="pct"/>
          </w:tcPr>
          <w:p w14:paraId="0F5708E7"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31</w:t>
            </w:r>
          </w:p>
        </w:tc>
      </w:tr>
      <w:tr w:rsidR="00205F19" w:rsidRPr="00403A68" w14:paraId="733E841D" w14:textId="77777777" w:rsidTr="00BA5FDF">
        <w:trPr>
          <w:trHeight w:val="128"/>
        </w:trPr>
        <w:tc>
          <w:tcPr>
            <w:cnfStyle w:val="001000000000" w:firstRow="0" w:lastRow="0" w:firstColumn="1" w:lastColumn="0" w:oddVBand="0" w:evenVBand="0" w:oddHBand="0" w:evenHBand="0" w:firstRowFirstColumn="0" w:firstRowLastColumn="0" w:lastRowFirstColumn="0" w:lastRowLastColumn="0"/>
            <w:tcW w:w="602" w:type="pct"/>
            <w:vMerge/>
          </w:tcPr>
          <w:p w14:paraId="45DD45DF" w14:textId="77777777" w:rsidR="00205F19" w:rsidRPr="00403A68" w:rsidRDefault="00205F19" w:rsidP="00666947">
            <w:pPr>
              <w:pStyle w:val="TableTextLeft"/>
            </w:pPr>
          </w:p>
        </w:tc>
        <w:tc>
          <w:tcPr>
            <w:tcW w:w="3698" w:type="pct"/>
          </w:tcPr>
          <w:p w14:paraId="54CE5939"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roofErr w:type="spellStart"/>
            <w:r w:rsidRPr="00403A68">
              <w:t>Cowleys</w:t>
            </w:r>
            <w:proofErr w:type="spellEnd"/>
            <w:r w:rsidRPr="00403A68">
              <w:t xml:space="preserve"> Creek Recreation Reserve Committee</w:t>
            </w:r>
          </w:p>
        </w:tc>
        <w:tc>
          <w:tcPr>
            <w:tcW w:w="700" w:type="pct"/>
          </w:tcPr>
          <w:p w14:paraId="0B41B80D"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32</w:t>
            </w:r>
          </w:p>
        </w:tc>
      </w:tr>
      <w:tr w:rsidR="00205F19" w:rsidRPr="00403A68" w14:paraId="7CE8BB5F" w14:textId="77777777" w:rsidTr="00BA5FDF">
        <w:trPr>
          <w:trHeight w:val="128"/>
        </w:trPr>
        <w:tc>
          <w:tcPr>
            <w:cnfStyle w:val="001000000000" w:firstRow="0" w:lastRow="0" w:firstColumn="1" w:lastColumn="0" w:oddVBand="0" w:evenVBand="0" w:oddHBand="0" w:evenHBand="0" w:firstRowFirstColumn="0" w:firstRowLastColumn="0" w:lastRowFirstColumn="0" w:lastRowLastColumn="0"/>
            <w:tcW w:w="602" w:type="pct"/>
            <w:vMerge/>
          </w:tcPr>
          <w:p w14:paraId="405F51FC" w14:textId="77777777" w:rsidR="00205F19" w:rsidRPr="00403A68" w:rsidRDefault="00205F19" w:rsidP="00666947">
            <w:pPr>
              <w:pStyle w:val="TableTextLeft"/>
            </w:pPr>
          </w:p>
        </w:tc>
        <w:tc>
          <w:tcPr>
            <w:tcW w:w="3698" w:type="pct"/>
          </w:tcPr>
          <w:p w14:paraId="23D8F75B"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East Otway Landcare Group</w:t>
            </w:r>
          </w:p>
        </w:tc>
        <w:tc>
          <w:tcPr>
            <w:tcW w:w="700" w:type="pct"/>
          </w:tcPr>
          <w:p w14:paraId="55962A7C"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33</w:t>
            </w:r>
          </w:p>
        </w:tc>
      </w:tr>
      <w:tr w:rsidR="00205F19" w:rsidRPr="00403A68" w14:paraId="0BDAA877"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07693409" w14:textId="77777777" w:rsidR="00205F19" w:rsidRPr="00403A68" w:rsidRDefault="00205F19" w:rsidP="00666947">
            <w:pPr>
              <w:pStyle w:val="TableTextLeft"/>
            </w:pPr>
          </w:p>
        </w:tc>
        <w:tc>
          <w:tcPr>
            <w:tcW w:w="3698" w:type="pct"/>
          </w:tcPr>
          <w:p w14:paraId="69FDEEF2"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Forrest and District Community Group</w:t>
            </w:r>
          </w:p>
        </w:tc>
        <w:tc>
          <w:tcPr>
            <w:tcW w:w="700" w:type="pct"/>
          </w:tcPr>
          <w:p w14:paraId="4DC4A429"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34</w:t>
            </w:r>
          </w:p>
        </w:tc>
      </w:tr>
      <w:tr w:rsidR="00205F19" w:rsidRPr="00403A68" w14:paraId="1683B732"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5E7DA276" w14:textId="77777777" w:rsidR="00205F19" w:rsidRPr="00403A68" w:rsidRDefault="00205F19" w:rsidP="00666947">
            <w:pPr>
              <w:pStyle w:val="TableTextLeft"/>
            </w:pPr>
          </w:p>
        </w:tc>
        <w:tc>
          <w:tcPr>
            <w:tcW w:w="3698" w:type="pct"/>
          </w:tcPr>
          <w:p w14:paraId="14CE82C7"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Friends of Aireys Inlet Coastal Reserve</w:t>
            </w:r>
          </w:p>
        </w:tc>
        <w:tc>
          <w:tcPr>
            <w:tcW w:w="700" w:type="pct"/>
          </w:tcPr>
          <w:p w14:paraId="517BD413"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35</w:t>
            </w:r>
          </w:p>
        </w:tc>
      </w:tr>
      <w:tr w:rsidR="00205F19" w:rsidRPr="00403A68" w14:paraId="2EE7FE08"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5617A7EB" w14:textId="77777777" w:rsidR="00205F19" w:rsidRPr="00403A68" w:rsidRDefault="00205F19" w:rsidP="00666947">
            <w:pPr>
              <w:pStyle w:val="TableTextLeft"/>
            </w:pPr>
          </w:p>
        </w:tc>
        <w:tc>
          <w:tcPr>
            <w:tcW w:w="3698" w:type="pct"/>
          </w:tcPr>
          <w:p w14:paraId="6491C96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Friends of Allen Noble Sanctuary</w:t>
            </w:r>
          </w:p>
        </w:tc>
        <w:tc>
          <w:tcPr>
            <w:tcW w:w="700" w:type="pct"/>
          </w:tcPr>
          <w:p w14:paraId="47E81E87"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36</w:t>
            </w:r>
          </w:p>
        </w:tc>
      </w:tr>
      <w:tr w:rsidR="00205F19" w:rsidRPr="00403A68" w14:paraId="554C64B4"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15093C58" w14:textId="77777777" w:rsidR="00205F19" w:rsidRPr="00403A68" w:rsidRDefault="00205F19" w:rsidP="00666947">
            <w:pPr>
              <w:pStyle w:val="TableTextLeft"/>
            </w:pPr>
          </w:p>
        </w:tc>
        <w:tc>
          <w:tcPr>
            <w:tcW w:w="3698" w:type="pct"/>
          </w:tcPr>
          <w:p w14:paraId="1E5CC1BB"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Friends of the Anglesea Coast</w:t>
            </w:r>
          </w:p>
        </w:tc>
        <w:tc>
          <w:tcPr>
            <w:tcW w:w="700" w:type="pct"/>
          </w:tcPr>
          <w:p w14:paraId="6780DA87"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37</w:t>
            </w:r>
          </w:p>
        </w:tc>
      </w:tr>
      <w:tr w:rsidR="00205F19" w:rsidRPr="00403A68" w14:paraId="3F70CFF0"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6EC02A4D" w14:textId="77777777" w:rsidR="00205F19" w:rsidRPr="00403A68" w:rsidRDefault="00205F19" w:rsidP="00666947">
            <w:pPr>
              <w:pStyle w:val="TableTextLeft"/>
            </w:pPr>
          </w:p>
        </w:tc>
        <w:tc>
          <w:tcPr>
            <w:tcW w:w="3698" w:type="pct"/>
          </w:tcPr>
          <w:p w14:paraId="5D23AECD"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Friends of Eagle Rock Marine Sanctuary</w:t>
            </w:r>
          </w:p>
        </w:tc>
        <w:tc>
          <w:tcPr>
            <w:tcW w:w="700" w:type="pct"/>
          </w:tcPr>
          <w:p w14:paraId="3CF5DECA"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38</w:t>
            </w:r>
          </w:p>
        </w:tc>
      </w:tr>
      <w:tr w:rsidR="00205F19" w:rsidRPr="00403A68" w14:paraId="1A378F01"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65E5FAE2" w14:textId="77777777" w:rsidR="00205F19" w:rsidRPr="00403A68" w:rsidRDefault="00205F19" w:rsidP="00666947">
            <w:pPr>
              <w:pStyle w:val="TableTextLeft"/>
            </w:pPr>
          </w:p>
        </w:tc>
        <w:tc>
          <w:tcPr>
            <w:tcW w:w="3698" w:type="pct"/>
          </w:tcPr>
          <w:p w14:paraId="42D6A1FE"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 xml:space="preserve">Friends of the Eastern </w:t>
            </w:r>
            <w:proofErr w:type="spellStart"/>
            <w:r w:rsidRPr="00403A68">
              <w:t>Otways</w:t>
            </w:r>
            <w:proofErr w:type="spellEnd"/>
          </w:p>
        </w:tc>
        <w:tc>
          <w:tcPr>
            <w:tcW w:w="700" w:type="pct"/>
          </w:tcPr>
          <w:p w14:paraId="3F116AB6"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39</w:t>
            </w:r>
          </w:p>
        </w:tc>
      </w:tr>
      <w:tr w:rsidR="00205F19" w:rsidRPr="00403A68" w14:paraId="0E14425D"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6075C665" w14:textId="77777777" w:rsidR="00205F19" w:rsidRPr="00403A68" w:rsidRDefault="00205F19" w:rsidP="00666947">
            <w:pPr>
              <w:pStyle w:val="TableTextLeft"/>
            </w:pPr>
          </w:p>
        </w:tc>
        <w:tc>
          <w:tcPr>
            <w:tcW w:w="3698" w:type="pct"/>
          </w:tcPr>
          <w:p w14:paraId="2148F0E7"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Friends of Merri Marine Sanctuary</w:t>
            </w:r>
          </w:p>
        </w:tc>
        <w:tc>
          <w:tcPr>
            <w:tcW w:w="700" w:type="pct"/>
          </w:tcPr>
          <w:p w14:paraId="064E8A17"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40</w:t>
            </w:r>
          </w:p>
        </w:tc>
      </w:tr>
      <w:tr w:rsidR="00205F19" w:rsidRPr="00403A68" w14:paraId="410C3CA8"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3A42B17E" w14:textId="77777777" w:rsidR="00205F19" w:rsidRPr="00403A68" w:rsidRDefault="00205F19" w:rsidP="00666947">
            <w:pPr>
              <w:pStyle w:val="TableTextLeft"/>
            </w:pPr>
          </w:p>
        </w:tc>
        <w:tc>
          <w:tcPr>
            <w:tcW w:w="3698" w:type="pct"/>
          </w:tcPr>
          <w:p w14:paraId="2BA00218"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Friends of Moggs Creek</w:t>
            </w:r>
          </w:p>
        </w:tc>
        <w:tc>
          <w:tcPr>
            <w:tcW w:w="700" w:type="pct"/>
          </w:tcPr>
          <w:p w14:paraId="347D2BF6"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41</w:t>
            </w:r>
          </w:p>
        </w:tc>
      </w:tr>
      <w:tr w:rsidR="00205F19" w:rsidRPr="00403A68" w14:paraId="36F72237"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0D7FCD07" w14:textId="77777777" w:rsidR="00205F19" w:rsidRPr="00403A68" w:rsidRDefault="00205F19" w:rsidP="00666947">
            <w:pPr>
              <w:pStyle w:val="TableTextLeft"/>
            </w:pPr>
          </w:p>
        </w:tc>
        <w:tc>
          <w:tcPr>
            <w:tcW w:w="3698" w:type="pct"/>
          </w:tcPr>
          <w:p w14:paraId="7AE950C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 xml:space="preserve">Friends of </w:t>
            </w:r>
            <w:proofErr w:type="spellStart"/>
            <w:r w:rsidRPr="00403A68">
              <w:t>Painkalac</w:t>
            </w:r>
            <w:proofErr w:type="spellEnd"/>
            <w:r w:rsidRPr="00403A68">
              <w:t xml:space="preserve"> Creek Estuary</w:t>
            </w:r>
          </w:p>
        </w:tc>
        <w:tc>
          <w:tcPr>
            <w:tcW w:w="700" w:type="pct"/>
          </w:tcPr>
          <w:p w14:paraId="63CC7D7D"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42</w:t>
            </w:r>
          </w:p>
        </w:tc>
      </w:tr>
      <w:tr w:rsidR="00205F19" w:rsidRPr="00403A68" w14:paraId="35D97211"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41E870D8" w14:textId="77777777" w:rsidR="00205F19" w:rsidRPr="00403A68" w:rsidRDefault="00205F19" w:rsidP="00666947">
            <w:pPr>
              <w:pStyle w:val="TableTextLeft"/>
            </w:pPr>
          </w:p>
        </w:tc>
        <w:tc>
          <w:tcPr>
            <w:tcW w:w="3698" w:type="pct"/>
          </w:tcPr>
          <w:p w14:paraId="0D3DF8A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Friends of Queens Park, Lorne</w:t>
            </w:r>
          </w:p>
        </w:tc>
        <w:tc>
          <w:tcPr>
            <w:tcW w:w="700" w:type="pct"/>
          </w:tcPr>
          <w:p w14:paraId="1D78942E"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43</w:t>
            </w:r>
          </w:p>
        </w:tc>
      </w:tr>
      <w:tr w:rsidR="00205F19" w:rsidRPr="00403A68" w14:paraId="38586981"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71F9C958" w14:textId="77777777" w:rsidR="00205F19" w:rsidRPr="00403A68" w:rsidRDefault="00205F19" w:rsidP="00666947">
            <w:pPr>
              <w:pStyle w:val="TableTextLeft"/>
            </w:pPr>
          </w:p>
        </w:tc>
        <w:tc>
          <w:tcPr>
            <w:tcW w:w="3698" w:type="pct"/>
            <w:noWrap/>
          </w:tcPr>
          <w:p w14:paraId="16AE26A3"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Geelong Environment Council</w:t>
            </w:r>
          </w:p>
        </w:tc>
        <w:tc>
          <w:tcPr>
            <w:tcW w:w="700" w:type="pct"/>
          </w:tcPr>
          <w:p w14:paraId="320D03D2"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44</w:t>
            </w:r>
          </w:p>
        </w:tc>
      </w:tr>
      <w:tr w:rsidR="00205F19" w:rsidRPr="00403A68" w14:paraId="20929E7D"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32D44804" w14:textId="77777777" w:rsidR="00205F19" w:rsidRPr="00403A68" w:rsidRDefault="00205F19" w:rsidP="00666947">
            <w:pPr>
              <w:pStyle w:val="TableTextLeft"/>
            </w:pPr>
          </w:p>
        </w:tc>
        <w:tc>
          <w:tcPr>
            <w:tcW w:w="3698" w:type="pct"/>
            <w:noWrap/>
          </w:tcPr>
          <w:p w14:paraId="14DB863E"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Geelong Field Naturalists Club</w:t>
            </w:r>
          </w:p>
        </w:tc>
        <w:tc>
          <w:tcPr>
            <w:tcW w:w="700" w:type="pct"/>
          </w:tcPr>
          <w:p w14:paraId="44B9A242"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45</w:t>
            </w:r>
          </w:p>
        </w:tc>
      </w:tr>
      <w:tr w:rsidR="00205F19" w:rsidRPr="00403A68" w14:paraId="7BA2372A"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33D6D317" w14:textId="77777777" w:rsidR="00205F19" w:rsidRPr="00403A68" w:rsidRDefault="00205F19" w:rsidP="00666947">
            <w:pPr>
              <w:pStyle w:val="TableTextLeft"/>
            </w:pPr>
          </w:p>
        </w:tc>
        <w:tc>
          <w:tcPr>
            <w:tcW w:w="3698" w:type="pct"/>
            <w:noWrap/>
          </w:tcPr>
          <w:p w14:paraId="536CDD3D"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Geelong Landcare Network</w:t>
            </w:r>
          </w:p>
        </w:tc>
        <w:tc>
          <w:tcPr>
            <w:tcW w:w="700" w:type="pct"/>
          </w:tcPr>
          <w:p w14:paraId="12705CBB"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46</w:t>
            </w:r>
          </w:p>
        </w:tc>
      </w:tr>
      <w:tr w:rsidR="00205F19" w:rsidRPr="00403A68" w14:paraId="178FE4C4"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192B402B" w14:textId="77777777" w:rsidR="00205F19" w:rsidRPr="00403A68" w:rsidRDefault="00205F19" w:rsidP="00666947">
            <w:pPr>
              <w:pStyle w:val="TableTextLeft"/>
            </w:pPr>
          </w:p>
        </w:tc>
        <w:tc>
          <w:tcPr>
            <w:tcW w:w="3698" w:type="pct"/>
            <w:noWrap/>
          </w:tcPr>
          <w:p w14:paraId="2B49797B"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Gerangamete Public Recreation Reserve Committee of Management Inc</w:t>
            </w:r>
          </w:p>
        </w:tc>
        <w:tc>
          <w:tcPr>
            <w:tcW w:w="700" w:type="pct"/>
          </w:tcPr>
          <w:p w14:paraId="3CC61E94"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47</w:t>
            </w:r>
          </w:p>
        </w:tc>
      </w:tr>
      <w:tr w:rsidR="00205F19" w:rsidRPr="00403A68" w14:paraId="402B61B3"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0647F43F" w14:textId="77777777" w:rsidR="00205F19" w:rsidRPr="00403A68" w:rsidRDefault="00205F19" w:rsidP="00666947">
            <w:pPr>
              <w:pStyle w:val="TableTextLeft"/>
            </w:pPr>
          </w:p>
        </w:tc>
        <w:tc>
          <w:tcPr>
            <w:tcW w:w="3698" w:type="pct"/>
            <w:noWrap/>
          </w:tcPr>
          <w:p w14:paraId="1171BB7A"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Growing Winchelsea Incorporated</w:t>
            </w:r>
          </w:p>
        </w:tc>
        <w:tc>
          <w:tcPr>
            <w:tcW w:w="700" w:type="pct"/>
          </w:tcPr>
          <w:p w14:paraId="5331FFB3"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48</w:t>
            </w:r>
          </w:p>
        </w:tc>
      </w:tr>
      <w:tr w:rsidR="00205F19" w:rsidRPr="00403A68" w14:paraId="551B0EC3"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5B4FEA8A" w14:textId="77777777" w:rsidR="00205F19" w:rsidRPr="00403A68" w:rsidRDefault="00205F19" w:rsidP="00666947">
            <w:pPr>
              <w:pStyle w:val="TableTextLeft"/>
            </w:pPr>
          </w:p>
        </w:tc>
        <w:tc>
          <w:tcPr>
            <w:tcW w:w="3698" w:type="pct"/>
            <w:noWrap/>
          </w:tcPr>
          <w:p w14:paraId="23E59A29"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Heytesbury District Landcare Network</w:t>
            </w:r>
          </w:p>
        </w:tc>
        <w:tc>
          <w:tcPr>
            <w:tcW w:w="700" w:type="pct"/>
          </w:tcPr>
          <w:p w14:paraId="3A57CB32"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49</w:t>
            </w:r>
          </w:p>
        </w:tc>
      </w:tr>
      <w:tr w:rsidR="00205F19" w:rsidRPr="00403A68" w14:paraId="2136F314"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0A122144" w14:textId="77777777" w:rsidR="00205F19" w:rsidRPr="00403A68" w:rsidRDefault="00205F19" w:rsidP="00666947">
            <w:pPr>
              <w:pStyle w:val="TableTextLeft"/>
            </w:pPr>
          </w:p>
        </w:tc>
        <w:tc>
          <w:tcPr>
            <w:tcW w:w="3698" w:type="pct"/>
            <w:noWrap/>
          </w:tcPr>
          <w:p w14:paraId="7492D9AF"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Jan Juc Coast Action</w:t>
            </w:r>
          </w:p>
        </w:tc>
        <w:tc>
          <w:tcPr>
            <w:tcW w:w="700" w:type="pct"/>
          </w:tcPr>
          <w:p w14:paraId="40B60051"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50</w:t>
            </w:r>
          </w:p>
        </w:tc>
      </w:tr>
      <w:tr w:rsidR="00205F19" w:rsidRPr="00403A68" w14:paraId="032D0509"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5417FCF6" w14:textId="77777777" w:rsidR="00205F19" w:rsidRPr="00403A68" w:rsidRDefault="00205F19" w:rsidP="00666947">
            <w:pPr>
              <w:pStyle w:val="TableTextLeft"/>
            </w:pPr>
          </w:p>
        </w:tc>
        <w:tc>
          <w:tcPr>
            <w:tcW w:w="3698" w:type="pct"/>
            <w:noWrap/>
          </w:tcPr>
          <w:p w14:paraId="37505A23"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Kennett River Association Inc.</w:t>
            </w:r>
          </w:p>
        </w:tc>
        <w:tc>
          <w:tcPr>
            <w:tcW w:w="700" w:type="pct"/>
          </w:tcPr>
          <w:p w14:paraId="209EB25B"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51</w:t>
            </w:r>
          </w:p>
        </w:tc>
      </w:tr>
      <w:tr w:rsidR="00205F19" w:rsidRPr="00403A68" w14:paraId="120DD00F"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7126D1AE" w14:textId="77777777" w:rsidR="00205F19" w:rsidRPr="00403A68" w:rsidRDefault="00205F19" w:rsidP="00666947">
            <w:pPr>
              <w:pStyle w:val="TableTextLeft"/>
            </w:pPr>
          </w:p>
        </w:tc>
        <w:tc>
          <w:tcPr>
            <w:tcW w:w="3698" w:type="pct"/>
            <w:noWrap/>
            <w:hideMark/>
          </w:tcPr>
          <w:p w14:paraId="7946EEE1"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Lake Bookar Recreation Reserve Committee of Management Inc</w:t>
            </w:r>
          </w:p>
        </w:tc>
        <w:tc>
          <w:tcPr>
            <w:tcW w:w="700" w:type="pct"/>
          </w:tcPr>
          <w:p w14:paraId="31472972"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52</w:t>
            </w:r>
          </w:p>
        </w:tc>
      </w:tr>
      <w:tr w:rsidR="00205F19" w:rsidRPr="00403A68" w14:paraId="3B75A21A"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36F39A87" w14:textId="77777777" w:rsidR="00205F19" w:rsidRPr="00403A68" w:rsidRDefault="00205F19" w:rsidP="00666947">
            <w:pPr>
              <w:pStyle w:val="TableTextLeft"/>
            </w:pPr>
          </w:p>
        </w:tc>
        <w:tc>
          <w:tcPr>
            <w:tcW w:w="3698" w:type="pct"/>
            <w:noWrap/>
            <w:hideMark/>
          </w:tcPr>
          <w:p w14:paraId="3A7C0708"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Lake Gnotuk Public Reserve Management Committee Inc</w:t>
            </w:r>
          </w:p>
        </w:tc>
        <w:tc>
          <w:tcPr>
            <w:tcW w:w="700" w:type="pct"/>
          </w:tcPr>
          <w:p w14:paraId="43269D84"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53</w:t>
            </w:r>
          </w:p>
        </w:tc>
      </w:tr>
      <w:tr w:rsidR="00205F19" w:rsidRPr="00403A68" w14:paraId="491AD4A0"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2AD88E6C" w14:textId="77777777" w:rsidR="00205F19" w:rsidRPr="00403A68" w:rsidRDefault="00205F19" w:rsidP="00666947">
            <w:pPr>
              <w:pStyle w:val="TableTextLeft"/>
            </w:pPr>
          </w:p>
        </w:tc>
        <w:tc>
          <w:tcPr>
            <w:tcW w:w="3698" w:type="pct"/>
            <w:noWrap/>
          </w:tcPr>
          <w:p w14:paraId="50DC89F1"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roofErr w:type="spellStart"/>
            <w:r w:rsidRPr="00403A68">
              <w:t>LorneCare</w:t>
            </w:r>
            <w:proofErr w:type="spellEnd"/>
          </w:p>
        </w:tc>
        <w:tc>
          <w:tcPr>
            <w:tcW w:w="700" w:type="pct"/>
          </w:tcPr>
          <w:p w14:paraId="37A4D20B"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54</w:t>
            </w:r>
          </w:p>
        </w:tc>
      </w:tr>
      <w:tr w:rsidR="00205F19" w:rsidRPr="00403A68" w14:paraId="06A1558C"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255BD5CB" w14:textId="77777777" w:rsidR="00205F19" w:rsidRPr="00403A68" w:rsidRDefault="00205F19" w:rsidP="00666947">
            <w:pPr>
              <w:pStyle w:val="TableTextLeft"/>
            </w:pPr>
          </w:p>
        </w:tc>
        <w:tc>
          <w:tcPr>
            <w:tcW w:w="3698" w:type="pct"/>
            <w:noWrap/>
          </w:tcPr>
          <w:p w14:paraId="4F259427"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Objectors to 275 Barham River Road Development Incorporated.</w:t>
            </w:r>
          </w:p>
        </w:tc>
        <w:tc>
          <w:tcPr>
            <w:tcW w:w="700" w:type="pct"/>
          </w:tcPr>
          <w:p w14:paraId="6FB179FA"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55</w:t>
            </w:r>
          </w:p>
        </w:tc>
      </w:tr>
      <w:tr w:rsidR="00205F19" w:rsidRPr="00403A68" w14:paraId="4F2996D7"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765B9AB9" w14:textId="77777777" w:rsidR="00205F19" w:rsidRPr="00403A68" w:rsidRDefault="00205F19" w:rsidP="00666947">
            <w:pPr>
              <w:pStyle w:val="TableTextLeft"/>
            </w:pPr>
          </w:p>
        </w:tc>
        <w:tc>
          <w:tcPr>
            <w:tcW w:w="3698" w:type="pct"/>
            <w:noWrap/>
          </w:tcPr>
          <w:p w14:paraId="334B9442"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Otway Agroforestry Group</w:t>
            </w:r>
          </w:p>
        </w:tc>
        <w:tc>
          <w:tcPr>
            <w:tcW w:w="700" w:type="pct"/>
          </w:tcPr>
          <w:p w14:paraId="758374ED"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56</w:t>
            </w:r>
          </w:p>
        </w:tc>
      </w:tr>
      <w:tr w:rsidR="00205F19" w:rsidRPr="00403A68" w14:paraId="6A624C10"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098CA1EE" w14:textId="77777777" w:rsidR="00205F19" w:rsidRPr="00403A68" w:rsidRDefault="00205F19" w:rsidP="00666947">
            <w:pPr>
              <w:pStyle w:val="TableTextLeft"/>
            </w:pPr>
          </w:p>
        </w:tc>
        <w:tc>
          <w:tcPr>
            <w:tcW w:w="3698" w:type="pct"/>
            <w:noWrap/>
          </w:tcPr>
          <w:p w14:paraId="732CE98B"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Otway Forum Ratepayers Group</w:t>
            </w:r>
          </w:p>
        </w:tc>
        <w:tc>
          <w:tcPr>
            <w:tcW w:w="700" w:type="pct"/>
          </w:tcPr>
          <w:p w14:paraId="1D0881A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57</w:t>
            </w:r>
          </w:p>
        </w:tc>
      </w:tr>
      <w:tr w:rsidR="00205F19" w:rsidRPr="00403A68" w14:paraId="23369F2C"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580CF9B2" w14:textId="77777777" w:rsidR="00205F19" w:rsidRPr="00403A68" w:rsidRDefault="00205F19" w:rsidP="00666947">
            <w:pPr>
              <w:pStyle w:val="TableTextLeft"/>
            </w:pPr>
          </w:p>
        </w:tc>
        <w:tc>
          <w:tcPr>
            <w:tcW w:w="3698" w:type="pct"/>
            <w:noWrap/>
          </w:tcPr>
          <w:p w14:paraId="04D4137C"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 xml:space="preserve">Otway Wildlife Group &amp; </w:t>
            </w:r>
            <w:proofErr w:type="spellStart"/>
            <w:r w:rsidRPr="00403A68">
              <w:t>Seatrees</w:t>
            </w:r>
            <w:proofErr w:type="spellEnd"/>
            <w:r w:rsidRPr="00403A68">
              <w:t xml:space="preserve"> Wildlife Shelter</w:t>
            </w:r>
          </w:p>
        </w:tc>
        <w:tc>
          <w:tcPr>
            <w:tcW w:w="700" w:type="pct"/>
          </w:tcPr>
          <w:p w14:paraId="56FC2C26"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58</w:t>
            </w:r>
          </w:p>
        </w:tc>
      </w:tr>
      <w:tr w:rsidR="00205F19" w:rsidRPr="00403A68" w14:paraId="30D4A4CF"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01852E02" w14:textId="77777777" w:rsidR="00205F19" w:rsidRPr="00403A68" w:rsidRDefault="00205F19" w:rsidP="00666947">
            <w:pPr>
              <w:pStyle w:val="TableTextLeft"/>
            </w:pPr>
          </w:p>
        </w:tc>
        <w:tc>
          <w:tcPr>
            <w:tcW w:w="3698" w:type="pct"/>
            <w:noWrap/>
          </w:tcPr>
          <w:p w14:paraId="6D42C017"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Paaratte Recreation Reserve Committee Inc</w:t>
            </w:r>
          </w:p>
        </w:tc>
        <w:tc>
          <w:tcPr>
            <w:tcW w:w="700" w:type="pct"/>
          </w:tcPr>
          <w:p w14:paraId="34D0297E"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59</w:t>
            </w:r>
          </w:p>
        </w:tc>
      </w:tr>
      <w:tr w:rsidR="00205F19" w:rsidRPr="00403A68" w14:paraId="17D9B68A"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68C37176" w14:textId="77777777" w:rsidR="00205F19" w:rsidRPr="00403A68" w:rsidRDefault="00205F19" w:rsidP="00666947">
            <w:pPr>
              <w:pStyle w:val="TableTextLeft"/>
            </w:pPr>
          </w:p>
        </w:tc>
        <w:tc>
          <w:tcPr>
            <w:tcW w:w="3698" w:type="pct"/>
            <w:noWrap/>
          </w:tcPr>
          <w:p w14:paraId="2CE4BB06"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Peterborough Residents Group</w:t>
            </w:r>
          </w:p>
        </w:tc>
        <w:tc>
          <w:tcPr>
            <w:tcW w:w="700" w:type="pct"/>
          </w:tcPr>
          <w:p w14:paraId="5DE7920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60</w:t>
            </w:r>
          </w:p>
        </w:tc>
      </w:tr>
      <w:tr w:rsidR="00205F19" w:rsidRPr="00403A68" w14:paraId="392F83D7"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163C951E" w14:textId="77777777" w:rsidR="00205F19" w:rsidRPr="00403A68" w:rsidRDefault="00205F19" w:rsidP="00666947">
            <w:pPr>
              <w:pStyle w:val="TableTextLeft"/>
            </w:pPr>
          </w:p>
        </w:tc>
        <w:tc>
          <w:tcPr>
            <w:tcW w:w="3698" w:type="pct"/>
            <w:noWrap/>
          </w:tcPr>
          <w:p w14:paraId="2D31503B"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Port Campbell Recreation Reserve Committee of Management Inc.</w:t>
            </w:r>
          </w:p>
        </w:tc>
        <w:tc>
          <w:tcPr>
            <w:tcW w:w="700" w:type="pct"/>
          </w:tcPr>
          <w:p w14:paraId="57DFA0FA"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61</w:t>
            </w:r>
          </w:p>
        </w:tc>
      </w:tr>
      <w:tr w:rsidR="00205F19" w:rsidRPr="00403A68" w14:paraId="48DD8601"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6EE1B3F5" w14:textId="77777777" w:rsidR="00205F19" w:rsidRPr="00403A68" w:rsidRDefault="00205F19" w:rsidP="00666947">
            <w:pPr>
              <w:pStyle w:val="TableTextLeft"/>
            </w:pPr>
          </w:p>
        </w:tc>
        <w:tc>
          <w:tcPr>
            <w:tcW w:w="3698" w:type="pct"/>
            <w:noWrap/>
          </w:tcPr>
          <w:p w14:paraId="63C1AA93"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Power Creek Reserve Committee of Management Inc</w:t>
            </w:r>
          </w:p>
        </w:tc>
        <w:tc>
          <w:tcPr>
            <w:tcW w:w="700" w:type="pct"/>
          </w:tcPr>
          <w:p w14:paraId="17B9AAE3"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62</w:t>
            </w:r>
          </w:p>
        </w:tc>
      </w:tr>
      <w:tr w:rsidR="00205F19" w:rsidRPr="00403A68" w14:paraId="3302059A"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756AAF66" w14:textId="77777777" w:rsidR="00205F19" w:rsidRPr="00403A68" w:rsidRDefault="00205F19" w:rsidP="00666947">
            <w:pPr>
              <w:pStyle w:val="TableTextLeft"/>
            </w:pPr>
          </w:p>
        </w:tc>
        <w:tc>
          <w:tcPr>
            <w:tcW w:w="3698" w:type="pct"/>
            <w:noWrap/>
          </w:tcPr>
          <w:p w14:paraId="18D7D07F"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Princetown Recreation Reserve Committee Inc.</w:t>
            </w:r>
          </w:p>
        </w:tc>
        <w:tc>
          <w:tcPr>
            <w:tcW w:w="700" w:type="pct"/>
          </w:tcPr>
          <w:p w14:paraId="2A66561B"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63</w:t>
            </w:r>
          </w:p>
        </w:tc>
      </w:tr>
      <w:tr w:rsidR="00205F19" w:rsidRPr="00403A68" w14:paraId="1739D842"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6F9DBCD5" w14:textId="77777777" w:rsidR="00205F19" w:rsidRPr="00403A68" w:rsidRDefault="00205F19" w:rsidP="00666947">
            <w:pPr>
              <w:pStyle w:val="TableTextLeft"/>
            </w:pPr>
          </w:p>
        </w:tc>
        <w:tc>
          <w:tcPr>
            <w:tcW w:w="3698" w:type="pct"/>
            <w:noWrap/>
          </w:tcPr>
          <w:p w14:paraId="11623A0F"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Skenes Creek Advancement Association</w:t>
            </w:r>
          </w:p>
        </w:tc>
        <w:tc>
          <w:tcPr>
            <w:tcW w:w="700" w:type="pct"/>
          </w:tcPr>
          <w:p w14:paraId="0059FC8A"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64</w:t>
            </w:r>
          </w:p>
        </w:tc>
      </w:tr>
      <w:tr w:rsidR="00205F19" w:rsidRPr="00403A68" w14:paraId="3EE7D365" w14:textId="77777777" w:rsidTr="00BA5FDF">
        <w:trPr>
          <w:trHeight w:val="91"/>
        </w:trPr>
        <w:tc>
          <w:tcPr>
            <w:cnfStyle w:val="001000000000" w:firstRow="0" w:lastRow="0" w:firstColumn="1" w:lastColumn="0" w:oddVBand="0" w:evenVBand="0" w:oddHBand="0" w:evenHBand="0" w:firstRowFirstColumn="0" w:firstRowLastColumn="0" w:lastRowFirstColumn="0" w:lastRowLastColumn="0"/>
            <w:tcW w:w="602" w:type="pct"/>
            <w:vMerge/>
          </w:tcPr>
          <w:p w14:paraId="212A1035" w14:textId="77777777" w:rsidR="00205F19" w:rsidRPr="00403A68" w:rsidRDefault="00205F19" w:rsidP="00666947">
            <w:pPr>
              <w:pStyle w:val="TableTextLeft"/>
            </w:pPr>
          </w:p>
        </w:tc>
        <w:tc>
          <w:tcPr>
            <w:tcW w:w="3698" w:type="pct"/>
            <w:noWrap/>
          </w:tcPr>
          <w:p w14:paraId="65BC73E2"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Torquay Coast Action</w:t>
            </w:r>
          </w:p>
        </w:tc>
        <w:tc>
          <w:tcPr>
            <w:tcW w:w="700" w:type="pct"/>
          </w:tcPr>
          <w:p w14:paraId="09B6A51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65</w:t>
            </w:r>
          </w:p>
        </w:tc>
      </w:tr>
      <w:tr w:rsidR="00205F19" w:rsidRPr="00403A68" w14:paraId="4CA97D7F" w14:textId="77777777" w:rsidTr="00BA5FDF">
        <w:trPr>
          <w:trHeight w:val="91"/>
        </w:trPr>
        <w:tc>
          <w:tcPr>
            <w:cnfStyle w:val="001000000000" w:firstRow="0" w:lastRow="0" w:firstColumn="1" w:lastColumn="0" w:oddVBand="0" w:evenVBand="0" w:oddHBand="0" w:evenHBand="0" w:firstRowFirstColumn="0" w:firstRowLastColumn="0" w:lastRowFirstColumn="0" w:lastRowLastColumn="0"/>
            <w:tcW w:w="602" w:type="pct"/>
            <w:vMerge/>
          </w:tcPr>
          <w:p w14:paraId="5EA5AF71" w14:textId="77777777" w:rsidR="00205F19" w:rsidRPr="00403A68" w:rsidRDefault="00205F19" w:rsidP="00666947">
            <w:pPr>
              <w:pStyle w:val="TableTextLeft"/>
            </w:pPr>
          </w:p>
        </w:tc>
        <w:tc>
          <w:tcPr>
            <w:tcW w:w="3698" w:type="pct"/>
            <w:noWrap/>
          </w:tcPr>
          <w:p w14:paraId="1548758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Timboon Recreation Reserve Committee of Management Inc</w:t>
            </w:r>
          </w:p>
        </w:tc>
        <w:tc>
          <w:tcPr>
            <w:tcW w:w="700" w:type="pct"/>
          </w:tcPr>
          <w:p w14:paraId="17D11F46"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66</w:t>
            </w:r>
          </w:p>
        </w:tc>
      </w:tr>
      <w:tr w:rsidR="00205F19" w:rsidRPr="00403A68" w14:paraId="65B9F655"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1D404C67" w14:textId="77777777" w:rsidR="00205F19" w:rsidRPr="00403A68" w:rsidRDefault="00205F19" w:rsidP="00666947">
            <w:pPr>
              <w:pStyle w:val="TableTextLeft"/>
            </w:pPr>
          </w:p>
        </w:tc>
        <w:tc>
          <w:tcPr>
            <w:tcW w:w="3698" w:type="pct"/>
            <w:noWrap/>
          </w:tcPr>
          <w:p w14:paraId="46BFC809"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Warrion Recreation Reserve Committee of Management Inc</w:t>
            </w:r>
          </w:p>
        </w:tc>
        <w:tc>
          <w:tcPr>
            <w:tcW w:w="700" w:type="pct"/>
          </w:tcPr>
          <w:p w14:paraId="4669D916"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67</w:t>
            </w:r>
          </w:p>
        </w:tc>
      </w:tr>
      <w:tr w:rsidR="00205F19" w:rsidRPr="00403A68" w14:paraId="30834F74"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2A2C16D0" w14:textId="77777777" w:rsidR="00205F19" w:rsidRPr="00403A68" w:rsidRDefault="00205F19" w:rsidP="00666947">
            <w:pPr>
              <w:pStyle w:val="TableTextLeft"/>
            </w:pPr>
          </w:p>
        </w:tc>
        <w:tc>
          <w:tcPr>
            <w:tcW w:w="3698" w:type="pct"/>
            <w:noWrap/>
          </w:tcPr>
          <w:p w14:paraId="7873EDAB"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Warrnambool Field Naturalists Club</w:t>
            </w:r>
          </w:p>
        </w:tc>
        <w:tc>
          <w:tcPr>
            <w:tcW w:w="700" w:type="pct"/>
          </w:tcPr>
          <w:p w14:paraId="1271BD99"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68</w:t>
            </w:r>
          </w:p>
        </w:tc>
      </w:tr>
      <w:tr w:rsidR="00205F19" w:rsidRPr="00403A68" w14:paraId="1CEC6084"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388BE9CF" w14:textId="77777777" w:rsidR="00205F19" w:rsidRPr="00403A68" w:rsidRDefault="00205F19" w:rsidP="00666947">
            <w:pPr>
              <w:pStyle w:val="TableTextLeft"/>
            </w:pPr>
          </w:p>
        </w:tc>
        <w:tc>
          <w:tcPr>
            <w:tcW w:w="3698" w:type="pct"/>
            <w:noWrap/>
          </w:tcPr>
          <w:p w14:paraId="6A958DC7"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 xml:space="preserve">Warrnambool </w:t>
            </w:r>
            <w:proofErr w:type="spellStart"/>
            <w:r w:rsidRPr="00403A68">
              <w:t>Coastcare</w:t>
            </w:r>
            <w:proofErr w:type="spellEnd"/>
            <w:r w:rsidRPr="00403A68">
              <w:t xml:space="preserve"> Landcare Network</w:t>
            </w:r>
          </w:p>
        </w:tc>
        <w:tc>
          <w:tcPr>
            <w:tcW w:w="700" w:type="pct"/>
          </w:tcPr>
          <w:p w14:paraId="066CF47F"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69</w:t>
            </w:r>
          </w:p>
        </w:tc>
      </w:tr>
      <w:tr w:rsidR="00205F19" w:rsidRPr="00403A68" w14:paraId="2170A14E"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333F5A28" w14:textId="77777777" w:rsidR="00205F19" w:rsidRPr="00403A68" w:rsidRDefault="00205F19" w:rsidP="00666947">
            <w:pPr>
              <w:pStyle w:val="TableTextLeft"/>
            </w:pPr>
          </w:p>
        </w:tc>
        <w:tc>
          <w:tcPr>
            <w:tcW w:w="3698" w:type="pct"/>
            <w:noWrap/>
          </w:tcPr>
          <w:p w14:paraId="20727ED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Warrnambool Environmental Action Group</w:t>
            </w:r>
          </w:p>
        </w:tc>
        <w:tc>
          <w:tcPr>
            <w:tcW w:w="700" w:type="pct"/>
          </w:tcPr>
          <w:p w14:paraId="63788419"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70</w:t>
            </w:r>
          </w:p>
        </w:tc>
      </w:tr>
      <w:tr w:rsidR="00205F19" w:rsidRPr="00403A68" w14:paraId="7452039B"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78E8E83A" w14:textId="77777777" w:rsidR="00205F19" w:rsidRPr="00403A68" w:rsidRDefault="00205F19" w:rsidP="00666947">
            <w:pPr>
              <w:pStyle w:val="TableTextLeft"/>
            </w:pPr>
          </w:p>
        </w:tc>
        <w:tc>
          <w:tcPr>
            <w:tcW w:w="3698" w:type="pct"/>
            <w:noWrap/>
          </w:tcPr>
          <w:p w14:paraId="1A21F06F"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Warrnambool Ratepayers Association Inc</w:t>
            </w:r>
          </w:p>
        </w:tc>
        <w:tc>
          <w:tcPr>
            <w:tcW w:w="700" w:type="pct"/>
          </w:tcPr>
          <w:p w14:paraId="23119370"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71</w:t>
            </w:r>
          </w:p>
        </w:tc>
      </w:tr>
      <w:tr w:rsidR="00205F19" w:rsidRPr="00403A68" w14:paraId="18275ACE"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09613BEF" w14:textId="77777777" w:rsidR="00205F19" w:rsidRPr="00403A68" w:rsidRDefault="00205F19" w:rsidP="00666947">
            <w:pPr>
              <w:pStyle w:val="TableTextLeft"/>
            </w:pPr>
          </w:p>
        </w:tc>
        <w:tc>
          <w:tcPr>
            <w:tcW w:w="3698" w:type="pct"/>
            <w:noWrap/>
          </w:tcPr>
          <w:p w14:paraId="72450594"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proofErr w:type="spellStart"/>
            <w:r w:rsidRPr="00403A68">
              <w:t>Wiridjil</w:t>
            </w:r>
            <w:proofErr w:type="spellEnd"/>
            <w:r w:rsidRPr="00403A68">
              <w:t xml:space="preserve"> Recreation Reserve Committee of Management Inc</w:t>
            </w:r>
          </w:p>
        </w:tc>
        <w:tc>
          <w:tcPr>
            <w:tcW w:w="700" w:type="pct"/>
          </w:tcPr>
          <w:p w14:paraId="5CF40316"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72</w:t>
            </w:r>
          </w:p>
        </w:tc>
      </w:tr>
      <w:tr w:rsidR="00205F19" w:rsidRPr="00403A68" w14:paraId="7A472F30"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38D35552" w14:textId="77777777" w:rsidR="00205F19" w:rsidRPr="00403A68" w:rsidRDefault="00205F19" w:rsidP="00666947">
            <w:pPr>
              <w:pStyle w:val="TableTextLeft"/>
            </w:pPr>
          </w:p>
        </w:tc>
        <w:tc>
          <w:tcPr>
            <w:tcW w:w="3698" w:type="pct"/>
            <w:noWrap/>
          </w:tcPr>
          <w:p w14:paraId="1E7D0561"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Wye River, Separation Creek &amp; Kennett River Renewal Association</w:t>
            </w:r>
          </w:p>
        </w:tc>
        <w:tc>
          <w:tcPr>
            <w:tcW w:w="700" w:type="pct"/>
          </w:tcPr>
          <w:p w14:paraId="3D4424DE"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73</w:t>
            </w:r>
          </w:p>
        </w:tc>
      </w:tr>
      <w:tr w:rsidR="00205F19" w:rsidRPr="00403A68" w14:paraId="18CCA14C"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17EA3CC6" w14:textId="77777777" w:rsidR="00205F19" w:rsidRPr="00403A68" w:rsidRDefault="00205F19" w:rsidP="00666947">
            <w:pPr>
              <w:pStyle w:val="TableTextLeft"/>
            </w:pPr>
          </w:p>
        </w:tc>
        <w:tc>
          <w:tcPr>
            <w:tcW w:w="3698" w:type="pct"/>
            <w:noWrap/>
          </w:tcPr>
          <w:p w14:paraId="102A46FB"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Wye River &amp; Separation Creek Progress Assoc. Inc.</w:t>
            </w:r>
          </w:p>
        </w:tc>
        <w:tc>
          <w:tcPr>
            <w:tcW w:w="700" w:type="pct"/>
          </w:tcPr>
          <w:p w14:paraId="40F1D6DD"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74</w:t>
            </w:r>
          </w:p>
        </w:tc>
      </w:tr>
      <w:tr w:rsidR="00205F19" w:rsidRPr="00403A68" w14:paraId="5E14DE1C"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7D549F3F" w14:textId="77777777" w:rsidR="00205F19" w:rsidRPr="00403A68" w:rsidRDefault="00205F19" w:rsidP="00666947">
            <w:pPr>
              <w:pStyle w:val="TableTextLeft"/>
            </w:pPr>
          </w:p>
        </w:tc>
        <w:tc>
          <w:tcPr>
            <w:tcW w:w="3698" w:type="pct"/>
            <w:noWrap/>
          </w:tcPr>
          <w:p w14:paraId="326E2E65"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3228 Residents Association Inc.</w:t>
            </w:r>
          </w:p>
        </w:tc>
        <w:tc>
          <w:tcPr>
            <w:tcW w:w="700" w:type="pct"/>
          </w:tcPr>
          <w:p w14:paraId="47F6B1EE"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75</w:t>
            </w:r>
          </w:p>
        </w:tc>
      </w:tr>
      <w:tr w:rsidR="00205F19" w:rsidRPr="00403A68" w14:paraId="451905A9"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val="restart"/>
          </w:tcPr>
          <w:p w14:paraId="6199D287" w14:textId="77777777" w:rsidR="00205F19" w:rsidRPr="00403A68" w:rsidRDefault="00205F19" w:rsidP="00666947">
            <w:pPr>
              <w:pStyle w:val="TableTextLeft"/>
            </w:pPr>
            <w:r w:rsidRPr="00403A68">
              <w:t>Walking</w:t>
            </w:r>
          </w:p>
        </w:tc>
        <w:tc>
          <w:tcPr>
            <w:tcW w:w="3698" w:type="pct"/>
            <w:noWrap/>
          </w:tcPr>
          <w:p w14:paraId="652E76A2"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Surf Coast Trail Group</w:t>
            </w:r>
          </w:p>
        </w:tc>
        <w:tc>
          <w:tcPr>
            <w:tcW w:w="700" w:type="pct"/>
          </w:tcPr>
          <w:p w14:paraId="428A0CC7"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76</w:t>
            </w:r>
          </w:p>
        </w:tc>
      </w:tr>
      <w:tr w:rsidR="00205F19" w:rsidRPr="00403A68" w14:paraId="068DDD48" w14:textId="77777777" w:rsidTr="00BA5FDF">
        <w:trPr>
          <w:trHeight w:val="267"/>
        </w:trPr>
        <w:tc>
          <w:tcPr>
            <w:cnfStyle w:val="001000000000" w:firstRow="0" w:lastRow="0" w:firstColumn="1" w:lastColumn="0" w:oddVBand="0" w:evenVBand="0" w:oddHBand="0" w:evenHBand="0" w:firstRowFirstColumn="0" w:firstRowLastColumn="0" w:lastRowFirstColumn="0" w:lastRowLastColumn="0"/>
            <w:tcW w:w="602" w:type="pct"/>
            <w:vMerge/>
          </w:tcPr>
          <w:p w14:paraId="6BFAF64A" w14:textId="77777777" w:rsidR="00205F19" w:rsidRPr="00403A68" w:rsidRDefault="00205F19" w:rsidP="00666947">
            <w:pPr>
              <w:pStyle w:val="TableTextLeft"/>
            </w:pPr>
          </w:p>
        </w:tc>
        <w:tc>
          <w:tcPr>
            <w:tcW w:w="3698" w:type="pct"/>
            <w:noWrap/>
          </w:tcPr>
          <w:p w14:paraId="15C7632E"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Surf Coast Walks</w:t>
            </w:r>
          </w:p>
        </w:tc>
        <w:tc>
          <w:tcPr>
            <w:tcW w:w="700" w:type="pct"/>
          </w:tcPr>
          <w:p w14:paraId="1D349D93" w14:textId="77777777" w:rsidR="00205F19" w:rsidRPr="00403A68" w:rsidRDefault="00205F19" w:rsidP="00666947">
            <w:pPr>
              <w:pStyle w:val="TableTextLeft"/>
              <w:cnfStyle w:val="000000000000" w:firstRow="0" w:lastRow="0" w:firstColumn="0" w:lastColumn="0" w:oddVBand="0" w:evenVBand="0" w:oddHBand="0" w:evenHBand="0" w:firstRowFirstColumn="0" w:firstRowLastColumn="0" w:lastRowFirstColumn="0" w:lastRowLastColumn="0"/>
            </w:pPr>
            <w:r w:rsidRPr="00403A68">
              <w:t>77</w:t>
            </w:r>
          </w:p>
        </w:tc>
      </w:tr>
    </w:tbl>
    <w:p w14:paraId="0B6ED492" w14:textId="77777777" w:rsidR="00205F19" w:rsidRPr="00403A68" w:rsidRDefault="00205F19" w:rsidP="00205F19">
      <w:pPr>
        <w:pStyle w:val="BodyText"/>
        <w:sectPr w:rsidR="00205F19" w:rsidRPr="00403A68" w:rsidSect="00E52A9A">
          <w:footerReference w:type="even" r:id="rId439"/>
          <w:footerReference w:type="default" r:id="rId440"/>
          <w:pgSz w:w="11906" w:h="16838" w:code="9"/>
          <w:pgMar w:top="1134" w:right="1134" w:bottom="1134" w:left="1134" w:header="283" w:footer="283" w:gutter="0"/>
          <w:cols w:space="284"/>
          <w:docGrid w:linePitch="360"/>
        </w:sectPr>
      </w:pPr>
    </w:p>
    <w:p w14:paraId="147B0BBC" w14:textId="7454BA71" w:rsidR="00205F19" w:rsidRPr="00BA5FDF" w:rsidRDefault="00205F19" w:rsidP="0004232F">
      <w:pPr>
        <w:pStyle w:val="Heading1"/>
        <w:numPr>
          <w:ilvl w:val="0"/>
          <w:numId w:val="0"/>
        </w:numPr>
      </w:pPr>
      <w:bookmarkStart w:id="463" w:name="_Toc98854723"/>
      <w:bookmarkStart w:id="464" w:name="_Toc163547124"/>
      <w:r w:rsidRPr="00403A68">
        <w:lastRenderedPageBreak/>
        <w:t>Annex 13. Data on GORCAP EEA specific pressures</w:t>
      </w:r>
      <w:bookmarkEnd w:id="463"/>
      <w:bookmarkEnd w:id="464"/>
      <w:r w:rsidRPr="00403A68">
        <w:t xml:space="preserve"> </w:t>
      </w:r>
    </w:p>
    <w:p w14:paraId="24F11080" w14:textId="058A574F" w:rsidR="00BA5FDF" w:rsidRPr="00403A68" w:rsidRDefault="00E52A9A" w:rsidP="00BA5FDF">
      <w:pPr>
        <w:pStyle w:val="Caption"/>
        <w:rPr>
          <w:rFonts w:eastAsia="Arial"/>
        </w:rPr>
      </w:pPr>
      <w:r>
        <w:rPr>
          <w:noProof/>
        </w:rPr>
        <mc:AlternateContent>
          <mc:Choice Requires="wpg">
            <w:drawing>
              <wp:anchor distT="0" distB="0" distL="114300" distR="114300" simplePos="0" relativeHeight="251658241" behindDoc="1" locked="0" layoutInCell="1" allowOverlap="1" wp14:anchorId="6B7F879F" wp14:editId="70237F0C">
                <wp:simplePos x="0" y="0"/>
                <wp:positionH relativeFrom="column">
                  <wp:posOffset>12052935</wp:posOffset>
                </wp:positionH>
                <wp:positionV relativeFrom="paragraph">
                  <wp:posOffset>13065760</wp:posOffset>
                </wp:positionV>
                <wp:extent cx="7072630" cy="6237605"/>
                <wp:effectExtent l="0" t="0" r="0" b="0"/>
                <wp:wrapNone/>
                <wp:docPr id="213283630" name="Group 213283630"/>
                <wp:cNvGraphicFramePr/>
                <a:graphic xmlns:a="http://schemas.openxmlformats.org/drawingml/2006/main">
                  <a:graphicData uri="http://schemas.microsoft.com/office/word/2010/wordprocessingGroup">
                    <wpg:wgp>
                      <wpg:cNvGrpSpPr/>
                      <wpg:grpSpPr>
                        <a:xfrm>
                          <a:off x="0" y="0"/>
                          <a:ext cx="7072630" cy="6237605"/>
                          <a:chOff x="502305" y="4453890"/>
                          <a:chExt cx="7073356" cy="6238207"/>
                        </a:xfrm>
                      </wpg:grpSpPr>
                      <wps:wsp>
                        <wps:cNvPr id="1313796770" name="RibbonTop"/>
                        <wps:cNvSpPr/>
                        <wps:spPr>
                          <a:xfrm>
                            <a:off x="5264592" y="4453890"/>
                            <a:ext cx="2309803" cy="4900124"/>
                          </a:xfrm>
                          <a:custGeom>
                            <a:avLst/>
                            <a:gdLst>
                              <a:gd name="connsiteX0" fmla="*/ 0 w 2309803"/>
                              <a:gd name="connsiteY0" fmla="*/ 4900125 h 4900124"/>
                              <a:gd name="connsiteX1" fmla="*/ 1259858 w 2309803"/>
                              <a:gd name="connsiteY1" fmla="*/ 4900125 h 4900124"/>
                              <a:gd name="connsiteX2" fmla="*/ 2309803 w 2309803"/>
                              <a:gd name="connsiteY2" fmla="*/ 2672738 h 4900124"/>
                              <a:gd name="connsiteX3" fmla="*/ 2309803 w 2309803"/>
                              <a:gd name="connsiteY3" fmla="*/ 0 h 4900124"/>
                              <a:gd name="connsiteX4" fmla="*/ 0 w 2309803"/>
                              <a:gd name="connsiteY4" fmla="*/ 4900125 h 490012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09803" h="4900124">
                                <a:moveTo>
                                  <a:pt x="0" y="4900125"/>
                                </a:moveTo>
                                <a:lnTo>
                                  <a:pt x="1259858" y="4900125"/>
                                </a:lnTo>
                                <a:lnTo>
                                  <a:pt x="2309803" y="2672738"/>
                                </a:lnTo>
                                <a:lnTo>
                                  <a:pt x="2309803" y="0"/>
                                </a:lnTo>
                                <a:lnTo>
                                  <a:pt x="0" y="4900125"/>
                                </a:lnTo>
                                <a:close/>
                              </a:path>
                            </a:pathLst>
                          </a:custGeom>
                          <a:solidFill>
                            <a:schemeClr val="accent1"/>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7852006" name="RibbonMiddle"/>
                        <wps:cNvSpPr/>
                        <wps:spPr>
                          <a:xfrm>
                            <a:off x="4004607" y="8463059"/>
                            <a:ext cx="2099890" cy="1781782"/>
                          </a:xfrm>
                          <a:custGeom>
                            <a:avLst/>
                            <a:gdLst>
                              <a:gd name="connsiteX0" fmla="*/ 840032 w 2099890"/>
                              <a:gd name="connsiteY0" fmla="*/ 0 h 1781782"/>
                              <a:gd name="connsiteX1" fmla="*/ 2099891 w 2099890"/>
                              <a:gd name="connsiteY1" fmla="*/ 0 h 1781782"/>
                              <a:gd name="connsiteX2" fmla="*/ 1259985 w 2099890"/>
                              <a:gd name="connsiteY2" fmla="*/ 1781783 h 1781782"/>
                              <a:gd name="connsiteX3" fmla="*/ 0 w 2099890"/>
                              <a:gd name="connsiteY3" fmla="*/ 1781783 h 1781782"/>
                              <a:gd name="connsiteX4" fmla="*/ 840032 w 2099890"/>
                              <a:gd name="connsiteY4" fmla="*/ 0 h 178178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099890" h="1781782">
                                <a:moveTo>
                                  <a:pt x="840032" y="0"/>
                                </a:moveTo>
                                <a:lnTo>
                                  <a:pt x="2099891" y="0"/>
                                </a:lnTo>
                                <a:lnTo>
                                  <a:pt x="1259985" y="1781783"/>
                                </a:lnTo>
                                <a:lnTo>
                                  <a:pt x="0" y="1781783"/>
                                </a:lnTo>
                                <a:lnTo>
                                  <a:pt x="840032" y="0"/>
                                </a:lnTo>
                                <a:close/>
                              </a:path>
                            </a:pathLst>
                          </a:custGeom>
                          <a:solidFill>
                            <a:schemeClr val="accent3"/>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7693556" name="RibbonBottom"/>
                        <wps:cNvSpPr/>
                        <wps:spPr>
                          <a:xfrm>
                            <a:off x="2953900" y="9354014"/>
                            <a:ext cx="1890612" cy="1338083"/>
                          </a:xfrm>
                          <a:custGeom>
                            <a:avLst/>
                            <a:gdLst>
                              <a:gd name="connsiteX0" fmla="*/ 630754 w 1890612"/>
                              <a:gd name="connsiteY0" fmla="*/ 0 h 1338083"/>
                              <a:gd name="connsiteX1" fmla="*/ 0 w 1890612"/>
                              <a:gd name="connsiteY1" fmla="*/ 1338083 h 1338083"/>
                              <a:gd name="connsiteX2" fmla="*/ 1259858 w 1890612"/>
                              <a:gd name="connsiteY2" fmla="*/ 1338083 h 1338083"/>
                              <a:gd name="connsiteX3" fmla="*/ 1890613 w 1890612"/>
                              <a:gd name="connsiteY3" fmla="*/ 0 h 1338083"/>
                              <a:gd name="connsiteX4" fmla="*/ 630754 w 1890612"/>
                              <a:gd name="connsiteY4" fmla="*/ 0 h 133808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890612" h="1338083">
                                <a:moveTo>
                                  <a:pt x="630754" y="0"/>
                                </a:moveTo>
                                <a:lnTo>
                                  <a:pt x="0" y="1338083"/>
                                </a:lnTo>
                                <a:lnTo>
                                  <a:pt x="1259858" y="1338083"/>
                                </a:lnTo>
                                <a:lnTo>
                                  <a:pt x="1890613" y="0"/>
                                </a:lnTo>
                                <a:lnTo>
                                  <a:pt x="630754" y="0"/>
                                </a:lnTo>
                                <a:close/>
                              </a:path>
                            </a:pathLst>
                          </a:custGeom>
                          <a:solidFill>
                            <a:schemeClr val="accent2"/>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7522469" name="TriangleBottom"/>
                        <wps:cNvSpPr/>
                        <wps:spPr>
                          <a:xfrm>
                            <a:off x="4424559" y="9354014"/>
                            <a:ext cx="840032" cy="890827"/>
                          </a:xfrm>
                          <a:custGeom>
                            <a:avLst/>
                            <a:gdLst>
                              <a:gd name="connsiteX0" fmla="*/ 420080 w 840032"/>
                              <a:gd name="connsiteY0" fmla="*/ 0 h 890827"/>
                              <a:gd name="connsiteX1" fmla="*/ 840032 w 840032"/>
                              <a:gd name="connsiteY1" fmla="*/ 890828 h 890827"/>
                              <a:gd name="connsiteX2" fmla="*/ 0 w 840032"/>
                              <a:gd name="connsiteY2" fmla="*/ 890828 h 890827"/>
                              <a:gd name="connsiteX3" fmla="*/ 420080 w 840032"/>
                              <a:gd name="connsiteY3" fmla="*/ 0 h 890827"/>
                            </a:gdLst>
                            <a:ahLst/>
                            <a:cxnLst>
                              <a:cxn ang="0">
                                <a:pos x="connsiteX0" y="connsiteY0"/>
                              </a:cxn>
                              <a:cxn ang="0">
                                <a:pos x="connsiteX1" y="connsiteY1"/>
                              </a:cxn>
                              <a:cxn ang="0">
                                <a:pos x="connsiteX2" y="connsiteY2"/>
                              </a:cxn>
                              <a:cxn ang="0">
                                <a:pos x="connsiteX3" y="connsiteY3"/>
                              </a:cxn>
                            </a:cxnLst>
                            <a:rect l="l" t="t" r="r" b="b"/>
                            <a:pathLst>
                              <a:path w="840032" h="890827">
                                <a:moveTo>
                                  <a:pt x="420080" y="0"/>
                                </a:moveTo>
                                <a:lnTo>
                                  <a:pt x="840032" y="890828"/>
                                </a:lnTo>
                                <a:lnTo>
                                  <a:pt x="0" y="890828"/>
                                </a:lnTo>
                                <a:lnTo>
                                  <a:pt x="420080" y="0"/>
                                </a:lnTo>
                                <a:close/>
                              </a:path>
                            </a:pathLst>
                          </a:custGeom>
                          <a:solidFill>
                            <a:schemeClr val="tx2"/>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9119551" name="TriangleTop"/>
                        <wps:cNvSpPr/>
                        <wps:spPr>
                          <a:xfrm>
                            <a:off x="5684544" y="8463059"/>
                            <a:ext cx="839905" cy="890954"/>
                          </a:xfrm>
                          <a:custGeom>
                            <a:avLst/>
                            <a:gdLst>
                              <a:gd name="connsiteX0" fmla="*/ 419953 w 839905"/>
                              <a:gd name="connsiteY0" fmla="*/ 0 h 890954"/>
                              <a:gd name="connsiteX1" fmla="*/ 839906 w 839905"/>
                              <a:gd name="connsiteY1" fmla="*/ 890955 h 890954"/>
                              <a:gd name="connsiteX2" fmla="*/ 0 w 839905"/>
                              <a:gd name="connsiteY2" fmla="*/ 890955 h 890954"/>
                              <a:gd name="connsiteX3" fmla="*/ 419953 w 839905"/>
                              <a:gd name="connsiteY3" fmla="*/ 0 h 890954"/>
                            </a:gdLst>
                            <a:ahLst/>
                            <a:cxnLst>
                              <a:cxn ang="0">
                                <a:pos x="connsiteX0" y="connsiteY0"/>
                              </a:cxn>
                              <a:cxn ang="0">
                                <a:pos x="connsiteX1" y="connsiteY1"/>
                              </a:cxn>
                              <a:cxn ang="0">
                                <a:pos x="connsiteX2" y="connsiteY2"/>
                              </a:cxn>
                              <a:cxn ang="0">
                                <a:pos x="connsiteX3" y="connsiteY3"/>
                              </a:cxn>
                            </a:cxnLst>
                            <a:rect l="l" t="t" r="r" b="b"/>
                            <a:pathLst>
                              <a:path w="839905" h="890954">
                                <a:moveTo>
                                  <a:pt x="419953" y="0"/>
                                </a:moveTo>
                                <a:lnTo>
                                  <a:pt x="839906" y="890955"/>
                                </a:lnTo>
                                <a:lnTo>
                                  <a:pt x="0" y="890955"/>
                                </a:lnTo>
                                <a:lnTo>
                                  <a:pt x="419953" y="0"/>
                                </a:lnTo>
                                <a:close/>
                              </a:path>
                            </a:pathLst>
                          </a:custGeom>
                          <a:solidFill>
                            <a:schemeClr val="tx2"/>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31922594" name="Triangle_Corporate"/>
                          <pic:cNvPicPr preferRelativeResize="0">
                            <a:picLocks noChangeAspect="1"/>
                          </pic:cNvPicPr>
                        </pic:nvPicPr>
                        <pic:blipFill>
                          <a:blip r:embed="rId441" cstate="email">
                            <a:extLst>
                              <a:ext uri="{28A0092B-C50C-407E-A947-70E740481C1C}">
                                <a14:useLocalDpi xmlns:a14="http://schemas.microsoft.com/office/drawing/2010/main"/>
                              </a:ext>
                            </a:extLst>
                          </a:blip>
                          <a:stretch>
                            <a:fillRect/>
                          </a:stretch>
                        </pic:blipFill>
                        <pic:spPr>
                          <a:xfrm>
                            <a:off x="6524461" y="8018145"/>
                            <a:ext cx="1051200" cy="2227046"/>
                          </a:xfrm>
                          <a:prstGeom prst="rect">
                            <a:avLst/>
                          </a:prstGeom>
                        </pic:spPr>
                      </pic:pic>
                      <wps:wsp>
                        <wps:cNvPr id="190599400" name="Web"/>
                        <wps:cNvSpPr txBox="1"/>
                        <wps:spPr>
                          <a:xfrm>
                            <a:off x="502305" y="9746777"/>
                            <a:ext cx="1145785" cy="231385"/>
                          </a:xfrm>
                          <a:prstGeom prst="rect">
                            <a:avLst/>
                          </a:prstGeom>
                          <a:noFill/>
                          <a:ln w="6350">
                            <a:noFill/>
                          </a:ln>
                        </wps:spPr>
                        <wps:txbx>
                          <w:txbxContent>
                            <w:p w14:paraId="43D4259A" w14:textId="77777777" w:rsidR="00557E19" w:rsidRPr="000D02C6" w:rsidRDefault="00557E19" w:rsidP="00557E19">
                              <w:pPr>
                                <w:pStyle w:val="NoSpacing"/>
                                <w:shd w:val="clear" w:color="auto" w:fill="201547" w:themeFill="text2"/>
                                <w:rPr>
                                  <w:b/>
                                  <w:bCs/>
                                  <w:color w:val="FFFFFF" w:themeColor="background1"/>
                                  <w:sz w:val="21"/>
                                  <w:szCs w:val="21"/>
                                </w:rPr>
                              </w:pPr>
                              <w:hyperlink r:id="rId442" w:history="1">
                                <w:r w:rsidRPr="000D02C6">
                                  <w:rPr>
                                    <w:b/>
                                    <w:bCs/>
                                    <w:color w:val="FFFFFF" w:themeColor="background1"/>
                                    <w:sz w:val="21"/>
                                    <w:szCs w:val="21"/>
                                    <w:lang w:val="en-US"/>
                                  </w:rPr>
                                  <w:t>deeca.vic.gov.au</w:t>
                                </w:r>
                              </w:hyperlink>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B7F879F" id="Group 213283630" o:spid="_x0000_s1080" style="position:absolute;margin-left:949.05pt;margin-top:1028.8pt;width:556.9pt;height:491.15pt;z-index:-251658239;mso-position-horizontal-relative:text;mso-position-vertical-relative:text;mso-width-relative:margin;mso-height-relative:margin" coordorigin="5023,44538" coordsize="70733,62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">
                <v:shape id="RibbonTop" o:spid="_x0000_s1081" style="position:absolute;left:52645;top:44538;width:23098;height:49002;visibility:visible;mso-wrap-style:square;v-text-anchor:middle" coordsize="2309803,4900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" path="m,4900125r1259858,l2309803,2672738,2309803,,,4900125xe" fillcolor="#004c97 [3204]" stroked="f" strokeweight=".35253mm">
                  <v:stroke joinstyle="miter"/>
                  <v:path arrowok="t" o:connecttype="custom" o:connectlocs="0,4900125;1259858,4900125;2309803,2672738;2309803,0;0,4900125" o:connectangles="0,0,0,0,0"/>
                </v:shape>
                <v:shape id="RibbonMiddle" o:spid="_x0000_s1082" style="position:absolute;left:40046;top:84630;width:20998;height:17818;visibility:visible;mso-wrap-style:square;v-text-anchor:middle" coordsize="2099890,1781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" path="m840032,l2099891,,1259985,1781783,,1781783,840032,xe" fillcolor="#00b2a9 [3206]" stroked="f" strokeweight=".35253mm">
                  <v:stroke joinstyle="miter"/>
                  <v:path arrowok="t" o:connecttype="custom" o:connectlocs="840032,0;2099891,0;1259985,1781783;0,1781783;840032,0" o:connectangles="0,0,0,0,0"/>
                </v:shape>
                <v:shape id="RibbonBottom" o:spid="_x0000_s1083" style="position:absolute;left:29539;top:93540;width:18906;height:13380;visibility:visible;mso-wrap-style:square;v-text-anchor:middle" coordsize="1890612,1338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" path="m630754,l,1338083r1259858,l1890613,,630754,xe" fillcolor="#88dbdf [3205]" stroked="f" strokeweight=".35253mm">
                  <v:stroke joinstyle="miter"/>
                  <v:path arrowok="t" o:connecttype="custom" o:connectlocs="630754,0;0,1338083;1259858,1338083;1890613,0;630754,0" o:connectangles="0,0,0,0,0"/>
                </v:shape>
                <v:shape id="TriangleBottom" o:spid="_x0000_s1084" style="position:absolute;left:44245;top:93540;width:8400;height:8908;visibility:visible;mso-wrap-style:square;v-text-anchor:middle" coordsize="840032,890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" path="m420080,l840032,890828,,890828,420080,xe" fillcolor="#201547 [3215]" stroked="f" strokeweight=".35253mm">
                  <v:stroke joinstyle="miter"/>
                  <v:path arrowok="t" o:connecttype="custom" o:connectlocs="420080,0;840032,890828;0,890828;420080,0" o:connectangles="0,0,0,0"/>
                </v:shape>
                <v:shape id="TriangleTop" o:spid="_x0000_s1085" style="position:absolute;left:56845;top:84630;width:8399;height:8910;visibility:visible;mso-wrap-style:square;v-text-anchor:middle" coordsize="839905,890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" path="m419953,l839906,890955,,890955,419953,xe" fillcolor="#201547 [3215]" stroked="f" strokeweight=".35253mm">
                  <v:stroke joinstyle="miter"/>
                  <v:path arrowok="t" o:connecttype="custom" o:connectlocs="419953,0;839906,890955;0,890955;419953,0" o:connectangles="0,0,0,0"/>
                </v:shape>
                <v:shape id="Triangle_Corporate" o:spid="_x0000_s1086" type="#_x0000_t75" style="position:absolute;left:65244;top:80181;width:10512;height:2227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">
                  <v:imagedata r:id="rId443" o:title=""/>
                </v:shape>
                <v:shape id="Web" o:spid="_x0000_s1087" type="#_x0000_t202" style="position:absolute;left:5023;top:97467;width:11457;height:23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" filled="f" stroked="f" strokeweight=".5pt">
                  <v:textbox style="mso-fit-shape-to-text:t" inset="1mm,1mm,1mm,1mm">
                    <w:txbxContent>
                      <w:p w14:paraId="43D4259A" w14:textId="77777777" w:rsidR="00557E19" w:rsidRPr="000D02C6" w:rsidRDefault="00557E19" w:rsidP="00557E19">
                        <w:pPr>
                          <w:pStyle w:val="NoSpacing"/>
                          <w:shd w:val="clear" w:color="auto" w:fill="201547" w:themeFill="text2"/>
                          <w:rPr>
                            <w:b/>
                            <w:bCs/>
                            <w:color w:val="FFFFFF" w:themeColor="background1"/>
                            <w:sz w:val="21"/>
                            <w:szCs w:val="21"/>
                          </w:rPr>
                        </w:pPr>
                        <w:hyperlink r:id="rId444" w:history="1">
                          <w:r w:rsidRPr="000D02C6">
                            <w:rPr>
                              <w:b/>
                              <w:bCs/>
                              <w:color w:val="FFFFFF" w:themeColor="background1"/>
                              <w:sz w:val="21"/>
                              <w:szCs w:val="21"/>
                              <w:lang w:val="en-US"/>
                            </w:rPr>
                            <w:t>deeca.vic.gov.au</w:t>
                          </w:r>
                        </w:hyperlink>
                      </w:p>
                    </w:txbxContent>
                  </v:textbox>
                </v:shape>
              </v:group>
            </w:pict>
          </mc:Fallback>
        </mc:AlternateContent>
      </w:r>
      <w:r w:rsidR="00BA5FDF" w:rsidRPr="00403A68">
        <w:rPr>
          <w:rFonts w:eastAsia="Arial"/>
        </w:rPr>
        <w:t>Table A13.1. Negative pressures and impacts assessment - non-exhaustive list of potential metrics and data sources</w:t>
      </w:r>
    </w:p>
    <w:tbl>
      <w:tblPr>
        <w:tblStyle w:val="TableGrid"/>
        <w:tblW w:w="5000" w:type="pct"/>
        <w:tblLook w:val="04A0" w:firstRow="1" w:lastRow="0" w:firstColumn="1" w:lastColumn="0" w:noHBand="0" w:noVBand="1"/>
      </w:tblPr>
      <w:tblGrid>
        <w:gridCol w:w="6508"/>
        <w:gridCol w:w="1556"/>
        <w:gridCol w:w="1134"/>
        <w:gridCol w:w="1422"/>
        <w:gridCol w:w="9423"/>
        <w:gridCol w:w="1509"/>
      </w:tblGrid>
      <w:tr w:rsidR="00205F19" w:rsidRPr="00403A68" w14:paraId="317554AE" w14:textId="77777777" w:rsidTr="00BA5FD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10" w:type="pct"/>
          </w:tcPr>
          <w:p w14:paraId="0245AACD" w14:textId="77777777" w:rsidR="00205F19" w:rsidRPr="00403A68" w:rsidRDefault="00205F19" w:rsidP="00D10D24">
            <w:pPr>
              <w:pStyle w:val="TableTextLeft"/>
            </w:pPr>
            <w:r w:rsidRPr="00403A68">
              <w:t>Negative pressures and impact description</w:t>
            </w:r>
          </w:p>
        </w:tc>
        <w:tc>
          <w:tcPr>
            <w:tcW w:w="361" w:type="pct"/>
          </w:tcPr>
          <w:p w14:paraId="45B61A64" w14:textId="77777777" w:rsidR="00205F19" w:rsidRPr="00403A68" w:rsidRDefault="00205F19" w:rsidP="00D10D24">
            <w:pPr>
              <w:pStyle w:val="TableTextLeft"/>
              <w:cnfStyle w:val="100000000000" w:firstRow="1" w:lastRow="0" w:firstColumn="0" w:lastColumn="0" w:oddVBand="0" w:evenVBand="0" w:oddHBand="0" w:evenHBand="0" w:firstRowFirstColumn="0" w:firstRowLastColumn="0" w:lastRowFirstColumn="0" w:lastRowLastColumn="0"/>
            </w:pPr>
            <w:r w:rsidRPr="00403A68">
              <w:t>Metric</w:t>
            </w:r>
          </w:p>
        </w:tc>
        <w:tc>
          <w:tcPr>
            <w:tcW w:w="263" w:type="pct"/>
          </w:tcPr>
          <w:p w14:paraId="761F56B4" w14:textId="77777777" w:rsidR="00205F19" w:rsidRPr="00403A68" w:rsidRDefault="00205F19" w:rsidP="00D10D24">
            <w:pPr>
              <w:pStyle w:val="TableTextLeft"/>
              <w:cnfStyle w:val="100000000000" w:firstRow="1" w:lastRow="0" w:firstColumn="0" w:lastColumn="0" w:oddVBand="0" w:evenVBand="0" w:oddHBand="0" w:evenHBand="0" w:firstRowFirstColumn="0" w:firstRowLastColumn="0" w:lastRowFirstColumn="0" w:lastRowLastColumn="0"/>
            </w:pPr>
            <w:r w:rsidRPr="00403A68">
              <w:t>Type</w:t>
            </w:r>
          </w:p>
        </w:tc>
        <w:tc>
          <w:tcPr>
            <w:tcW w:w="330" w:type="pct"/>
          </w:tcPr>
          <w:p w14:paraId="2B4E2935" w14:textId="77777777" w:rsidR="00205F19" w:rsidRPr="00403A68" w:rsidRDefault="00205F19" w:rsidP="00D10D24">
            <w:pPr>
              <w:pStyle w:val="TableTextLeft"/>
              <w:cnfStyle w:val="100000000000" w:firstRow="1" w:lastRow="0" w:firstColumn="0" w:lastColumn="0" w:oddVBand="0" w:evenVBand="0" w:oddHBand="0" w:evenHBand="0" w:firstRowFirstColumn="0" w:firstRowLastColumn="0" w:lastRowFirstColumn="0" w:lastRowLastColumn="0"/>
            </w:pPr>
            <w:r w:rsidRPr="00403A68">
              <w:t>Geog. scope</w:t>
            </w:r>
          </w:p>
        </w:tc>
        <w:tc>
          <w:tcPr>
            <w:tcW w:w="2186" w:type="pct"/>
          </w:tcPr>
          <w:p w14:paraId="708FACCB" w14:textId="77777777" w:rsidR="00205F19" w:rsidRPr="00403A68" w:rsidRDefault="00205F19" w:rsidP="00D10D24">
            <w:pPr>
              <w:pStyle w:val="TableTextLeft"/>
              <w:cnfStyle w:val="100000000000" w:firstRow="1" w:lastRow="0" w:firstColumn="0" w:lastColumn="0" w:oddVBand="0" w:evenVBand="0" w:oddHBand="0" w:evenHBand="0" w:firstRowFirstColumn="0" w:firstRowLastColumn="0" w:lastRowFirstColumn="0" w:lastRowLastColumn="0"/>
            </w:pPr>
            <w:r w:rsidRPr="00403A68">
              <w:t>Source</w:t>
            </w:r>
          </w:p>
        </w:tc>
        <w:tc>
          <w:tcPr>
            <w:tcW w:w="350" w:type="pct"/>
          </w:tcPr>
          <w:p w14:paraId="52E4E015" w14:textId="77777777" w:rsidR="00205F19" w:rsidRPr="00403A68" w:rsidRDefault="00205F19" w:rsidP="00D10D24">
            <w:pPr>
              <w:pStyle w:val="TableTextLeft"/>
              <w:cnfStyle w:val="100000000000" w:firstRow="1" w:lastRow="0" w:firstColumn="0" w:lastColumn="0" w:oddVBand="0" w:evenVBand="0" w:oddHBand="0" w:evenHBand="0" w:firstRowFirstColumn="0" w:firstRowLastColumn="0" w:lastRowFirstColumn="0" w:lastRowLastColumn="0"/>
            </w:pPr>
            <w:r w:rsidRPr="00403A68">
              <w:t>Year</w:t>
            </w:r>
          </w:p>
        </w:tc>
      </w:tr>
      <w:tr w:rsidR="00205F19" w:rsidRPr="00403A68" w14:paraId="62D97C90"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7D3E62E3" w14:textId="77777777" w:rsidR="00205F19" w:rsidRPr="00403A68" w:rsidRDefault="00205F19" w:rsidP="00D10D24">
            <w:pPr>
              <w:pStyle w:val="TableTextLeft"/>
              <w:rPr>
                <w:b/>
              </w:rPr>
            </w:pPr>
            <w:r w:rsidRPr="00403A68">
              <w:t>Air temperature change incl. frost and heat extremes</w:t>
            </w:r>
          </w:p>
        </w:tc>
        <w:tc>
          <w:tcPr>
            <w:tcW w:w="361" w:type="pct"/>
          </w:tcPr>
          <w:p w14:paraId="5D6489D6"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rPr>
                <w:b/>
              </w:rPr>
            </w:pPr>
            <w:r w:rsidRPr="00403A68">
              <w:t>°C</w:t>
            </w:r>
          </w:p>
        </w:tc>
        <w:tc>
          <w:tcPr>
            <w:tcW w:w="263" w:type="pct"/>
          </w:tcPr>
          <w:p w14:paraId="7508BBD1"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rPr>
                <w:b/>
              </w:rPr>
            </w:pPr>
            <w:r w:rsidRPr="00403A68">
              <w:t>Report</w:t>
            </w:r>
          </w:p>
        </w:tc>
        <w:tc>
          <w:tcPr>
            <w:tcW w:w="330" w:type="pct"/>
          </w:tcPr>
          <w:p w14:paraId="6B1A4266"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rPr>
                <w:b/>
              </w:rPr>
            </w:pPr>
            <w:r w:rsidRPr="00403A68">
              <w:t>Barwon</w:t>
            </w:r>
          </w:p>
        </w:tc>
        <w:tc>
          <w:tcPr>
            <w:tcW w:w="2186" w:type="pct"/>
          </w:tcPr>
          <w:p w14:paraId="69723E76"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rPr>
                <w:b/>
              </w:rPr>
            </w:pPr>
            <w:r w:rsidRPr="00403A68">
              <w:t>CSIRO and DELWP (2019) Barwon Climate Projections 2019</w:t>
            </w:r>
          </w:p>
        </w:tc>
        <w:tc>
          <w:tcPr>
            <w:tcW w:w="350" w:type="pct"/>
          </w:tcPr>
          <w:p w14:paraId="5ED31500"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rPr>
                <w:b/>
              </w:rPr>
            </w:pPr>
            <w:r w:rsidRPr="00403A68">
              <w:t>Future</w:t>
            </w:r>
          </w:p>
        </w:tc>
      </w:tr>
      <w:tr w:rsidR="00205F19" w:rsidRPr="00403A68" w14:paraId="2B982347"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4C8C78CD" w14:textId="77777777" w:rsidR="00205F19" w:rsidRPr="00403A68" w:rsidRDefault="00205F19" w:rsidP="00D10D24">
            <w:pPr>
              <w:pStyle w:val="TableTextLeft"/>
            </w:pPr>
            <w:r w:rsidRPr="00403A68">
              <w:t>Air temperature change incl. frost and heat extremes</w:t>
            </w:r>
          </w:p>
        </w:tc>
        <w:tc>
          <w:tcPr>
            <w:tcW w:w="361" w:type="pct"/>
          </w:tcPr>
          <w:p w14:paraId="44033E2B"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63" w:type="pct"/>
          </w:tcPr>
          <w:p w14:paraId="4B74CE76"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330" w:type="pct"/>
          </w:tcPr>
          <w:p w14:paraId="5B2172B6"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186" w:type="pct"/>
          </w:tcPr>
          <w:p w14:paraId="2D3A94E6"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 from OCES Marine and Coastal indicators</w:t>
            </w:r>
          </w:p>
        </w:tc>
        <w:tc>
          <w:tcPr>
            <w:tcW w:w="350" w:type="pct"/>
          </w:tcPr>
          <w:p w14:paraId="3B6EFACB"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r>
      <w:tr w:rsidR="00205F19" w:rsidRPr="00403A68" w14:paraId="5985309B"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068E12FE" w14:textId="77777777" w:rsidR="00205F19" w:rsidRPr="00403A68" w:rsidRDefault="00205F19" w:rsidP="00D10D24">
            <w:pPr>
              <w:pStyle w:val="TableTextLeft"/>
            </w:pPr>
            <w:r w:rsidRPr="00403A68">
              <w:t>Areas of coastal vulnerability</w:t>
            </w:r>
          </w:p>
        </w:tc>
        <w:tc>
          <w:tcPr>
            <w:tcW w:w="361" w:type="pct"/>
          </w:tcPr>
          <w:p w14:paraId="137B5698"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63" w:type="pct"/>
          </w:tcPr>
          <w:p w14:paraId="7DB5C128"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330" w:type="pct"/>
          </w:tcPr>
          <w:p w14:paraId="40C027B9"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186" w:type="pct"/>
          </w:tcPr>
          <w:p w14:paraId="26C0B85A"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 from OCES Marine and Coastal indicators</w:t>
            </w:r>
          </w:p>
        </w:tc>
        <w:tc>
          <w:tcPr>
            <w:tcW w:w="350" w:type="pct"/>
          </w:tcPr>
          <w:p w14:paraId="4A6D2DDC"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r>
      <w:tr w:rsidR="00205F19" w:rsidRPr="00403A68" w14:paraId="48C804B3"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65A6826C" w14:textId="77777777" w:rsidR="00205F19" w:rsidRPr="00403A68" w:rsidRDefault="00205F19" w:rsidP="00D10D24">
            <w:pPr>
              <w:pStyle w:val="TableTextLeft"/>
            </w:pPr>
            <w:r w:rsidRPr="00403A68">
              <w:t>Coastal erosion and inundation risk</w:t>
            </w:r>
          </w:p>
        </w:tc>
        <w:tc>
          <w:tcPr>
            <w:tcW w:w="361" w:type="pct"/>
          </w:tcPr>
          <w:p w14:paraId="3FE65A74"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Risk rating</w:t>
            </w:r>
          </w:p>
        </w:tc>
        <w:tc>
          <w:tcPr>
            <w:tcW w:w="263" w:type="pct"/>
          </w:tcPr>
          <w:p w14:paraId="0328D93B"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Spatial</w:t>
            </w:r>
          </w:p>
        </w:tc>
        <w:tc>
          <w:tcPr>
            <w:tcW w:w="330" w:type="pct"/>
          </w:tcPr>
          <w:p w14:paraId="51224BAE"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Victoria</w:t>
            </w:r>
          </w:p>
        </w:tc>
        <w:tc>
          <w:tcPr>
            <w:tcW w:w="2186" w:type="pct"/>
          </w:tcPr>
          <w:p w14:paraId="2BBE223D"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Spatial Vision (2017) Coastal Climate Change Impact Assessment</w:t>
            </w:r>
          </w:p>
        </w:tc>
        <w:tc>
          <w:tcPr>
            <w:tcW w:w="350" w:type="pct"/>
          </w:tcPr>
          <w:p w14:paraId="38344857"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Future</w:t>
            </w:r>
          </w:p>
        </w:tc>
      </w:tr>
      <w:tr w:rsidR="00205F19" w:rsidRPr="00403A68" w14:paraId="255E80C1"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3C6931BA" w14:textId="77777777" w:rsidR="00205F19" w:rsidRPr="00403A68" w:rsidRDefault="00205F19" w:rsidP="00D10D24">
            <w:pPr>
              <w:pStyle w:val="TableTextLeft"/>
            </w:pPr>
            <w:r w:rsidRPr="00403A68">
              <w:t>Coastal erosion</w:t>
            </w:r>
          </w:p>
        </w:tc>
        <w:tc>
          <w:tcPr>
            <w:tcW w:w="361" w:type="pct"/>
          </w:tcPr>
          <w:p w14:paraId="2AA57939"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63" w:type="pct"/>
          </w:tcPr>
          <w:p w14:paraId="29285294"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330" w:type="pct"/>
          </w:tcPr>
          <w:p w14:paraId="0AF4CD90"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186" w:type="pct"/>
          </w:tcPr>
          <w:p w14:paraId="6C7EBFF6"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 from OCES Marine and Coastal indicators</w:t>
            </w:r>
          </w:p>
        </w:tc>
        <w:tc>
          <w:tcPr>
            <w:tcW w:w="350" w:type="pct"/>
          </w:tcPr>
          <w:p w14:paraId="5597387A"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r>
      <w:tr w:rsidR="00205F19" w:rsidRPr="00403A68" w14:paraId="05464B02"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357E3D30" w14:textId="77777777" w:rsidR="00205F19" w:rsidRPr="00403A68" w:rsidRDefault="00205F19" w:rsidP="00D10D24">
            <w:pPr>
              <w:pStyle w:val="TableTextLeft"/>
            </w:pPr>
            <w:r w:rsidRPr="00403A68">
              <w:t>Coastal erosion leads to loss of habitat (Hooded Plover), loss of beach as a refuge because of change of access and less beach</w:t>
            </w:r>
          </w:p>
        </w:tc>
        <w:tc>
          <w:tcPr>
            <w:tcW w:w="361" w:type="pct"/>
          </w:tcPr>
          <w:p w14:paraId="46FE2272"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63" w:type="pct"/>
          </w:tcPr>
          <w:p w14:paraId="1E7C383F"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330" w:type="pct"/>
          </w:tcPr>
          <w:p w14:paraId="1E8691A5"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186" w:type="pct"/>
          </w:tcPr>
          <w:p w14:paraId="2B8E28BB"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Issue identified in DELWP (2015) DELWP Coastal Climate Change Risk Assessment Vol 2</w:t>
            </w:r>
          </w:p>
        </w:tc>
        <w:tc>
          <w:tcPr>
            <w:tcW w:w="350" w:type="pct"/>
          </w:tcPr>
          <w:p w14:paraId="07BD53D8"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r>
      <w:tr w:rsidR="00205F19" w:rsidRPr="00403A68" w14:paraId="66490076"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74B82E6A" w14:textId="77777777" w:rsidR="00205F19" w:rsidRPr="00403A68" w:rsidRDefault="00205F19" w:rsidP="00D10D24">
            <w:pPr>
              <w:pStyle w:val="TableTextLeft"/>
            </w:pPr>
            <w:r w:rsidRPr="00403A68">
              <w:t xml:space="preserve">Coastal erosion - rock falls, major collapse leading to less tourists </w:t>
            </w:r>
          </w:p>
        </w:tc>
        <w:tc>
          <w:tcPr>
            <w:tcW w:w="361" w:type="pct"/>
          </w:tcPr>
          <w:p w14:paraId="58D99C88"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63" w:type="pct"/>
          </w:tcPr>
          <w:p w14:paraId="2F56E958"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330" w:type="pct"/>
          </w:tcPr>
          <w:p w14:paraId="3442A9F0"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186" w:type="pct"/>
          </w:tcPr>
          <w:p w14:paraId="7C7E3546"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Issue identified in DELWP (2015) DELWP Coastal Climate Change Risk Assessment Vol 2</w:t>
            </w:r>
          </w:p>
        </w:tc>
        <w:tc>
          <w:tcPr>
            <w:tcW w:w="350" w:type="pct"/>
          </w:tcPr>
          <w:p w14:paraId="10CEBD83"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r>
      <w:tr w:rsidR="00205F19" w:rsidRPr="00403A68" w14:paraId="56104B3B"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19A39FB6" w14:textId="77777777" w:rsidR="00205F19" w:rsidRPr="00403A68" w:rsidRDefault="00205F19" w:rsidP="00D10D24">
            <w:pPr>
              <w:pStyle w:val="TableTextLeft"/>
            </w:pPr>
            <w:r w:rsidRPr="00403A68">
              <w:t>Collapse of another of the Twelve Apostles</w:t>
            </w:r>
          </w:p>
        </w:tc>
        <w:tc>
          <w:tcPr>
            <w:tcW w:w="361" w:type="pct"/>
          </w:tcPr>
          <w:p w14:paraId="3532D1B9"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63" w:type="pct"/>
          </w:tcPr>
          <w:p w14:paraId="79A4806B"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330" w:type="pct"/>
          </w:tcPr>
          <w:p w14:paraId="36DF7D63"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186" w:type="pct"/>
          </w:tcPr>
          <w:p w14:paraId="36DA03D3"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Issue identified in DELWP (2015) DELWP Coastal Climate Change Risk Assessment Vol 2</w:t>
            </w:r>
          </w:p>
        </w:tc>
        <w:tc>
          <w:tcPr>
            <w:tcW w:w="350" w:type="pct"/>
          </w:tcPr>
          <w:p w14:paraId="64D18CB8"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r>
      <w:tr w:rsidR="00205F19" w:rsidRPr="00403A68" w14:paraId="46491C39"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4A22EED9" w14:textId="77777777" w:rsidR="00205F19" w:rsidRPr="00403A68" w:rsidRDefault="00205F19" w:rsidP="00D10D24">
            <w:pPr>
              <w:pStyle w:val="TableTextLeft"/>
            </w:pPr>
            <w:r w:rsidRPr="00403A68">
              <w:t>Collapse of GOR</w:t>
            </w:r>
          </w:p>
        </w:tc>
        <w:tc>
          <w:tcPr>
            <w:tcW w:w="361" w:type="pct"/>
          </w:tcPr>
          <w:p w14:paraId="3931E18F"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63" w:type="pct"/>
          </w:tcPr>
          <w:p w14:paraId="49A705E9"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330" w:type="pct"/>
          </w:tcPr>
          <w:p w14:paraId="279AA91E"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186" w:type="pct"/>
          </w:tcPr>
          <w:p w14:paraId="7356A5D5"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Issue identified in DELWP (2015) DELWP Coastal Climate Change Risk Assessment Vol 2</w:t>
            </w:r>
          </w:p>
        </w:tc>
        <w:tc>
          <w:tcPr>
            <w:tcW w:w="350" w:type="pct"/>
          </w:tcPr>
          <w:p w14:paraId="5E24D696"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r>
      <w:tr w:rsidR="00205F19" w:rsidRPr="00403A68" w14:paraId="2CCCEA99"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7DCC877A" w14:textId="77777777" w:rsidR="00205F19" w:rsidRPr="00403A68" w:rsidRDefault="00205F19" w:rsidP="00D10D24">
            <w:pPr>
              <w:pStyle w:val="TableTextLeft"/>
            </w:pPr>
            <w:r w:rsidRPr="00403A68">
              <w:t>Flood risk</w:t>
            </w:r>
          </w:p>
        </w:tc>
        <w:tc>
          <w:tcPr>
            <w:tcW w:w="361" w:type="pct"/>
          </w:tcPr>
          <w:p w14:paraId="2A764C2E"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1 in 100 years</w:t>
            </w:r>
          </w:p>
        </w:tc>
        <w:tc>
          <w:tcPr>
            <w:tcW w:w="263" w:type="pct"/>
          </w:tcPr>
          <w:p w14:paraId="17555A1A"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Spatial</w:t>
            </w:r>
          </w:p>
        </w:tc>
        <w:tc>
          <w:tcPr>
            <w:tcW w:w="330" w:type="pct"/>
          </w:tcPr>
          <w:p w14:paraId="406E65AC"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Victoria</w:t>
            </w:r>
          </w:p>
        </w:tc>
        <w:tc>
          <w:tcPr>
            <w:tcW w:w="2186" w:type="pct"/>
          </w:tcPr>
          <w:p w14:paraId="663F433C"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Colac Otway Shire (n.d.) Colac Otway Shire - Maps</w:t>
            </w:r>
          </w:p>
        </w:tc>
        <w:tc>
          <w:tcPr>
            <w:tcW w:w="350" w:type="pct"/>
          </w:tcPr>
          <w:p w14:paraId="24034724"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n.d.</w:t>
            </w:r>
          </w:p>
        </w:tc>
      </w:tr>
      <w:tr w:rsidR="00205F19" w:rsidRPr="00403A68" w14:paraId="55B928D3"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4C50C41A" w14:textId="77777777" w:rsidR="00205F19" w:rsidRPr="00403A68" w:rsidRDefault="00205F19" w:rsidP="00D10D24">
            <w:pPr>
              <w:pStyle w:val="TableTextLeft"/>
            </w:pPr>
            <w:r w:rsidRPr="00403A68">
              <w:t>Forest logging</w:t>
            </w:r>
          </w:p>
        </w:tc>
        <w:tc>
          <w:tcPr>
            <w:tcW w:w="361" w:type="pct"/>
          </w:tcPr>
          <w:p w14:paraId="517FEF16"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Ha</w:t>
            </w:r>
          </w:p>
        </w:tc>
        <w:tc>
          <w:tcPr>
            <w:tcW w:w="263" w:type="pct"/>
          </w:tcPr>
          <w:p w14:paraId="3404106F"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Spatial</w:t>
            </w:r>
          </w:p>
        </w:tc>
        <w:tc>
          <w:tcPr>
            <w:tcW w:w="330" w:type="pct"/>
          </w:tcPr>
          <w:p w14:paraId="1AF74C51"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Victoria</w:t>
            </w:r>
          </w:p>
        </w:tc>
        <w:tc>
          <w:tcPr>
            <w:tcW w:w="2186" w:type="pct"/>
          </w:tcPr>
          <w:p w14:paraId="1C3778AC"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rPr>
                <w:i/>
              </w:rPr>
            </w:pPr>
            <w:r w:rsidRPr="00403A68">
              <w:t xml:space="preserve">DELWP (2020) </w:t>
            </w:r>
            <w:proofErr w:type="spellStart"/>
            <w:r w:rsidRPr="00403A68">
              <w:t>Lastlog</w:t>
            </w:r>
            <w:proofErr w:type="spellEnd"/>
            <w:r w:rsidRPr="00403A68">
              <w:t xml:space="preserve"> 25</w:t>
            </w:r>
          </w:p>
        </w:tc>
        <w:tc>
          <w:tcPr>
            <w:tcW w:w="350" w:type="pct"/>
          </w:tcPr>
          <w:p w14:paraId="171D2FA2"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r>
      <w:tr w:rsidR="00205F19" w:rsidRPr="00403A68" w14:paraId="3A006847"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3B6011BA" w14:textId="77777777" w:rsidR="00205F19" w:rsidRPr="00403A68" w:rsidRDefault="00205F19" w:rsidP="00D10D24">
            <w:pPr>
              <w:pStyle w:val="TableTextLeft"/>
            </w:pPr>
            <w:r w:rsidRPr="00403A68">
              <w:t>Groundwater and seawater intrusion into coastal aquifers</w:t>
            </w:r>
          </w:p>
        </w:tc>
        <w:tc>
          <w:tcPr>
            <w:tcW w:w="361" w:type="pct"/>
          </w:tcPr>
          <w:p w14:paraId="6F94D5B3"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63" w:type="pct"/>
          </w:tcPr>
          <w:p w14:paraId="3BD718A8"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330" w:type="pct"/>
          </w:tcPr>
          <w:p w14:paraId="45D9BCC6"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186" w:type="pct"/>
          </w:tcPr>
          <w:p w14:paraId="4D2BC64E"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 from OCES Marine and Coastal indicators</w:t>
            </w:r>
          </w:p>
        </w:tc>
        <w:tc>
          <w:tcPr>
            <w:tcW w:w="350" w:type="pct"/>
          </w:tcPr>
          <w:p w14:paraId="23637807"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r>
      <w:tr w:rsidR="00205F19" w:rsidRPr="00403A68" w14:paraId="26EA8522"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3CAD4D6D" w14:textId="77777777" w:rsidR="00205F19" w:rsidRPr="00403A68" w:rsidRDefault="00205F19" w:rsidP="00D10D24">
            <w:pPr>
              <w:pStyle w:val="TableTextLeft"/>
            </w:pPr>
            <w:r w:rsidRPr="00403A68">
              <w:t>Habitat loss</w:t>
            </w:r>
          </w:p>
        </w:tc>
        <w:tc>
          <w:tcPr>
            <w:tcW w:w="361" w:type="pct"/>
          </w:tcPr>
          <w:p w14:paraId="5F801C12"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Ha</w:t>
            </w:r>
          </w:p>
        </w:tc>
        <w:tc>
          <w:tcPr>
            <w:tcW w:w="263" w:type="pct"/>
          </w:tcPr>
          <w:p w14:paraId="50C1D7B3"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Spatial</w:t>
            </w:r>
          </w:p>
        </w:tc>
        <w:tc>
          <w:tcPr>
            <w:tcW w:w="330" w:type="pct"/>
          </w:tcPr>
          <w:p w14:paraId="377CBCDA"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Victoria</w:t>
            </w:r>
          </w:p>
        </w:tc>
        <w:tc>
          <w:tcPr>
            <w:tcW w:w="2186" w:type="pct"/>
          </w:tcPr>
          <w:p w14:paraId="4765D455"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rPr>
                <w:i/>
              </w:rPr>
            </w:pPr>
            <w:r w:rsidRPr="00403A68">
              <w:t>DELWP (2020) Victoria's Land Cover Time series</w:t>
            </w:r>
          </w:p>
        </w:tc>
        <w:tc>
          <w:tcPr>
            <w:tcW w:w="350" w:type="pct"/>
          </w:tcPr>
          <w:p w14:paraId="288F9241"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1987-2019</w:t>
            </w:r>
          </w:p>
        </w:tc>
      </w:tr>
      <w:tr w:rsidR="00205F19" w:rsidRPr="00403A68" w14:paraId="1C83FE63"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0E0221B3" w14:textId="77777777" w:rsidR="00205F19" w:rsidRPr="00403A68" w:rsidRDefault="00205F19" w:rsidP="00D10D24">
            <w:pPr>
              <w:pStyle w:val="TableTextLeft"/>
            </w:pPr>
            <w:r w:rsidRPr="00403A68">
              <w:t>Illegal Activities</w:t>
            </w:r>
          </w:p>
        </w:tc>
        <w:tc>
          <w:tcPr>
            <w:tcW w:w="361" w:type="pct"/>
          </w:tcPr>
          <w:p w14:paraId="02D39A49"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63" w:type="pct"/>
          </w:tcPr>
          <w:p w14:paraId="0AD29639"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330" w:type="pct"/>
          </w:tcPr>
          <w:p w14:paraId="4BD9C8EC"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186" w:type="pct"/>
          </w:tcPr>
          <w:p w14:paraId="7CFDE9C0"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 from OCES Marine and Coastal indicators</w:t>
            </w:r>
          </w:p>
        </w:tc>
        <w:tc>
          <w:tcPr>
            <w:tcW w:w="350" w:type="pct"/>
          </w:tcPr>
          <w:p w14:paraId="33FD6E7A"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r>
      <w:tr w:rsidR="00205F19" w:rsidRPr="00403A68" w14:paraId="2AF0DC1D"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0EC2DB0F" w14:textId="77777777" w:rsidR="00205F19" w:rsidRPr="00403A68" w:rsidRDefault="00205F19" w:rsidP="00D10D24">
            <w:pPr>
              <w:pStyle w:val="TableTextLeft"/>
            </w:pPr>
            <w:r w:rsidRPr="00403A68">
              <w:t>Impact of poor water quality on recreation (beach closures)</w:t>
            </w:r>
          </w:p>
        </w:tc>
        <w:tc>
          <w:tcPr>
            <w:tcW w:w="361" w:type="pct"/>
          </w:tcPr>
          <w:p w14:paraId="645A7FAD"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63" w:type="pct"/>
          </w:tcPr>
          <w:p w14:paraId="7EE0F6A5"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330" w:type="pct"/>
          </w:tcPr>
          <w:p w14:paraId="1763203D"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186" w:type="pct"/>
          </w:tcPr>
          <w:p w14:paraId="50D88738"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 from OCES Marine and Coastal indicators</w:t>
            </w:r>
            <w:r w:rsidRPr="00403A68">
              <w:tab/>
            </w:r>
          </w:p>
        </w:tc>
        <w:tc>
          <w:tcPr>
            <w:tcW w:w="350" w:type="pct"/>
          </w:tcPr>
          <w:p w14:paraId="1DC85EFD"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r>
      <w:tr w:rsidR="00205F19" w:rsidRPr="00403A68" w14:paraId="01546165"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753913F5" w14:textId="77777777" w:rsidR="00205F19" w:rsidRPr="00403A68" w:rsidRDefault="00205F19" w:rsidP="00D10D24">
            <w:pPr>
              <w:pStyle w:val="TableTextLeft"/>
            </w:pPr>
            <w:r w:rsidRPr="00403A68">
              <w:t>Increased traffic (which cannot be sustained by GOR)</w:t>
            </w:r>
          </w:p>
        </w:tc>
        <w:tc>
          <w:tcPr>
            <w:tcW w:w="361" w:type="pct"/>
          </w:tcPr>
          <w:p w14:paraId="29BF8C86"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63" w:type="pct"/>
          </w:tcPr>
          <w:p w14:paraId="347EC786"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330" w:type="pct"/>
          </w:tcPr>
          <w:p w14:paraId="7EB92728"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186" w:type="pct"/>
          </w:tcPr>
          <w:p w14:paraId="202034AD"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Issue identified in DELWP (2015) DELWP Coastal Climate Change Risk Assessment Vol 2</w:t>
            </w:r>
          </w:p>
        </w:tc>
        <w:tc>
          <w:tcPr>
            <w:tcW w:w="350" w:type="pct"/>
          </w:tcPr>
          <w:p w14:paraId="0E91902A"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r>
      <w:tr w:rsidR="00205F19" w:rsidRPr="00403A68" w14:paraId="318003CB"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1D2913C5" w14:textId="77777777" w:rsidR="00205F19" w:rsidRPr="00403A68" w:rsidRDefault="00205F19" w:rsidP="00D10D24">
            <w:pPr>
              <w:pStyle w:val="TableTextLeft"/>
            </w:pPr>
            <w:r w:rsidRPr="00403A68">
              <w:t>Invasive species (marine, freshwater and terrestrial)</w:t>
            </w:r>
          </w:p>
        </w:tc>
        <w:tc>
          <w:tcPr>
            <w:tcW w:w="361" w:type="pct"/>
          </w:tcPr>
          <w:p w14:paraId="4BE82942"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63" w:type="pct"/>
          </w:tcPr>
          <w:p w14:paraId="2483B344"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330" w:type="pct"/>
          </w:tcPr>
          <w:p w14:paraId="6B80F13F"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186" w:type="pct"/>
          </w:tcPr>
          <w:p w14:paraId="4CB3EAE8"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 from OCES Marine and Coastal indicators</w:t>
            </w:r>
            <w:r w:rsidRPr="00403A68">
              <w:tab/>
            </w:r>
          </w:p>
        </w:tc>
        <w:tc>
          <w:tcPr>
            <w:tcW w:w="350" w:type="pct"/>
          </w:tcPr>
          <w:p w14:paraId="2D47AB36"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r>
      <w:tr w:rsidR="00205F19" w:rsidRPr="00403A68" w14:paraId="58AF59DE"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171E6009" w14:textId="77777777" w:rsidR="00205F19" w:rsidRPr="00403A68" w:rsidRDefault="00205F19" w:rsidP="00D10D24">
            <w:pPr>
              <w:pStyle w:val="TableTextLeft"/>
            </w:pPr>
            <w:r w:rsidRPr="00403A68">
              <w:t>Land contamination - rifle ranges, sand quarries</w:t>
            </w:r>
          </w:p>
        </w:tc>
        <w:tc>
          <w:tcPr>
            <w:tcW w:w="361" w:type="pct"/>
          </w:tcPr>
          <w:p w14:paraId="0356F238"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63" w:type="pct"/>
          </w:tcPr>
          <w:p w14:paraId="3997039E"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330" w:type="pct"/>
          </w:tcPr>
          <w:p w14:paraId="7172A3DB"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186" w:type="pct"/>
          </w:tcPr>
          <w:p w14:paraId="5604F222"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 - raised by PSG</w:t>
            </w:r>
          </w:p>
        </w:tc>
        <w:tc>
          <w:tcPr>
            <w:tcW w:w="350" w:type="pct"/>
          </w:tcPr>
          <w:p w14:paraId="16C9D9A5"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r>
      <w:tr w:rsidR="00205F19" w:rsidRPr="00403A68" w14:paraId="547A121D"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5A178C10" w14:textId="77777777" w:rsidR="00205F19" w:rsidRPr="00403A68" w:rsidRDefault="00205F19" w:rsidP="00D10D24">
            <w:pPr>
              <w:pStyle w:val="TableTextLeft"/>
            </w:pPr>
            <w:r w:rsidRPr="00403A68">
              <w:t>Land slips, coastal erosion, impacting road access, beach access and economic social and environmental values</w:t>
            </w:r>
          </w:p>
        </w:tc>
        <w:tc>
          <w:tcPr>
            <w:tcW w:w="361" w:type="pct"/>
          </w:tcPr>
          <w:p w14:paraId="546529AA"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63" w:type="pct"/>
          </w:tcPr>
          <w:p w14:paraId="47FC2F28"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330" w:type="pct"/>
          </w:tcPr>
          <w:p w14:paraId="30A9E78D"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186" w:type="pct"/>
          </w:tcPr>
          <w:p w14:paraId="0124D3C9"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Issue identified in DELWP (2015) DELWP Coastal Climate Change Risk Assessment Vol 2</w:t>
            </w:r>
          </w:p>
        </w:tc>
        <w:tc>
          <w:tcPr>
            <w:tcW w:w="350" w:type="pct"/>
          </w:tcPr>
          <w:p w14:paraId="7CDD6509"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r>
      <w:tr w:rsidR="00205F19" w:rsidRPr="00403A68" w14:paraId="7C7D9E6D"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6A15D40D" w14:textId="77777777" w:rsidR="00205F19" w:rsidRPr="00403A68" w:rsidRDefault="00205F19" w:rsidP="00D10D24">
            <w:pPr>
              <w:pStyle w:val="TableTextLeft"/>
            </w:pPr>
            <w:r w:rsidRPr="00403A68">
              <w:t>Landslide risk</w:t>
            </w:r>
          </w:p>
        </w:tc>
        <w:tc>
          <w:tcPr>
            <w:tcW w:w="361" w:type="pct"/>
          </w:tcPr>
          <w:p w14:paraId="6274D7AE"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Risk</w:t>
            </w:r>
          </w:p>
        </w:tc>
        <w:tc>
          <w:tcPr>
            <w:tcW w:w="263" w:type="pct"/>
          </w:tcPr>
          <w:p w14:paraId="378309B3"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Spatial</w:t>
            </w:r>
          </w:p>
        </w:tc>
        <w:tc>
          <w:tcPr>
            <w:tcW w:w="330" w:type="pct"/>
          </w:tcPr>
          <w:p w14:paraId="3917E98D"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Victoria</w:t>
            </w:r>
          </w:p>
        </w:tc>
        <w:tc>
          <w:tcPr>
            <w:tcW w:w="2186" w:type="pct"/>
          </w:tcPr>
          <w:p w14:paraId="656791AC"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Colac Otway Shire (n.d.) Colac Otway Shire - Maps</w:t>
            </w:r>
          </w:p>
        </w:tc>
        <w:tc>
          <w:tcPr>
            <w:tcW w:w="350" w:type="pct"/>
          </w:tcPr>
          <w:p w14:paraId="514C7050"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n.d.</w:t>
            </w:r>
          </w:p>
        </w:tc>
      </w:tr>
      <w:tr w:rsidR="00205F19" w:rsidRPr="00403A68" w14:paraId="57387894"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7A33B4FA" w14:textId="77777777" w:rsidR="00205F19" w:rsidRPr="00403A68" w:rsidRDefault="00205F19" w:rsidP="00D10D24">
            <w:pPr>
              <w:pStyle w:val="TableTextLeft"/>
            </w:pPr>
            <w:r w:rsidRPr="00403A68">
              <w:t>Landslide risk should include land subsidence and cliff progression</w:t>
            </w:r>
          </w:p>
        </w:tc>
        <w:tc>
          <w:tcPr>
            <w:tcW w:w="361" w:type="pct"/>
          </w:tcPr>
          <w:p w14:paraId="2CB2E4EA"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63" w:type="pct"/>
          </w:tcPr>
          <w:p w14:paraId="6604B5DA"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330" w:type="pct"/>
          </w:tcPr>
          <w:p w14:paraId="5DC16C05"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186" w:type="pct"/>
          </w:tcPr>
          <w:p w14:paraId="6059F75F"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 xml:space="preserve">TBC - raised by PSG </w:t>
            </w:r>
          </w:p>
        </w:tc>
        <w:tc>
          <w:tcPr>
            <w:tcW w:w="350" w:type="pct"/>
          </w:tcPr>
          <w:p w14:paraId="7673E581"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r>
      <w:tr w:rsidR="00205F19" w:rsidRPr="00403A68" w14:paraId="688195CB"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2C76A334" w14:textId="77777777" w:rsidR="00205F19" w:rsidRPr="00403A68" w:rsidRDefault="00205F19" w:rsidP="00D10D24">
            <w:pPr>
              <w:pStyle w:val="TableTextLeft"/>
            </w:pPr>
            <w:r w:rsidRPr="00403A68">
              <w:t xml:space="preserve">Landscape scale change </w:t>
            </w:r>
          </w:p>
        </w:tc>
        <w:tc>
          <w:tcPr>
            <w:tcW w:w="361" w:type="pct"/>
          </w:tcPr>
          <w:p w14:paraId="5E5FC8C5"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63" w:type="pct"/>
          </w:tcPr>
          <w:p w14:paraId="1BA62754"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330" w:type="pct"/>
          </w:tcPr>
          <w:p w14:paraId="503F7B5C"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Victoria</w:t>
            </w:r>
          </w:p>
        </w:tc>
        <w:tc>
          <w:tcPr>
            <w:tcW w:w="2186" w:type="pct"/>
          </w:tcPr>
          <w:p w14:paraId="2E6C5AF4"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proofErr w:type="spellStart"/>
            <w:r w:rsidRPr="00403A68">
              <w:t>NaturePrint</w:t>
            </w:r>
            <w:proofErr w:type="spellEnd"/>
            <w:r w:rsidRPr="00403A68">
              <w:t xml:space="preserve"> and Strategic Management Prospects (SMP)</w:t>
            </w:r>
          </w:p>
        </w:tc>
        <w:tc>
          <w:tcPr>
            <w:tcW w:w="350" w:type="pct"/>
          </w:tcPr>
          <w:p w14:paraId="0DEA1703"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2019</w:t>
            </w:r>
          </w:p>
        </w:tc>
      </w:tr>
      <w:tr w:rsidR="00205F19" w:rsidRPr="00403A68" w14:paraId="0F93EE9E"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4E5C866E" w14:textId="77777777" w:rsidR="00205F19" w:rsidRPr="00403A68" w:rsidRDefault="00205F19" w:rsidP="00D10D24">
            <w:pPr>
              <w:pStyle w:val="TableTextLeft"/>
            </w:pPr>
            <w:r w:rsidRPr="00403A68">
              <w:t>Light pollution</w:t>
            </w:r>
          </w:p>
        </w:tc>
        <w:tc>
          <w:tcPr>
            <w:tcW w:w="361" w:type="pct"/>
          </w:tcPr>
          <w:p w14:paraId="4E9E0333"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63" w:type="pct"/>
          </w:tcPr>
          <w:p w14:paraId="1EEDA22E"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330" w:type="pct"/>
          </w:tcPr>
          <w:p w14:paraId="1D7392B5"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186" w:type="pct"/>
          </w:tcPr>
          <w:p w14:paraId="75CFF4FB"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 from OCES Marine and Coastal indicators</w:t>
            </w:r>
          </w:p>
        </w:tc>
        <w:tc>
          <w:tcPr>
            <w:tcW w:w="350" w:type="pct"/>
          </w:tcPr>
          <w:p w14:paraId="45F6291C"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r>
      <w:tr w:rsidR="00205F19" w:rsidRPr="00403A68" w14:paraId="630301ED"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3935D5E7" w14:textId="77777777" w:rsidR="00205F19" w:rsidRPr="00403A68" w:rsidRDefault="00205F19" w:rsidP="00D10D24">
            <w:pPr>
              <w:pStyle w:val="TableTextLeft"/>
            </w:pPr>
            <w:r w:rsidRPr="00403A68">
              <w:t>Litter and plastics</w:t>
            </w:r>
          </w:p>
        </w:tc>
        <w:tc>
          <w:tcPr>
            <w:tcW w:w="361" w:type="pct"/>
          </w:tcPr>
          <w:p w14:paraId="615BC2BA"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63" w:type="pct"/>
          </w:tcPr>
          <w:p w14:paraId="184A422C"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Tabular</w:t>
            </w:r>
          </w:p>
        </w:tc>
        <w:tc>
          <w:tcPr>
            <w:tcW w:w="330" w:type="pct"/>
          </w:tcPr>
          <w:p w14:paraId="73D95B56"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Victoria</w:t>
            </w:r>
          </w:p>
        </w:tc>
        <w:tc>
          <w:tcPr>
            <w:tcW w:w="2186" w:type="pct"/>
          </w:tcPr>
          <w:p w14:paraId="7491EBC6"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rPr>
                <w:i/>
              </w:rPr>
            </w:pPr>
            <w:r w:rsidRPr="00403A68">
              <w:t>Keep Australia Beautiful National Association (2018) National Report 2017 – 2018 National Litter Index</w:t>
            </w:r>
          </w:p>
        </w:tc>
        <w:tc>
          <w:tcPr>
            <w:tcW w:w="350" w:type="pct"/>
          </w:tcPr>
          <w:p w14:paraId="1D0EFCC0"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2017-18</w:t>
            </w:r>
          </w:p>
        </w:tc>
      </w:tr>
      <w:tr w:rsidR="00205F19" w:rsidRPr="00403A68" w14:paraId="681AC88C"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056DD970" w14:textId="77777777" w:rsidR="00205F19" w:rsidRPr="00403A68" w:rsidRDefault="00205F19" w:rsidP="00D10D24">
            <w:pPr>
              <w:pStyle w:val="TableTextLeft"/>
            </w:pPr>
            <w:r w:rsidRPr="00403A68">
              <w:t>Litter and plastics</w:t>
            </w:r>
          </w:p>
        </w:tc>
        <w:tc>
          <w:tcPr>
            <w:tcW w:w="361" w:type="pct"/>
          </w:tcPr>
          <w:p w14:paraId="623B4639"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63" w:type="pct"/>
          </w:tcPr>
          <w:p w14:paraId="1701DCD0"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330" w:type="pct"/>
          </w:tcPr>
          <w:p w14:paraId="3D80E4D0"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186" w:type="pct"/>
          </w:tcPr>
          <w:p w14:paraId="14D6E3D2"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 from OCES Marine and Coastal indicators</w:t>
            </w:r>
            <w:r w:rsidRPr="00403A68">
              <w:tab/>
            </w:r>
          </w:p>
        </w:tc>
        <w:tc>
          <w:tcPr>
            <w:tcW w:w="350" w:type="pct"/>
          </w:tcPr>
          <w:p w14:paraId="12EEA41E"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r>
      <w:tr w:rsidR="00205F19" w:rsidRPr="00403A68" w14:paraId="3820AA0D"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668C7ECB" w14:textId="77777777" w:rsidR="00205F19" w:rsidRPr="00403A68" w:rsidRDefault="00205F19" w:rsidP="00D10D24">
            <w:pPr>
              <w:pStyle w:val="TableTextLeft"/>
            </w:pPr>
            <w:r w:rsidRPr="00403A68">
              <w:t>Loss of access due to flooding of GOR (at Peterborough and Anglesea)</w:t>
            </w:r>
          </w:p>
        </w:tc>
        <w:tc>
          <w:tcPr>
            <w:tcW w:w="361" w:type="pct"/>
          </w:tcPr>
          <w:p w14:paraId="36E92D14"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Risk</w:t>
            </w:r>
          </w:p>
        </w:tc>
        <w:tc>
          <w:tcPr>
            <w:tcW w:w="263" w:type="pct"/>
          </w:tcPr>
          <w:p w14:paraId="2A73315B"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330" w:type="pct"/>
          </w:tcPr>
          <w:p w14:paraId="203948C7"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GOR</w:t>
            </w:r>
          </w:p>
        </w:tc>
        <w:tc>
          <w:tcPr>
            <w:tcW w:w="2186" w:type="pct"/>
          </w:tcPr>
          <w:p w14:paraId="50A9B02A"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Issue and mitigation identified in DELWP (2015) DELWP Coastal Climate Change Risk Assessment Vol 1</w:t>
            </w:r>
          </w:p>
        </w:tc>
        <w:tc>
          <w:tcPr>
            <w:tcW w:w="350" w:type="pct"/>
          </w:tcPr>
          <w:p w14:paraId="18D82C1A"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r>
      <w:tr w:rsidR="00205F19" w:rsidRPr="00403A68" w14:paraId="73D5B514"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58288EEF" w14:textId="77777777" w:rsidR="00205F19" w:rsidRPr="00403A68" w:rsidRDefault="00205F19" w:rsidP="00D10D24">
            <w:pPr>
              <w:pStyle w:val="TableTextLeft"/>
              <w:rPr>
                <w:vertAlign w:val="superscript"/>
              </w:rPr>
            </w:pPr>
            <w:r w:rsidRPr="00403A68">
              <w:t>Loss of terrestrial Crown land (due to SLR, erosion, storm surges)</w:t>
            </w:r>
            <w:r w:rsidRPr="00403A68">
              <w:rPr>
                <w:vertAlign w:val="superscript"/>
              </w:rPr>
              <w:t xml:space="preserve"> a</w:t>
            </w:r>
          </w:p>
        </w:tc>
        <w:tc>
          <w:tcPr>
            <w:tcW w:w="361" w:type="pct"/>
          </w:tcPr>
          <w:p w14:paraId="27005B57"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Ha risk</w:t>
            </w:r>
          </w:p>
        </w:tc>
        <w:tc>
          <w:tcPr>
            <w:tcW w:w="263" w:type="pct"/>
          </w:tcPr>
          <w:p w14:paraId="53BCDD64"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330" w:type="pct"/>
          </w:tcPr>
          <w:p w14:paraId="0F86156E"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GOR</w:t>
            </w:r>
          </w:p>
        </w:tc>
        <w:tc>
          <w:tcPr>
            <w:tcW w:w="2186" w:type="pct"/>
          </w:tcPr>
          <w:p w14:paraId="25F0D71B"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Issue and mitigation identified in DELWP (2015) DELWP Coastal Climate Change Risk Assessment Vol 1</w:t>
            </w:r>
          </w:p>
        </w:tc>
        <w:tc>
          <w:tcPr>
            <w:tcW w:w="350" w:type="pct"/>
          </w:tcPr>
          <w:p w14:paraId="2378FEDA"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r>
      <w:tr w:rsidR="00205F19" w:rsidRPr="00403A68" w14:paraId="2916F495"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6890AFD5" w14:textId="77777777" w:rsidR="00205F19" w:rsidRPr="00403A68" w:rsidRDefault="00205F19" w:rsidP="00D10D24">
            <w:pPr>
              <w:pStyle w:val="TableTextLeft"/>
            </w:pPr>
            <w:r w:rsidRPr="00403A68">
              <w:t>Loss of beaches / Crown Land foreshore Fairhaven to Torquay</w:t>
            </w:r>
          </w:p>
        </w:tc>
        <w:tc>
          <w:tcPr>
            <w:tcW w:w="361" w:type="pct"/>
          </w:tcPr>
          <w:p w14:paraId="11B66A0E"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63" w:type="pct"/>
          </w:tcPr>
          <w:p w14:paraId="1E0F4F3D"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330" w:type="pct"/>
          </w:tcPr>
          <w:p w14:paraId="4C5F9AD2"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186" w:type="pct"/>
          </w:tcPr>
          <w:p w14:paraId="0AC344F5"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Issue identified in DELWP (2015) DELWP Coastal Climate Change Risk Assessment Vol 2</w:t>
            </w:r>
          </w:p>
        </w:tc>
        <w:tc>
          <w:tcPr>
            <w:tcW w:w="350" w:type="pct"/>
          </w:tcPr>
          <w:p w14:paraId="0039163E"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r>
      <w:tr w:rsidR="00205F19" w:rsidRPr="00403A68" w14:paraId="26C726FF"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70B1CA79" w14:textId="77777777" w:rsidR="00205F19" w:rsidRPr="00403A68" w:rsidRDefault="00205F19" w:rsidP="00D10D24">
            <w:pPr>
              <w:pStyle w:val="TableTextLeft"/>
            </w:pPr>
            <w:r w:rsidRPr="00403A68">
              <w:t>Natural resource extraction (e.g. gas) from marine and land</w:t>
            </w:r>
          </w:p>
        </w:tc>
        <w:tc>
          <w:tcPr>
            <w:tcW w:w="361" w:type="pct"/>
          </w:tcPr>
          <w:p w14:paraId="6FB18415"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63" w:type="pct"/>
          </w:tcPr>
          <w:p w14:paraId="08250AD9"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330" w:type="pct"/>
          </w:tcPr>
          <w:p w14:paraId="101DEBFE"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186" w:type="pct"/>
          </w:tcPr>
          <w:p w14:paraId="66F33BD9"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 xml:space="preserve">TBC - raised by PSG </w:t>
            </w:r>
          </w:p>
        </w:tc>
        <w:tc>
          <w:tcPr>
            <w:tcW w:w="350" w:type="pct"/>
          </w:tcPr>
          <w:p w14:paraId="1C4BE61A"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r>
      <w:tr w:rsidR="00205F19" w:rsidRPr="00403A68" w14:paraId="0A58DFB1"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412FDD47" w14:textId="77777777" w:rsidR="00205F19" w:rsidRPr="00403A68" w:rsidRDefault="00205F19" w:rsidP="00D10D24">
            <w:pPr>
              <w:pStyle w:val="TableTextLeft"/>
            </w:pPr>
            <w:r w:rsidRPr="00403A68">
              <w:t>Population change</w:t>
            </w:r>
          </w:p>
        </w:tc>
        <w:tc>
          <w:tcPr>
            <w:tcW w:w="361" w:type="pct"/>
          </w:tcPr>
          <w:p w14:paraId="6448C20F"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No.</w:t>
            </w:r>
          </w:p>
        </w:tc>
        <w:tc>
          <w:tcPr>
            <w:tcW w:w="263" w:type="pct"/>
          </w:tcPr>
          <w:p w14:paraId="5649AE69"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330" w:type="pct"/>
          </w:tcPr>
          <w:p w14:paraId="63B4E0BD"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Victoria</w:t>
            </w:r>
          </w:p>
        </w:tc>
        <w:tc>
          <w:tcPr>
            <w:tcW w:w="2186" w:type="pct"/>
          </w:tcPr>
          <w:p w14:paraId="2D1E9066"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rPr>
                <w:i/>
              </w:rPr>
            </w:pPr>
            <w:r w:rsidRPr="00403A68">
              <w:t xml:space="preserve">DELWP (2019) Victoria in Future report  </w:t>
            </w:r>
          </w:p>
        </w:tc>
        <w:tc>
          <w:tcPr>
            <w:tcW w:w="350" w:type="pct"/>
          </w:tcPr>
          <w:p w14:paraId="08965573"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Future</w:t>
            </w:r>
          </w:p>
        </w:tc>
      </w:tr>
      <w:tr w:rsidR="00205F19" w:rsidRPr="00403A68" w14:paraId="0B9A77FA"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0E8A44A6" w14:textId="77777777" w:rsidR="00205F19" w:rsidRPr="00403A68" w:rsidRDefault="00205F19" w:rsidP="00D10D24">
            <w:pPr>
              <w:pStyle w:val="TableTextLeft"/>
            </w:pPr>
            <w:r w:rsidRPr="00403A68">
              <w:t>Rainfall</w:t>
            </w:r>
          </w:p>
        </w:tc>
        <w:tc>
          <w:tcPr>
            <w:tcW w:w="361" w:type="pct"/>
          </w:tcPr>
          <w:p w14:paraId="69784262"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 change</w:t>
            </w:r>
          </w:p>
        </w:tc>
        <w:tc>
          <w:tcPr>
            <w:tcW w:w="263" w:type="pct"/>
          </w:tcPr>
          <w:p w14:paraId="45979EA4"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Report</w:t>
            </w:r>
          </w:p>
        </w:tc>
        <w:tc>
          <w:tcPr>
            <w:tcW w:w="330" w:type="pct"/>
          </w:tcPr>
          <w:p w14:paraId="64ADC8C7"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Barwon</w:t>
            </w:r>
          </w:p>
        </w:tc>
        <w:tc>
          <w:tcPr>
            <w:tcW w:w="2186" w:type="pct"/>
          </w:tcPr>
          <w:p w14:paraId="79FC53E7"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rPr>
                <w:i/>
              </w:rPr>
            </w:pPr>
            <w:r w:rsidRPr="00403A68">
              <w:t>CSIRO and DELWP (2019) Barwon Climate Projections 2019</w:t>
            </w:r>
          </w:p>
        </w:tc>
        <w:tc>
          <w:tcPr>
            <w:tcW w:w="350" w:type="pct"/>
          </w:tcPr>
          <w:p w14:paraId="602BCE69"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Future</w:t>
            </w:r>
          </w:p>
        </w:tc>
      </w:tr>
      <w:tr w:rsidR="00205F19" w:rsidRPr="00403A68" w14:paraId="38BFA084"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3FF95F87" w14:textId="77777777" w:rsidR="00205F19" w:rsidRPr="00403A68" w:rsidRDefault="00205F19" w:rsidP="00D10D24">
            <w:pPr>
              <w:pStyle w:val="TableTextLeft"/>
            </w:pPr>
            <w:r w:rsidRPr="00403A68">
              <w:lastRenderedPageBreak/>
              <w:t>Rainfall</w:t>
            </w:r>
          </w:p>
        </w:tc>
        <w:tc>
          <w:tcPr>
            <w:tcW w:w="361" w:type="pct"/>
          </w:tcPr>
          <w:p w14:paraId="5CD2903D"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63" w:type="pct"/>
          </w:tcPr>
          <w:p w14:paraId="14F457F8"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330" w:type="pct"/>
          </w:tcPr>
          <w:p w14:paraId="7CDF7678"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186" w:type="pct"/>
          </w:tcPr>
          <w:p w14:paraId="23D0CE56"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 from OCES Marine and Coastal indicators</w:t>
            </w:r>
            <w:r w:rsidRPr="00403A68">
              <w:tab/>
            </w:r>
          </w:p>
        </w:tc>
        <w:tc>
          <w:tcPr>
            <w:tcW w:w="350" w:type="pct"/>
          </w:tcPr>
          <w:p w14:paraId="1C886CB8"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r>
      <w:tr w:rsidR="00205F19" w:rsidRPr="00403A68" w14:paraId="12FCDC71"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2A7DC158" w14:textId="77777777" w:rsidR="00205F19" w:rsidRPr="00403A68" w:rsidRDefault="00205F19" w:rsidP="00D10D24">
            <w:pPr>
              <w:pStyle w:val="TableTextLeft"/>
            </w:pPr>
            <w:r w:rsidRPr="00403A68">
              <w:t>Regulated point source discharges to marine waters</w:t>
            </w:r>
          </w:p>
        </w:tc>
        <w:tc>
          <w:tcPr>
            <w:tcW w:w="361" w:type="pct"/>
          </w:tcPr>
          <w:p w14:paraId="356F1B32"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63" w:type="pct"/>
          </w:tcPr>
          <w:p w14:paraId="027318EC"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330" w:type="pct"/>
          </w:tcPr>
          <w:p w14:paraId="148FBB5A"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186" w:type="pct"/>
          </w:tcPr>
          <w:p w14:paraId="69132637"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 from OCES Marine and Coastal indicators</w:t>
            </w:r>
            <w:r w:rsidRPr="00403A68">
              <w:tab/>
            </w:r>
          </w:p>
        </w:tc>
        <w:tc>
          <w:tcPr>
            <w:tcW w:w="350" w:type="pct"/>
          </w:tcPr>
          <w:p w14:paraId="1EADF781"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r>
      <w:tr w:rsidR="00205F19" w:rsidRPr="00403A68" w14:paraId="3CF755C8"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09A1A6F5" w14:textId="77777777" w:rsidR="00205F19" w:rsidRPr="00403A68" w:rsidRDefault="00205F19" w:rsidP="00D10D24">
            <w:pPr>
              <w:pStyle w:val="TableTextLeft"/>
            </w:pPr>
            <w:r w:rsidRPr="00403A68">
              <w:t xml:space="preserve">Road infrastructure limits visitors with impacts on tourism industry </w:t>
            </w:r>
          </w:p>
        </w:tc>
        <w:tc>
          <w:tcPr>
            <w:tcW w:w="361" w:type="pct"/>
          </w:tcPr>
          <w:p w14:paraId="198EB88F"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63" w:type="pct"/>
          </w:tcPr>
          <w:p w14:paraId="134AF83B"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330" w:type="pct"/>
          </w:tcPr>
          <w:p w14:paraId="3E219E57"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186" w:type="pct"/>
          </w:tcPr>
          <w:p w14:paraId="2AC43E35"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Issue identified in DELWP (2015) DELWP Coastal Climate Change Risk Assessment Vol 2</w:t>
            </w:r>
          </w:p>
        </w:tc>
        <w:tc>
          <w:tcPr>
            <w:tcW w:w="350" w:type="pct"/>
          </w:tcPr>
          <w:p w14:paraId="45933F7C"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r>
      <w:tr w:rsidR="00205F19" w:rsidRPr="00403A68" w14:paraId="3ECEE966"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77A2BC69" w14:textId="77777777" w:rsidR="00205F19" w:rsidRPr="00403A68" w:rsidRDefault="00205F19" w:rsidP="00D10D24">
            <w:pPr>
              <w:pStyle w:val="TableTextLeft"/>
            </w:pPr>
            <w:r w:rsidRPr="00403A68">
              <w:t xml:space="preserve">Sea-level rise </w:t>
            </w:r>
          </w:p>
        </w:tc>
        <w:tc>
          <w:tcPr>
            <w:tcW w:w="361" w:type="pct"/>
          </w:tcPr>
          <w:p w14:paraId="3922F16B"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Risk</w:t>
            </w:r>
          </w:p>
        </w:tc>
        <w:tc>
          <w:tcPr>
            <w:tcW w:w="263" w:type="pct"/>
          </w:tcPr>
          <w:p w14:paraId="0C9477A8"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Spatial</w:t>
            </w:r>
          </w:p>
        </w:tc>
        <w:tc>
          <w:tcPr>
            <w:tcW w:w="330" w:type="pct"/>
          </w:tcPr>
          <w:p w14:paraId="36BF1D15"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Victoria</w:t>
            </w:r>
          </w:p>
        </w:tc>
        <w:tc>
          <w:tcPr>
            <w:tcW w:w="2186" w:type="pct"/>
          </w:tcPr>
          <w:p w14:paraId="5CCB792E"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proofErr w:type="spellStart"/>
            <w:r w:rsidRPr="00403A68">
              <w:t>CoastKit</w:t>
            </w:r>
            <w:proofErr w:type="spellEnd"/>
            <w:r w:rsidRPr="00403A68">
              <w:t xml:space="preserve"> </w:t>
            </w:r>
          </w:p>
        </w:tc>
        <w:tc>
          <w:tcPr>
            <w:tcW w:w="350" w:type="pct"/>
          </w:tcPr>
          <w:p w14:paraId="04F4CFA7"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r>
      <w:tr w:rsidR="00205F19" w:rsidRPr="00403A68" w14:paraId="32884649"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22DCBC95" w14:textId="77777777" w:rsidR="00205F19" w:rsidRPr="00403A68" w:rsidRDefault="00205F19" w:rsidP="00D10D24">
            <w:pPr>
              <w:pStyle w:val="TableTextLeft"/>
            </w:pPr>
            <w:r w:rsidRPr="00403A68">
              <w:t>Sea-level rise</w:t>
            </w:r>
          </w:p>
        </w:tc>
        <w:tc>
          <w:tcPr>
            <w:tcW w:w="361" w:type="pct"/>
          </w:tcPr>
          <w:p w14:paraId="093B6165"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cm</w:t>
            </w:r>
          </w:p>
        </w:tc>
        <w:tc>
          <w:tcPr>
            <w:tcW w:w="263" w:type="pct"/>
          </w:tcPr>
          <w:p w14:paraId="46141B2F"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Report</w:t>
            </w:r>
          </w:p>
        </w:tc>
        <w:tc>
          <w:tcPr>
            <w:tcW w:w="330" w:type="pct"/>
          </w:tcPr>
          <w:p w14:paraId="0C63BC75"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Barwon</w:t>
            </w:r>
          </w:p>
        </w:tc>
        <w:tc>
          <w:tcPr>
            <w:tcW w:w="2186" w:type="pct"/>
          </w:tcPr>
          <w:p w14:paraId="69419AEF"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CSIRO and DELWP (2019) Barwon Climate Projections 2019</w:t>
            </w:r>
          </w:p>
        </w:tc>
        <w:tc>
          <w:tcPr>
            <w:tcW w:w="350" w:type="pct"/>
          </w:tcPr>
          <w:p w14:paraId="14E1B924"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Future</w:t>
            </w:r>
          </w:p>
        </w:tc>
      </w:tr>
      <w:tr w:rsidR="00205F19" w:rsidRPr="00403A68" w14:paraId="266EE676"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30FD3ECE" w14:textId="77777777" w:rsidR="00205F19" w:rsidRPr="00403A68" w:rsidRDefault="00205F19" w:rsidP="00D10D24">
            <w:pPr>
              <w:pStyle w:val="TableTextLeft"/>
            </w:pPr>
            <w:r w:rsidRPr="00403A68">
              <w:t>Sea level and coastal inundation</w:t>
            </w:r>
          </w:p>
        </w:tc>
        <w:tc>
          <w:tcPr>
            <w:tcW w:w="361" w:type="pct"/>
          </w:tcPr>
          <w:p w14:paraId="7E5F27F8"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63" w:type="pct"/>
          </w:tcPr>
          <w:p w14:paraId="238D4BB5"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330" w:type="pct"/>
          </w:tcPr>
          <w:p w14:paraId="7E9E26E8"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186" w:type="pct"/>
          </w:tcPr>
          <w:p w14:paraId="14478F6A"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 from OCES Marine and Coastal indicators</w:t>
            </w:r>
          </w:p>
        </w:tc>
        <w:tc>
          <w:tcPr>
            <w:tcW w:w="350" w:type="pct"/>
          </w:tcPr>
          <w:p w14:paraId="1855962C"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r>
      <w:tr w:rsidR="00205F19" w:rsidRPr="00403A68" w14:paraId="4AE48753"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078BF37E" w14:textId="77777777" w:rsidR="00205F19" w:rsidRPr="00403A68" w:rsidRDefault="00205F19" w:rsidP="00D10D24">
            <w:pPr>
              <w:pStyle w:val="TableTextLeft"/>
            </w:pPr>
            <w:r w:rsidRPr="00403A68">
              <w:t>Sea-level rise</w:t>
            </w:r>
          </w:p>
        </w:tc>
        <w:tc>
          <w:tcPr>
            <w:tcW w:w="361" w:type="pct"/>
          </w:tcPr>
          <w:p w14:paraId="1F08EC36"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63" w:type="pct"/>
          </w:tcPr>
          <w:p w14:paraId="345A9960"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330" w:type="pct"/>
          </w:tcPr>
          <w:p w14:paraId="12BAD5D7"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186" w:type="pct"/>
          </w:tcPr>
          <w:p w14:paraId="24AA440B"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rPr>
                <w:i/>
              </w:rPr>
            </w:pPr>
            <w:r w:rsidRPr="00403A68">
              <w:t>Geoscience Australia (2011) Sea level rise maps</w:t>
            </w:r>
          </w:p>
        </w:tc>
        <w:tc>
          <w:tcPr>
            <w:tcW w:w="350" w:type="pct"/>
          </w:tcPr>
          <w:p w14:paraId="3301108C"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r>
      <w:tr w:rsidR="00205F19" w:rsidRPr="00403A68" w14:paraId="2204233C"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3C286B65" w14:textId="77777777" w:rsidR="00205F19" w:rsidRPr="00403A68" w:rsidRDefault="00205F19" w:rsidP="00D10D24">
            <w:pPr>
              <w:pStyle w:val="TableTextLeft"/>
            </w:pPr>
            <w:r w:rsidRPr="00403A68">
              <w:t>Shipping/ports (pollution, occupied land, disrupt ecological processes)</w:t>
            </w:r>
          </w:p>
        </w:tc>
        <w:tc>
          <w:tcPr>
            <w:tcW w:w="361" w:type="pct"/>
          </w:tcPr>
          <w:p w14:paraId="75ACDF46"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63" w:type="pct"/>
          </w:tcPr>
          <w:p w14:paraId="03FE7B9E"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330" w:type="pct"/>
          </w:tcPr>
          <w:p w14:paraId="54D90130"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186" w:type="pct"/>
          </w:tcPr>
          <w:p w14:paraId="240F6F66"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 from OCES Marine and Coastal indicators</w:t>
            </w:r>
          </w:p>
        </w:tc>
        <w:tc>
          <w:tcPr>
            <w:tcW w:w="350" w:type="pct"/>
          </w:tcPr>
          <w:p w14:paraId="7F31512D"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r>
      <w:tr w:rsidR="00205F19" w:rsidRPr="00403A68" w14:paraId="3D6C48A8"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13C88041" w14:textId="77777777" w:rsidR="00205F19" w:rsidRPr="00403A68" w:rsidRDefault="00205F19" w:rsidP="00D10D24">
            <w:pPr>
              <w:pStyle w:val="TableTextLeft"/>
            </w:pPr>
            <w:r w:rsidRPr="00403A68">
              <w:t>Stormwater</w:t>
            </w:r>
          </w:p>
        </w:tc>
        <w:tc>
          <w:tcPr>
            <w:tcW w:w="361" w:type="pct"/>
          </w:tcPr>
          <w:p w14:paraId="0DECEDB8"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63" w:type="pct"/>
          </w:tcPr>
          <w:p w14:paraId="556876D9"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330" w:type="pct"/>
          </w:tcPr>
          <w:p w14:paraId="23A435DB"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186" w:type="pct"/>
          </w:tcPr>
          <w:p w14:paraId="6DB2CFEC"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 from OCES Marine and Coastal indicators</w:t>
            </w:r>
            <w:r w:rsidRPr="00403A68">
              <w:tab/>
            </w:r>
          </w:p>
        </w:tc>
        <w:tc>
          <w:tcPr>
            <w:tcW w:w="350" w:type="pct"/>
          </w:tcPr>
          <w:p w14:paraId="7FDF87DE"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r>
      <w:tr w:rsidR="00205F19" w:rsidRPr="00403A68" w14:paraId="485D92FF"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7E2C3C5B" w14:textId="77777777" w:rsidR="00205F19" w:rsidRPr="00403A68" w:rsidRDefault="00205F19" w:rsidP="00D10D24">
            <w:pPr>
              <w:pStyle w:val="TableTextLeft"/>
            </w:pPr>
            <w:r w:rsidRPr="00403A68">
              <w:t>Storm surge undermines the road, cuts of access to coastal destinations</w:t>
            </w:r>
          </w:p>
        </w:tc>
        <w:tc>
          <w:tcPr>
            <w:tcW w:w="361" w:type="pct"/>
          </w:tcPr>
          <w:p w14:paraId="02145B69"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63" w:type="pct"/>
          </w:tcPr>
          <w:p w14:paraId="6203716E"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330" w:type="pct"/>
          </w:tcPr>
          <w:p w14:paraId="39238233"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186" w:type="pct"/>
          </w:tcPr>
          <w:p w14:paraId="2246A4F6"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Issue identified in DELWP (2015) DELWP Coastal Climate Change Risk Assessment Vol 2</w:t>
            </w:r>
          </w:p>
        </w:tc>
        <w:tc>
          <w:tcPr>
            <w:tcW w:w="350" w:type="pct"/>
          </w:tcPr>
          <w:p w14:paraId="0B334152"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r>
      <w:tr w:rsidR="00205F19" w:rsidRPr="00403A68" w14:paraId="1DD51F3A"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48DD20EB" w14:textId="77777777" w:rsidR="00205F19" w:rsidRPr="00403A68" w:rsidRDefault="00205F19" w:rsidP="00D10D24">
            <w:pPr>
              <w:pStyle w:val="TableTextLeft"/>
            </w:pPr>
            <w:r w:rsidRPr="00403A68">
              <w:t>Total nutrient loads</w:t>
            </w:r>
          </w:p>
        </w:tc>
        <w:tc>
          <w:tcPr>
            <w:tcW w:w="361" w:type="pct"/>
          </w:tcPr>
          <w:p w14:paraId="6644C0DE"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63" w:type="pct"/>
          </w:tcPr>
          <w:p w14:paraId="76A7FB42"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330" w:type="pct"/>
          </w:tcPr>
          <w:p w14:paraId="255F016C"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186" w:type="pct"/>
          </w:tcPr>
          <w:p w14:paraId="48C65C2F"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 from OCES Marine and Coastal indicators</w:t>
            </w:r>
            <w:r w:rsidRPr="00403A68">
              <w:tab/>
            </w:r>
          </w:p>
        </w:tc>
        <w:tc>
          <w:tcPr>
            <w:tcW w:w="350" w:type="pct"/>
          </w:tcPr>
          <w:p w14:paraId="7CCB49A4"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r>
      <w:tr w:rsidR="00205F19" w:rsidRPr="00403A68" w14:paraId="2D69C55B"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141BB749" w14:textId="77777777" w:rsidR="00205F19" w:rsidRPr="00403A68" w:rsidRDefault="00205F19" w:rsidP="00D10D24">
            <w:pPr>
              <w:pStyle w:val="TableTextLeft"/>
            </w:pPr>
            <w:r w:rsidRPr="00403A68">
              <w:t>Total fine sediment loads</w:t>
            </w:r>
          </w:p>
        </w:tc>
        <w:tc>
          <w:tcPr>
            <w:tcW w:w="361" w:type="pct"/>
          </w:tcPr>
          <w:p w14:paraId="06531C60"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63" w:type="pct"/>
          </w:tcPr>
          <w:p w14:paraId="3D7452D6"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330" w:type="pct"/>
          </w:tcPr>
          <w:p w14:paraId="329AABEB"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186" w:type="pct"/>
          </w:tcPr>
          <w:p w14:paraId="72C2177B"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 from OCES Marine and Coastal indicators</w:t>
            </w:r>
            <w:r w:rsidRPr="00403A68">
              <w:tab/>
            </w:r>
          </w:p>
        </w:tc>
        <w:tc>
          <w:tcPr>
            <w:tcW w:w="350" w:type="pct"/>
          </w:tcPr>
          <w:p w14:paraId="1B0BC3F8"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r>
      <w:tr w:rsidR="00205F19" w:rsidRPr="00403A68" w14:paraId="0B0C5A29"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4DC4F9BE" w14:textId="77777777" w:rsidR="00205F19" w:rsidRPr="00403A68" w:rsidRDefault="00205F19" w:rsidP="00D10D24">
            <w:pPr>
              <w:pStyle w:val="TableTextLeft"/>
            </w:pPr>
            <w:r w:rsidRPr="00403A68">
              <w:t>Tourism numbers / Visitor population</w:t>
            </w:r>
          </w:p>
        </w:tc>
        <w:tc>
          <w:tcPr>
            <w:tcW w:w="361" w:type="pct"/>
          </w:tcPr>
          <w:p w14:paraId="18ADC505"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 xml:space="preserve">No. </w:t>
            </w:r>
          </w:p>
        </w:tc>
        <w:tc>
          <w:tcPr>
            <w:tcW w:w="263" w:type="pct"/>
          </w:tcPr>
          <w:p w14:paraId="5D6BFFDF"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330" w:type="pct"/>
          </w:tcPr>
          <w:p w14:paraId="1343EA8D"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186" w:type="pct"/>
          </w:tcPr>
          <w:p w14:paraId="2F89E336"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rPr>
                <w:i/>
              </w:rPr>
            </w:pPr>
            <w:r w:rsidRPr="00403A68">
              <w:t>TBC</w:t>
            </w:r>
          </w:p>
        </w:tc>
        <w:tc>
          <w:tcPr>
            <w:tcW w:w="350" w:type="pct"/>
          </w:tcPr>
          <w:p w14:paraId="57DE6D1A"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r>
      <w:tr w:rsidR="00205F19" w:rsidRPr="00403A68" w14:paraId="487B8436"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73EB96F5" w14:textId="77777777" w:rsidR="00205F19" w:rsidRPr="00403A68" w:rsidRDefault="00205F19" w:rsidP="00D10D24">
            <w:pPr>
              <w:pStyle w:val="TableTextLeft"/>
            </w:pPr>
            <w:r w:rsidRPr="00403A68">
              <w:t>Urban expansion / Coastal settlements including ribbon developments between settlements/towns (i.e. development by stealth)</w:t>
            </w:r>
          </w:p>
        </w:tc>
        <w:tc>
          <w:tcPr>
            <w:tcW w:w="361" w:type="pct"/>
          </w:tcPr>
          <w:p w14:paraId="300B1A75"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Ha</w:t>
            </w:r>
          </w:p>
        </w:tc>
        <w:tc>
          <w:tcPr>
            <w:tcW w:w="263" w:type="pct"/>
          </w:tcPr>
          <w:p w14:paraId="3502D23F"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Spatial</w:t>
            </w:r>
          </w:p>
        </w:tc>
        <w:tc>
          <w:tcPr>
            <w:tcW w:w="330" w:type="pct"/>
          </w:tcPr>
          <w:p w14:paraId="48488943"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Victoria</w:t>
            </w:r>
          </w:p>
        </w:tc>
        <w:tc>
          <w:tcPr>
            <w:tcW w:w="2186" w:type="pct"/>
          </w:tcPr>
          <w:p w14:paraId="21C6A908"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DELWP (2020) Victoria's Land Cover Time series</w:t>
            </w:r>
          </w:p>
        </w:tc>
        <w:tc>
          <w:tcPr>
            <w:tcW w:w="350" w:type="pct"/>
          </w:tcPr>
          <w:p w14:paraId="5D4F5BA4"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1987-2019</w:t>
            </w:r>
          </w:p>
        </w:tc>
      </w:tr>
      <w:tr w:rsidR="00205F19" w:rsidRPr="00403A68" w14:paraId="3E5A66ED"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458BD918" w14:textId="77777777" w:rsidR="00205F19" w:rsidRPr="00403A68" w:rsidRDefault="00205F19" w:rsidP="00D10D24">
            <w:pPr>
              <w:pStyle w:val="TableTextLeft"/>
            </w:pPr>
            <w:r w:rsidRPr="00403A68">
              <w:t>Urban expansion / Coastal settlements</w:t>
            </w:r>
          </w:p>
        </w:tc>
        <w:tc>
          <w:tcPr>
            <w:tcW w:w="361" w:type="pct"/>
          </w:tcPr>
          <w:p w14:paraId="21144084"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63" w:type="pct"/>
          </w:tcPr>
          <w:p w14:paraId="20FBD6C8"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330" w:type="pct"/>
          </w:tcPr>
          <w:p w14:paraId="786B6D6D"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186" w:type="pct"/>
          </w:tcPr>
          <w:p w14:paraId="4C51E655"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 from OCES Marine and Coastal indicators</w:t>
            </w:r>
          </w:p>
        </w:tc>
        <w:tc>
          <w:tcPr>
            <w:tcW w:w="350" w:type="pct"/>
          </w:tcPr>
          <w:p w14:paraId="7CFE2EE8"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r>
      <w:tr w:rsidR="00205F19" w:rsidRPr="00403A68" w14:paraId="715ACD5F"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2D2B7AA0" w14:textId="77777777" w:rsidR="00205F19" w:rsidRPr="00403A68" w:rsidRDefault="00205F19" w:rsidP="00D10D24">
            <w:pPr>
              <w:pStyle w:val="TableTextLeft"/>
            </w:pPr>
            <w:r w:rsidRPr="00403A68">
              <w:t>Vulnerability assessment for Coastal Wetlands</w:t>
            </w:r>
          </w:p>
        </w:tc>
        <w:tc>
          <w:tcPr>
            <w:tcW w:w="361" w:type="pct"/>
          </w:tcPr>
          <w:p w14:paraId="780C0E82"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Risk</w:t>
            </w:r>
          </w:p>
        </w:tc>
        <w:tc>
          <w:tcPr>
            <w:tcW w:w="263" w:type="pct"/>
          </w:tcPr>
          <w:p w14:paraId="01958EE3"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Report</w:t>
            </w:r>
          </w:p>
        </w:tc>
        <w:tc>
          <w:tcPr>
            <w:tcW w:w="330" w:type="pct"/>
          </w:tcPr>
          <w:p w14:paraId="61973F1A"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Victoria</w:t>
            </w:r>
          </w:p>
        </w:tc>
        <w:tc>
          <w:tcPr>
            <w:tcW w:w="2186" w:type="pct"/>
          </w:tcPr>
          <w:p w14:paraId="025CC1D6"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rPr>
                <w:i/>
              </w:rPr>
            </w:pPr>
            <w:r w:rsidRPr="00403A68">
              <w:t>DELWP (2016) Climate Change Vulnerability Assessment and Adaptive Capacity of Coastal Wetlands</w:t>
            </w:r>
          </w:p>
        </w:tc>
        <w:tc>
          <w:tcPr>
            <w:tcW w:w="350" w:type="pct"/>
          </w:tcPr>
          <w:p w14:paraId="3B84D136"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Future</w:t>
            </w:r>
          </w:p>
        </w:tc>
      </w:tr>
      <w:tr w:rsidR="00205F19" w:rsidRPr="00403A68" w14:paraId="30DD37F0"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4385B4AA" w14:textId="77777777" w:rsidR="00205F19" w:rsidRPr="00403A68" w:rsidRDefault="00205F19" w:rsidP="00D10D24">
            <w:pPr>
              <w:pStyle w:val="TableTextLeft"/>
            </w:pPr>
            <w:r w:rsidRPr="00403A68">
              <w:t>Wave climate</w:t>
            </w:r>
          </w:p>
        </w:tc>
        <w:tc>
          <w:tcPr>
            <w:tcW w:w="361" w:type="pct"/>
          </w:tcPr>
          <w:p w14:paraId="7B70C109"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63" w:type="pct"/>
          </w:tcPr>
          <w:p w14:paraId="2FAA69F6"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330" w:type="pct"/>
          </w:tcPr>
          <w:p w14:paraId="37AFC73A"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186" w:type="pct"/>
          </w:tcPr>
          <w:p w14:paraId="6D7AD322"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 from OCES Marine and Coastal indicators</w:t>
            </w:r>
          </w:p>
        </w:tc>
        <w:tc>
          <w:tcPr>
            <w:tcW w:w="350" w:type="pct"/>
          </w:tcPr>
          <w:p w14:paraId="1C02C21B"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r>
      <w:tr w:rsidR="00205F19" w:rsidRPr="00403A68" w14:paraId="35C1DF42"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31B7B985" w14:textId="77777777" w:rsidR="00205F19" w:rsidRPr="00403A68" w:rsidRDefault="00205F19" w:rsidP="00D10D24">
            <w:pPr>
              <w:pStyle w:val="TableTextLeft"/>
            </w:pPr>
            <w:r w:rsidRPr="00403A68">
              <w:t>Water temperature</w:t>
            </w:r>
          </w:p>
        </w:tc>
        <w:tc>
          <w:tcPr>
            <w:tcW w:w="361" w:type="pct"/>
          </w:tcPr>
          <w:p w14:paraId="7054FA28"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rPr>
                <w:i/>
              </w:rPr>
            </w:pPr>
            <w:r w:rsidRPr="00403A68">
              <w:t>TBC</w:t>
            </w:r>
          </w:p>
        </w:tc>
        <w:tc>
          <w:tcPr>
            <w:tcW w:w="263" w:type="pct"/>
          </w:tcPr>
          <w:p w14:paraId="070DBE61"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rPr>
                <w:i/>
              </w:rPr>
            </w:pPr>
            <w:r w:rsidRPr="00403A68">
              <w:t>TBC</w:t>
            </w:r>
          </w:p>
        </w:tc>
        <w:tc>
          <w:tcPr>
            <w:tcW w:w="330" w:type="pct"/>
          </w:tcPr>
          <w:p w14:paraId="354D4DCE"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186" w:type="pct"/>
          </w:tcPr>
          <w:p w14:paraId="71AEA502"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 from OCES Marine and Coastal indicators</w:t>
            </w:r>
          </w:p>
        </w:tc>
        <w:tc>
          <w:tcPr>
            <w:tcW w:w="350" w:type="pct"/>
          </w:tcPr>
          <w:p w14:paraId="53FD4160"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rPr>
                <w:i/>
              </w:rPr>
            </w:pPr>
            <w:r w:rsidRPr="00403A68">
              <w:t>TBC</w:t>
            </w:r>
          </w:p>
        </w:tc>
      </w:tr>
      <w:tr w:rsidR="00205F19" w:rsidRPr="00403A68" w14:paraId="720E7EB9"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699EC994" w14:textId="77777777" w:rsidR="00205F19" w:rsidRPr="00403A68" w:rsidRDefault="00205F19" w:rsidP="00D10D24">
            <w:pPr>
              <w:pStyle w:val="TableTextLeft"/>
            </w:pPr>
            <w:r w:rsidRPr="00403A68">
              <w:t>Water temperature increase of oceans</w:t>
            </w:r>
          </w:p>
        </w:tc>
        <w:tc>
          <w:tcPr>
            <w:tcW w:w="361" w:type="pct"/>
          </w:tcPr>
          <w:p w14:paraId="0BA83478"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63" w:type="pct"/>
          </w:tcPr>
          <w:p w14:paraId="4EF1A32E"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330" w:type="pct"/>
          </w:tcPr>
          <w:p w14:paraId="270DEF68"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c>
          <w:tcPr>
            <w:tcW w:w="2186" w:type="pct"/>
          </w:tcPr>
          <w:p w14:paraId="5CA63E7F"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 - raised by PSG as an important pressure which is more prominent in the GORCAPA region than other coastal areas.</w:t>
            </w:r>
          </w:p>
        </w:tc>
        <w:tc>
          <w:tcPr>
            <w:tcW w:w="350" w:type="pct"/>
          </w:tcPr>
          <w:p w14:paraId="70B8868B"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pPr>
            <w:r w:rsidRPr="00403A68">
              <w:t>TBC</w:t>
            </w:r>
          </w:p>
        </w:tc>
      </w:tr>
      <w:tr w:rsidR="00205F19" w:rsidRPr="00403A68" w14:paraId="68471974"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312085B4" w14:textId="77777777" w:rsidR="00205F19" w:rsidRPr="00403A68" w:rsidRDefault="00205F19" w:rsidP="00D10D24">
            <w:pPr>
              <w:pStyle w:val="TableTextLeft"/>
            </w:pPr>
            <w:r w:rsidRPr="00403A68">
              <w:t>Wildfire</w:t>
            </w:r>
          </w:p>
        </w:tc>
        <w:tc>
          <w:tcPr>
            <w:tcW w:w="361" w:type="pct"/>
          </w:tcPr>
          <w:p w14:paraId="47B62607"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rPr>
                <w:i/>
              </w:rPr>
            </w:pPr>
            <w:r w:rsidRPr="00403A68">
              <w:t>Ha</w:t>
            </w:r>
          </w:p>
        </w:tc>
        <w:tc>
          <w:tcPr>
            <w:tcW w:w="263" w:type="pct"/>
          </w:tcPr>
          <w:p w14:paraId="31DDBA01"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rPr>
                <w:i/>
              </w:rPr>
            </w:pPr>
            <w:r w:rsidRPr="00403A68">
              <w:t>Spatial</w:t>
            </w:r>
          </w:p>
        </w:tc>
        <w:tc>
          <w:tcPr>
            <w:tcW w:w="330" w:type="pct"/>
          </w:tcPr>
          <w:p w14:paraId="22357B93"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rPr>
                <w:i/>
              </w:rPr>
            </w:pPr>
            <w:r w:rsidRPr="00403A68">
              <w:t>Victoria</w:t>
            </w:r>
          </w:p>
        </w:tc>
        <w:tc>
          <w:tcPr>
            <w:tcW w:w="2186" w:type="pct"/>
          </w:tcPr>
          <w:p w14:paraId="78D28D9E"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rPr>
                <w:i/>
              </w:rPr>
            </w:pPr>
            <w:r w:rsidRPr="00403A68">
              <w:t>DELWP (2020) Fire</w:t>
            </w:r>
          </w:p>
        </w:tc>
        <w:tc>
          <w:tcPr>
            <w:tcW w:w="350" w:type="pct"/>
          </w:tcPr>
          <w:p w14:paraId="408FD0B9"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rPr>
                <w:i/>
              </w:rPr>
            </w:pPr>
            <w:r w:rsidRPr="00403A68">
              <w:t>1903-2020</w:t>
            </w:r>
          </w:p>
        </w:tc>
      </w:tr>
      <w:tr w:rsidR="00205F19" w:rsidRPr="00403A68" w14:paraId="45C04B3C"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0AA86597" w14:textId="77777777" w:rsidR="00205F19" w:rsidRPr="00403A68" w:rsidRDefault="00205F19" w:rsidP="00D10D24">
            <w:pPr>
              <w:pStyle w:val="TableTextLeft"/>
            </w:pPr>
            <w:r w:rsidRPr="00403A68">
              <w:t>Wildfire</w:t>
            </w:r>
          </w:p>
        </w:tc>
        <w:tc>
          <w:tcPr>
            <w:tcW w:w="361" w:type="pct"/>
          </w:tcPr>
          <w:p w14:paraId="794DFB4A"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rPr>
                <w:i/>
              </w:rPr>
            </w:pPr>
            <w:r w:rsidRPr="00403A68">
              <w:t>Classification</w:t>
            </w:r>
          </w:p>
        </w:tc>
        <w:tc>
          <w:tcPr>
            <w:tcW w:w="263" w:type="pct"/>
          </w:tcPr>
          <w:p w14:paraId="3FAE30E1"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rPr>
                <w:i/>
              </w:rPr>
            </w:pPr>
            <w:r w:rsidRPr="00403A68">
              <w:t>Spatial</w:t>
            </w:r>
          </w:p>
        </w:tc>
        <w:tc>
          <w:tcPr>
            <w:tcW w:w="330" w:type="pct"/>
          </w:tcPr>
          <w:p w14:paraId="18961044"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rPr>
                <w:i/>
              </w:rPr>
            </w:pPr>
            <w:r w:rsidRPr="00403A68">
              <w:t>Victoria</w:t>
            </w:r>
          </w:p>
        </w:tc>
        <w:tc>
          <w:tcPr>
            <w:tcW w:w="2186" w:type="pct"/>
          </w:tcPr>
          <w:p w14:paraId="4FFAC317"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rPr>
                <w:i/>
              </w:rPr>
            </w:pPr>
            <w:r w:rsidRPr="00403A68">
              <w:t>DELWP (2020) Fire intensity</w:t>
            </w:r>
          </w:p>
        </w:tc>
        <w:tc>
          <w:tcPr>
            <w:tcW w:w="350" w:type="pct"/>
          </w:tcPr>
          <w:p w14:paraId="621B20A5"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rPr>
                <w:i/>
              </w:rPr>
            </w:pPr>
            <w:r w:rsidRPr="00403A68">
              <w:t>2000-2020</w:t>
            </w:r>
          </w:p>
        </w:tc>
      </w:tr>
      <w:tr w:rsidR="00205F19" w:rsidRPr="00403A68" w14:paraId="7EA81469" w14:textId="77777777" w:rsidTr="00BA5FDF">
        <w:tc>
          <w:tcPr>
            <w:cnfStyle w:val="001000000000" w:firstRow="0" w:lastRow="0" w:firstColumn="1" w:lastColumn="0" w:oddVBand="0" w:evenVBand="0" w:oddHBand="0" w:evenHBand="0" w:firstRowFirstColumn="0" w:firstRowLastColumn="0" w:lastRowFirstColumn="0" w:lastRowLastColumn="0"/>
            <w:tcW w:w="1510" w:type="pct"/>
          </w:tcPr>
          <w:p w14:paraId="7D1308D8" w14:textId="77777777" w:rsidR="00205F19" w:rsidRPr="00403A68" w:rsidRDefault="00205F19" w:rsidP="00D10D24">
            <w:pPr>
              <w:pStyle w:val="TableTextLeft"/>
            </w:pPr>
            <w:r w:rsidRPr="00403A68">
              <w:t>Wildfire</w:t>
            </w:r>
          </w:p>
        </w:tc>
        <w:tc>
          <w:tcPr>
            <w:tcW w:w="361" w:type="pct"/>
          </w:tcPr>
          <w:p w14:paraId="5E4754AE"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rPr>
                <w:i/>
              </w:rPr>
            </w:pPr>
            <w:r w:rsidRPr="00403A68">
              <w:t xml:space="preserve">Days </w:t>
            </w:r>
          </w:p>
        </w:tc>
        <w:tc>
          <w:tcPr>
            <w:tcW w:w="263" w:type="pct"/>
          </w:tcPr>
          <w:p w14:paraId="71888E1F"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rPr>
                <w:i/>
              </w:rPr>
            </w:pPr>
            <w:r w:rsidRPr="00403A68">
              <w:t>Report</w:t>
            </w:r>
          </w:p>
        </w:tc>
        <w:tc>
          <w:tcPr>
            <w:tcW w:w="330" w:type="pct"/>
          </w:tcPr>
          <w:p w14:paraId="1EC11F38"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rPr>
                <w:i/>
              </w:rPr>
            </w:pPr>
            <w:r w:rsidRPr="00403A68">
              <w:t>Barwon</w:t>
            </w:r>
          </w:p>
        </w:tc>
        <w:tc>
          <w:tcPr>
            <w:tcW w:w="2186" w:type="pct"/>
          </w:tcPr>
          <w:p w14:paraId="71D766CE"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rPr>
                <w:i/>
              </w:rPr>
            </w:pPr>
            <w:r w:rsidRPr="00403A68">
              <w:t>CSIRO and DELWP (2019) Barwon Climate Projections 2019</w:t>
            </w:r>
          </w:p>
        </w:tc>
        <w:tc>
          <w:tcPr>
            <w:tcW w:w="350" w:type="pct"/>
          </w:tcPr>
          <w:p w14:paraId="6F8FE744" w14:textId="77777777" w:rsidR="00205F19" w:rsidRPr="00403A68" w:rsidRDefault="00205F19" w:rsidP="00D10D24">
            <w:pPr>
              <w:pStyle w:val="TableTextLeft"/>
              <w:cnfStyle w:val="000000000000" w:firstRow="0" w:lastRow="0" w:firstColumn="0" w:lastColumn="0" w:oddVBand="0" w:evenVBand="0" w:oddHBand="0" w:evenHBand="0" w:firstRowFirstColumn="0" w:firstRowLastColumn="0" w:lastRowFirstColumn="0" w:lastRowLastColumn="0"/>
              <w:rPr>
                <w:i/>
              </w:rPr>
            </w:pPr>
            <w:r w:rsidRPr="00403A68">
              <w:t>Future</w:t>
            </w:r>
          </w:p>
        </w:tc>
      </w:tr>
    </w:tbl>
    <w:p w14:paraId="071114FC" w14:textId="77777777" w:rsidR="00A459D5" w:rsidRDefault="00205F19" w:rsidP="00BA5FDF">
      <w:pPr>
        <w:pStyle w:val="BodyText12ptBefore"/>
      </w:pPr>
      <w:r w:rsidRPr="00403A68">
        <w:rPr>
          <w:vertAlign w:val="superscript"/>
        </w:rPr>
        <w:t xml:space="preserve">a  </w:t>
      </w:r>
      <w:r w:rsidRPr="00403A68">
        <w:t>Leading to loss of beach, cliff undercutting, landslips, access change including flooding of roads, loss of amenities and community assets, loss of cultural heritage, loss of camping areas, reduced tourism and revenue.</w:t>
      </w:r>
    </w:p>
    <w:p w14:paraId="7DDF29B3" w14:textId="77777777" w:rsidR="00CB5C6F" w:rsidRDefault="00CB5C6F" w:rsidP="00CB5C6F">
      <w:pPr>
        <w:pStyle w:val="BodyText"/>
      </w:pPr>
    </w:p>
    <w:p w14:paraId="26950D65" w14:textId="6760BEF3" w:rsidR="00F57C1E" w:rsidRPr="00CB5C6F" w:rsidRDefault="00F57C1E" w:rsidP="00CB5C6F">
      <w:pPr>
        <w:pStyle w:val="BodyText"/>
        <w:sectPr w:rsidR="00F57C1E" w:rsidRPr="00CB5C6F" w:rsidSect="00E52A9A">
          <w:headerReference w:type="default" r:id="rId445"/>
          <w:pgSz w:w="23820" w:h="16840" w:orient="landscape"/>
          <w:pgMar w:top="1134" w:right="1134" w:bottom="1134" w:left="1134" w:header="283" w:footer="283" w:gutter="0"/>
          <w:cols w:space="720"/>
          <w:noEndnote/>
          <w:docGrid w:linePitch="360"/>
        </w:sectPr>
      </w:pPr>
    </w:p>
    <w:p w14:paraId="4B08E1C0" w14:textId="77777777" w:rsidR="00CB5C6F" w:rsidRDefault="00CB5C6F" w:rsidP="00CB5C6F">
      <w:pPr>
        <w:pStyle w:val="BodyText"/>
        <w:sectPr w:rsidR="00CB5C6F" w:rsidSect="00E52A9A">
          <w:headerReference w:type="even" r:id="rId446"/>
          <w:footerReference w:type="even" r:id="rId447"/>
          <w:pgSz w:w="11900" w:h="16840"/>
          <w:pgMar w:top="1134" w:right="1134" w:bottom="1134" w:left="1134" w:header="283" w:footer="283" w:gutter="0"/>
          <w:cols w:space="720"/>
          <w:noEndnote/>
          <w:docGrid w:linePitch="360"/>
        </w:sectPr>
      </w:pPr>
    </w:p>
    <w:p w14:paraId="64F2B88F" w14:textId="44EF4AC9" w:rsidR="00B21991" w:rsidRPr="00FB15DB" w:rsidRDefault="00CB5C6F" w:rsidP="00CB5C6F">
      <w:pPr>
        <w:pStyle w:val="BodyText"/>
      </w:pPr>
      <w:r w:rsidRPr="002F5718">
        <w:rPr>
          <w:rStyle w:val="SectionTitle"/>
          <w:noProof/>
        </w:rPr>
        <w:lastRenderedPageBreak/>
        <mc:AlternateContent>
          <mc:Choice Requires="wpc">
            <w:drawing>
              <wp:anchor distT="0" distB="0" distL="114300" distR="114300" simplePos="0" relativeHeight="251658336" behindDoc="1" locked="1" layoutInCell="1" allowOverlap="1" wp14:anchorId="2B14DD7C" wp14:editId="4F399C06">
                <wp:simplePos x="0" y="0"/>
                <wp:positionH relativeFrom="page">
                  <wp:align>left</wp:align>
                </wp:positionH>
                <wp:positionV relativeFrom="page">
                  <wp:align>top</wp:align>
                </wp:positionV>
                <wp:extent cx="7559675" cy="10691495"/>
                <wp:effectExtent l="0" t="0" r="3175" b="0"/>
                <wp:wrapTopAndBottom/>
                <wp:docPr id="92" name="Canvas 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Canvas">
                    <wpc:wpc>
                      <wpc:bg>
                        <a:solidFill>
                          <a:schemeClr val="bg1"/>
                        </a:solidFill>
                      </wpc:bg>
                      <wpc:whole>
                        <a:ln>
                          <a:noFill/>
                        </a:ln>
                      </wpc:whole>
                      <wps:wsp>
                        <wps:cNvPr id="49" name="WhiteBlock"/>
                        <wps:cNvSpPr>
                          <a:spLocks noChangeAspect="1"/>
                        </wps:cNvSpPr>
                        <wps:spPr>
                          <a:xfrm>
                            <a:off x="4829435" y="6234542"/>
                            <a:ext cx="2730240" cy="4009822"/>
                          </a:xfrm>
                          <a:custGeom>
                            <a:avLst/>
                            <a:gdLst>
                              <a:gd name="connsiteX0" fmla="*/ 2047589 w 2047589"/>
                              <a:gd name="connsiteY0" fmla="*/ 0 h 3007233"/>
                              <a:gd name="connsiteX1" fmla="*/ 1102519 w 2047589"/>
                              <a:gd name="connsiteY1" fmla="*/ 2004822 h 3007233"/>
                              <a:gd name="connsiteX2" fmla="*/ 472535 w 2047589"/>
                              <a:gd name="connsiteY2" fmla="*/ 2004822 h 3007233"/>
                              <a:gd name="connsiteX3" fmla="*/ 314992 w 2047589"/>
                              <a:gd name="connsiteY3" fmla="*/ 2338959 h 3007233"/>
                              <a:gd name="connsiteX4" fmla="*/ 0 w 2047589"/>
                              <a:gd name="connsiteY4" fmla="*/ 3007233 h 3007233"/>
                              <a:gd name="connsiteX5" fmla="*/ 1575054 w 2047589"/>
                              <a:gd name="connsiteY5" fmla="*/ 3007233 h 3007233"/>
                              <a:gd name="connsiteX6" fmla="*/ 2047589 w 2047589"/>
                              <a:gd name="connsiteY6" fmla="*/ 2004822 h 3007233"/>
                              <a:gd name="connsiteX7" fmla="*/ 2047589 w 2047589"/>
                              <a:gd name="connsiteY7" fmla="*/ 0 h 30072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047589" h="3007233">
                                <a:moveTo>
                                  <a:pt x="2047589" y="0"/>
                                </a:moveTo>
                                <a:lnTo>
                                  <a:pt x="1102519" y="2004822"/>
                                </a:lnTo>
                                <a:lnTo>
                                  <a:pt x="472535" y="2004822"/>
                                </a:lnTo>
                                <a:lnTo>
                                  <a:pt x="314992" y="2338959"/>
                                </a:lnTo>
                                <a:lnTo>
                                  <a:pt x="0" y="3007233"/>
                                </a:lnTo>
                                <a:lnTo>
                                  <a:pt x="1575054" y="3007233"/>
                                </a:lnTo>
                                <a:lnTo>
                                  <a:pt x="2047589" y="2004822"/>
                                </a:lnTo>
                                <a:lnTo>
                                  <a:pt x="2047589" y="0"/>
                                </a:lnTo>
                                <a:close/>
                              </a:path>
                            </a:pathLst>
                          </a:custGeom>
                          <a:solidFill>
                            <a:schemeClr val="bg1"/>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1" name="Background"/>
                        <wps:cNvSpPr/>
                        <wps:spPr>
                          <a:xfrm>
                            <a:off x="0" y="0"/>
                            <a:ext cx="7559675" cy="10244364"/>
                          </a:xfrm>
                          <a:custGeom>
                            <a:avLst/>
                            <a:gdLst>
                              <a:gd name="connsiteX0" fmla="*/ 0 w 7563430"/>
                              <a:gd name="connsiteY0" fmla="*/ 0 h 10249453"/>
                              <a:gd name="connsiteX1" fmla="*/ 0 w 7563430"/>
                              <a:gd name="connsiteY1" fmla="*/ 10249454 h 10249453"/>
                              <a:gd name="connsiteX2" fmla="*/ 4832174 w 7563430"/>
                              <a:gd name="connsiteY2" fmla="*/ 10249454 h 10249453"/>
                              <a:gd name="connsiteX3" fmla="*/ 7563431 w 7563430"/>
                              <a:gd name="connsiteY3" fmla="*/ 4455064 h 10249453"/>
                              <a:gd name="connsiteX4" fmla="*/ 7563431 w 7563430"/>
                              <a:gd name="connsiteY4" fmla="*/ 0 h 10249453"/>
                              <a:gd name="connsiteX5" fmla="*/ 0 w 7563430"/>
                              <a:gd name="connsiteY5" fmla="*/ 0 h 102494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30" h="10249453">
                                <a:moveTo>
                                  <a:pt x="0" y="0"/>
                                </a:moveTo>
                                <a:lnTo>
                                  <a:pt x="0" y="10249454"/>
                                </a:lnTo>
                                <a:lnTo>
                                  <a:pt x="4832174" y="10249454"/>
                                </a:lnTo>
                                <a:lnTo>
                                  <a:pt x="7563431" y="4455064"/>
                                </a:lnTo>
                                <a:lnTo>
                                  <a:pt x="7563431" y="0"/>
                                </a:lnTo>
                                <a:lnTo>
                                  <a:pt x="0" y="0"/>
                                </a:lnTo>
                                <a:close/>
                              </a:path>
                            </a:pathLst>
                          </a:custGeom>
                          <a:solidFill>
                            <a:srgbClr val="1F1446"/>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4" name="RibbonTop"/>
                        <wps:cNvSpPr/>
                        <wps:spPr>
                          <a:xfrm>
                            <a:off x="5247967" y="4453890"/>
                            <a:ext cx="2309803" cy="4900124"/>
                          </a:xfrm>
                          <a:custGeom>
                            <a:avLst/>
                            <a:gdLst>
                              <a:gd name="connsiteX0" fmla="*/ 0 w 2309803"/>
                              <a:gd name="connsiteY0" fmla="*/ 4900125 h 4900124"/>
                              <a:gd name="connsiteX1" fmla="*/ 1259858 w 2309803"/>
                              <a:gd name="connsiteY1" fmla="*/ 4900125 h 4900124"/>
                              <a:gd name="connsiteX2" fmla="*/ 2309803 w 2309803"/>
                              <a:gd name="connsiteY2" fmla="*/ 2672738 h 4900124"/>
                              <a:gd name="connsiteX3" fmla="*/ 2309803 w 2309803"/>
                              <a:gd name="connsiteY3" fmla="*/ 0 h 4900124"/>
                              <a:gd name="connsiteX4" fmla="*/ 0 w 2309803"/>
                              <a:gd name="connsiteY4" fmla="*/ 4900125 h 490012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09803" h="4900124">
                                <a:moveTo>
                                  <a:pt x="0" y="4900125"/>
                                </a:moveTo>
                                <a:lnTo>
                                  <a:pt x="1259858" y="4900125"/>
                                </a:lnTo>
                                <a:lnTo>
                                  <a:pt x="2309803" y="2672738"/>
                                </a:lnTo>
                                <a:lnTo>
                                  <a:pt x="2309803" y="0"/>
                                </a:lnTo>
                                <a:lnTo>
                                  <a:pt x="0" y="4900125"/>
                                </a:lnTo>
                                <a:close/>
                              </a:path>
                            </a:pathLst>
                          </a:custGeom>
                          <a:solidFill>
                            <a:schemeClr val="accent1"/>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RibbonMiddle"/>
                        <wps:cNvSpPr/>
                        <wps:spPr>
                          <a:xfrm>
                            <a:off x="3987982" y="8463059"/>
                            <a:ext cx="2099890" cy="1781782"/>
                          </a:xfrm>
                          <a:custGeom>
                            <a:avLst/>
                            <a:gdLst>
                              <a:gd name="connsiteX0" fmla="*/ 840032 w 2099890"/>
                              <a:gd name="connsiteY0" fmla="*/ 0 h 1781782"/>
                              <a:gd name="connsiteX1" fmla="*/ 2099891 w 2099890"/>
                              <a:gd name="connsiteY1" fmla="*/ 0 h 1781782"/>
                              <a:gd name="connsiteX2" fmla="*/ 1259985 w 2099890"/>
                              <a:gd name="connsiteY2" fmla="*/ 1781783 h 1781782"/>
                              <a:gd name="connsiteX3" fmla="*/ 0 w 2099890"/>
                              <a:gd name="connsiteY3" fmla="*/ 1781783 h 1781782"/>
                              <a:gd name="connsiteX4" fmla="*/ 840032 w 2099890"/>
                              <a:gd name="connsiteY4" fmla="*/ 0 h 178178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099890" h="1781782">
                                <a:moveTo>
                                  <a:pt x="840032" y="0"/>
                                </a:moveTo>
                                <a:lnTo>
                                  <a:pt x="2099891" y="0"/>
                                </a:lnTo>
                                <a:lnTo>
                                  <a:pt x="1259985" y="1781783"/>
                                </a:lnTo>
                                <a:lnTo>
                                  <a:pt x="0" y="1781783"/>
                                </a:lnTo>
                                <a:lnTo>
                                  <a:pt x="840032" y="0"/>
                                </a:lnTo>
                                <a:close/>
                              </a:path>
                            </a:pathLst>
                          </a:custGeom>
                          <a:solidFill>
                            <a:schemeClr val="accent3"/>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ibbonBottom"/>
                        <wps:cNvSpPr/>
                        <wps:spPr>
                          <a:xfrm>
                            <a:off x="2937275" y="9354014"/>
                            <a:ext cx="1890612" cy="1338083"/>
                          </a:xfrm>
                          <a:custGeom>
                            <a:avLst/>
                            <a:gdLst>
                              <a:gd name="connsiteX0" fmla="*/ 630754 w 1890612"/>
                              <a:gd name="connsiteY0" fmla="*/ 0 h 1338083"/>
                              <a:gd name="connsiteX1" fmla="*/ 0 w 1890612"/>
                              <a:gd name="connsiteY1" fmla="*/ 1338083 h 1338083"/>
                              <a:gd name="connsiteX2" fmla="*/ 1259858 w 1890612"/>
                              <a:gd name="connsiteY2" fmla="*/ 1338083 h 1338083"/>
                              <a:gd name="connsiteX3" fmla="*/ 1890613 w 1890612"/>
                              <a:gd name="connsiteY3" fmla="*/ 0 h 1338083"/>
                              <a:gd name="connsiteX4" fmla="*/ 630754 w 1890612"/>
                              <a:gd name="connsiteY4" fmla="*/ 0 h 133808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890612" h="1338083">
                                <a:moveTo>
                                  <a:pt x="630754" y="0"/>
                                </a:moveTo>
                                <a:lnTo>
                                  <a:pt x="0" y="1338083"/>
                                </a:lnTo>
                                <a:lnTo>
                                  <a:pt x="1259858" y="1338083"/>
                                </a:lnTo>
                                <a:lnTo>
                                  <a:pt x="1890613" y="0"/>
                                </a:lnTo>
                                <a:lnTo>
                                  <a:pt x="630754" y="0"/>
                                </a:lnTo>
                                <a:close/>
                              </a:path>
                            </a:pathLst>
                          </a:custGeom>
                          <a:solidFill>
                            <a:schemeClr val="accent2"/>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TriangleBottom"/>
                        <wps:cNvSpPr/>
                        <wps:spPr>
                          <a:xfrm>
                            <a:off x="4407934" y="9354014"/>
                            <a:ext cx="840032" cy="890827"/>
                          </a:xfrm>
                          <a:custGeom>
                            <a:avLst/>
                            <a:gdLst>
                              <a:gd name="connsiteX0" fmla="*/ 420080 w 840032"/>
                              <a:gd name="connsiteY0" fmla="*/ 0 h 890827"/>
                              <a:gd name="connsiteX1" fmla="*/ 840032 w 840032"/>
                              <a:gd name="connsiteY1" fmla="*/ 890828 h 890827"/>
                              <a:gd name="connsiteX2" fmla="*/ 0 w 840032"/>
                              <a:gd name="connsiteY2" fmla="*/ 890828 h 890827"/>
                              <a:gd name="connsiteX3" fmla="*/ 420080 w 840032"/>
                              <a:gd name="connsiteY3" fmla="*/ 0 h 890827"/>
                            </a:gdLst>
                            <a:ahLst/>
                            <a:cxnLst>
                              <a:cxn ang="0">
                                <a:pos x="connsiteX0" y="connsiteY0"/>
                              </a:cxn>
                              <a:cxn ang="0">
                                <a:pos x="connsiteX1" y="connsiteY1"/>
                              </a:cxn>
                              <a:cxn ang="0">
                                <a:pos x="connsiteX2" y="connsiteY2"/>
                              </a:cxn>
                              <a:cxn ang="0">
                                <a:pos x="connsiteX3" y="connsiteY3"/>
                              </a:cxn>
                            </a:cxnLst>
                            <a:rect l="l" t="t" r="r" b="b"/>
                            <a:pathLst>
                              <a:path w="840032" h="890827">
                                <a:moveTo>
                                  <a:pt x="420080" y="0"/>
                                </a:moveTo>
                                <a:lnTo>
                                  <a:pt x="840032" y="890828"/>
                                </a:lnTo>
                                <a:lnTo>
                                  <a:pt x="0" y="890828"/>
                                </a:lnTo>
                                <a:lnTo>
                                  <a:pt x="420080" y="0"/>
                                </a:lnTo>
                                <a:close/>
                              </a:path>
                            </a:pathLst>
                          </a:custGeom>
                          <a:solidFill>
                            <a:schemeClr val="tx2"/>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TriangleTop"/>
                        <wps:cNvSpPr/>
                        <wps:spPr>
                          <a:xfrm>
                            <a:off x="5667919" y="8463059"/>
                            <a:ext cx="839905" cy="890954"/>
                          </a:xfrm>
                          <a:custGeom>
                            <a:avLst/>
                            <a:gdLst>
                              <a:gd name="connsiteX0" fmla="*/ 419953 w 839905"/>
                              <a:gd name="connsiteY0" fmla="*/ 0 h 890954"/>
                              <a:gd name="connsiteX1" fmla="*/ 839906 w 839905"/>
                              <a:gd name="connsiteY1" fmla="*/ 890955 h 890954"/>
                              <a:gd name="connsiteX2" fmla="*/ 0 w 839905"/>
                              <a:gd name="connsiteY2" fmla="*/ 890955 h 890954"/>
                              <a:gd name="connsiteX3" fmla="*/ 419953 w 839905"/>
                              <a:gd name="connsiteY3" fmla="*/ 0 h 890954"/>
                            </a:gdLst>
                            <a:ahLst/>
                            <a:cxnLst>
                              <a:cxn ang="0">
                                <a:pos x="connsiteX0" y="connsiteY0"/>
                              </a:cxn>
                              <a:cxn ang="0">
                                <a:pos x="connsiteX1" y="connsiteY1"/>
                              </a:cxn>
                              <a:cxn ang="0">
                                <a:pos x="connsiteX2" y="connsiteY2"/>
                              </a:cxn>
                              <a:cxn ang="0">
                                <a:pos x="connsiteX3" y="connsiteY3"/>
                              </a:cxn>
                            </a:cxnLst>
                            <a:rect l="l" t="t" r="r" b="b"/>
                            <a:pathLst>
                              <a:path w="839905" h="890954">
                                <a:moveTo>
                                  <a:pt x="419953" y="0"/>
                                </a:moveTo>
                                <a:lnTo>
                                  <a:pt x="839906" y="890955"/>
                                </a:lnTo>
                                <a:lnTo>
                                  <a:pt x="0" y="890955"/>
                                </a:lnTo>
                                <a:lnTo>
                                  <a:pt x="419953" y="0"/>
                                </a:lnTo>
                                <a:close/>
                              </a:path>
                            </a:pathLst>
                          </a:custGeom>
                          <a:solidFill>
                            <a:schemeClr val="tx2"/>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9" name="Triangle_ForestryAndResources" hidden="1"/>
                          <pic:cNvPicPr>
                            <a:picLocks noChangeAspect="1"/>
                          </pic:cNvPicPr>
                        </pic:nvPicPr>
                        <pic:blipFill>
                          <a:blip r:embed="rId448" cstate="email">
                            <a:extLst>
                              <a:ext uri="{28A0092B-C50C-407E-A947-70E740481C1C}">
                                <a14:useLocalDpi xmlns:a14="http://schemas.microsoft.com/office/drawing/2010/main"/>
                              </a:ext>
                            </a:extLst>
                          </a:blip>
                          <a:stretch>
                            <a:fillRect/>
                          </a:stretch>
                        </pic:blipFill>
                        <pic:spPr>
                          <a:xfrm>
                            <a:off x="6507137" y="8017658"/>
                            <a:ext cx="1051611" cy="2227918"/>
                          </a:xfrm>
                          <a:prstGeom prst="rect">
                            <a:avLst/>
                          </a:prstGeom>
                        </pic:spPr>
                      </pic:pic>
                      <pic:pic xmlns:pic="http://schemas.openxmlformats.org/drawingml/2006/picture">
                        <pic:nvPicPr>
                          <pic:cNvPr id="70" name="Triangle_AgricultureVictoria" hidden="1"/>
                          <pic:cNvPicPr preferRelativeResize="0">
                            <a:picLocks noChangeAspect="1"/>
                          </pic:cNvPicPr>
                        </pic:nvPicPr>
                        <pic:blipFill>
                          <a:blip r:embed="rId449">
                            <a:extLst>
                              <a:ext uri="{28A0092B-C50C-407E-A947-70E740481C1C}">
                                <a14:useLocalDpi xmlns:a14="http://schemas.microsoft.com/office/drawing/2010/main" val="0"/>
                              </a:ext>
                            </a:extLst>
                          </a:blip>
                          <a:srcRect/>
                          <a:stretch/>
                        </pic:blipFill>
                        <pic:spPr>
                          <a:xfrm>
                            <a:off x="6508475" y="8022254"/>
                            <a:ext cx="1051200" cy="2227048"/>
                          </a:xfrm>
                          <a:prstGeom prst="rect">
                            <a:avLst/>
                          </a:prstGeom>
                        </pic:spPr>
                      </pic:pic>
                      <pic:pic xmlns:pic="http://schemas.openxmlformats.org/drawingml/2006/picture">
                        <pic:nvPicPr>
                          <pic:cNvPr id="71" name="Triangle_Environment" hidden="1"/>
                          <pic:cNvPicPr>
                            <a:picLocks noChangeAspect="1"/>
                          </pic:cNvPicPr>
                        </pic:nvPicPr>
                        <pic:blipFill>
                          <a:blip r:embed="rId450" cstate="screen">
                            <a:extLst>
                              <a:ext uri="{28A0092B-C50C-407E-A947-70E740481C1C}">
                                <a14:useLocalDpi xmlns:a14="http://schemas.microsoft.com/office/drawing/2010/main"/>
                              </a:ext>
                            </a:extLst>
                          </a:blip>
                          <a:stretch>
                            <a:fillRect/>
                          </a:stretch>
                        </pic:blipFill>
                        <pic:spPr>
                          <a:xfrm>
                            <a:off x="6506922" y="8017443"/>
                            <a:ext cx="1051611" cy="2227918"/>
                          </a:xfrm>
                          <a:prstGeom prst="rect">
                            <a:avLst/>
                          </a:prstGeom>
                        </pic:spPr>
                      </pic:pic>
                      <pic:pic xmlns:pic="http://schemas.openxmlformats.org/drawingml/2006/picture">
                        <pic:nvPicPr>
                          <pic:cNvPr id="75" name="Triangle_ForestFireAndRegions" hidden="1"/>
                          <pic:cNvPicPr>
                            <a:picLocks noChangeAspect="1"/>
                          </pic:cNvPicPr>
                        </pic:nvPicPr>
                        <pic:blipFill>
                          <a:blip r:embed="rId451" cstate="screen">
                            <a:extLst>
                              <a:ext uri="{28A0092B-C50C-407E-A947-70E740481C1C}">
                                <a14:useLocalDpi xmlns:a14="http://schemas.microsoft.com/office/drawing/2010/main"/>
                              </a:ext>
                            </a:extLst>
                          </a:blip>
                          <a:stretch>
                            <a:fillRect/>
                          </a:stretch>
                        </pic:blipFill>
                        <pic:spPr>
                          <a:xfrm>
                            <a:off x="6507062" y="8017583"/>
                            <a:ext cx="1051611" cy="2227918"/>
                          </a:xfrm>
                          <a:prstGeom prst="rect">
                            <a:avLst/>
                          </a:prstGeom>
                        </pic:spPr>
                      </pic:pic>
                      <pic:pic xmlns:pic="http://schemas.openxmlformats.org/drawingml/2006/picture">
                        <pic:nvPicPr>
                          <pic:cNvPr id="78" name="Triangle_WaterAndCatchments" hidden="1"/>
                          <pic:cNvPicPr>
                            <a:picLocks noChangeAspect="1"/>
                          </pic:cNvPicPr>
                        </pic:nvPicPr>
                        <pic:blipFill>
                          <a:blip r:embed="rId452" cstate="screen">
                            <a:extLst>
                              <a:ext uri="{28A0092B-C50C-407E-A947-70E740481C1C}">
                                <a14:useLocalDpi xmlns:a14="http://schemas.microsoft.com/office/drawing/2010/main"/>
                              </a:ext>
                            </a:extLst>
                          </a:blip>
                          <a:stretch>
                            <a:fillRect/>
                          </a:stretch>
                        </pic:blipFill>
                        <pic:spPr>
                          <a:xfrm>
                            <a:off x="6507202" y="8017723"/>
                            <a:ext cx="1051611" cy="2227918"/>
                          </a:xfrm>
                          <a:prstGeom prst="rect">
                            <a:avLst/>
                          </a:prstGeom>
                        </pic:spPr>
                      </pic:pic>
                      <wps:wsp>
                        <wps:cNvPr id="80" name="Triangle_Plain" hidden="1"/>
                        <wps:cNvSpPr>
                          <a:spLocks noChangeAspect="1"/>
                        </wps:cNvSpPr>
                        <wps:spPr>
                          <a:xfrm>
                            <a:off x="6508335" y="8016919"/>
                            <a:ext cx="1050423" cy="2228400"/>
                          </a:xfrm>
                          <a:custGeom>
                            <a:avLst/>
                            <a:gdLst>
                              <a:gd name="connsiteX0" fmla="*/ 0 w 787527"/>
                              <a:gd name="connsiteY0" fmla="*/ 1670685 h 1670684"/>
                              <a:gd name="connsiteX1" fmla="*/ 787527 w 787527"/>
                              <a:gd name="connsiteY1" fmla="*/ 1670685 h 1670684"/>
                              <a:gd name="connsiteX2" fmla="*/ 787527 w 787527"/>
                              <a:gd name="connsiteY2" fmla="*/ 0 h 1670684"/>
                              <a:gd name="connsiteX3" fmla="*/ 0 w 787527"/>
                              <a:gd name="connsiteY3" fmla="*/ 1670685 h 1670684"/>
                            </a:gdLst>
                            <a:ahLst/>
                            <a:cxnLst>
                              <a:cxn ang="0">
                                <a:pos x="connsiteX0" y="connsiteY0"/>
                              </a:cxn>
                              <a:cxn ang="0">
                                <a:pos x="connsiteX1" y="connsiteY1"/>
                              </a:cxn>
                              <a:cxn ang="0">
                                <a:pos x="connsiteX2" y="connsiteY2"/>
                              </a:cxn>
                              <a:cxn ang="0">
                                <a:pos x="connsiteX3" y="connsiteY3"/>
                              </a:cxn>
                            </a:cxnLst>
                            <a:rect l="l" t="t" r="r" b="b"/>
                            <a:pathLst>
                              <a:path w="787527" h="1670684">
                                <a:moveTo>
                                  <a:pt x="0" y="1670685"/>
                                </a:moveTo>
                                <a:lnTo>
                                  <a:pt x="787527" y="1670685"/>
                                </a:lnTo>
                                <a:lnTo>
                                  <a:pt x="787527" y="0"/>
                                </a:lnTo>
                                <a:lnTo>
                                  <a:pt x="0" y="1670685"/>
                                </a:lnTo>
                                <a:close/>
                              </a:path>
                            </a:pathLst>
                          </a:custGeom>
                          <a:solidFill>
                            <a:srgbClr val="1F1446"/>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2" name="Triangle_Energy" hidden="1"/>
                          <pic:cNvPicPr>
                            <a:picLocks noChangeAspect="1"/>
                          </pic:cNvPicPr>
                        </pic:nvPicPr>
                        <pic:blipFill>
                          <a:blip r:embed="rId453" cstate="screen">
                            <a:extLst>
                              <a:ext uri="{28A0092B-C50C-407E-A947-70E740481C1C}">
                                <a14:useLocalDpi xmlns:a14="http://schemas.microsoft.com/office/drawing/2010/main"/>
                              </a:ext>
                            </a:extLst>
                          </a:blip>
                          <a:stretch>
                            <a:fillRect/>
                          </a:stretch>
                        </pic:blipFill>
                        <pic:spPr>
                          <a:xfrm>
                            <a:off x="6507417" y="8017303"/>
                            <a:ext cx="1051611" cy="2227918"/>
                          </a:xfrm>
                          <a:prstGeom prst="rect">
                            <a:avLst/>
                          </a:prstGeom>
                        </pic:spPr>
                      </pic:pic>
                      <pic:pic xmlns:pic="http://schemas.openxmlformats.org/drawingml/2006/picture">
                        <pic:nvPicPr>
                          <pic:cNvPr id="86" name="Triangle_Corporate"/>
                          <pic:cNvPicPr preferRelativeResize="0">
                            <a:picLocks noChangeAspect="1"/>
                          </pic:cNvPicPr>
                        </pic:nvPicPr>
                        <pic:blipFill>
                          <a:blip r:embed="rId454" cstate="screen">
                            <a:extLst>
                              <a:ext uri="{28A0092B-C50C-407E-A947-70E740481C1C}">
                                <a14:useLocalDpi xmlns:a14="http://schemas.microsoft.com/office/drawing/2010/main"/>
                              </a:ext>
                            </a:extLst>
                          </a:blip>
                          <a:stretch>
                            <a:fillRect/>
                          </a:stretch>
                        </pic:blipFill>
                        <pic:spPr>
                          <a:xfrm>
                            <a:off x="6507836" y="8018145"/>
                            <a:ext cx="1051200" cy="2227046"/>
                          </a:xfrm>
                          <a:prstGeom prst="rect">
                            <a:avLst/>
                          </a:prstGeom>
                        </pic:spPr>
                      </pic:pic>
                      <wps:wsp>
                        <wps:cNvPr id="89" name="Web"/>
                        <wps:cNvSpPr txBox="1"/>
                        <wps:spPr>
                          <a:xfrm>
                            <a:off x="502305" y="9746777"/>
                            <a:ext cx="1145785" cy="231385"/>
                          </a:xfrm>
                          <a:prstGeom prst="rect">
                            <a:avLst/>
                          </a:prstGeom>
                          <a:noFill/>
                          <a:ln w="6350">
                            <a:noFill/>
                          </a:ln>
                        </wps:spPr>
                        <wps:txbx>
                          <w:txbxContent>
                            <w:p w14:paraId="2D438CE2" w14:textId="77777777" w:rsidR="00CB5C6F" w:rsidRPr="000D02C6" w:rsidRDefault="00CB5C6F" w:rsidP="000D02C6">
                              <w:pPr>
                                <w:pStyle w:val="NoSpacing"/>
                                <w:shd w:val="clear" w:color="auto" w:fill="201547" w:themeFill="text2"/>
                                <w:rPr>
                                  <w:b/>
                                  <w:bCs/>
                                  <w:color w:val="FFFFFF" w:themeColor="background1"/>
                                  <w:sz w:val="21"/>
                                  <w:szCs w:val="21"/>
                                </w:rPr>
                              </w:pPr>
                              <w:hyperlink r:id="rId455" w:history="1">
                                <w:r w:rsidRPr="000D02C6">
                                  <w:rPr>
                                    <w:b/>
                                    <w:bCs/>
                                    <w:color w:val="FFFFFF" w:themeColor="background1"/>
                                    <w:sz w:val="21"/>
                                    <w:szCs w:val="21"/>
                                    <w:lang w:val="en-US"/>
                                  </w:rPr>
                                  <w:t>deeca.vic.gov.au</w:t>
                                </w:r>
                              </w:hyperlink>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wpc:wpc>
                  </a:graphicData>
                </a:graphic>
                <wp14:sizeRelH relativeFrom="page">
                  <wp14:pctWidth>0</wp14:pctWidth>
                </wp14:sizeRelH>
                <wp14:sizeRelV relativeFrom="page">
                  <wp14:pctHeight>0</wp14:pctHeight>
                </wp14:sizeRelV>
              </wp:anchor>
            </w:drawing>
          </mc:Choice>
          <mc:Fallback>
            <w:pict>
              <v:group w14:anchorId="2B14DD7C" id="Canvas 92" o:spid="_x0000_s1088" editas="canvas" alt="&quot;&quot;" style="position:absolute;margin-left:0;margin-top:0;width:595.25pt;height:841.85pt;z-index:-251658144;mso-position-horizontal:left;mso-position-horizontal-relative:page;mso-position-vertical:top;mso-position-vertical-relative:page" coordsize="75596,106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">
                <v:shape id="_x0000_s1089" type="#_x0000_t75" alt="&quot;&quot;" style="position:absolute;width:75596;height:106914;visibility:visible;mso-wrap-style:square" filled="t" fillcolor="white [3212]">
                  <v:fill o:detectmouseclick="t"/>
                  <v:path o:connecttype="none"/>
                </v:shape>
                <v:shape id="WhiteBlock" o:spid="_x0000_s1090" style="position:absolute;left:48294;top:62345;width:27302;height:40098;visibility:visible;mso-wrap-style:square;v-text-anchor:middle" coordsize="2047589,3007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" path="m2047589,l1102519,2004822r-629984,l314992,2338959,,3007233r1575054,l2047589,2004822,2047589,xe" fillcolor="white [3212]" stroked="f">
                  <v:stroke joinstyle="miter"/>
                  <v:path arrowok="t" o:connecttype="custom" o:connectlocs="2730240,0;1470091,2673215;630075,2673215;420008,3118750;0,4009822;2100165,4009822;2730240,2673215;2730240,0" o:connectangles="0,0,0,0,0,0,0,0"/>
                  <o:lock v:ext="edit" aspectratio="t"/>
                </v:shape>
                <v:shape id="Background" o:spid="_x0000_s1091" style="position:absolute;width:75596;height:102443;visibility:visible;mso-wrap-style:square;v-text-anchor:middle" coordsize="7563430,10249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" path="m,l,10249454r4832174,l7563431,4455064,7563431,,,xe" fillcolor="#1f1446" stroked="f" strokeweight=".35264mm">
                  <v:stroke joinstyle="miter"/>
                  <v:path arrowok="t" o:connecttype="custom" o:connectlocs="0,0;0,10244365;4829775,10244365;7559676,4452852;7559676,0;0,0" o:connectangles="0,0,0,0,0,0"/>
                </v:shape>
                <v:shape id="RibbonTop" o:spid="_x0000_s1092" style="position:absolute;left:52479;top:44538;width:23098;height:49002;visibility:visible;mso-wrap-style:square;v-text-anchor:middle" coordsize="2309803,4900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" path="m,4900125r1259858,l2309803,2672738,2309803,,,4900125xe" fillcolor="#004c97 [3204]" stroked="f" strokeweight=".35253mm">
                  <v:stroke joinstyle="miter"/>
                  <v:path arrowok="t" o:connecttype="custom" o:connectlocs="0,4900125;1259858,4900125;2309803,2672738;2309803,0;0,4900125" o:connectangles="0,0,0,0,0"/>
                </v:shape>
                <v:shape id="RibbonMiddle" o:spid="_x0000_s1093" style="position:absolute;left:39879;top:84630;width:20999;height:17818;visibility:visible;mso-wrap-style:square;v-text-anchor:middle" coordsize="2099890,1781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" path="m840032,l2099891,,1259985,1781783,,1781783,840032,xe" fillcolor="#00b2a9 [3206]" stroked="f" strokeweight=".35253mm">
                  <v:stroke joinstyle="miter"/>
                  <v:path arrowok="t" o:connecttype="custom" o:connectlocs="840032,0;2099891,0;1259985,1781783;0,1781783;840032,0" o:connectangles="0,0,0,0,0"/>
                </v:shape>
                <v:shape id="RibbonBottom" o:spid="_x0000_s1094" style="position:absolute;left:29372;top:93540;width:18906;height:13380;visibility:visible;mso-wrap-style:square;v-text-anchor:middle" coordsize="1890612,1338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" path="m630754,l,1338083r1259858,l1890613,,630754,xe" fillcolor="#88dbdf [3205]" stroked="f" strokeweight=".35253mm">
                  <v:stroke joinstyle="miter"/>
                  <v:path arrowok="t" o:connecttype="custom" o:connectlocs="630754,0;0,1338083;1259858,1338083;1890613,0;630754,0" o:connectangles="0,0,0,0,0"/>
                </v:shape>
                <v:shape id="TriangleBottom" o:spid="_x0000_s1095" style="position:absolute;left:44079;top:93540;width:8400;height:8908;visibility:visible;mso-wrap-style:square;v-text-anchor:middle" coordsize="840032,890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" path="m420080,l840032,890828,,890828,420080,xe" fillcolor="#201547 [3215]" stroked="f" strokeweight=".35253mm">
                  <v:stroke joinstyle="miter"/>
                  <v:path arrowok="t" o:connecttype="custom" o:connectlocs="420080,0;840032,890828;0,890828;420080,0" o:connectangles="0,0,0,0"/>
                </v:shape>
                <v:shape id="TriangleTop" o:spid="_x0000_s1096" style="position:absolute;left:56679;top:84630;width:8399;height:8910;visibility:visible;mso-wrap-style:square;v-text-anchor:middle" coordsize="839905,890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" path="m419953,l839906,890955,,890955,419953,xe" fillcolor="#201547 [3215]" stroked="f" strokeweight=".35253mm">
                  <v:stroke joinstyle="miter"/>
                  <v:path arrowok="t" o:connecttype="custom" o:connectlocs="419953,0;839906,890955;0,890955;419953,0" o:connectangles="0,0,0,0"/>
                </v:shape>
                <v:shape id="Triangle_ForestryAndResources" o:spid="_x0000_s1097" type="#_x0000_t75" style="position:absolute;left:65071;top:80176;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">
                  <v:imagedata r:id="rId456" o:title=""/>
                </v:shape>
                <v:shape id="Triangle_AgricultureVictoria" o:spid="_x0000_s1098" type="#_x0000_t75" style="position:absolute;left:65084;top:80222;width:10512;height:22271;visibility:hidden;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">
                  <v:imagedata r:id="rId457" o:title=""/>
                </v:shape>
                <v:shape id="Triangle_Environment" o:spid="_x0000_s1099" type="#_x0000_t75" style="position:absolute;left:65069;top:80174;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">
                  <v:imagedata r:id="rId458" o:title=""/>
                </v:shape>
                <v:shape id="Triangle_ForestFireAndRegions" o:spid="_x0000_s1100" type="#_x0000_t75" style="position:absolute;left:65070;top:80175;width:10516;height:22280;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">
                  <v:imagedata r:id="rId459" o:title=""/>
                </v:shape>
                <v:shape id="Triangle_WaterAndCatchments" o:spid="_x0000_s1101" type="#_x0000_t75" style="position:absolute;left:65072;top:80177;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">
                  <v:imagedata r:id="rId460" o:title=""/>
                </v:shape>
                <v:shape id="Triangle_Plain" o:spid="_x0000_s1102" style="position:absolute;left:65083;top:80169;width:10504;height:22284;visibility:hidden;mso-wrap-style:square;v-text-anchor:middle" coordsize="787527,1670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" path="m,1670685r787527,l787527,,,1670685xe" fillcolor="#1f1446" stroked="f">
                  <v:stroke joinstyle="miter"/>
                  <v:path arrowok="t" o:connecttype="custom" o:connectlocs="0,2228401;1050423,2228401;1050423,0;0,2228401" o:connectangles="0,0,0,0"/>
                  <o:lock v:ext="edit" aspectratio="t"/>
                </v:shape>
                <v:shape id="Triangle_Energy" o:spid="_x0000_s1103" type="#_x0000_t75" style="position:absolute;left:65074;top:80173;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">
                  <v:imagedata r:id="rId461" o:title=""/>
                </v:shape>
                <v:shape id="Triangle_Corporate" o:spid="_x0000_s1104" type="#_x0000_t75" style="position:absolute;left:65078;top:80181;width:10512;height:2227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">
                  <v:imagedata r:id="rId462" o:title=""/>
                </v:shape>
                <v:shape id="Web" o:spid="_x0000_s1105" type="#_x0000_t202" style="position:absolute;left:5023;top:97467;width:11457;height:23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" filled="f" stroked="f" strokeweight=".5pt">
                  <v:textbox style="mso-fit-shape-to-text:t" inset="1mm,1mm,1mm,1mm">
                    <w:txbxContent>
                      <w:p w14:paraId="2D438CE2" w14:textId="77777777" w:rsidR="00CB5C6F" w:rsidRPr="000D02C6" w:rsidRDefault="00CB5C6F" w:rsidP="000D02C6">
                        <w:pPr>
                          <w:pStyle w:val="NoSpacing"/>
                          <w:shd w:val="clear" w:color="auto" w:fill="201547" w:themeFill="text2"/>
                          <w:rPr>
                            <w:b/>
                            <w:bCs/>
                            <w:color w:val="FFFFFF" w:themeColor="background1"/>
                            <w:sz w:val="21"/>
                            <w:szCs w:val="21"/>
                          </w:rPr>
                        </w:pPr>
                        <w:hyperlink r:id="rId463" w:history="1">
                          <w:r w:rsidRPr="000D02C6">
                            <w:rPr>
                              <w:b/>
                              <w:bCs/>
                              <w:color w:val="FFFFFF" w:themeColor="background1"/>
                              <w:sz w:val="21"/>
                              <w:szCs w:val="21"/>
                              <w:lang w:val="en-US"/>
                            </w:rPr>
                            <w:t>deeca.vic.gov.au</w:t>
                          </w:r>
                        </w:hyperlink>
                      </w:p>
                    </w:txbxContent>
                  </v:textbox>
                </v:shape>
                <w10:wrap type="topAndBottom" anchorx="page" anchory="page"/>
                <w10:anchorlock/>
              </v:group>
            </w:pict>
          </mc:Fallback>
        </mc:AlternateContent>
      </w:r>
      <w:r w:rsidR="000035CB">
        <w:rPr>
          <w:noProof/>
        </w:rPr>
        <mc:AlternateContent>
          <mc:Choice Requires="wps">
            <w:drawing>
              <wp:anchor distT="0" distB="0" distL="114300" distR="114300" simplePos="0" relativeHeight="251658329" behindDoc="0" locked="0" layoutInCell="1" allowOverlap="1" wp14:anchorId="15D99E74" wp14:editId="253B98BE">
                <wp:simplePos x="0" y="0"/>
                <wp:positionH relativeFrom="column">
                  <wp:posOffset>3020695</wp:posOffset>
                </wp:positionH>
                <wp:positionV relativeFrom="paragraph">
                  <wp:posOffset>10086340</wp:posOffset>
                </wp:positionV>
                <wp:extent cx="7559675" cy="10243820"/>
                <wp:effectExtent l="0" t="0" r="0" b="5080"/>
                <wp:wrapNone/>
                <wp:docPr id="1921212398" name="Freeform: Shape 1921212398"/>
                <wp:cNvGraphicFramePr/>
                <a:graphic xmlns:a="http://schemas.openxmlformats.org/drawingml/2006/main">
                  <a:graphicData uri="http://schemas.microsoft.com/office/word/2010/wordprocessingShape">
                    <wps:wsp>
                      <wps:cNvSpPr/>
                      <wps:spPr>
                        <a:xfrm>
                          <a:off x="0" y="0"/>
                          <a:ext cx="7559675" cy="10243820"/>
                        </a:xfrm>
                        <a:custGeom>
                          <a:avLst/>
                          <a:gdLst>
                            <a:gd name="connsiteX0" fmla="*/ 0 w 7563430"/>
                            <a:gd name="connsiteY0" fmla="*/ 0 h 10249453"/>
                            <a:gd name="connsiteX1" fmla="*/ 0 w 7563430"/>
                            <a:gd name="connsiteY1" fmla="*/ 10249454 h 10249453"/>
                            <a:gd name="connsiteX2" fmla="*/ 4832174 w 7563430"/>
                            <a:gd name="connsiteY2" fmla="*/ 10249454 h 10249453"/>
                            <a:gd name="connsiteX3" fmla="*/ 7563431 w 7563430"/>
                            <a:gd name="connsiteY3" fmla="*/ 4455064 h 10249453"/>
                            <a:gd name="connsiteX4" fmla="*/ 7563431 w 7563430"/>
                            <a:gd name="connsiteY4" fmla="*/ 0 h 10249453"/>
                            <a:gd name="connsiteX5" fmla="*/ 0 w 7563430"/>
                            <a:gd name="connsiteY5" fmla="*/ 0 h 102494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30" h="10249453">
                              <a:moveTo>
                                <a:pt x="0" y="0"/>
                              </a:moveTo>
                              <a:lnTo>
                                <a:pt x="0" y="10249454"/>
                              </a:lnTo>
                              <a:lnTo>
                                <a:pt x="4832174" y="10249454"/>
                              </a:lnTo>
                              <a:lnTo>
                                <a:pt x="7563431" y="4455064"/>
                              </a:lnTo>
                              <a:lnTo>
                                <a:pt x="7563431" y="0"/>
                              </a:lnTo>
                              <a:lnTo>
                                <a:pt x="0" y="0"/>
                              </a:lnTo>
                              <a:close/>
                            </a:path>
                          </a:pathLst>
                        </a:custGeom>
                        <a:solidFill>
                          <a:srgbClr val="1F1446"/>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19CC9D9" id="Freeform: Shape 1921212398" o:spid="_x0000_s1026" style="position:absolute;margin-left:237.85pt;margin-top:794.2pt;width:595.25pt;height:806.6pt;z-index:251658329;visibility:visible;mso-wrap-style:square;mso-wrap-distance-left:9pt;mso-wrap-distance-top:0;mso-wrap-distance-right:9pt;mso-wrap-distance-bottom:0;mso-position-horizontal:absolute;mso-position-horizontal-relative:text;mso-position-vertical:absolute;mso-position-vertical-relative:text;v-text-anchor:middle" coordsize="7563430,10249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" path="m,l,10249454r4832174,l7563431,4455064,7563431,,,xe" fillcolor="#1f1446" stroked="f" strokeweight=".35264mm">
                <v:stroke joinstyle="miter"/>
                <v:path arrowok="t" o:connecttype="custom" o:connectlocs="0,0;0,10243821;4829775,10243821;7559676,4452616;7559676,0;0,0" o:connectangles="0,0,0,0,0,0"/>
              </v:shape>
            </w:pict>
          </mc:Fallback>
        </mc:AlternateContent>
      </w:r>
    </w:p>
    <w:sectPr w:rsidR="00B21991" w:rsidRPr="00FB15DB" w:rsidSect="00CB5C6F">
      <w:headerReference w:type="default" r:id="rId464"/>
      <w:pgSz w:w="11907" w:h="16839"/>
      <w:pgMar w:top="1134" w:right="1134" w:bottom="1134" w:left="1134" w:header="283" w:footer="283"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CC3965" w14:textId="77777777" w:rsidR="00F51742" w:rsidRDefault="00F51742" w:rsidP="00CD157B">
      <w:pPr>
        <w:pStyle w:val="NoSpacing"/>
      </w:pPr>
    </w:p>
  </w:endnote>
  <w:endnote w:type="continuationSeparator" w:id="0">
    <w:p w14:paraId="4A5D5AD5" w14:textId="77777777" w:rsidR="00F51742" w:rsidRDefault="00F51742" w:rsidP="00CD157B">
      <w:pPr>
        <w:pStyle w:val="NoSpacing"/>
      </w:pPr>
    </w:p>
  </w:endnote>
  <w:endnote w:type="continuationNotice" w:id="1">
    <w:p w14:paraId="149F2DA8" w14:textId="77777777" w:rsidR="00F51742" w:rsidRDefault="00F51742" w:rsidP="00CD157B">
      <w:pPr>
        <w:pStyle w:val="NoSpacing"/>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old">
    <w:altName w:val="Arial"/>
    <w:panose1 w:val="020B0704020202020204"/>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MingLiU">
    <w:altName w:val="細明體"/>
    <w:panose1 w:val="02010609000101010101"/>
    <w:charset w:val="88"/>
    <w:family w:val="modern"/>
    <w:pitch w:val="fixed"/>
    <w:sig w:usb0="A00002FF" w:usb1="28CFFCFA" w:usb2="00000016" w:usb3="00000000" w:csb0="00100001" w:csb1="00000000"/>
  </w:font>
  <w:font w:name="PMingLiU">
    <w:altName w:val="新細明體"/>
    <w:panose1 w:val="02010601000101010101"/>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imesNewRomanMTStd">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1AAF6E30" w14:textId="77777777" w:rsidTr="00666947">
      <w:trPr>
        <w:trHeight w:val="397"/>
      </w:trPr>
      <w:tc>
        <w:tcPr>
          <w:tcW w:w="340" w:type="dxa"/>
        </w:tcPr>
        <w:p w14:paraId="73279B16" w14:textId="2CFADA01" w:rsidR="00E52A9A" w:rsidRPr="00D55628" w:rsidRDefault="00280AB9" w:rsidP="00376EF3">
          <w:pPr>
            <w:pStyle w:val="FooterEvenPageNumber"/>
            <w:framePr w:wrap="auto" w:vAnchor="margin" w:hAnchor="text" w:yAlign="inline"/>
          </w:pPr>
          <w:r>
            <w:rPr>
              <w:noProof/>
            </w:rPr>
            <mc:AlternateContent>
              <mc:Choice Requires="wps">
                <w:drawing>
                  <wp:anchor distT="0" distB="0" distL="114300" distR="114300" simplePos="0" relativeHeight="251658242" behindDoc="0" locked="0" layoutInCell="0" allowOverlap="1" wp14:anchorId="1079D55C" wp14:editId="58F87759">
                    <wp:simplePos x="0" y="0"/>
                    <wp:positionH relativeFrom="page">
                      <wp:align>center</wp:align>
                    </wp:positionH>
                    <wp:positionV relativeFrom="page">
                      <wp:align>bottom</wp:align>
                    </wp:positionV>
                    <wp:extent cx="7772400" cy="463550"/>
                    <wp:effectExtent l="0" t="0" r="0" b="12700"/>
                    <wp:wrapNone/>
                    <wp:docPr id="380380660" name="Text Box 380380660" descr="{&quot;HashCode&quot;:1862493762,&quot;Height&quot;:9999999.0,&quot;Width&quot;:9999999.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2EC1226" w14:textId="2C7D4C40" w:rsidR="00280AB9" w:rsidRPr="00B379D0" w:rsidRDefault="00B379D0" w:rsidP="00B379D0">
                                <w:pPr>
                                  <w:spacing w:before="0" w:after="0"/>
                                  <w:jc w:val="center"/>
                                  <w:rPr>
                                    <w:rFonts w:ascii="Calibri" w:hAnsi="Calibri" w:cs="Calibri"/>
                                    <w:color w:val="000000"/>
                                    <w:sz w:val="24"/>
                                  </w:rPr>
                                </w:pPr>
                                <w:r w:rsidRPr="00B379D0">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1079D55C" id="_x0000_t202" coordsize="21600,21600" o:spt="202" path="m,l,21600r21600,l21600,xe">
                    <v:stroke joinstyle="miter"/>
                    <v:path gradientshapeok="t" o:connecttype="rect"/>
                  </v:shapetype>
                  <v:shape id="Text Box 380380660" o:spid="_x0000_s1106" type="#_x0000_t202" alt="{&quot;HashCode&quot;:1862493762,&quot;Height&quot;:9999999.0,&quot;Width&quot;:9999999.0,&quot;Placement&quot;:&quot;Footer&quot;,&quot;Index&quot;:&quot;OddAndEven&quot;,&quot;Section&quot;:1,&quot;Top&quot;:0.0,&quot;Left&quot;:0.0}" style="position:absolute;margin-left:0;margin-top:0;width:612pt;height:36.5pt;z-index:251658242;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" o:allowincell="f" filled="f" stroked="f" strokeweight=".5pt">
                    <v:textbox inset=",0,,0">
                      <w:txbxContent>
                        <w:p w14:paraId="02EC1226" w14:textId="2C7D4C40" w:rsidR="00280AB9" w:rsidRPr="00B379D0" w:rsidRDefault="00B379D0" w:rsidP="00B379D0">
                          <w:pPr>
                            <w:spacing w:before="0" w:after="0"/>
                            <w:jc w:val="center"/>
                            <w:rPr>
                              <w:rFonts w:ascii="Calibri" w:hAnsi="Calibri" w:cs="Calibri"/>
                              <w:color w:val="000000"/>
                              <w:sz w:val="24"/>
                            </w:rPr>
                          </w:pPr>
                          <w:r w:rsidRPr="00B379D0">
                            <w:rPr>
                              <w:rFonts w:ascii="Calibri" w:hAnsi="Calibri" w:cs="Calibri"/>
                              <w:color w:val="000000"/>
                              <w:sz w:val="24"/>
                            </w:rPr>
                            <w:t>OFFICIAL</w:t>
                          </w:r>
                        </w:p>
                      </w:txbxContent>
                    </v:textbox>
                    <w10:wrap anchorx="page" anchory="page"/>
                  </v:shape>
                </w:pict>
              </mc:Fallback>
            </mc:AlternateContent>
          </w:r>
          <w:r w:rsidR="00E52A9A" w:rsidRPr="00D55628">
            <w:fldChar w:fldCharType="begin"/>
          </w:r>
          <w:r w:rsidR="00E52A9A" w:rsidRPr="00D55628">
            <w:instrText xml:space="preserve"> PAGE   \* MERGEFORMAT </w:instrText>
          </w:r>
          <w:r w:rsidR="00E52A9A" w:rsidRPr="00D55628">
            <w:fldChar w:fldCharType="separate"/>
          </w:r>
          <w:r w:rsidR="00E52A9A">
            <w:t>2</w:t>
          </w:r>
          <w:r w:rsidR="00E52A9A" w:rsidRPr="00D55628">
            <w:fldChar w:fldCharType="end"/>
          </w:r>
        </w:p>
      </w:tc>
      <w:tc>
        <w:tcPr>
          <w:tcW w:w="9071" w:type="dxa"/>
        </w:tcPr>
        <w:p w14:paraId="51757DC0" w14:textId="2B8D6B79" w:rsidR="00E52A9A" w:rsidRDefault="00E52A9A" w:rsidP="00376EF3">
          <w:pPr>
            <w:pStyle w:val="FooterEven"/>
          </w:pPr>
          <w:fldSimple w:instr=" DOCPROPERTY  xFooterTitle  \* MERGEFORMAT ">
            <w:r>
              <w:t>Great Ocean Road Coast and Parks Environmental-Economic Account</w:t>
            </w:r>
          </w:fldSimple>
        </w:p>
        <w:p w14:paraId="2365FD34" w14:textId="7D8897D9" w:rsidR="00E52A9A" w:rsidRPr="00810C40" w:rsidRDefault="00E52A9A" w:rsidP="00376EF3">
          <w:pPr>
            <w:pStyle w:val="FooterEven"/>
          </w:pPr>
          <w:fldSimple w:instr=" DOCPROPERTY  xFooterSubtitle  \* MERGEFORMAT ">
            <w:r>
              <w:t>Technical Report</w:t>
            </w:r>
          </w:fldSimple>
        </w:p>
      </w:tc>
    </w:tr>
  </w:tbl>
  <w:p w14:paraId="5722E70D" w14:textId="77777777" w:rsidR="00E52A9A" w:rsidRDefault="00E52A9A" w:rsidP="00376EF3">
    <w:pPr>
      <w:pStyle w:val="FooterEven"/>
    </w:pPr>
  </w:p>
  <w:p w14:paraId="7106BFBA" w14:textId="77777777" w:rsidR="00E52A9A" w:rsidRDefault="00E52A9A">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206054FF" w14:textId="77777777" w:rsidTr="00666947">
      <w:trPr>
        <w:trHeight w:val="397"/>
      </w:trPr>
      <w:tc>
        <w:tcPr>
          <w:tcW w:w="9071" w:type="dxa"/>
        </w:tcPr>
        <w:p w14:paraId="5BA281EB" w14:textId="6398F483" w:rsidR="00E52A9A" w:rsidRDefault="00E52A9A" w:rsidP="00376EF3">
          <w:pPr>
            <w:pStyle w:val="FooterOdd"/>
          </w:pPr>
          <w:fldSimple w:instr=" DOCPROPERTY  xFooterTitle  \* MERGEFORMAT ">
            <w:r>
              <w:t>Great Ocean Road Coast and Parks Environmental-Economic Account</w:t>
            </w:r>
          </w:fldSimple>
        </w:p>
        <w:p w14:paraId="045EF542" w14:textId="753EFB6C" w:rsidR="00E52A9A" w:rsidRPr="00CB1FB7" w:rsidRDefault="00E52A9A" w:rsidP="00376EF3">
          <w:pPr>
            <w:pStyle w:val="FooterOdd"/>
            <w:rPr>
              <w:b/>
            </w:rPr>
          </w:pPr>
          <w:fldSimple w:instr=" DOCPROPERTY  xFooterSubtitle  \* MERGEFORMAT ">
            <w:r>
              <w:t>Technical Report</w:t>
            </w:r>
          </w:fldSimple>
        </w:p>
      </w:tc>
      <w:tc>
        <w:tcPr>
          <w:tcW w:w="340" w:type="dxa"/>
        </w:tcPr>
        <w:p w14:paraId="49F39322"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2AA985B7" w14:textId="77777777" w:rsidR="00E52A9A" w:rsidRDefault="00E52A9A">
    <w:pPr>
      <w:pStyle w:val="Footer"/>
    </w:pP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6FCCF2D0" w14:textId="77777777" w:rsidTr="00666947">
      <w:trPr>
        <w:trHeight w:val="397"/>
      </w:trPr>
      <w:tc>
        <w:tcPr>
          <w:tcW w:w="9071" w:type="dxa"/>
        </w:tcPr>
        <w:p w14:paraId="0AB3B3DC" w14:textId="6CD17824" w:rsidR="00E52A9A" w:rsidRDefault="00E52A9A" w:rsidP="00376EF3">
          <w:pPr>
            <w:pStyle w:val="FooterOdd"/>
          </w:pPr>
          <w:fldSimple w:instr=" DOCPROPERTY  xFooterTitle  \* MERGEFORMAT ">
            <w:r>
              <w:t>Great Ocean Road Coast and Parks Environmental-Economic Account</w:t>
            </w:r>
          </w:fldSimple>
        </w:p>
        <w:p w14:paraId="2B07A789" w14:textId="4A0182D5" w:rsidR="00E52A9A" w:rsidRPr="00CB1FB7" w:rsidRDefault="00E52A9A" w:rsidP="00376EF3">
          <w:pPr>
            <w:pStyle w:val="FooterOdd"/>
            <w:rPr>
              <w:b/>
            </w:rPr>
          </w:pPr>
          <w:fldSimple w:instr=" DOCPROPERTY  xFooterSubtitle  \* MERGEFORMAT ">
            <w:r>
              <w:t>Technical Report</w:t>
            </w:r>
          </w:fldSimple>
        </w:p>
      </w:tc>
      <w:tc>
        <w:tcPr>
          <w:tcW w:w="340" w:type="dxa"/>
        </w:tcPr>
        <w:p w14:paraId="5FB2F77A"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248BFA31" w14:textId="77777777" w:rsidR="00E52A9A" w:rsidRDefault="00E52A9A">
    <w:pPr>
      <w:pStyle w:val="Footer"/>
    </w:pP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1D39F7CE" w14:textId="77777777" w:rsidTr="00666947">
      <w:trPr>
        <w:trHeight w:val="397"/>
      </w:trPr>
      <w:tc>
        <w:tcPr>
          <w:tcW w:w="340" w:type="dxa"/>
        </w:tcPr>
        <w:p w14:paraId="257B1415"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7DBE38C0" w14:textId="2E45D60C" w:rsidR="00E52A9A" w:rsidRDefault="00E52A9A" w:rsidP="00376EF3">
          <w:pPr>
            <w:pStyle w:val="FooterEven"/>
          </w:pPr>
          <w:fldSimple w:instr=" DOCPROPERTY  xFooterTitle  \* MERGEFORMAT ">
            <w:r>
              <w:t>Great Ocean Road Coast and Parks Environmental-Economic Account</w:t>
            </w:r>
          </w:fldSimple>
        </w:p>
        <w:p w14:paraId="059416C3" w14:textId="28373D36" w:rsidR="00E52A9A" w:rsidRPr="00810C40" w:rsidRDefault="00E52A9A" w:rsidP="00376EF3">
          <w:pPr>
            <w:pStyle w:val="FooterEven"/>
          </w:pPr>
          <w:fldSimple w:instr=" DOCPROPERTY  xFooterSubtitle  \* MERGEFORMAT ">
            <w:r>
              <w:t>Technical Report</w:t>
            </w:r>
          </w:fldSimple>
        </w:p>
      </w:tc>
    </w:tr>
  </w:tbl>
  <w:p w14:paraId="53E45FD1" w14:textId="77777777" w:rsidR="00E52A9A" w:rsidRDefault="00E52A9A" w:rsidP="00376EF3">
    <w:pPr>
      <w:pStyle w:val="FooterEven"/>
    </w:pPr>
  </w:p>
  <w:p w14:paraId="7B3CC7CA" w14:textId="77777777" w:rsidR="00E52A9A" w:rsidRDefault="00E52A9A">
    <w:pPr>
      <w:pStyle w:val="Footer"/>
    </w:pP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37767BAA" w14:textId="77777777" w:rsidTr="00666947">
      <w:trPr>
        <w:trHeight w:val="397"/>
      </w:trPr>
      <w:tc>
        <w:tcPr>
          <w:tcW w:w="9071" w:type="dxa"/>
        </w:tcPr>
        <w:p w14:paraId="0F95AFCB" w14:textId="7A868760" w:rsidR="00E52A9A" w:rsidRDefault="00E52A9A" w:rsidP="00376EF3">
          <w:pPr>
            <w:pStyle w:val="FooterOdd"/>
          </w:pPr>
          <w:fldSimple w:instr=" DOCPROPERTY  xFooterTitle  \* MERGEFORMAT ">
            <w:r>
              <w:t>Great Ocean Road Coast and Parks Environmental-Economic Account</w:t>
            </w:r>
          </w:fldSimple>
        </w:p>
        <w:p w14:paraId="7C85B85D" w14:textId="3F3FB235" w:rsidR="00E52A9A" w:rsidRPr="00CB1FB7" w:rsidRDefault="00E52A9A" w:rsidP="00376EF3">
          <w:pPr>
            <w:pStyle w:val="FooterOdd"/>
            <w:rPr>
              <w:b/>
            </w:rPr>
          </w:pPr>
          <w:fldSimple w:instr=" DOCPROPERTY  xFooterSubtitle  \* MERGEFORMAT ">
            <w:r>
              <w:t>Technical Report</w:t>
            </w:r>
          </w:fldSimple>
        </w:p>
      </w:tc>
      <w:tc>
        <w:tcPr>
          <w:tcW w:w="340" w:type="dxa"/>
        </w:tcPr>
        <w:p w14:paraId="30FEBBC7"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5772EF57" w14:textId="77777777" w:rsidR="00E52A9A" w:rsidRDefault="00E52A9A">
    <w:pPr>
      <w:pStyle w:val="Footer"/>
    </w:pP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0585EEEA" w14:textId="77777777" w:rsidTr="00666947">
      <w:trPr>
        <w:trHeight w:val="397"/>
      </w:trPr>
      <w:tc>
        <w:tcPr>
          <w:tcW w:w="9071" w:type="dxa"/>
        </w:tcPr>
        <w:p w14:paraId="110E6C95" w14:textId="692B4E4A" w:rsidR="00E52A9A" w:rsidRDefault="00E52A9A" w:rsidP="00376EF3">
          <w:pPr>
            <w:pStyle w:val="FooterOdd"/>
          </w:pPr>
          <w:fldSimple w:instr=" DOCPROPERTY  xFooterTitle  \* MERGEFORMAT ">
            <w:r>
              <w:t>Great Ocean Road Coast and Parks Environmental-Economic Account</w:t>
            </w:r>
          </w:fldSimple>
        </w:p>
        <w:p w14:paraId="716840AE" w14:textId="42B14399" w:rsidR="00E52A9A" w:rsidRPr="00CB1FB7" w:rsidRDefault="00E52A9A" w:rsidP="00376EF3">
          <w:pPr>
            <w:pStyle w:val="FooterOdd"/>
            <w:rPr>
              <w:b/>
            </w:rPr>
          </w:pPr>
          <w:fldSimple w:instr=" DOCPROPERTY  xFooterSubtitle  \* MERGEFORMAT ">
            <w:r>
              <w:t>Technical Report</w:t>
            </w:r>
          </w:fldSimple>
        </w:p>
      </w:tc>
      <w:tc>
        <w:tcPr>
          <w:tcW w:w="340" w:type="dxa"/>
        </w:tcPr>
        <w:p w14:paraId="47864806"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7E2B4D96" w14:textId="77777777" w:rsidR="00E52A9A" w:rsidRDefault="00E52A9A">
    <w:pPr>
      <w:pStyle w:val="Footer"/>
    </w:pP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4B09D11B" w14:textId="77777777" w:rsidTr="00666947">
      <w:trPr>
        <w:trHeight w:val="397"/>
      </w:trPr>
      <w:tc>
        <w:tcPr>
          <w:tcW w:w="340" w:type="dxa"/>
        </w:tcPr>
        <w:p w14:paraId="48A11B3C"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679EACA1" w14:textId="0D598ABA" w:rsidR="00E52A9A" w:rsidRDefault="00E52A9A" w:rsidP="00376EF3">
          <w:pPr>
            <w:pStyle w:val="FooterEven"/>
          </w:pPr>
          <w:fldSimple w:instr=" DOCPROPERTY  xFooterTitle  \* MERGEFORMAT ">
            <w:r>
              <w:t>Great Ocean Road Coast and Parks Environmental-Economic Account</w:t>
            </w:r>
          </w:fldSimple>
        </w:p>
        <w:p w14:paraId="4D51828A" w14:textId="0A0FA792" w:rsidR="00E52A9A" w:rsidRPr="00810C40" w:rsidRDefault="00E52A9A" w:rsidP="00376EF3">
          <w:pPr>
            <w:pStyle w:val="FooterEven"/>
          </w:pPr>
          <w:fldSimple w:instr=" DOCPROPERTY  xFooterSubtitle  \* MERGEFORMAT ">
            <w:r>
              <w:t>Technical Report</w:t>
            </w:r>
          </w:fldSimple>
        </w:p>
      </w:tc>
    </w:tr>
  </w:tbl>
  <w:p w14:paraId="52A7E501" w14:textId="77777777" w:rsidR="00E52A9A" w:rsidRDefault="00E52A9A" w:rsidP="00376EF3">
    <w:pPr>
      <w:pStyle w:val="FooterEven"/>
    </w:pPr>
  </w:p>
  <w:p w14:paraId="0E093C4C" w14:textId="77777777" w:rsidR="00E52A9A" w:rsidRDefault="00E52A9A">
    <w:pPr>
      <w:pStyle w:val="Footer"/>
    </w:pP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5A3AE642" w14:textId="77777777" w:rsidTr="00666947">
      <w:trPr>
        <w:trHeight w:val="397"/>
      </w:trPr>
      <w:tc>
        <w:tcPr>
          <w:tcW w:w="9071" w:type="dxa"/>
        </w:tcPr>
        <w:p w14:paraId="3FE0BEB6" w14:textId="7A8234CE" w:rsidR="00E52A9A" w:rsidRDefault="00E52A9A" w:rsidP="00376EF3">
          <w:pPr>
            <w:pStyle w:val="FooterOdd"/>
          </w:pPr>
          <w:fldSimple w:instr=" DOCPROPERTY  xFooterTitle  \* MERGEFORMAT ">
            <w:r>
              <w:t>Great Ocean Road Coast and Parks Environmental-Economic Account</w:t>
            </w:r>
          </w:fldSimple>
        </w:p>
        <w:p w14:paraId="2C013039" w14:textId="1B29F7A0" w:rsidR="00E52A9A" w:rsidRPr="00CB1FB7" w:rsidRDefault="00E52A9A" w:rsidP="00376EF3">
          <w:pPr>
            <w:pStyle w:val="FooterOdd"/>
            <w:rPr>
              <w:b/>
            </w:rPr>
          </w:pPr>
          <w:fldSimple w:instr=" DOCPROPERTY  xFooterSubtitle  \* MERGEFORMAT ">
            <w:r>
              <w:t>Technical Report</w:t>
            </w:r>
          </w:fldSimple>
        </w:p>
      </w:tc>
      <w:tc>
        <w:tcPr>
          <w:tcW w:w="340" w:type="dxa"/>
        </w:tcPr>
        <w:p w14:paraId="44A3C7F5"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20A04D2B" w14:textId="77777777" w:rsidR="00E52A9A" w:rsidRDefault="00E52A9A">
    <w:pPr>
      <w:pStyle w:val="Footer"/>
    </w:pP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235BE467" w14:textId="77777777" w:rsidTr="00666947">
      <w:trPr>
        <w:trHeight w:val="397"/>
      </w:trPr>
      <w:tc>
        <w:tcPr>
          <w:tcW w:w="340" w:type="dxa"/>
        </w:tcPr>
        <w:p w14:paraId="340D6DB2"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023624D4" w14:textId="787027E8" w:rsidR="00E52A9A" w:rsidRDefault="00E52A9A" w:rsidP="00376EF3">
          <w:pPr>
            <w:pStyle w:val="FooterEven"/>
          </w:pPr>
          <w:fldSimple w:instr=" DOCPROPERTY  xFooterTitle  \* MERGEFORMAT ">
            <w:r>
              <w:t>Great Ocean Road Coast and Parks Environmental-Economic Account</w:t>
            </w:r>
          </w:fldSimple>
        </w:p>
        <w:p w14:paraId="722F805A" w14:textId="09CFA9C3" w:rsidR="00E52A9A" w:rsidRPr="00810C40" w:rsidRDefault="00E52A9A" w:rsidP="00376EF3">
          <w:pPr>
            <w:pStyle w:val="FooterEven"/>
          </w:pPr>
          <w:fldSimple w:instr=" DOCPROPERTY  xFooterSubtitle  \* MERGEFORMAT ">
            <w:r>
              <w:t>Technical Report</w:t>
            </w:r>
          </w:fldSimple>
        </w:p>
      </w:tc>
    </w:tr>
  </w:tbl>
  <w:p w14:paraId="1755F699" w14:textId="77777777" w:rsidR="00E52A9A" w:rsidRDefault="00E52A9A" w:rsidP="00376EF3">
    <w:pPr>
      <w:pStyle w:val="FooterEven"/>
    </w:pPr>
  </w:p>
  <w:p w14:paraId="57E20161" w14:textId="77777777" w:rsidR="00E52A9A" w:rsidRDefault="00E52A9A">
    <w:pPr>
      <w:pStyle w:val="Footer"/>
    </w:pPr>
  </w:p>
  <w:p w14:paraId="1407A05A" w14:textId="5887D82E" w:rsidR="00B55451" w:rsidRPr="00E52A9A" w:rsidRDefault="00B55451" w:rsidP="00E52A9A">
    <w:pPr>
      <w:pStyle w:val="Footer"/>
    </w:pPr>
  </w:p>
  <w:p w14:paraId="274ECF27" w14:textId="77777777" w:rsidR="00D739D7" w:rsidRDefault="00D739D7"/>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3FF9475C" w14:textId="77777777" w:rsidTr="00666947">
      <w:trPr>
        <w:trHeight w:val="397"/>
      </w:trPr>
      <w:tc>
        <w:tcPr>
          <w:tcW w:w="340" w:type="dxa"/>
        </w:tcPr>
        <w:p w14:paraId="23B4F1FE"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6FB475FC" w14:textId="11DABA87" w:rsidR="00E52A9A" w:rsidRDefault="00E52A9A" w:rsidP="00376EF3">
          <w:pPr>
            <w:pStyle w:val="FooterEven"/>
          </w:pPr>
          <w:fldSimple w:instr=" DOCPROPERTY  xFooterTitle  \* MERGEFORMAT ">
            <w:r>
              <w:t>Great Ocean Road Coast and Parks Environmental-Economic Account</w:t>
            </w:r>
          </w:fldSimple>
        </w:p>
        <w:p w14:paraId="791F4725" w14:textId="1EC9E7E1" w:rsidR="00E52A9A" w:rsidRPr="00810C40" w:rsidRDefault="00E52A9A" w:rsidP="00376EF3">
          <w:pPr>
            <w:pStyle w:val="FooterEven"/>
          </w:pPr>
          <w:fldSimple w:instr=" DOCPROPERTY  xFooterSubtitle  \* MERGEFORMAT ">
            <w:r>
              <w:t>Technical Report</w:t>
            </w:r>
          </w:fldSimple>
        </w:p>
      </w:tc>
    </w:tr>
  </w:tbl>
  <w:p w14:paraId="59336412" w14:textId="77777777" w:rsidR="00E52A9A" w:rsidRDefault="00E52A9A" w:rsidP="00376EF3">
    <w:pPr>
      <w:pStyle w:val="FooterEven"/>
    </w:pPr>
  </w:p>
  <w:p w14:paraId="2392E39A" w14:textId="77777777" w:rsidR="00E52A9A" w:rsidRDefault="00E52A9A">
    <w:pPr>
      <w:pStyle w:val="Footer"/>
    </w:pP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3D156B7B" w14:textId="77777777" w:rsidTr="00666947">
      <w:trPr>
        <w:trHeight w:val="397"/>
      </w:trPr>
      <w:tc>
        <w:tcPr>
          <w:tcW w:w="9071" w:type="dxa"/>
        </w:tcPr>
        <w:p w14:paraId="3BD2B132" w14:textId="56A1D713" w:rsidR="00E52A9A" w:rsidRDefault="00E52A9A" w:rsidP="00376EF3">
          <w:pPr>
            <w:pStyle w:val="FooterOdd"/>
          </w:pPr>
          <w:fldSimple w:instr=" DOCPROPERTY  xFooterTitle  \* MERGEFORMAT ">
            <w:r>
              <w:t>Great Ocean Road Coast and Parks Environmental-Economic Account</w:t>
            </w:r>
          </w:fldSimple>
        </w:p>
        <w:p w14:paraId="1CE498CB" w14:textId="2E664013" w:rsidR="00E52A9A" w:rsidRPr="00CB1FB7" w:rsidRDefault="00E52A9A" w:rsidP="00376EF3">
          <w:pPr>
            <w:pStyle w:val="FooterOdd"/>
            <w:rPr>
              <w:b/>
            </w:rPr>
          </w:pPr>
          <w:fldSimple w:instr=" DOCPROPERTY  xFooterSubtitle  \* MERGEFORMAT ">
            <w:r>
              <w:t>Technical Report</w:t>
            </w:r>
          </w:fldSimple>
        </w:p>
      </w:tc>
      <w:tc>
        <w:tcPr>
          <w:tcW w:w="340" w:type="dxa"/>
        </w:tcPr>
        <w:p w14:paraId="08C65E1E"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79C92B91" w14:textId="77777777" w:rsidR="00E52A9A" w:rsidRDefault="00E52A9A">
    <w:pPr>
      <w:pStyle w:val="Footer"/>
    </w:pP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74745AEC" w14:textId="77777777" w:rsidTr="00666947">
      <w:trPr>
        <w:trHeight w:val="397"/>
      </w:trPr>
      <w:tc>
        <w:tcPr>
          <w:tcW w:w="340" w:type="dxa"/>
        </w:tcPr>
        <w:p w14:paraId="535B0919"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6678E650" w14:textId="6A638257" w:rsidR="00E52A9A" w:rsidRDefault="00E52A9A" w:rsidP="00376EF3">
          <w:pPr>
            <w:pStyle w:val="FooterEven"/>
          </w:pPr>
          <w:fldSimple w:instr=" DOCPROPERTY  xFooterTitle  \* MERGEFORMAT ">
            <w:r>
              <w:t>Great Ocean Road Coast and Parks Environmental-Economic Account</w:t>
            </w:r>
          </w:fldSimple>
        </w:p>
        <w:p w14:paraId="472869EC" w14:textId="48F92896" w:rsidR="00E52A9A" w:rsidRPr="00810C40" w:rsidRDefault="00E52A9A" w:rsidP="00376EF3">
          <w:pPr>
            <w:pStyle w:val="FooterEven"/>
          </w:pPr>
          <w:fldSimple w:instr=" DOCPROPERTY  xFooterSubtitle  \* MERGEFORMAT ">
            <w:r>
              <w:t>Technical Report</w:t>
            </w:r>
          </w:fldSimple>
        </w:p>
      </w:tc>
    </w:tr>
  </w:tbl>
  <w:p w14:paraId="2ED107EC" w14:textId="77777777" w:rsidR="00E52A9A" w:rsidRDefault="00E52A9A" w:rsidP="00376EF3">
    <w:pPr>
      <w:pStyle w:val="FooterEven"/>
    </w:pPr>
  </w:p>
  <w:p w14:paraId="2429A9B3" w14:textId="77777777" w:rsidR="00E52A9A" w:rsidRDefault="00E52A9A">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533823F8" w14:textId="77777777" w:rsidTr="00666947">
      <w:trPr>
        <w:trHeight w:val="397"/>
      </w:trPr>
      <w:tc>
        <w:tcPr>
          <w:tcW w:w="340" w:type="dxa"/>
        </w:tcPr>
        <w:p w14:paraId="2E2741C8"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331359FE" w14:textId="3C81106A" w:rsidR="00E52A9A" w:rsidRDefault="00E52A9A" w:rsidP="00376EF3">
          <w:pPr>
            <w:pStyle w:val="FooterEven"/>
          </w:pPr>
          <w:fldSimple w:instr=" DOCPROPERTY  xFooterTitle  \* MERGEFORMAT ">
            <w:r>
              <w:t>Great Ocean Road Coast and Parks Environmental-Economic Account</w:t>
            </w:r>
          </w:fldSimple>
        </w:p>
        <w:p w14:paraId="087031EE" w14:textId="722DA8C9" w:rsidR="00E52A9A" w:rsidRPr="00810C40" w:rsidRDefault="00E52A9A" w:rsidP="00376EF3">
          <w:pPr>
            <w:pStyle w:val="FooterEven"/>
          </w:pPr>
          <w:fldSimple w:instr=" DOCPROPERTY  xFooterSubtitle  \* MERGEFORMAT ">
            <w:r>
              <w:t>Technical Report</w:t>
            </w:r>
          </w:fldSimple>
        </w:p>
      </w:tc>
    </w:tr>
  </w:tbl>
  <w:p w14:paraId="2BC8B6E3" w14:textId="77777777" w:rsidR="00E52A9A" w:rsidRDefault="00E52A9A" w:rsidP="00376EF3">
    <w:pPr>
      <w:pStyle w:val="FooterEven"/>
    </w:pPr>
  </w:p>
  <w:p w14:paraId="4E1CFB7B" w14:textId="77777777" w:rsidR="00E52A9A" w:rsidRDefault="00E52A9A">
    <w:pPr>
      <w:pStyle w:val="Footer"/>
    </w:pPr>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5ABB625B" w14:textId="77777777" w:rsidTr="00666947">
      <w:trPr>
        <w:trHeight w:val="397"/>
      </w:trPr>
      <w:tc>
        <w:tcPr>
          <w:tcW w:w="9071" w:type="dxa"/>
        </w:tcPr>
        <w:p w14:paraId="24EA2B6A" w14:textId="33505403" w:rsidR="00E52A9A" w:rsidRDefault="00E52A9A" w:rsidP="00376EF3">
          <w:pPr>
            <w:pStyle w:val="FooterOdd"/>
          </w:pPr>
          <w:fldSimple w:instr=" DOCPROPERTY  xFooterTitle  \* MERGEFORMAT ">
            <w:r>
              <w:t>Great Ocean Road Coast and Parks Environmental-Economic Account</w:t>
            </w:r>
          </w:fldSimple>
        </w:p>
        <w:p w14:paraId="46904F49" w14:textId="2BD63279" w:rsidR="00E52A9A" w:rsidRPr="00CB1FB7" w:rsidRDefault="00E52A9A" w:rsidP="00376EF3">
          <w:pPr>
            <w:pStyle w:val="FooterOdd"/>
            <w:rPr>
              <w:b/>
            </w:rPr>
          </w:pPr>
          <w:fldSimple w:instr=" DOCPROPERTY  xFooterSubtitle  \* MERGEFORMAT ">
            <w:r>
              <w:t>Technical Report</w:t>
            </w:r>
          </w:fldSimple>
        </w:p>
      </w:tc>
      <w:tc>
        <w:tcPr>
          <w:tcW w:w="340" w:type="dxa"/>
        </w:tcPr>
        <w:p w14:paraId="293E6BD4"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61B91BB1" w14:textId="77777777" w:rsidR="00E52A9A" w:rsidRDefault="00E52A9A">
    <w:pPr>
      <w:pStyle w:val="Footer"/>
    </w:pPr>
  </w:p>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2DA1CDA9" w14:textId="77777777" w:rsidTr="00666947">
      <w:trPr>
        <w:trHeight w:val="397"/>
      </w:trPr>
      <w:tc>
        <w:tcPr>
          <w:tcW w:w="340" w:type="dxa"/>
        </w:tcPr>
        <w:p w14:paraId="51C8B07E"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1B27C5FD" w14:textId="20F3CCDC" w:rsidR="00E52A9A" w:rsidRDefault="00E52A9A" w:rsidP="00376EF3">
          <w:pPr>
            <w:pStyle w:val="FooterEven"/>
          </w:pPr>
          <w:fldSimple w:instr=" DOCPROPERTY  xFooterTitle  \* MERGEFORMAT ">
            <w:r>
              <w:t>Great Ocean Road Coast and Parks Environmental-Economic Account</w:t>
            </w:r>
          </w:fldSimple>
        </w:p>
        <w:p w14:paraId="5FE34A2F" w14:textId="5469D6B9" w:rsidR="00E52A9A" w:rsidRPr="00810C40" w:rsidRDefault="00E52A9A" w:rsidP="00376EF3">
          <w:pPr>
            <w:pStyle w:val="FooterEven"/>
          </w:pPr>
          <w:fldSimple w:instr=" DOCPROPERTY  xFooterSubtitle  \* MERGEFORMAT ">
            <w:r>
              <w:t>Technical Report</w:t>
            </w:r>
          </w:fldSimple>
        </w:p>
      </w:tc>
    </w:tr>
  </w:tbl>
  <w:p w14:paraId="335B850B" w14:textId="77777777" w:rsidR="00E52A9A" w:rsidRDefault="00E52A9A" w:rsidP="00376EF3">
    <w:pPr>
      <w:pStyle w:val="FooterEven"/>
    </w:pPr>
  </w:p>
  <w:p w14:paraId="590BB6C2" w14:textId="77777777" w:rsidR="00E52A9A" w:rsidRDefault="00E52A9A">
    <w:pPr>
      <w:pStyle w:val="Footer"/>
    </w:pPr>
  </w:p>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32C0EBA7" w14:textId="77777777" w:rsidTr="00666947">
      <w:trPr>
        <w:trHeight w:val="397"/>
      </w:trPr>
      <w:tc>
        <w:tcPr>
          <w:tcW w:w="9071" w:type="dxa"/>
        </w:tcPr>
        <w:p w14:paraId="182AA37A" w14:textId="412C8824" w:rsidR="00E52A9A" w:rsidRDefault="00E52A9A" w:rsidP="00376EF3">
          <w:pPr>
            <w:pStyle w:val="FooterOdd"/>
          </w:pPr>
          <w:fldSimple w:instr=" DOCPROPERTY  xFooterTitle  \* MERGEFORMAT ">
            <w:r>
              <w:t>Great Ocean Road Coast and Parks Environmental-Economic Account</w:t>
            </w:r>
          </w:fldSimple>
        </w:p>
        <w:p w14:paraId="36CE2B87" w14:textId="2A60772D" w:rsidR="00E52A9A" w:rsidRPr="00CB1FB7" w:rsidRDefault="00E52A9A" w:rsidP="00376EF3">
          <w:pPr>
            <w:pStyle w:val="FooterOdd"/>
            <w:rPr>
              <w:b/>
            </w:rPr>
          </w:pPr>
          <w:fldSimple w:instr=" DOCPROPERTY  xFooterSubtitle  \* MERGEFORMAT ">
            <w:r>
              <w:t>Technical Report</w:t>
            </w:r>
          </w:fldSimple>
        </w:p>
      </w:tc>
      <w:tc>
        <w:tcPr>
          <w:tcW w:w="340" w:type="dxa"/>
        </w:tcPr>
        <w:p w14:paraId="1E68BA54"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2E1D35EB" w14:textId="77777777" w:rsidR="00E52A9A" w:rsidRDefault="00E52A9A">
    <w:pPr>
      <w:pStyle w:val="Footer"/>
    </w:pPr>
  </w:p>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549643" w14:textId="77777777" w:rsidR="00B55451" w:rsidRPr="00E52A9A" w:rsidRDefault="00B55451" w:rsidP="00E52A9A">
    <w:pPr>
      <w:pStyle w:val="Footer"/>
    </w:pPr>
  </w:p>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7F113BF7" w14:textId="77777777" w:rsidTr="00666947">
      <w:trPr>
        <w:trHeight w:val="397"/>
      </w:trPr>
      <w:tc>
        <w:tcPr>
          <w:tcW w:w="340" w:type="dxa"/>
        </w:tcPr>
        <w:p w14:paraId="1E44F274"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56161425" w14:textId="64AD6FB6" w:rsidR="00E52A9A" w:rsidRDefault="00E52A9A" w:rsidP="00376EF3">
          <w:pPr>
            <w:pStyle w:val="FooterEven"/>
          </w:pPr>
          <w:fldSimple w:instr=" DOCPROPERTY  xFooterTitle  \* MERGEFORMAT ">
            <w:r>
              <w:t>Great Ocean Road Coast and Parks Environmental-Economic Account</w:t>
            </w:r>
          </w:fldSimple>
        </w:p>
        <w:p w14:paraId="280FBEA3" w14:textId="5624AB2C" w:rsidR="00E52A9A" w:rsidRPr="00810C40" w:rsidRDefault="00E52A9A" w:rsidP="00376EF3">
          <w:pPr>
            <w:pStyle w:val="FooterEven"/>
          </w:pPr>
          <w:fldSimple w:instr=" DOCPROPERTY  xFooterSubtitle  \* MERGEFORMAT ">
            <w:r>
              <w:t>Technical Report</w:t>
            </w:r>
          </w:fldSimple>
        </w:p>
      </w:tc>
    </w:tr>
  </w:tbl>
  <w:p w14:paraId="5336813E" w14:textId="77777777" w:rsidR="00E52A9A" w:rsidRDefault="00E52A9A" w:rsidP="00376EF3">
    <w:pPr>
      <w:pStyle w:val="FooterEven"/>
    </w:pPr>
  </w:p>
  <w:p w14:paraId="6D0913F1" w14:textId="77777777" w:rsidR="00E52A9A" w:rsidRDefault="00E52A9A">
    <w:pPr>
      <w:pStyle w:val="Footer"/>
    </w:pPr>
  </w:p>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181FF2D4" w14:textId="77777777" w:rsidTr="00666947">
      <w:trPr>
        <w:trHeight w:val="397"/>
      </w:trPr>
      <w:tc>
        <w:tcPr>
          <w:tcW w:w="9071" w:type="dxa"/>
        </w:tcPr>
        <w:p w14:paraId="5B5BB6EC" w14:textId="6CA9F76A" w:rsidR="00E52A9A" w:rsidRDefault="00E52A9A" w:rsidP="00376EF3">
          <w:pPr>
            <w:pStyle w:val="FooterOdd"/>
          </w:pPr>
          <w:fldSimple w:instr=" DOCPROPERTY  xFooterTitle  \* MERGEFORMAT ">
            <w:r>
              <w:t>Great Ocean Road Coast and Parks Environmental-Economic Account</w:t>
            </w:r>
          </w:fldSimple>
        </w:p>
        <w:p w14:paraId="68855951" w14:textId="52C9AED5" w:rsidR="00E52A9A" w:rsidRPr="00CB1FB7" w:rsidRDefault="00E52A9A" w:rsidP="00376EF3">
          <w:pPr>
            <w:pStyle w:val="FooterOdd"/>
            <w:rPr>
              <w:b/>
            </w:rPr>
          </w:pPr>
          <w:fldSimple w:instr=" DOCPROPERTY  xFooterSubtitle  \* MERGEFORMAT ">
            <w:r>
              <w:t>Technical Report</w:t>
            </w:r>
          </w:fldSimple>
        </w:p>
      </w:tc>
      <w:tc>
        <w:tcPr>
          <w:tcW w:w="340" w:type="dxa"/>
        </w:tcPr>
        <w:p w14:paraId="5EC0739B"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1CB3699D" w14:textId="77777777" w:rsidR="00E52A9A" w:rsidRDefault="00E52A9A">
    <w:pPr>
      <w:pStyle w:val="Footer"/>
    </w:pPr>
  </w:p>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071D789E" w14:textId="77777777" w:rsidTr="00666947">
      <w:trPr>
        <w:trHeight w:val="397"/>
      </w:trPr>
      <w:tc>
        <w:tcPr>
          <w:tcW w:w="340" w:type="dxa"/>
        </w:tcPr>
        <w:p w14:paraId="6DA22831"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00ECE2C8" w14:textId="7148D3BD" w:rsidR="00E52A9A" w:rsidRDefault="00E52A9A" w:rsidP="00376EF3">
          <w:pPr>
            <w:pStyle w:val="FooterEven"/>
          </w:pPr>
          <w:fldSimple w:instr=" DOCPROPERTY  xFooterTitle  \* MERGEFORMAT ">
            <w:r>
              <w:t>Great Ocean Road Coast and Parks Environmental-Economic Account</w:t>
            </w:r>
          </w:fldSimple>
        </w:p>
        <w:p w14:paraId="1AC4B341" w14:textId="3B57A761" w:rsidR="00E52A9A" w:rsidRPr="00810C40" w:rsidRDefault="00E52A9A" w:rsidP="00376EF3">
          <w:pPr>
            <w:pStyle w:val="FooterEven"/>
          </w:pPr>
          <w:fldSimple w:instr=" DOCPROPERTY  xFooterSubtitle  \* MERGEFORMAT ">
            <w:r>
              <w:t>Technical Report</w:t>
            </w:r>
          </w:fldSimple>
        </w:p>
      </w:tc>
    </w:tr>
  </w:tbl>
  <w:p w14:paraId="10A906A0" w14:textId="77777777" w:rsidR="00E52A9A" w:rsidRDefault="00E52A9A" w:rsidP="00376EF3">
    <w:pPr>
      <w:pStyle w:val="FooterEven"/>
    </w:pPr>
  </w:p>
  <w:p w14:paraId="3F6FF351" w14:textId="77777777" w:rsidR="00E52A9A" w:rsidRDefault="00E52A9A">
    <w:pPr>
      <w:pStyle w:val="Footer"/>
    </w:pPr>
  </w:p>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760F863F" w14:textId="77777777" w:rsidTr="00666947">
      <w:trPr>
        <w:trHeight w:val="397"/>
      </w:trPr>
      <w:tc>
        <w:tcPr>
          <w:tcW w:w="9071" w:type="dxa"/>
        </w:tcPr>
        <w:p w14:paraId="652ED5C2" w14:textId="2EA8BCB4" w:rsidR="00E52A9A" w:rsidRDefault="00E52A9A" w:rsidP="00376EF3">
          <w:pPr>
            <w:pStyle w:val="FooterOdd"/>
          </w:pPr>
          <w:fldSimple w:instr=" DOCPROPERTY  xFooterTitle  \* MERGEFORMAT ">
            <w:r>
              <w:t>Great Ocean Road Coast and Parks Environmental-Economic Account</w:t>
            </w:r>
          </w:fldSimple>
        </w:p>
        <w:p w14:paraId="50CB64C4" w14:textId="5A6EF462" w:rsidR="00E52A9A" w:rsidRPr="00CB1FB7" w:rsidRDefault="00E52A9A" w:rsidP="00376EF3">
          <w:pPr>
            <w:pStyle w:val="FooterOdd"/>
            <w:rPr>
              <w:b/>
            </w:rPr>
          </w:pPr>
          <w:fldSimple w:instr=" DOCPROPERTY  xFooterSubtitle  \* MERGEFORMAT ">
            <w:r>
              <w:t>Technical Report</w:t>
            </w:r>
          </w:fldSimple>
        </w:p>
      </w:tc>
      <w:tc>
        <w:tcPr>
          <w:tcW w:w="340" w:type="dxa"/>
        </w:tcPr>
        <w:p w14:paraId="25E5A59F"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4C9E15A6" w14:textId="77777777" w:rsidR="00E52A9A" w:rsidRDefault="00E52A9A">
    <w:pPr>
      <w:pStyle w:val="Footer"/>
    </w:pPr>
  </w:p>
</w:ftr>
</file>

<file path=word/footer1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2C872BB0" w14:textId="77777777" w:rsidTr="00666947">
      <w:trPr>
        <w:trHeight w:val="397"/>
      </w:trPr>
      <w:tc>
        <w:tcPr>
          <w:tcW w:w="340" w:type="dxa"/>
        </w:tcPr>
        <w:p w14:paraId="48537A2D"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4582EAC9" w14:textId="1107AA39" w:rsidR="00E52A9A" w:rsidRDefault="00E52A9A" w:rsidP="00376EF3">
          <w:pPr>
            <w:pStyle w:val="FooterEven"/>
          </w:pPr>
          <w:fldSimple w:instr=" DOCPROPERTY  xFooterTitle  \* MERGEFORMAT ">
            <w:r>
              <w:t>Great Ocean Road Coast and Parks Environmental-Economic Account</w:t>
            </w:r>
          </w:fldSimple>
        </w:p>
        <w:p w14:paraId="4A760413" w14:textId="79B07846" w:rsidR="00E52A9A" w:rsidRPr="00810C40" w:rsidRDefault="00E52A9A" w:rsidP="00376EF3">
          <w:pPr>
            <w:pStyle w:val="FooterEven"/>
          </w:pPr>
          <w:fldSimple w:instr=" DOCPROPERTY  xFooterSubtitle  \* MERGEFORMAT ">
            <w:r>
              <w:t>Technical Report</w:t>
            </w:r>
          </w:fldSimple>
        </w:p>
      </w:tc>
    </w:tr>
  </w:tbl>
  <w:p w14:paraId="58A3D029" w14:textId="77777777" w:rsidR="00E52A9A" w:rsidRDefault="00E52A9A" w:rsidP="00376EF3">
    <w:pPr>
      <w:pStyle w:val="FooterEven"/>
    </w:pPr>
  </w:p>
  <w:p w14:paraId="1F758AD7" w14:textId="77777777" w:rsidR="00E52A9A" w:rsidRDefault="00E52A9A">
    <w:pPr>
      <w:pStyle w:val="Footer"/>
    </w:pPr>
  </w:p>
</w:ftr>
</file>

<file path=word/footer1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3F582C5A" w14:textId="77777777" w:rsidTr="00666947">
      <w:trPr>
        <w:trHeight w:val="397"/>
      </w:trPr>
      <w:tc>
        <w:tcPr>
          <w:tcW w:w="9071" w:type="dxa"/>
        </w:tcPr>
        <w:p w14:paraId="3532A4B8" w14:textId="522CD50D" w:rsidR="00E52A9A" w:rsidRDefault="00E52A9A" w:rsidP="00376EF3">
          <w:pPr>
            <w:pStyle w:val="FooterOdd"/>
          </w:pPr>
          <w:fldSimple w:instr=" DOCPROPERTY  xFooterTitle  \* MERGEFORMAT ">
            <w:r>
              <w:t>Great Ocean Road Coast and Parks Environmental-Economic Account</w:t>
            </w:r>
          </w:fldSimple>
        </w:p>
        <w:p w14:paraId="72E5E495" w14:textId="2CC2CD87" w:rsidR="00E52A9A" w:rsidRPr="00CB1FB7" w:rsidRDefault="00E52A9A" w:rsidP="00376EF3">
          <w:pPr>
            <w:pStyle w:val="FooterOdd"/>
            <w:rPr>
              <w:b/>
            </w:rPr>
          </w:pPr>
          <w:fldSimple w:instr=" DOCPROPERTY  xFooterSubtitle  \* MERGEFORMAT ">
            <w:r>
              <w:t>Technical Report</w:t>
            </w:r>
          </w:fldSimple>
        </w:p>
      </w:tc>
      <w:tc>
        <w:tcPr>
          <w:tcW w:w="340" w:type="dxa"/>
        </w:tcPr>
        <w:p w14:paraId="787F1BBD"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34AA5AED" w14:textId="77777777" w:rsidR="00E52A9A" w:rsidRDefault="00E52A9A">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03C8294C" w14:textId="77777777" w:rsidTr="00666947">
      <w:trPr>
        <w:trHeight w:val="397"/>
      </w:trPr>
      <w:tc>
        <w:tcPr>
          <w:tcW w:w="9071" w:type="dxa"/>
        </w:tcPr>
        <w:p w14:paraId="0B417B5F" w14:textId="46897348" w:rsidR="00E52A9A" w:rsidRDefault="00E52A9A" w:rsidP="00376EF3">
          <w:pPr>
            <w:pStyle w:val="FooterOdd"/>
          </w:pPr>
          <w:fldSimple w:instr=" DOCPROPERTY  xFooterTitle  \* MERGEFORMAT ">
            <w:r>
              <w:t>Great Ocean Road Coast and Parks Environmental-Economic Account</w:t>
            </w:r>
          </w:fldSimple>
        </w:p>
        <w:p w14:paraId="6A26B1A4" w14:textId="1EA8007B" w:rsidR="00E52A9A" w:rsidRPr="00CB1FB7" w:rsidRDefault="00E52A9A" w:rsidP="00376EF3">
          <w:pPr>
            <w:pStyle w:val="FooterOdd"/>
            <w:rPr>
              <w:b/>
            </w:rPr>
          </w:pPr>
          <w:fldSimple w:instr=" DOCPROPERTY  xFooterSubtitle  \* MERGEFORMAT ">
            <w:r>
              <w:t>Technical Report</w:t>
            </w:r>
          </w:fldSimple>
        </w:p>
      </w:tc>
      <w:tc>
        <w:tcPr>
          <w:tcW w:w="340" w:type="dxa"/>
        </w:tcPr>
        <w:p w14:paraId="6979E161"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30E50108" w14:textId="77777777" w:rsidR="00E52A9A" w:rsidRDefault="00E52A9A">
    <w:pPr>
      <w:pStyle w:val="Footer"/>
    </w:pPr>
  </w:p>
</w:ftr>
</file>

<file path=word/footer1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4BAFD1F1" w14:textId="77777777" w:rsidTr="00666947">
      <w:trPr>
        <w:trHeight w:val="397"/>
      </w:trPr>
      <w:tc>
        <w:tcPr>
          <w:tcW w:w="340" w:type="dxa"/>
        </w:tcPr>
        <w:p w14:paraId="1E7B0E41"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71DEA07D" w14:textId="5955F3BB" w:rsidR="00E52A9A" w:rsidRDefault="00E52A9A" w:rsidP="00376EF3">
          <w:pPr>
            <w:pStyle w:val="FooterEven"/>
          </w:pPr>
          <w:fldSimple w:instr=" DOCPROPERTY  xFooterTitle  \* MERGEFORMAT ">
            <w:r>
              <w:t>Great Ocean Road Coast and Parks Environmental-Economic Account</w:t>
            </w:r>
          </w:fldSimple>
        </w:p>
        <w:p w14:paraId="04BFC331" w14:textId="7272EF68" w:rsidR="00E52A9A" w:rsidRPr="00810C40" w:rsidRDefault="00E52A9A" w:rsidP="00376EF3">
          <w:pPr>
            <w:pStyle w:val="FooterEven"/>
          </w:pPr>
          <w:fldSimple w:instr=" DOCPROPERTY  xFooterSubtitle  \* MERGEFORMAT ">
            <w:r>
              <w:t>Technical Report</w:t>
            </w:r>
          </w:fldSimple>
        </w:p>
      </w:tc>
    </w:tr>
  </w:tbl>
  <w:p w14:paraId="3315EBA9" w14:textId="77777777" w:rsidR="00E52A9A" w:rsidRDefault="00E52A9A" w:rsidP="00376EF3">
    <w:pPr>
      <w:pStyle w:val="FooterEven"/>
    </w:pPr>
  </w:p>
  <w:p w14:paraId="6AFE7574" w14:textId="77777777" w:rsidR="00E52A9A" w:rsidRDefault="00E52A9A">
    <w:pPr>
      <w:pStyle w:val="Footer"/>
    </w:pPr>
  </w:p>
</w:ftr>
</file>

<file path=word/footer1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4E1E7157" w14:textId="77777777" w:rsidTr="00666947">
      <w:trPr>
        <w:trHeight w:val="397"/>
      </w:trPr>
      <w:tc>
        <w:tcPr>
          <w:tcW w:w="9071" w:type="dxa"/>
        </w:tcPr>
        <w:p w14:paraId="457DEBC7" w14:textId="5CF478FE" w:rsidR="00E52A9A" w:rsidRDefault="00E52A9A" w:rsidP="00376EF3">
          <w:pPr>
            <w:pStyle w:val="FooterOdd"/>
          </w:pPr>
          <w:fldSimple w:instr=" DOCPROPERTY  xFooterTitle  \* MERGEFORMAT ">
            <w:r>
              <w:t>Great Ocean Road Coast and Parks Environmental-Economic Account</w:t>
            </w:r>
          </w:fldSimple>
        </w:p>
        <w:p w14:paraId="0ACB1434" w14:textId="10656FB4" w:rsidR="00E52A9A" w:rsidRPr="00CB1FB7" w:rsidRDefault="00E52A9A" w:rsidP="00376EF3">
          <w:pPr>
            <w:pStyle w:val="FooterOdd"/>
            <w:rPr>
              <w:b/>
            </w:rPr>
          </w:pPr>
          <w:fldSimple w:instr=" DOCPROPERTY  xFooterSubtitle  \* MERGEFORMAT ">
            <w:r>
              <w:t>Technical Report</w:t>
            </w:r>
          </w:fldSimple>
        </w:p>
      </w:tc>
      <w:tc>
        <w:tcPr>
          <w:tcW w:w="340" w:type="dxa"/>
        </w:tcPr>
        <w:p w14:paraId="2BD2B960"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00EEEBCE" w14:textId="77777777" w:rsidR="00E52A9A" w:rsidRDefault="00E52A9A">
    <w:pPr>
      <w:pStyle w:val="Footer"/>
    </w:pPr>
  </w:p>
</w:ftr>
</file>

<file path=word/footer1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78662F5A" w14:textId="77777777" w:rsidTr="00666947">
      <w:trPr>
        <w:trHeight w:val="397"/>
      </w:trPr>
      <w:tc>
        <w:tcPr>
          <w:tcW w:w="340" w:type="dxa"/>
        </w:tcPr>
        <w:p w14:paraId="3B9C0361"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6B3A81DE" w14:textId="211C14C9" w:rsidR="00E52A9A" w:rsidRDefault="00E52A9A" w:rsidP="00376EF3">
          <w:pPr>
            <w:pStyle w:val="FooterEven"/>
          </w:pPr>
          <w:fldSimple w:instr=" DOCPROPERTY  xFooterTitle  \* MERGEFORMAT ">
            <w:r>
              <w:t>Great Ocean Road Coast and Parks Environmental-Economic Account</w:t>
            </w:r>
          </w:fldSimple>
        </w:p>
        <w:p w14:paraId="3E95157D" w14:textId="7BD4CA5B" w:rsidR="00E52A9A" w:rsidRPr="00810C40" w:rsidRDefault="00E52A9A" w:rsidP="00376EF3">
          <w:pPr>
            <w:pStyle w:val="FooterEven"/>
          </w:pPr>
          <w:fldSimple w:instr=" DOCPROPERTY  xFooterSubtitle  \* MERGEFORMAT ">
            <w:r>
              <w:t>Technical Report</w:t>
            </w:r>
          </w:fldSimple>
        </w:p>
      </w:tc>
    </w:tr>
  </w:tbl>
  <w:p w14:paraId="033392D3" w14:textId="77777777" w:rsidR="00E52A9A" w:rsidRDefault="00E52A9A" w:rsidP="00376EF3">
    <w:pPr>
      <w:pStyle w:val="FooterEven"/>
    </w:pPr>
  </w:p>
  <w:p w14:paraId="6C945755" w14:textId="77777777" w:rsidR="00E52A9A" w:rsidRDefault="00E52A9A">
    <w:pPr>
      <w:pStyle w:val="Footer"/>
    </w:pPr>
  </w:p>
</w:ftr>
</file>

<file path=word/footer1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48915D19" w14:textId="77777777" w:rsidTr="00666947">
      <w:trPr>
        <w:trHeight w:val="397"/>
      </w:trPr>
      <w:tc>
        <w:tcPr>
          <w:tcW w:w="9071" w:type="dxa"/>
        </w:tcPr>
        <w:p w14:paraId="0A31008D" w14:textId="6FF296D2" w:rsidR="00E52A9A" w:rsidRDefault="00E52A9A" w:rsidP="00376EF3">
          <w:pPr>
            <w:pStyle w:val="FooterOdd"/>
          </w:pPr>
          <w:fldSimple w:instr=" DOCPROPERTY  xFooterTitle  \* MERGEFORMAT ">
            <w:r>
              <w:t>Great Ocean Road Coast and Parks Environmental-Economic Account</w:t>
            </w:r>
          </w:fldSimple>
        </w:p>
        <w:p w14:paraId="14EEE350" w14:textId="7BBA780A" w:rsidR="00E52A9A" w:rsidRPr="00CB1FB7" w:rsidRDefault="00E52A9A" w:rsidP="00376EF3">
          <w:pPr>
            <w:pStyle w:val="FooterOdd"/>
            <w:rPr>
              <w:b/>
            </w:rPr>
          </w:pPr>
          <w:fldSimple w:instr=" DOCPROPERTY  xFooterSubtitle  \* MERGEFORMAT ">
            <w:r>
              <w:t>Technical Report</w:t>
            </w:r>
          </w:fldSimple>
        </w:p>
      </w:tc>
      <w:tc>
        <w:tcPr>
          <w:tcW w:w="340" w:type="dxa"/>
        </w:tcPr>
        <w:p w14:paraId="2B932F7B"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0BAD52A4" w14:textId="77777777" w:rsidR="00E52A9A" w:rsidRDefault="00E52A9A">
    <w:pPr>
      <w:pStyle w:val="Footer"/>
    </w:pPr>
  </w:p>
</w:ftr>
</file>

<file path=word/footer1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2210CB68" w14:textId="77777777" w:rsidTr="00666947">
      <w:trPr>
        <w:trHeight w:val="397"/>
      </w:trPr>
      <w:tc>
        <w:tcPr>
          <w:tcW w:w="340" w:type="dxa"/>
        </w:tcPr>
        <w:p w14:paraId="5C70A114"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67E05F78" w14:textId="731E0871" w:rsidR="00E52A9A" w:rsidRDefault="00E52A9A" w:rsidP="00376EF3">
          <w:pPr>
            <w:pStyle w:val="FooterEven"/>
          </w:pPr>
          <w:fldSimple w:instr=" DOCPROPERTY  xFooterTitle  \* MERGEFORMAT ">
            <w:r>
              <w:t>Great Ocean Road Coast and Parks Environmental-Economic Account</w:t>
            </w:r>
          </w:fldSimple>
        </w:p>
        <w:p w14:paraId="25BB6B51" w14:textId="6AB383F7" w:rsidR="00E52A9A" w:rsidRPr="00810C40" w:rsidRDefault="00E52A9A" w:rsidP="00376EF3">
          <w:pPr>
            <w:pStyle w:val="FooterEven"/>
          </w:pPr>
          <w:fldSimple w:instr=" DOCPROPERTY  xFooterSubtitle  \* MERGEFORMAT ">
            <w:r>
              <w:t>Technical Report</w:t>
            </w:r>
          </w:fldSimple>
        </w:p>
      </w:tc>
    </w:tr>
  </w:tbl>
  <w:p w14:paraId="79582B78" w14:textId="77777777" w:rsidR="00E52A9A" w:rsidRDefault="00E52A9A" w:rsidP="00376EF3">
    <w:pPr>
      <w:pStyle w:val="FooterEven"/>
    </w:pPr>
  </w:p>
  <w:p w14:paraId="4688A0DD" w14:textId="77777777" w:rsidR="00E52A9A" w:rsidRDefault="00E52A9A">
    <w:pPr>
      <w:pStyle w:val="Footer"/>
    </w:pPr>
  </w:p>
</w:ftr>
</file>

<file path=word/footer1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24F2F734" w14:textId="77777777" w:rsidTr="00666947">
      <w:trPr>
        <w:trHeight w:val="397"/>
      </w:trPr>
      <w:tc>
        <w:tcPr>
          <w:tcW w:w="9071" w:type="dxa"/>
        </w:tcPr>
        <w:p w14:paraId="0E113A70" w14:textId="31C9DF81" w:rsidR="00E52A9A" w:rsidRDefault="00E52A9A" w:rsidP="00376EF3">
          <w:pPr>
            <w:pStyle w:val="FooterOdd"/>
          </w:pPr>
          <w:fldSimple w:instr=" DOCPROPERTY  xFooterTitle  \* MERGEFORMAT ">
            <w:r>
              <w:t>Great Ocean Road Coast and Parks Environmental-Economic Account</w:t>
            </w:r>
          </w:fldSimple>
        </w:p>
        <w:p w14:paraId="45FB80E7" w14:textId="3F7090D2" w:rsidR="00E52A9A" w:rsidRPr="00CB1FB7" w:rsidRDefault="00E52A9A" w:rsidP="00376EF3">
          <w:pPr>
            <w:pStyle w:val="FooterOdd"/>
            <w:rPr>
              <w:b/>
            </w:rPr>
          </w:pPr>
          <w:fldSimple w:instr=" DOCPROPERTY  xFooterSubtitle  \* MERGEFORMAT ">
            <w:r>
              <w:t>Technical Report</w:t>
            </w:r>
          </w:fldSimple>
        </w:p>
      </w:tc>
      <w:tc>
        <w:tcPr>
          <w:tcW w:w="340" w:type="dxa"/>
        </w:tcPr>
        <w:p w14:paraId="5C8CE9D2"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18025E89" w14:textId="77777777" w:rsidR="00E52A9A" w:rsidRDefault="00E52A9A">
    <w:pPr>
      <w:pStyle w:val="Footer"/>
    </w:pPr>
  </w:p>
</w:ftr>
</file>

<file path=word/footer1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00F6CA60" w14:textId="77777777" w:rsidTr="00666947">
      <w:trPr>
        <w:trHeight w:val="397"/>
      </w:trPr>
      <w:tc>
        <w:tcPr>
          <w:tcW w:w="340" w:type="dxa"/>
        </w:tcPr>
        <w:p w14:paraId="102C2ED5"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0A0D547C" w14:textId="28A21E7D" w:rsidR="00E52A9A" w:rsidRDefault="00E52A9A" w:rsidP="00376EF3">
          <w:pPr>
            <w:pStyle w:val="FooterEven"/>
          </w:pPr>
          <w:fldSimple w:instr=" DOCPROPERTY  xFooterTitle  \* MERGEFORMAT ">
            <w:r>
              <w:t>Great Ocean Road Coast and Parks Environmental-Economic Account</w:t>
            </w:r>
          </w:fldSimple>
        </w:p>
        <w:p w14:paraId="3C6EC7E1" w14:textId="1DB2E838" w:rsidR="00E52A9A" w:rsidRPr="00810C40" w:rsidRDefault="00E52A9A" w:rsidP="00376EF3">
          <w:pPr>
            <w:pStyle w:val="FooterEven"/>
          </w:pPr>
          <w:fldSimple w:instr=" DOCPROPERTY  xFooterSubtitle  \* MERGEFORMAT ">
            <w:r>
              <w:t>Technical Report</w:t>
            </w:r>
          </w:fldSimple>
        </w:p>
      </w:tc>
    </w:tr>
  </w:tbl>
  <w:p w14:paraId="16BE6ADE" w14:textId="77777777" w:rsidR="00E52A9A" w:rsidRDefault="00E52A9A" w:rsidP="00376EF3">
    <w:pPr>
      <w:pStyle w:val="FooterEven"/>
    </w:pPr>
  </w:p>
  <w:p w14:paraId="22167DA6" w14:textId="77777777" w:rsidR="00E52A9A" w:rsidRDefault="00E52A9A">
    <w:pPr>
      <w:pStyle w:val="Footer"/>
    </w:pPr>
  </w:p>
</w:ftr>
</file>

<file path=word/footer1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14A7BBCC" w14:textId="77777777" w:rsidTr="00666947">
      <w:trPr>
        <w:trHeight w:val="397"/>
      </w:trPr>
      <w:tc>
        <w:tcPr>
          <w:tcW w:w="9071" w:type="dxa"/>
        </w:tcPr>
        <w:p w14:paraId="0C6D8FE1" w14:textId="1708C0B3" w:rsidR="00E52A9A" w:rsidRDefault="00E52A9A" w:rsidP="00376EF3">
          <w:pPr>
            <w:pStyle w:val="FooterOdd"/>
          </w:pPr>
          <w:fldSimple w:instr=" DOCPROPERTY  xFooterTitle  \* MERGEFORMAT ">
            <w:r>
              <w:t>Great Ocean Road Coast and Parks Environmental-Economic Account</w:t>
            </w:r>
          </w:fldSimple>
        </w:p>
        <w:p w14:paraId="623565EE" w14:textId="25C1A037" w:rsidR="00E52A9A" w:rsidRPr="00CB1FB7" w:rsidRDefault="00E52A9A" w:rsidP="00376EF3">
          <w:pPr>
            <w:pStyle w:val="FooterOdd"/>
            <w:rPr>
              <w:b/>
            </w:rPr>
          </w:pPr>
          <w:fldSimple w:instr=" DOCPROPERTY  xFooterSubtitle  \* MERGEFORMAT ">
            <w:r>
              <w:t>Technical Report</w:t>
            </w:r>
          </w:fldSimple>
        </w:p>
      </w:tc>
      <w:tc>
        <w:tcPr>
          <w:tcW w:w="340" w:type="dxa"/>
        </w:tcPr>
        <w:p w14:paraId="35944855"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01DC4F90" w14:textId="77777777" w:rsidR="00E52A9A" w:rsidRDefault="00E52A9A">
    <w:pPr>
      <w:pStyle w:val="Footer"/>
    </w:pPr>
  </w:p>
</w:ftr>
</file>

<file path=word/footer1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5E445192" w14:textId="77777777" w:rsidTr="00666947">
      <w:trPr>
        <w:trHeight w:val="397"/>
      </w:trPr>
      <w:tc>
        <w:tcPr>
          <w:tcW w:w="340" w:type="dxa"/>
        </w:tcPr>
        <w:p w14:paraId="26A53A4D"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2BBA6EB2" w14:textId="1E956BD7" w:rsidR="00E52A9A" w:rsidRDefault="00E52A9A" w:rsidP="00376EF3">
          <w:pPr>
            <w:pStyle w:val="FooterEven"/>
          </w:pPr>
          <w:fldSimple w:instr=" DOCPROPERTY  xFooterTitle  \* MERGEFORMAT ">
            <w:r>
              <w:t>Great Ocean Road Coast and Parks Environmental-Economic Account</w:t>
            </w:r>
          </w:fldSimple>
        </w:p>
        <w:p w14:paraId="2A356A86" w14:textId="505868C3" w:rsidR="00E52A9A" w:rsidRPr="00810C40" w:rsidRDefault="00E52A9A" w:rsidP="00376EF3">
          <w:pPr>
            <w:pStyle w:val="FooterEven"/>
          </w:pPr>
          <w:fldSimple w:instr=" DOCPROPERTY  xFooterSubtitle  \* MERGEFORMAT ">
            <w:r>
              <w:t>Technical Report</w:t>
            </w:r>
          </w:fldSimple>
        </w:p>
      </w:tc>
    </w:tr>
  </w:tbl>
  <w:p w14:paraId="7DFA4565" w14:textId="77777777" w:rsidR="00E52A9A" w:rsidRDefault="00E52A9A" w:rsidP="00376EF3">
    <w:pPr>
      <w:pStyle w:val="FooterEven"/>
    </w:pPr>
  </w:p>
  <w:p w14:paraId="05454176" w14:textId="77777777" w:rsidR="00E52A9A" w:rsidRDefault="00E52A9A">
    <w:pPr>
      <w:pStyle w:val="Footer"/>
    </w:pPr>
  </w:p>
</w:ftr>
</file>

<file path=word/footer1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6F42ED62" w14:textId="77777777" w:rsidTr="00666947">
      <w:trPr>
        <w:trHeight w:val="397"/>
      </w:trPr>
      <w:tc>
        <w:tcPr>
          <w:tcW w:w="9071" w:type="dxa"/>
        </w:tcPr>
        <w:p w14:paraId="0F0A9611" w14:textId="0E0CF397" w:rsidR="00E52A9A" w:rsidRDefault="00E52A9A" w:rsidP="00376EF3">
          <w:pPr>
            <w:pStyle w:val="FooterOdd"/>
          </w:pPr>
          <w:fldSimple w:instr=" DOCPROPERTY  xFooterTitle  \* MERGEFORMAT ">
            <w:r>
              <w:t>Great Ocean Road Coast and Parks Environmental-Economic Account</w:t>
            </w:r>
          </w:fldSimple>
        </w:p>
        <w:p w14:paraId="242BBB55" w14:textId="1A1B5C00" w:rsidR="00E52A9A" w:rsidRPr="00CB1FB7" w:rsidRDefault="00E52A9A" w:rsidP="00376EF3">
          <w:pPr>
            <w:pStyle w:val="FooterOdd"/>
            <w:rPr>
              <w:b/>
            </w:rPr>
          </w:pPr>
          <w:fldSimple w:instr=" DOCPROPERTY  xFooterSubtitle  \* MERGEFORMAT ">
            <w:r>
              <w:t>Technical Report</w:t>
            </w:r>
          </w:fldSimple>
        </w:p>
      </w:tc>
      <w:tc>
        <w:tcPr>
          <w:tcW w:w="340" w:type="dxa"/>
        </w:tcPr>
        <w:p w14:paraId="3CBE6559"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7599B193" w14:textId="77777777" w:rsidR="00E52A9A" w:rsidRDefault="00E52A9A">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395430A3" w14:textId="77777777" w:rsidTr="00666947">
      <w:trPr>
        <w:trHeight w:val="397"/>
      </w:trPr>
      <w:tc>
        <w:tcPr>
          <w:tcW w:w="340" w:type="dxa"/>
        </w:tcPr>
        <w:p w14:paraId="1998076B"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78616025" w14:textId="495133BB" w:rsidR="00E52A9A" w:rsidRDefault="00E52A9A" w:rsidP="00376EF3">
          <w:pPr>
            <w:pStyle w:val="FooterEven"/>
          </w:pPr>
          <w:fldSimple w:instr=" DOCPROPERTY  xFooterTitle  \* MERGEFORMAT ">
            <w:r>
              <w:t>Great Ocean Road Coast and Parks Environmental-Economic Account</w:t>
            </w:r>
          </w:fldSimple>
        </w:p>
        <w:p w14:paraId="4AB26832" w14:textId="1A436E94" w:rsidR="00E52A9A" w:rsidRPr="00810C40" w:rsidRDefault="00E52A9A" w:rsidP="00376EF3">
          <w:pPr>
            <w:pStyle w:val="FooterEven"/>
          </w:pPr>
          <w:fldSimple w:instr=" DOCPROPERTY  xFooterSubtitle  \* MERGEFORMAT ">
            <w:r>
              <w:t>Technical Report</w:t>
            </w:r>
          </w:fldSimple>
        </w:p>
      </w:tc>
    </w:tr>
  </w:tbl>
  <w:p w14:paraId="6DDABB53" w14:textId="77777777" w:rsidR="00E52A9A" w:rsidRDefault="00E52A9A" w:rsidP="00376EF3">
    <w:pPr>
      <w:pStyle w:val="FooterEven"/>
    </w:pPr>
  </w:p>
  <w:p w14:paraId="7B513E62" w14:textId="77777777" w:rsidR="00E52A9A" w:rsidRDefault="00E52A9A">
    <w:pPr>
      <w:pStyle w:val="Footer"/>
    </w:pPr>
  </w:p>
</w:ftr>
</file>

<file path=word/footer1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217D1583" w14:textId="77777777" w:rsidTr="00666947">
      <w:trPr>
        <w:trHeight w:val="397"/>
      </w:trPr>
      <w:tc>
        <w:tcPr>
          <w:tcW w:w="340" w:type="dxa"/>
        </w:tcPr>
        <w:p w14:paraId="41592DBA"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153BFE68" w14:textId="6608D530" w:rsidR="00E52A9A" w:rsidRDefault="00E52A9A" w:rsidP="00376EF3">
          <w:pPr>
            <w:pStyle w:val="FooterEven"/>
          </w:pPr>
          <w:fldSimple w:instr=" DOCPROPERTY  xFooterTitle  \* MERGEFORMAT ">
            <w:r>
              <w:t>Great Ocean Road Coast and Parks Environmental-Economic Account</w:t>
            </w:r>
          </w:fldSimple>
        </w:p>
        <w:p w14:paraId="399B9A59" w14:textId="7A485968" w:rsidR="00E52A9A" w:rsidRPr="00810C40" w:rsidRDefault="00E52A9A" w:rsidP="00376EF3">
          <w:pPr>
            <w:pStyle w:val="FooterEven"/>
          </w:pPr>
          <w:fldSimple w:instr=" DOCPROPERTY  xFooterSubtitle  \* MERGEFORMAT ">
            <w:r>
              <w:t>Technical Report</w:t>
            </w:r>
          </w:fldSimple>
        </w:p>
      </w:tc>
    </w:tr>
  </w:tbl>
  <w:p w14:paraId="56AEF983" w14:textId="77777777" w:rsidR="00E52A9A" w:rsidRDefault="00E52A9A" w:rsidP="00376EF3">
    <w:pPr>
      <w:pStyle w:val="FooterEven"/>
    </w:pPr>
  </w:p>
  <w:p w14:paraId="11A6F5E7" w14:textId="77777777" w:rsidR="00E52A9A" w:rsidRDefault="00E52A9A">
    <w:pPr>
      <w:pStyle w:val="Footer"/>
    </w:pPr>
  </w:p>
</w:ftr>
</file>

<file path=word/footer1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4C275808" w14:textId="77777777" w:rsidTr="00666947">
      <w:trPr>
        <w:trHeight w:val="397"/>
      </w:trPr>
      <w:tc>
        <w:tcPr>
          <w:tcW w:w="9071" w:type="dxa"/>
        </w:tcPr>
        <w:p w14:paraId="2631A219" w14:textId="15353DC3" w:rsidR="00E52A9A" w:rsidRDefault="00E52A9A" w:rsidP="00376EF3">
          <w:pPr>
            <w:pStyle w:val="FooterOdd"/>
          </w:pPr>
          <w:fldSimple w:instr=" DOCPROPERTY  xFooterTitle  \* MERGEFORMAT ">
            <w:r>
              <w:t>Great Ocean Road Coast and Parks Environmental-Economic Account</w:t>
            </w:r>
          </w:fldSimple>
        </w:p>
        <w:p w14:paraId="59245A58" w14:textId="2B178BC1" w:rsidR="00E52A9A" w:rsidRPr="00CB1FB7" w:rsidRDefault="00E52A9A" w:rsidP="00376EF3">
          <w:pPr>
            <w:pStyle w:val="FooterOdd"/>
            <w:rPr>
              <w:b/>
            </w:rPr>
          </w:pPr>
          <w:fldSimple w:instr=" DOCPROPERTY  xFooterSubtitle  \* MERGEFORMAT ">
            <w:r>
              <w:t>Technical Report</w:t>
            </w:r>
          </w:fldSimple>
        </w:p>
      </w:tc>
      <w:tc>
        <w:tcPr>
          <w:tcW w:w="340" w:type="dxa"/>
        </w:tcPr>
        <w:p w14:paraId="62AAC3D3"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1C6917B4" w14:textId="77777777" w:rsidR="00E52A9A" w:rsidRDefault="00E52A9A">
    <w:pPr>
      <w:pStyle w:val="Footer"/>
    </w:pPr>
  </w:p>
</w:ftr>
</file>

<file path=word/footer1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0B766620" w14:textId="77777777" w:rsidTr="00666947">
      <w:trPr>
        <w:trHeight w:val="397"/>
      </w:trPr>
      <w:tc>
        <w:tcPr>
          <w:tcW w:w="340" w:type="dxa"/>
        </w:tcPr>
        <w:p w14:paraId="0A93757B"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560E9778" w14:textId="0141E8B5" w:rsidR="00E52A9A" w:rsidRDefault="00E52A9A" w:rsidP="00376EF3">
          <w:pPr>
            <w:pStyle w:val="FooterEven"/>
          </w:pPr>
          <w:fldSimple w:instr=" DOCPROPERTY  xFooterTitle  \* MERGEFORMAT ">
            <w:r>
              <w:t>Great Ocean Road Coast and Parks Environmental-Economic Account</w:t>
            </w:r>
          </w:fldSimple>
        </w:p>
        <w:p w14:paraId="08D5C1BF" w14:textId="1F5F32AD" w:rsidR="00E52A9A" w:rsidRPr="00810C40" w:rsidRDefault="00E52A9A" w:rsidP="00376EF3">
          <w:pPr>
            <w:pStyle w:val="FooterEven"/>
          </w:pPr>
          <w:fldSimple w:instr=" DOCPROPERTY  xFooterSubtitle  \* MERGEFORMAT ">
            <w:r>
              <w:t>Technical Report</w:t>
            </w:r>
          </w:fldSimple>
        </w:p>
      </w:tc>
    </w:tr>
  </w:tbl>
  <w:p w14:paraId="583893C5" w14:textId="77777777" w:rsidR="00E52A9A" w:rsidRDefault="00E52A9A" w:rsidP="00376EF3">
    <w:pPr>
      <w:pStyle w:val="FooterEven"/>
    </w:pPr>
  </w:p>
  <w:p w14:paraId="0D89C49C" w14:textId="77777777" w:rsidR="00E52A9A" w:rsidRDefault="00E52A9A">
    <w:pPr>
      <w:pStyle w:val="Footer"/>
    </w:pPr>
  </w:p>
</w:ftr>
</file>

<file path=word/footer1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00E03AEA" w14:textId="77777777" w:rsidTr="00666947">
      <w:trPr>
        <w:trHeight w:val="397"/>
      </w:trPr>
      <w:tc>
        <w:tcPr>
          <w:tcW w:w="9071" w:type="dxa"/>
        </w:tcPr>
        <w:p w14:paraId="4C1CADCB" w14:textId="29CFF4AD" w:rsidR="00E52A9A" w:rsidRDefault="00E52A9A" w:rsidP="00376EF3">
          <w:pPr>
            <w:pStyle w:val="FooterOdd"/>
          </w:pPr>
          <w:fldSimple w:instr=" DOCPROPERTY  xFooterTitle  \* MERGEFORMAT ">
            <w:r>
              <w:t>Great Ocean Road Coast and Parks Environmental-Economic Account</w:t>
            </w:r>
          </w:fldSimple>
        </w:p>
        <w:p w14:paraId="03441213" w14:textId="1EBE6E20" w:rsidR="00E52A9A" w:rsidRPr="00CB1FB7" w:rsidRDefault="00E52A9A" w:rsidP="00376EF3">
          <w:pPr>
            <w:pStyle w:val="FooterOdd"/>
            <w:rPr>
              <w:b/>
            </w:rPr>
          </w:pPr>
          <w:fldSimple w:instr=" DOCPROPERTY  xFooterSubtitle  \* MERGEFORMAT ">
            <w:r>
              <w:t>Technical Report</w:t>
            </w:r>
          </w:fldSimple>
        </w:p>
      </w:tc>
      <w:tc>
        <w:tcPr>
          <w:tcW w:w="340" w:type="dxa"/>
        </w:tcPr>
        <w:p w14:paraId="657627C2"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3540C9AC" w14:textId="77777777" w:rsidR="00E52A9A" w:rsidRDefault="00E52A9A">
    <w:pPr>
      <w:pStyle w:val="Footer"/>
    </w:pPr>
  </w:p>
</w:ftr>
</file>

<file path=word/footer1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0CA83BA3" w14:textId="77777777" w:rsidTr="00666947">
      <w:trPr>
        <w:trHeight w:val="397"/>
      </w:trPr>
      <w:tc>
        <w:tcPr>
          <w:tcW w:w="340" w:type="dxa"/>
        </w:tcPr>
        <w:p w14:paraId="7887FC5D"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13E97399" w14:textId="3D4A5414" w:rsidR="00E52A9A" w:rsidRDefault="00E52A9A" w:rsidP="00376EF3">
          <w:pPr>
            <w:pStyle w:val="FooterEven"/>
          </w:pPr>
          <w:fldSimple w:instr=" DOCPROPERTY  xFooterTitle  \* MERGEFORMAT ">
            <w:r>
              <w:t>Great Ocean Road Coast and Parks Environmental-Economic Account</w:t>
            </w:r>
          </w:fldSimple>
        </w:p>
        <w:p w14:paraId="7E047923" w14:textId="72D66418" w:rsidR="00E52A9A" w:rsidRPr="00810C40" w:rsidRDefault="00E52A9A" w:rsidP="00376EF3">
          <w:pPr>
            <w:pStyle w:val="FooterEven"/>
          </w:pPr>
          <w:fldSimple w:instr=" DOCPROPERTY  xFooterSubtitle  \* MERGEFORMAT ">
            <w:r>
              <w:t>Technical Report</w:t>
            </w:r>
          </w:fldSimple>
        </w:p>
      </w:tc>
    </w:tr>
  </w:tbl>
  <w:p w14:paraId="2D04A2E0" w14:textId="77777777" w:rsidR="00E52A9A" w:rsidRDefault="00E52A9A" w:rsidP="00376EF3">
    <w:pPr>
      <w:pStyle w:val="FooterEven"/>
    </w:pPr>
  </w:p>
  <w:p w14:paraId="25E929DE" w14:textId="77777777" w:rsidR="00E52A9A" w:rsidRDefault="00E52A9A">
    <w:pPr>
      <w:pStyle w:val="Footer"/>
    </w:pPr>
  </w:p>
</w:ftr>
</file>

<file path=word/footer1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22A27FC7" w14:textId="77777777" w:rsidTr="00666947">
      <w:trPr>
        <w:trHeight w:val="397"/>
      </w:trPr>
      <w:tc>
        <w:tcPr>
          <w:tcW w:w="9071" w:type="dxa"/>
        </w:tcPr>
        <w:p w14:paraId="02722A10" w14:textId="42B8302A" w:rsidR="00E52A9A" w:rsidRDefault="00E52A9A" w:rsidP="00376EF3">
          <w:pPr>
            <w:pStyle w:val="FooterOdd"/>
          </w:pPr>
          <w:fldSimple w:instr=" DOCPROPERTY  xFooterTitle  \* MERGEFORMAT ">
            <w:r>
              <w:t>Great Ocean Road Coast and Parks Environmental-Economic Account</w:t>
            </w:r>
          </w:fldSimple>
        </w:p>
        <w:p w14:paraId="70C45C1C" w14:textId="77CFC365" w:rsidR="00E52A9A" w:rsidRPr="00CB1FB7" w:rsidRDefault="00E52A9A" w:rsidP="00376EF3">
          <w:pPr>
            <w:pStyle w:val="FooterOdd"/>
            <w:rPr>
              <w:b/>
            </w:rPr>
          </w:pPr>
          <w:fldSimple w:instr=" DOCPROPERTY  xFooterSubtitle  \* MERGEFORMAT ">
            <w:r>
              <w:t>Technical Report</w:t>
            </w:r>
          </w:fldSimple>
        </w:p>
      </w:tc>
      <w:tc>
        <w:tcPr>
          <w:tcW w:w="340" w:type="dxa"/>
        </w:tcPr>
        <w:p w14:paraId="380E9623"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4F0CBE92" w14:textId="77777777" w:rsidR="00E52A9A" w:rsidRDefault="00E52A9A">
    <w:pPr>
      <w:pStyle w:val="Footer"/>
    </w:pPr>
  </w:p>
</w:ftr>
</file>

<file path=word/footer1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513B0AD6" w14:textId="77777777" w:rsidTr="00666947">
      <w:trPr>
        <w:trHeight w:val="397"/>
      </w:trPr>
      <w:tc>
        <w:tcPr>
          <w:tcW w:w="340" w:type="dxa"/>
        </w:tcPr>
        <w:p w14:paraId="292EDEDC"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062871B2" w14:textId="0B6C637D" w:rsidR="00E52A9A" w:rsidRDefault="00E52A9A" w:rsidP="00376EF3">
          <w:pPr>
            <w:pStyle w:val="FooterEven"/>
          </w:pPr>
          <w:fldSimple w:instr=" DOCPROPERTY  xFooterTitle  \* MERGEFORMAT ">
            <w:r>
              <w:t>Great Ocean Road Coast and Parks Environmental-Economic Account</w:t>
            </w:r>
          </w:fldSimple>
        </w:p>
        <w:p w14:paraId="589E6FFC" w14:textId="794F9072" w:rsidR="00E52A9A" w:rsidRPr="00810C40" w:rsidRDefault="00E52A9A" w:rsidP="00376EF3">
          <w:pPr>
            <w:pStyle w:val="FooterEven"/>
          </w:pPr>
          <w:fldSimple w:instr=" DOCPROPERTY  xFooterSubtitle  \* MERGEFORMAT ">
            <w:r>
              <w:t>Technical Report</w:t>
            </w:r>
          </w:fldSimple>
        </w:p>
      </w:tc>
    </w:tr>
  </w:tbl>
  <w:p w14:paraId="611B89FC" w14:textId="77777777" w:rsidR="00E52A9A" w:rsidRDefault="00E52A9A" w:rsidP="00376EF3">
    <w:pPr>
      <w:pStyle w:val="FooterEven"/>
    </w:pPr>
  </w:p>
  <w:p w14:paraId="78896501" w14:textId="77777777" w:rsidR="00E52A9A" w:rsidRDefault="00E52A9A">
    <w:pPr>
      <w:pStyle w:val="Footer"/>
    </w:pPr>
  </w:p>
</w:ftr>
</file>

<file path=word/footer1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25237DEE" w14:textId="77777777" w:rsidTr="00666947">
      <w:trPr>
        <w:trHeight w:val="397"/>
      </w:trPr>
      <w:tc>
        <w:tcPr>
          <w:tcW w:w="9071" w:type="dxa"/>
        </w:tcPr>
        <w:p w14:paraId="609857A4" w14:textId="0798027C" w:rsidR="00E52A9A" w:rsidRDefault="00E52A9A" w:rsidP="00376EF3">
          <w:pPr>
            <w:pStyle w:val="FooterOdd"/>
          </w:pPr>
          <w:fldSimple w:instr=" DOCPROPERTY  xFooterTitle  \* MERGEFORMAT ">
            <w:r>
              <w:t>Great Ocean Road Coast and Parks Environmental-Economic Account</w:t>
            </w:r>
          </w:fldSimple>
        </w:p>
        <w:p w14:paraId="4F671CF2" w14:textId="45DF78EC" w:rsidR="00E52A9A" w:rsidRPr="00CB1FB7" w:rsidRDefault="00E52A9A" w:rsidP="00376EF3">
          <w:pPr>
            <w:pStyle w:val="FooterOdd"/>
            <w:rPr>
              <w:b/>
            </w:rPr>
          </w:pPr>
          <w:fldSimple w:instr=" DOCPROPERTY  xFooterSubtitle  \* MERGEFORMAT ">
            <w:r>
              <w:t>Technical Report</w:t>
            </w:r>
          </w:fldSimple>
        </w:p>
      </w:tc>
      <w:tc>
        <w:tcPr>
          <w:tcW w:w="340" w:type="dxa"/>
        </w:tcPr>
        <w:p w14:paraId="41CE5F1C"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5DA2D53F" w14:textId="77777777" w:rsidR="00E52A9A" w:rsidRDefault="00E52A9A">
    <w:pPr>
      <w:pStyle w:val="Footer"/>
    </w:pPr>
  </w:p>
</w:ftr>
</file>

<file path=word/footer1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2ACEA67E" w14:textId="77777777" w:rsidTr="00666947">
      <w:trPr>
        <w:trHeight w:val="397"/>
      </w:trPr>
      <w:tc>
        <w:tcPr>
          <w:tcW w:w="340" w:type="dxa"/>
        </w:tcPr>
        <w:p w14:paraId="44D5FFD3"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60C41798" w14:textId="74FD90DF" w:rsidR="00E52A9A" w:rsidRDefault="00E52A9A" w:rsidP="00376EF3">
          <w:pPr>
            <w:pStyle w:val="FooterEven"/>
          </w:pPr>
          <w:fldSimple w:instr=" DOCPROPERTY  xFooterTitle  \* MERGEFORMAT ">
            <w:r>
              <w:t>Great Ocean Road Coast and Parks Environmental-Economic Account</w:t>
            </w:r>
          </w:fldSimple>
        </w:p>
        <w:p w14:paraId="5DCA092B" w14:textId="5BFDCCF4" w:rsidR="00E52A9A" w:rsidRPr="00810C40" w:rsidRDefault="00E52A9A" w:rsidP="00376EF3">
          <w:pPr>
            <w:pStyle w:val="FooterEven"/>
          </w:pPr>
          <w:fldSimple w:instr=" DOCPROPERTY  xFooterSubtitle  \* MERGEFORMAT ">
            <w:r>
              <w:t>Technical Report</w:t>
            </w:r>
          </w:fldSimple>
        </w:p>
      </w:tc>
    </w:tr>
  </w:tbl>
  <w:p w14:paraId="54D5EA84" w14:textId="77777777" w:rsidR="00E52A9A" w:rsidRDefault="00E52A9A" w:rsidP="00376EF3">
    <w:pPr>
      <w:pStyle w:val="FooterEven"/>
    </w:pPr>
  </w:p>
  <w:p w14:paraId="2D92B361" w14:textId="77777777" w:rsidR="00E52A9A" w:rsidRDefault="00E52A9A">
    <w:pPr>
      <w:pStyle w:val="Footer"/>
    </w:pPr>
  </w:p>
</w:ftr>
</file>

<file path=word/footer1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0FF3C650" w14:textId="77777777" w:rsidTr="00666947">
      <w:trPr>
        <w:trHeight w:val="397"/>
      </w:trPr>
      <w:tc>
        <w:tcPr>
          <w:tcW w:w="9071" w:type="dxa"/>
        </w:tcPr>
        <w:p w14:paraId="1073EC65" w14:textId="085B3DEC" w:rsidR="00E52A9A" w:rsidRDefault="00E52A9A" w:rsidP="00376EF3">
          <w:pPr>
            <w:pStyle w:val="FooterOdd"/>
          </w:pPr>
          <w:fldSimple w:instr=" DOCPROPERTY  xFooterTitle  \* MERGEFORMAT ">
            <w:r>
              <w:t>Great Ocean Road Coast and Parks Environmental-Economic Account</w:t>
            </w:r>
          </w:fldSimple>
        </w:p>
        <w:p w14:paraId="4A409730" w14:textId="0E1E8B63" w:rsidR="00E52A9A" w:rsidRPr="00CB1FB7" w:rsidRDefault="00E52A9A" w:rsidP="00376EF3">
          <w:pPr>
            <w:pStyle w:val="FooterOdd"/>
            <w:rPr>
              <w:b/>
            </w:rPr>
          </w:pPr>
          <w:fldSimple w:instr=" DOCPROPERTY  xFooterSubtitle  \* MERGEFORMAT ">
            <w:r>
              <w:t>Technical Report</w:t>
            </w:r>
          </w:fldSimple>
        </w:p>
      </w:tc>
      <w:tc>
        <w:tcPr>
          <w:tcW w:w="340" w:type="dxa"/>
        </w:tcPr>
        <w:p w14:paraId="2AF4E4A1"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160BAC07" w14:textId="77777777" w:rsidR="00E52A9A" w:rsidRDefault="00E52A9A">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49266A1B" w14:textId="77777777" w:rsidTr="00666947">
      <w:trPr>
        <w:trHeight w:val="397"/>
      </w:trPr>
      <w:tc>
        <w:tcPr>
          <w:tcW w:w="9071" w:type="dxa"/>
        </w:tcPr>
        <w:p w14:paraId="6643BB58" w14:textId="5D5E05A1" w:rsidR="00E52A9A" w:rsidRDefault="00E52A9A" w:rsidP="00376EF3">
          <w:pPr>
            <w:pStyle w:val="FooterOdd"/>
          </w:pPr>
          <w:fldSimple w:instr=" DOCPROPERTY  xFooterTitle  \* MERGEFORMAT ">
            <w:r>
              <w:t>Great Ocean Road Coast and Parks Environmental-Economic Account</w:t>
            </w:r>
          </w:fldSimple>
        </w:p>
        <w:p w14:paraId="4F76FA61" w14:textId="68D39F6D" w:rsidR="00E52A9A" w:rsidRPr="00CB1FB7" w:rsidRDefault="00E52A9A" w:rsidP="00376EF3">
          <w:pPr>
            <w:pStyle w:val="FooterOdd"/>
            <w:rPr>
              <w:b/>
            </w:rPr>
          </w:pPr>
          <w:fldSimple w:instr=" DOCPROPERTY  xFooterSubtitle  \* MERGEFORMAT ">
            <w:r>
              <w:t>Technical Report</w:t>
            </w:r>
          </w:fldSimple>
        </w:p>
      </w:tc>
      <w:tc>
        <w:tcPr>
          <w:tcW w:w="340" w:type="dxa"/>
        </w:tcPr>
        <w:p w14:paraId="22704C28"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61C163E6" w14:textId="77777777" w:rsidR="00E52A9A" w:rsidRDefault="00E52A9A">
    <w:pPr>
      <w:pStyle w:val="Footer"/>
    </w:pPr>
  </w:p>
</w:ftr>
</file>

<file path=word/footer1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0D0D1951" w14:textId="77777777" w:rsidTr="00666947">
      <w:trPr>
        <w:trHeight w:val="397"/>
      </w:trPr>
      <w:tc>
        <w:tcPr>
          <w:tcW w:w="340" w:type="dxa"/>
        </w:tcPr>
        <w:p w14:paraId="3830C08F"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4157FC40" w14:textId="4140D265" w:rsidR="00E52A9A" w:rsidRDefault="00E52A9A" w:rsidP="00376EF3">
          <w:pPr>
            <w:pStyle w:val="FooterEven"/>
          </w:pPr>
          <w:fldSimple w:instr=" DOCPROPERTY  xFooterTitle  \* MERGEFORMAT ">
            <w:r>
              <w:t>Great Ocean Road Coast and Parks Environmental-Economic Account</w:t>
            </w:r>
          </w:fldSimple>
        </w:p>
        <w:p w14:paraId="6774F5F8" w14:textId="5F2CF1E4" w:rsidR="00E52A9A" w:rsidRPr="00810C40" w:rsidRDefault="00E52A9A" w:rsidP="00376EF3">
          <w:pPr>
            <w:pStyle w:val="FooterEven"/>
          </w:pPr>
          <w:fldSimple w:instr=" DOCPROPERTY  xFooterSubtitle  \* MERGEFORMAT ">
            <w:r>
              <w:t>Technical Report</w:t>
            </w:r>
          </w:fldSimple>
        </w:p>
      </w:tc>
    </w:tr>
  </w:tbl>
  <w:p w14:paraId="4A90F352" w14:textId="77777777" w:rsidR="00E52A9A" w:rsidRDefault="00E52A9A" w:rsidP="00376EF3">
    <w:pPr>
      <w:pStyle w:val="FooterEven"/>
    </w:pPr>
  </w:p>
  <w:p w14:paraId="35D361CA" w14:textId="77777777" w:rsidR="00E52A9A" w:rsidRDefault="00E52A9A">
    <w:pPr>
      <w:pStyle w:val="Footer"/>
    </w:pPr>
  </w:p>
</w:ftr>
</file>

<file path=word/footer1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5452BD47" w14:textId="77777777" w:rsidTr="00666947">
      <w:trPr>
        <w:trHeight w:val="397"/>
      </w:trPr>
      <w:tc>
        <w:tcPr>
          <w:tcW w:w="9071" w:type="dxa"/>
        </w:tcPr>
        <w:p w14:paraId="3E3B6FB4" w14:textId="36726A43" w:rsidR="00E52A9A" w:rsidRDefault="00E52A9A" w:rsidP="00376EF3">
          <w:pPr>
            <w:pStyle w:val="FooterOdd"/>
          </w:pPr>
          <w:fldSimple w:instr=" DOCPROPERTY  xFooterTitle  \* MERGEFORMAT ">
            <w:r>
              <w:t>Great Ocean Road Coast and Parks Environmental-Economic Account</w:t>
            </w:r>
          </w:fldSimple>
        </w:p>
        <w:p w14:paraId="0939299B" w14:textId="22E14C17" w:rsidR="00E52A9A" w:rsidRPr="00CB1FB7" w:rsidRDefault="00E52A9A" w:rsidP="00376EF3">
          <w:pPr>
            <w:pStyle w:val="FooterOdd"/>
            <w:rPr>
              <w:b/>
            </w:rPr>
          </w:pPr>
          <w:fldSimple w:instr=" DOCPROPERTY  xFooterSubtitle  \* MERGEFORMAT ">
            <w:r>
              <w:t>Technical Report</w:t>
            </w:r>
          </w:fldSimple>
        </w:p>
      </w:tc>
      <w:tc>
        <w:tcPr>
          <w:tcW w:w="340" w:type="dxa"/>
        </w:tcPr>
        <w:p w14:paraId="70FDD148"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05342C08" w14:textId="77777777" w:rsidR="00E52A9A" w:rsidRDefault="00E52A9A">
    <w:pPr>
      <w:pStyle w:val="Footer"/>
    </w:pPr>
  </w:p>
</w:ftr>
</file>

<file path=word/footer1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53A54239" w14:textId="77777777" w:rsidTr="00666947">
      <w:trPr>
        <w:trHeight w:val="397"/>
      </w:trPr>
      <w:tc>
        <w:tcPr>
          <w:tcW w:w="340" w:type="dxa"/>
        </w:tcPr>
        <w:p w14:paraId="0500703F"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7CDEC479" w14:textId="36DE4693" w:rsidR="00E52A9A" w:rsidRDefault="00E52A9A" w:rsidP="00376EF3">
          <w:pPr>
            <w:pStyle w:val="FooterEven"/>
          </w:pPr>
          <w:fldSimple w:instr=" DOCPROPERTY  xFooterTitle  \* MERGEFORMAT ">
            <w:r>
              <w:t>Great Ocean Road Coast and Parks Environmental-Economic Account</w:t>
            </w:r>
          </w:fldSimple>
        </w:p>
        <w:p w14:paraId="092460E1" w14:textId="0D0187B3" w:rsidR="00E52A9A" w:rsidRPr="00810C40" w:rsidRDefault="00E52A9A" w:rsidP="00376EF3">
          <w:pPr>
            <w:pStyle w:val="FooterEven"/>
          </w:pPr>
          <w:fldSimple w:instr=" DOCPROPERTY  xFooterSubtitle  \* MERGEFORMAT ">
            <w:r>
              <w:t>Technical Report</w:t>
            </w:r>
          </w:fldSimple>
        </w:p>
      </w:tc>
    </w:tr>
  </w:tbl>
  <w:p w14:paraId="05EA5E2D" w14:textId="77777777" w:rsidR="00E52A9A" w:rsidRDefault="00E52A9A" w:rsidP="00376EF3">
    <w:pPr>
      <w:pStyle w:val="FooterEven"/>
    </w:pPr>
  </w:p>
  <w:p w14:paraId="0B2B932E" w14:textId="77777777" w:rsidR="00E52A9A" w:rsidRDefault="00E52A9A">
    <w:pPr>
      <w:pStyle w:val="Footer"/>
    </w:pPr>
  </w:p>
</w:ftr>
</file>

<file path=word/footer1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63309471" w14:textId="77777777" w:rsidTr="00666947">
      <w:trPr>
        <w:trHeight w:val="397"/>
      </w:trPr>
      <w:tc>
        <w:tcPr>
          <w:tcW w:w="9071" w:type="dxa"/>
        </w:tcPr>
        <w:p w14:paraId="1D7D6E98" w14:textId="34D18138" w:rsidR="00E52A9A" w:rsidRDefault="00E52A9A" w:rsidP="00376EF3">
          <w:pPr>
            <w:pStyle w:val="FooterOdd"/>
          </w:pPr>
          <w:fldSimple w:instr=" DOCPROPERTY  xFooterTitle  \* MERGEFORMAT ">
            <w:r>
              <w:t>Great Ocean Road Coast and Parks Environmental-Economic Account</w:t>
            </w:r>
          </w:fldSimple>
        </w:p>
        <w:p w14:paraId="7008739D" w14:textId="7B72FA7C" w:rsidR="00E52A9A" w:rsidRPr="00CB1FB7" w:rsidRDefault="00E52A9A" w:rsidP="00376EF3">
          <w:pPr>
            <w:pStyle w:val="FooterOdd"/>
            <w:rPr>
              <w:b/>
            </w:rPr>
          </w:pPr>
          <w:fldSimple w:instr=" DOCPROPERTY  xFooterSubtitle  \* MERGEFORMAT ">
            <w:r>
              <w:t>Technical Report</w:t>
            </w:r>
          </w:fldSimple>
        </w:p>
      </w:tc>
      <w:tc>
        <w:tcPr>
          <w:tcW w:w="340" w:type="dxa"/>
        </w:tcPr>
        <w:p w14:paraId="0F48494C"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59BB96DB" w14:textId="77777777" w:rsidR="00E52A9A" w:rsidRDefault="00E52A9A">
    <w:pPr>
      <w:pStyle w:val="Footer"/>
    </w:pPr>
  </w:p>
</w:ftr>
</file>

<file path=word/footer1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6C6C593C" w14:textId="77777777" w:rsidTr="00666947">
      <w:trPr>
        <w:trHeight w:val="397"/>
      </w:trPr>
      <w:tc>
        <w:tcPr>
          <w:tcW w:w="340" w:type="dxa"/>
        </w:tcPr>
        <w:p w14:paraId="6E741595"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766CE7D7" w14:textId="71E192F6" w:rsidR="00E52A9A" w:rsidRDefault="00E52A9A" w:rsidP="00376EF3">
          <w:pPr>
            <w:pStyle w:val="FooterEven"/>
          </w:pPr>
          <w:fldSimple w:instr=" DOCPROPERTY  xFooterTitle  \* MERGEFORMAT ">
            <w:r>
              <w:t>Great Ocean Road Coast and Parks Environmental-Economic Account</w:t>
            </w:r>
          </w:fldSimple>
        </w:p>
        <w:p w14:paraId="4B0726E7" w14:textId="3FCEED95" w:rsidR="00E52A9A" w:rsidRPr="00810C40" w:rsidRDefault="00E52A9A" w:rsidP="00376EF3">
          <w:pPr>
            <w:pStyle w:val="FooterEven"/>
          </w:pPr>
          <w:fldSimple w:instr=" DOCPROPERTY  xFooterSubtitle  \* MERGEFORMAT ">
            <w:r>
              <w:t>Technical Report</w:t>
            </w:r>
          </w:fldSimple>
        </w:p>
      </w:tc>
    </w:tr>
  </w:tbl>
  <w:p w14:paraId="13A85387" w14:textId="77777777" w:rsidR="00E52A9A" w:rsidRDefault="00E52A9A" w:rsidP="00376EF3">
    <w:pPr>
      <w:pStyle w:val="FooterEven"/>
    </w:pPr>
  </w:p>
  <w:p w14:paraId="3B9917EB" w14:textId="77777777" w:rsidR="00E52A9A" w:rsidRDefault="00E52A9A">
    <w:pPr>
      <w:pStyle w:val="Footer"/>
    </w:pPr>
  </w:p>
</w:ftr>
</file>

<file path=word/footer1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4B2C2B0C" w14:textId="77777777" w:rsidTr="00666947">
      <w:trPr>
        <w:trHeight w:val="397"/>
      </w:trPr>
      <w:tc>
        <w:tcPr>
          <w:tcW w:w="9071" w:type="dxa"/>
        </w:tcPr>
        <w:p w14:paraId="2D1C4F88" w14:textId="1F3F15D0" w:rsidR="00E52A9A" w:rsidRDefault="00E52A9A" w:rsidP="00376EF3">
          <w:pPr>
            <w:pStyle w:val="FooterOdd"/>
          </w:pPr>
          <w:fldSimple w:instr=" DOCPROPERTY  xFooterTitle  \* MERGEFORMAT ">
            <w:r>
              <w:t>Great Ocean Road Coast and Parks Environmental-Economic Account</w:t>
            </w:r>
          </w:fldSimple>
        </w:p>
        <w:p w14:paraId="3223D884" w14:textId="458235E3" w:rsidR="00E52A9A" w:rsidRPr="00CB1FB7" w:rsidRDefault="00E52A9A" w:rsidP="00376EF3">
          <w:pPr>
            <w:pStyle w:val="FooterOdd"/>
            <w:rPr>
              <w:b/>
            </w:rPr>
          </w:pPr>
          <w:fldSimple w:instr=" DOCPROPERTY  xFooterSubtitle  \* MERGEFORMAT ">
            <w:r>
              <w:t>Technical Report</w:t>
            </w:r>
          </w:fldSimple>
        </w:p>
      </w:tc>
      <w:tc>
        <w:tcPr>
          <w:tcW w:w="340" w:type="dxa"/>
        </w:tcPr>
        <w:p w14:paraId="24361E11"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787C4006" w14:textId="77777777" w:rsidR="00E52A9A" w:rsidRDefault="00E52A9A">
    <w:pPr>
      <w:pStyle w:val="Footer"/>
    </w:pPr>
  </w:p>
</w:ftr>
</file>

<file path=word/footer1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0B793E6E" w14:textId="77777777" w:rsidTr="00666947">
      <w:trPr>
        <w:trHeight w:val="397"/>
      </w:trPr>
      <w:tc>
        <w:tcPr>
          <w:tcW w:w="340" w:type="dxa"/>
        </w:tcPr>
        <w:p w14:paraId="2F5A278C"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30ABF6C8" w14:textId="3210D7D2" w:rsidR="00E52A9A" w:rsidRDefault="00E52A9A" w:rsidP="00376EF3">
          <w:pPr>
            <w:pStyle w:val="FooterEven"/>
          </w:pPr>
          <w:fldSimple w:instr=" DOCPROPERTY  xFooterTitle  \* MERGEFORMAT ">
            <w:r>
              <w:t>Great Ocean Road Coast and Parks Environmental-Economic Account</w:t>
            </w:r>
          </w:fldSimple>
        </w:p>
        <w:p w14:paraId="50273717" w14:textId="30F00ED7" w:rsidR="00E52A9A" w:rsidRPr="00810C40" w:rsidRDefault="00E52A9A" w:rsidP="00376EF3">
          <w:pPr>
            <w:pStyle w:val="FooterEven"/>
          </w:pPr>
          <w:fldSimple w:instr=" DOCPROPERTY  xFooterSubtitle  \* MERGEFORMAT ">
            <w:r>
              <w:t>Technical Report</w:t>
            </w:r>
          </w:fldSimple>
        </w:p>
      </w:tc>
    </w:tr>
  </w:tbl>
  <w:p w14:paraId="455CC9F8" w14:textId="77777777" w:rsidR="00E52A9A" w:rsidRDefault="00E52A9A" w:rsidP="00376EF3">
    <w:pPr>
      <w:pStyle w:val="FooterEven"/>
    </w:pPr>
  </w:p>
  <w:p w14:paraId="13BCF7ED" w14:textId="77777777" w:rsidR="00E52A9A" w:rsidRDefault="00E52A9A">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5576BD9C" w14:textId="77777777" w:rsidTr="00666947">
      <w:trPr>
        <w:trHeight w:val="397"/>
      </w:trPr>
      <w:tc>
        <w:tcPr>
          <w:tcW w:w="340" w:type="dxa"/>
        </w:tcPr>
        <w:p w14:paraId="4806AA2C"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42BB2404" w14:textId="1EE7A9F8" w:rsidR="00E52A9A" w:rsidRDefault="00E52A9A" w:rsidP="00376EF3">
          <w:pPr>
            <w:pStyle w:val="FooterEven"/>
          </w:pPr>
          <w:fldSimple w:instr=" DOCPROPERTY  xFooterTitle  \* MERGEFORMAT ">
            <w:r>
              <w:t>Great Ocean Road Coast and Parks Environmental-Economic Account</w:t>
            </w:r>
          </w:fldSimple>
        </w:p>
        <w:p w14:paraId="2061729D" w14:textId="4AC71262" w:rsidR="00E52A9A" w:rsidRPr="00810C40" w:rsidRDefault="00E52A9A" w:rsidP="00376EF3">
          <w:pPr>
            <w:pStyle w:val="FooterEven"/>
          </w:pPr>
          <w:fldSimple w:instr=" DOCPROPERTY  xFooterSubtitle  \* MERGEFORMAT ">
            <w:r>
              <w:t>Technical Report</w:t>
            </w:r>
          </w:fldSimple>
        </w:p>
      </w:tc>
    </w:tr>
  </w:tbl>
  <w:p w14:paraId="4754FBF0" w14:textId="77777777" w:rsidR="00E52A9A" w:rsidRDefault="00E52A9A" w:rsidP="00376EF3">
    <w:pPr>
      <w:pStyle w:val="FooterEven"/>
    </w:pPr>
  </w:p>
  <w:p w14:paraId="2252001B" w14:textId="77777777" w:rsidR="00E52A9A" w:rsidRDefault="00E52A9A">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6FCF088C" w14:textId="77777777" w:rsidTr="00666947">
      <w:trPr>
        <w:trHeight w:val="397"/>
      </w:trPr>
      <w:tc>
        <w:tcPr>
          <w:tcW w:w="9071" w:type="dxa"/>
        </w:tcPr>
        <w:p w14:paraId="29D20FC3" w14:textId="5E725E92" w:rsidR="00E52A9A" w:rsidRDefault="00E52A9A" w:rsidP="00376EF3">
          <w:pPr>
            <w:pStyle w:val="FooterOdd"/>
          </w:pPr>
          <w:fldSimple w:instr=" DOCPROPERTY  xFooterTitle  \* MERGEFORMAT ">
            <w:r>
              <w:t>Great Ocean Road Coast and Parks Environmental-Economic Account</w:t>
            </w:r>
          </w:fldSimple>
        </w:p>
        <w:p w14:paraId="7AB36B14" w14:textId="5AECC321" w:rsidR="00E52A9A" w:rsidRPr="00CB1FB7" w:rsidRDefault="00E52A9A" w:rsidP="00376EF3">
          <w:pPr>
            <w:pStyle w:val="FooterOdd"/>
            <w:rPr>
              <w:b/>
            </w:rPr>
          </w:pPr>
          <w:fldSimple w:instr=" DOCPROPERTY  xFooterSubtitle  \* MERGEFORMAT ">
            <w:r>
              <w:t>Technical Report</w:t>
            </w:r>
          </w:fldSimple>
        </w:p>
      </w:tc>
      <w:tc>
        <w:tcPr>
          <w:tcW w:w="340" w:type="dxa"/>
        </w:tcPr>
        <w:p w14:paraId="501FD22E"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7487DAE4" w14:textId="77777777" w:rsidR="00E52A9A" w:rsidRDefault="00E52A9A">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2FEF8D2A" w14:textId="77777777" w:rsidTr="00666947">
      <w:trPr>
        <w:trHeight w:val="397"/>
      </w:trPr>
      <w:tc>
        <w:tcPr>
          <w:tcW w:w="340" w:type="dxa"/>
        </w:tcPr>
        <w:p w14:paraId="10865ECA"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0DEF2CE0" w14:textId="3F991A4B" w:rsidR="00E52A9A" w:rsidRDefault="00E52A9A" w:rsidP="00376EF3">
          <w:pPr>
            <w:pStyle w:val="FooterEven"/>
          </w:pPr>
          <w:fldSimple w:instr=" DOCPROPERTY  xFooterTitle  \* MERGEFORMAT ">
            <w:r>
              <w:t>Great Ocean Road Coast and Parks Environmental-Economic Account</w:t>
            </w:r>
          </w:fldSimple>
        </w:p>
        <w:p w14:paraId="2B993769" w14:textId="65458FC8" w:rsidR="00E52A9A" w:rsidRPr="00810C40" w:rsidRDefault="00E52A9A" w:rsidP="00376EF3">
          <w:pPr>
            <w:pStyle w:val="FooterEven"/>
          </w:pPr>
          <w:fldSimple w:instr=" DOCPROPERTY  xFooterSubtitle  \* MERGEFORMAT ">
            <w:r>
              <w:t>Technical Report</w:t>
            </w:r>
          </w:fldSimple>
        </w:p>
      </w:tc>
    </w:tr>
  </w:tbl>
  <w:p w14:paraId="14074BD1" w14:textId="77777777" w:rsidR="00E52A9A" w:rsidRDefault="00E52A9A" w:rsidP="00376EF3">
    <w:pPr>
      <w:pStyle w:val="FooterEven"/>
    </w:pPr>
  </w:p>
  <w:p w14:paraId="76F4564E" w14:textId="77777777" w:rsidR="00E52A9A" w:rsidRDefault="00E52A9A">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17B81837" w14:textId="77777777" w:rsidTr="00666947">
      <w:trPr>
        <w:trHeight w:val="397"/>
      </w:trPr>
      <w:tc>
        <w:tcPr>
          <w:tcW w:w="9071" w:type="dxa"/>
        </w:tcPr>
        <w:p w14:paraId="27836C20" w14:textId="124B395B" w:rsidR="00E52A9A" w:rsidRDefault="00E52A9A" w:rsidP="00376EF3">
          <w:pPr>
            <w:pStyle w:val="FooterOdd"/>
          </w:pPr>
          <w:fldSimple w:instr=" DOCPROPERTY  xFooterTitle  \* MERGEFORMAT ">
            <w:r>
              <w:t>Great Ocean Road Coast and Parks Environmental-Economic Account</w:t>
            </w:r>
          </w:fldSimple>
        </w:p>
        <w:p w14:paraId="77D7DD6A" w14:textId="4C41B9EC" w:rsidR="00E52A9A" w:rsidRPr="00CB1FB7" w:rsidRDefault="00E52A9A" w:rsidP="00376EF3">
          <w:pPr>
            <w:pStyle w:val="FooterOdd"/>
            <w:rPr>
              <w:b/>
            </w:rPr>
          </w:pPr>
          <w:fldSimple w:instr=" DOCPROPERTY  xFooterSubtitle  \* MERGEFORMAT ">
            <w:r>
              <w:t>Technical Report</w:t>
            </w:r>
          </w:fldSimple>
        </w:p>
      </w:tc>
      <w:tc>
        <w:tcPr>
          <w:tcW w:w="340" w:type="dxa"/>
        </w:tcPr>
        <w:p w14:paraId="2F562AE3"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0C85AFFA" w14:textId="77777777" w:rsidR="00E52A9A" w:rsidRDefault="00E52A9A">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DCE8AA" w14:textId="2B687DB1" w:rsidR="007904E8" w:rsidRPr="00E52A9A" w:rsidRDefault="007904E8" w:rsidP="00E52A9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108B0591" w14:textId="77777777" w:rsidTr="00666947">
      <w:trPr>
        <w:trHeight w:val="397"/>
      </w:trPr>
      <w:tc>
        <w:tcPr>
          <w:tcW w:w="9071" w:type="dxa"/>
        </w:tcPr>
        <w:p w14:paraId="2F338892" w14:textId="74F2F12A" w:rsidR="00E52A9A" w:rsidRDefault="00280AB9" w:rsidP="00376EF3">
          <w:pPr>
            <w:pStyle w:val="FooterOdd"/>
          </w:pPr>
          <w:r>
            <w:rPr>
              <w:noProof/>
            </w:rPr>
            <mc:AlternateContent>
              <mc:Choice Requires="wps">
                <w:drawing>
                  <wp:anchor distT="0" distB="0" distL="114300" distR="114300" simplePos="0" relativeHeight="251658240" behindDoc="0" locked="0" layoutInCell="0" allowOverlap="1" wp14:anchorId="4958F670" wp14:editId="731D8EE3">
                    <wp:simplePos x="0" y="0"/>
                    <wp:positionH relativeFrom="page">
                      <wp:align>center</wp:align>
                    </wp:positionH>
                    <wp:positionV relativeFrom="page">
                      <wp:align>bottom</wp:align>
                    </wp:positionV>
                    <wp:extent cx="7772400" cy="463550"/>
                    <wp:effectExtent l="0" t="0" r="0" b="12700"/>
                    <wp:wrapNone/>
                    <wp:docPr id="40833242" name="Text Box 40833242" descr="{&quot;HashCode&quot;:1862493762,&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6815C8B" w14:textId="70143F94" w:rsidR="00280AB9" w:rsidRPr="00B379D0" w:rsidRDefault="00B379D0" w:rsidP="00B379D0">
                                <w:pPr>
                                  <w:spacing w:before="0" w:after="0"/>
                                  <w:jc w:val="center"/>
                                  <w:rPr>
                                    <w:rFonts w:ascii="Calibri" w:hAnsi="Calibri" w:cs="Calibri"/>
                                    <w:color w:val="000000"/>
                                    <w:sz w:val="24"/>
                                  </w:rPr>
                                </w:pPr>
                                <w:r w:rsidRPr="00B379D0">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4958F670" id="_x0000_t202" coordsize="21600,21600" o:spt="202" path="m,l,21600r21600,l21600,xe">
                    <v:stroke joinstyle="miter"/>
                    <v:path gradientshapeok="t" o:connecttype="rect"/>
                  </v:shapetype>
                  <v:shape id="Text Box 40833242" o:spid="_x0000_s1107" type="#_x0000_t202" alt="{&quot;HashCode&quot;:1862493762,&quot;Height&quot;:9999999.0,&quot;Width&quot;:9999999.0,&quot;Placement&quot;:&quot;Footer&quot;,&quot;Index&quot;:&quot;Primary&quot;,&quot;Section&quot;:1,&quot;Top&quot;:0.0,&quot;Left&quot;:0.0}" style="position:absolute;left:0;text-align:left;margin-left:0;margin-top:0;width:612pt;height:36.5pt;z-index:25165824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K6r&#10;sUgWAgAALQQAAA4AAAAAAAAAAAAAAAAALgIAAGRycy9lMm9Eb2MueG1sUEsBAi0AFAAGAAgAAAAh&#10;AL4fCrfaAAAABQEAAA8AAAAAAAAAAAAAAAAAcAQAAGRycy9kb3ducmV2LnhtbFBLBQYAAAAABAAE&#10;APMAAAB3BQAAAAA=&#10;" o:allowincell="f" filled="f" stroked="f" strokeweight=".5pt">
                    <v:textbox inset=",0,,0">
                      <w:txbxContent>
                        <w:p w14:paraId="16815C8B" w14:textId="70143F94" w:rsidR="00280AB9" w:rsidRPr="00B379D0" w:rsidRDefault="00B379D0" w:rsidP="00B379D0">
                          <w:pPr>
                            <w:spacing w:before="0" w:after="0"/>
                            <w:jc w:val="center"/>
                            <w:rPr>
                              <w:rFonts w:ascii="Calibri" w:hAnsi="Calibri" w:cs="Calibri"/>
                              <w:color w:val="000000"/>
                              <w:sz w:val="24"/>
                            </w:rPr>
                          </w:pPr>
                          <w:r w:rsidRPr="00B379D0">
                            <w:rPr>
                              <w:rFonts w:ascii="Calibri" w:hAnsi="Calibri" w:cs="Calibri"/>
                              <w:color w:val="000000"/>
                              <w:sz w:val="24"/>
                            </w:rPr>
                            <w:t>OFFICIAL</w:t>
                          </w:r>
                        </w:p>
                      </w:txbxContent>
                    </v:textbox>
                    <w10:wrap anchorx="page" anchory="page"/>
                  </v:shape>
                </w:pict>
              </mc:Fallback>
            </mc:AlternateContent>
          </w:r>
          <w:fldSimple w:instr=" DOCPROPERTY  xFooterTitle  \* MERGEFORMAT ">
            <w:r w:rsidR="00E52A9A">
              <w:t>Great Ocean Road Coast and Parks Environmental-Economic Account</w:t>
            </w:r>
          </w:fldSimple>
        </w:p>
        <w:p w14:paraId="670B1F6E" w14:textId="0127E923" w:rsidR="00E52A9A" w:rsidRPr="00CB1FB7" w:rsidRDefault="00E52A9A" w:rsidP="00376EF3">
          <w:pPr>
            <w:pStyle w:val="FooterOdd"/>
            <w:rPr>
              <w:b/>
            </w:rPr>
          </w:pPr>
          <w:fldSimple w:instr=" DOCPROPERTY  xFooterSubtitle  \* MERGEFORMAT ">
            <w:r>
              <w:t>Technical Report</w:t>
            </w:r>
          </w:fldSimple>
        </w:p>
      </w:tc>
      <w:tc>
        <w:tcPr>
          <w:tcW w:w="340" w:type="dxa"/>
        </w:tcPr>
        <w:p w14:paraId="30C1A95C"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406148AB" w14:textId="77777777" w:rsidR="00E52A9A" w:rsidRDefault="00E52A9A">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53250227" w14:textId="77777777" w:rsidTr="00666947">
      <w:trPr>
        <w:trHeight w:val="397"/>
      </w:trPr>
      <w:tc>
        <w:tcPr>
          <w:tcW w:w="340" w:type="dxa"/>
        </w:tcPr>
        <w:p w14:paraId="0AA4B8A8"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6C4CAB64" w14:textId="6D96A38E" w:rsidR="00E52A9A" w:rsidRDefault="00E52A9A" w:rsidP="00376EF3">
          <w:pPr>
            <w:pStyle w:val="FooterEven"/>
          </w:pPr>
          <w:fldSimple w:instr=" DOCPROPERTY  xFooterTitle  \* MERGEFORMAT ">
            <w:r>
              <w:t>Great Ocean Road Coast and Parks Environmental-Economic Account</w:t>
            </w:r>
          </w:fldSimple>
        </w:p>
        <w:p w14:paraId="54581B88" w14:textId="6BAEDE29" w:rsidR="00E52A9A" w:rsidRPr="00810C40" w:rsidRDefault="00E52A9A" w:rsidP="00376EF3">
          <w:pPr>
            <w:pStyle w:val="FooterEven"/>
          </w:pPr>
          <w:fldSimple w:instr=" DOCPROPERTY  xFooterSubtitle  \* MERGEFORMAT ">
            <w:r>
              <w:t>Technical Report</w:t>
            </w:r>
          </w:fldSimple>
        </w:p>
      </w:tc>
    </w:tr>
  </w:tbl>
  <w:p w14:paraId="4DD07286" w14:textId="77777777" w:rsidR="00E52A9A" w:rsidRDefault="00E52A9A" w:rsidP="00376EF3">
    <w:pPr>
      <w:pStyle w:val="FooterEven"/>
    </w:pPr>
  </w:p>
  <w:p w14:paraId="50C66F25" w14:textId="77777777" w:rsidR="00E52A9A" w:rsidRDefault="00E52A9A">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25550265" w14:textId="77777777" w:rsidTr="00666947">
      <w:trPr>
        <w:trHeight w:val="397"/>
      </w:trPr>
      <w:tc>
        <w:tcPr>
          <w:tcW w:w="9071" w:type="dxa"/>
        </w:tcPr>
        <w:p w14:paraId="509625FA" w14:textId="50D1C2E8" w:rsidR="00E52A9A" w:rsidRDefault="00E52A9A" w:rsidP="00376EF3">
          <w:pPr>
            <w:pStyle w:val="FooterOdd"/>
          </w:pPr>
          <w:fldSimple w:instr=" DOCPROPERTY  xFooterTitle  \* MERGEFORMAT ">
            <w:r>
              <w:t>Great Ocean Road Coast and Parks Environmental-Economic Account</w:t>
            </w:r>
          </w:fldSimple>
        </w:p>
        <w:p w14:paraId="2B3BDB23" w14:textId="1BB1AF74" w:rsidR="00E52A9A" w:rsidRPr="00CB1FB7" w:rsidRDefault="00E52A9A" w:rsidP="00376EF3">
          <w:pPr>
            <w:pStyle w:val="FooterOdd"/>
            <w:rPr>
              <w:b/>
            </w:rPr>
          </w:pPr>
          <w:fldSimple w:instr=" DOCPROPERTY  xFooterSubtitle  \* MERGEFORMAT ">
            <w:r>
              <w:t>Technical Report</w:t>
            </w:r>
          </w:fldSimple>
        </w:p>
      </w:tc>
      <w:tc>
        <w:tcPr>
          <w:tcW w:w="340" w:type="dxa"/>
        </w:tcPr>
        <w:p w14:paraId="32529619"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494990D7" w14:textId="77777777" w:rsidR="00E52A9A" w:rsidRDefault="00E52A9A">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6A97663E" w14:textId="77777777" w:rsidTr="00666947">
      <w:trPr>
        <w:trHeight w:val="397"/>
      </w:trPr>
      <w:tc>
        <w:tcPr>
          <w:tcW w:w="340" w:type="dxa"/>
        </w:tcPr>
        <w:p w14:paraId="7554240C"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37F7E043" w14:textId="11556026" w:rsidR="00E52A9A" w:rsidRDefault="00E52A9A" w:rsidP="00376EF3">
          <w:pPr>
            <w:pStyle w:val="FooterEven"/>
          </w:pPr>
          <w:fldSimple w:instr=" DOCPROPERTY  xFooterTitle  \* MERGEFORMAT ">
            <w:r>
              <w:t>Great Ocean Road Coast and Parks Environmental-Economic Account</w:t>
            </w:r>
          </w:fldSimple>
        </w:p>
        <w:p w14:paraId="3B634694" w14:textId="70B2410F" w:rsidR="00E52A9A" w:rsidRPr="00810C40" w:rsidRDefault="00E52A9A" w:rsidP="00376EF3">
          <w:pPr>
            <w:pStyle w:val="FooterEven"/>
          </w:pPr>
          <w:fldSimple w:instr=" DOCPROPERTY  xFooterSubtitle  \* MERGEFORMAT ">
            <w:r>
              <w:t>Technical Report</w:t>
            </w:r>
          </w:fldSimple>
        </w:p>
      </w:tc>
    </w:tr>
  </w:tbl>
  <w:p w14:paraId="4D3A477E" w14:textId="77777777" w:rsidR="00E52A9A" w:rsidRDefault="00E52A9A" w:rsidP="00376EF3">
    <w:pPr>
      <w:pStyle w:val="FooterEven"/>
    </w:pPr>
  </w:p>
  <w:p w14:paraId="4FD586FD" w14:textId="77777777" w:rsidR="00E52A9A" w:rsidRDefault="00E52A9A">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1BB25F9A" w14:textId="77777777" w:rsidTr="00666947">
      <w:trPr>
        <w:trHeight w:val="397"/>
      </w:trPr>
      <w:tc>
        <w:tcPr>
          <w:tcW w:w="9071" w:type="dxa"/>
        </w:tcPr>
        <w:p w14:paraId="4B2B5D6C" w14:textId="187AD2D1" w:rsidR="00E52A9A" w:rsidRDefault="00E52A9A" w:rsidP="00376EF3">
          <w:pPr>
            <w:pStyle w:val="FooterOdd"/>
          </w:pPr>
          <w:fldSimple w:instr=" DOCPROPERTY  xFooterTitle  \* MERGEFORMAT ">
            <w:r>
              <w:t>Great Ocean Road Coast and Parks Environmental-Economic Account</w:t>
            </w:r>
          </w:fldSimple>
        </w:p>
        <w:p w14:paraId="59ABC52F" w14:textId="18F475B3" w:rsidR="00E52A9A" w:rsidRPr="00CB1FB7" w:rsidRDefault="00E52A9A" w:rsidP="00376EF3">
          <w:pPr>
            <w:pStyle w:val="FooterOdd"/>
            <w:rPr>
              <w:b/>
            </w:rPr>
          </w:pPr>
          <w:fldSimple w:instr=" DOCPROPERTY  xFooterSubtitle  \* MERGEFORMAT ">
            <w:r>
              <w:t>Technical Report</w:t>
            </w:r>
          </w:fldSimple>
        </w:p>
      </w:tc>
      <w:tc>
        <w:tcPr>
          <w:tcW w:w="340" w:type="dxa"/>
        </w:tcPr>
        <w:p w14:paraId="2DB88AD2"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250A4B19" w14:textId="77777777" w:rsidR="00E52A9A" w:rsidRDefault="00E52A9A">
    <w:pPr>
      <w:pStyle w:val="Foot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266E1399" w14:textId="77777777" w:rsidTr="00666947">
      <w:trPr>
        <w:trHeight w:val="397"/>
      </w:trPr>
      <w:tc>
        <w:tcPr>
          <w:tcW w:w="340" w:type="dxa"/>
        </w:tcPr>
        <w:p w14:paraId="56E2228E"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3C5498CC" w14:textId="06B17E20" w:rsidR="00E52A9A" w:rsidRDefault="00E52A9A" w:rsidP="00376EF3">
          <w:pPr>
            <w:pStyle w:val="FooterEven"/>
          </w:pPr>
          <w:fldSimple w:instr=" DOCPROPERTY  xFooterTitle  \* MERGEFORMAT ">
            <w:r>
              <w:t>Great Ocean Road Coast and Parks Environmental-Economic Account</w:t>
            </w:r>
          </w:fldSimple>
        </w:p>
        <w:p w14:paraId="1476A394" w14:textId="576E1F31" w:rsidR="00E52A9A" w:rsidRPr="00810C40" w:rsidRDefault="00E52A9A" w:rsidP="00376EF3">
          <w:pPr>
            <w:pStyle w:val="FooterEven"/>
          </w:pPr>
          <w:fldSimple w:instr=" DOCPROPERTY  xFooterSubtitle  \* MERGEFORMAT ">
            <w:r>
              <w:t>Technical Report</w:t>
            </w:r>
          </w:fldSimple>
        </w:p>
      </w:tc>
    </w:tr>
  </w:tbl>
  <w:p w14:paraId="67F29C36" w14:textId="77777777" w:rsidR="00E52A9A" w:rsidRDefault="00E52A9A" w:rsidP="00376EF3">
    <w:pPr>
      <w:pStyle w:val="FooterEven"/>
    </w:pPr>
  </w:p>
  <w:p w14:paraId="615FB655" w14:textId="77777777" w:rsidR="00E52A9A" w:rsidRDefault="00E52A9A">
    <w:pPr>
      <w:pStyle w:val="Foo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14DE6CC1" w14:textId="77777777" w:rsidTr="00666947">
      <w:trPr>
        <w:trHeight w:val="397"/>
      </w:trPr>
      <w:tc>
        <w:tcPr>
          <w:tcW w:w="9071" w:type="dxa"/>
        </w:tcPr>
        <w:p w14:paraId="372B8826" w14:textId="35264254" w:rsidR="00E52A9A" w:rsidRDefault="00E52A9A" w:rsidP="00376EF3">
          <w:pPr>
            <w:pStyle w:val="FooterOdd"/>
          </w:pPr>
          <w:fldSimple w:instr=" DOCPROPERTY  xFooterTitle  \* MERGEFORMAT ">
            <w:r>
              <w:t>Great Ocean Road Coast and Parks Environmental-Economic Account</w:t>
            </w:r>
          </w:fldSimple>
        </w:p>
        <w:p w14:paraId="1C12F36C" w14:textId="71D015D3" w:rsidR="00E52A9A" w:rsidRPr="00CB1FB7" w:rsidRDefault="00E52A9A" w:rsidP="00376EF3">
          <w:pPr>
            <w:pStyle w:val="FooterOdd"/>
            <w:rPr>
              <w:b/>
            </w:rPr>
          </w:pPr>
          <w:fldSimple w:instr=" DOCPROPERTY  xFooterSubtitle  \* MERGEFORMAT ">
            <w:r>
              <w:t>Technical Report</w:t>
            </w:r>
          </w:fldSimple>
        </w:p>
      </w:tc>
      <w:tc>
        <w:tcPr>
          <w:tcW w:w="340" w:type="dxa"/>
        </w:tcPr>
        <w:p w14:paraId="1E113301"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33FEF537" w14:textId="77777777" w:rsidR="00E52A9A" w:rsidRDefault="00E52A9A">
    <w:pPr>
      <w:pStyle w:val="Foo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739A9186" w14:textId="77777777" w:rsidTr="00666947">
      <w:trPr>
        <w:trHeight w:val="397"/>
      </w:trPr>
      <w:tc>
        <w:tcPr>
          <w:tcW w:w="340" w:type="dxa"/>
        </w:tcPr>
        <w:p w14:paraId="1B88A141"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639EEFBC" w14:textId="6DB60A1F" w:rsidR="00E52A9A" w:rsidRDefault="00E52A9A" w:rsidP="00376EF3">
          <w:pPr>
            <w:pStyle w:val="FooterEven"/>
          </w:pPr>
          <w:fldSimple w:instr=" DOCPROPERTY  xFooterTitle  \* MERGEFORMAT ">
            <w:r>
              <w:t>Great Ocean Road Coast and Parks Environmental-Economic Account</w:t>
            </w:r>
          </w:fldSimple>
        </w:p>
        <w:p w14:paraId="635FF72E" w14:textId="0B05780F" w:rsidR="00E52A9A" w:rsidRPr="00810C40" w:rsidRDefault="00E52A9A" w:rsidP="00376EF3">
          <w:pPr>
            <w:pStyle w:val="FooterEven"/>
          </w:pPr>
          <w:fldSimple w:instr=" DOCPROPERTY  xFooterSubtitle  \* MERGEFORMAT ">
            <w:r>
              <w:t>Technical Report</w:t>
            </w:r>
          </w:fldSimple>
        </w:p>
      </w:tc>
    </w:tr>
  </w:tbl>
  <w:p w14:paraId="0BCDBE84" w14:textId="77777777" w:rsidR="00E52A9A" w:rsidRDefault="00E52A9A" w:rsidP="00376EF3">
    <w:pPr>
      <w:pStyle w:val="FooterEven"/>
    </w:pPr>
  </w:p>
  <w:p w14:paraId="6F1272BE" w14:textId="77777777" w:rsidR="00E52A9A" w:rsidRDefault="00E52A9A">
    <w:pPr>
      <w:pStyle w:val="Foote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0C690D1B" w14:textId="77777777" w:rsidTr="00666947">
      <w:trPr>
        <w:trHeight w:val="397"/>
      </w:trPr>
      <w:tc>
        <w:tcPr>
          <w:tcW w:w="9071" w:type="dxa"/>
        </w:tcPr>
        <w:p w14:paraId="7A0F7C3E" w14:textId="488077A6" w:rsidR="00E52A9A" w:rsidRDefault="00E52A9A" w:rsidP="00376EF3">
          <w:pPr>
            <w:pStyle w:val="FooterOdd"/>
          </w:pPr>
          <w:fldSimple w:instr=" DOCPROPERTY  xFooterTitle  \* MERGEFORMAT ">
            <w:r>
              <w:t>Great Ocean Road Coast and Parks Environmental-Economic Account</w:t>
            </w:r>
          </w:fldSimple>
        </w:p>
        <w:p w14:paraId="3F1E3DED" w14:textId="1E5AC6C8" w:rsidR="00E52A9A" w:rsidRPr="00CB1FB7" w:rsidRDefault="00E52A9A" w:rsidP="00376EF3">
          <w:pPr>
            <w:pStyle w:val="FooterOdd"/>
            <w:rPr>
              <w:b/>
            </w:rPr>
          </w:pPr>
          <w:fldSimple w:instr=" DOCPROPERTY  xFooterSubtitle  \* MERGEFORMAT ">
            <w:r>
              <w:t>Technical Report</w:t>
            </w:r>
          </w:fldSimple>
        </w:p>
      </w:tc>
      <w:tc>
        <w:tcPr>
          <w:tcW w:w="340" w:type="dxa"/>
        </w:tcPr>
        <w:p w14:paraId="063A7A0E"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35288A1E" w14:textId="77777777" w:rsidR="00E52A9A" w:rsidRDefault="00E52A9A">
    <w:pPr>
      <w:pStyle w:val="Foot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135D9448" w14:textId="77777777" w:rsidTr="00666947">
      <w:trPr>
        <w:trHeight w:val="397"/>
      </w:trPr>
      <w:tc>
        <w:tcPr>
          <w:tcW w:w="340" w:type="dxa"/>
        </w:tcPr>
        <w:p w14:paraId="5DAF9F49"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357EA749" w14:textId="0D2EADDE" w:rsidR="00E52A9A" w:rsidRDefault="00E52A9A" w:rsidP="00376EF3">
          <w:pPr>
            <w:pStyle w:val="FooterEven"/>
          </w:pPr>
          <w:fldSimple w:instr=" DOCPROPERTY  xFooterTitle  \* MERGEFORMAT ">
            <w:r>
              <w:t>Great Ocean Road Coast and Parks Environmental-Economic Account</w:t>
            </w:r>
          </w:fldSimple>
        </w:p>
        <w:p w14:paraId="56E46759" w14:textId="3140FB4C" w:rsidR="00E52A9A" w:rsidRPr="00810C40" w:rsidRDefault="00E52A9A" w:rsidP="00376EF3">
          <w:pPr>
            <w:pStyle w:val="FooterEven"/>
          </w:pPr>
          <w:fldSimple w:instr=" DOCPROPERTY  xFooterSubtitle  \* MERGEFORMAT ">
            <w:r>
              <w:t>Technical Report</w:t>
            </w:r>
          </w:fldSimple>
        </w:p>
      </w:tc>
    </w:tr>
  </w:tbl>
  <w:p w14:paraId="080E448F" w14:textId="77777777" w:rsidR="00E52A9A" w:rsidRDefault="00E52A9A" w:rsidP="00376EF3">
    <w:pPr>
      <w:pStyle w:val="FooterEven"/>
    </w:pPr>
  </w:p>
  <w:p w14:paraId="2668D07B" w14:textId="77777777" w:rsidR="00E52A9A" w:rsidRDefault="00E52A9A">
    <w:pPr>
      <w:pStyle w:val="Foote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5C0621F5" w14:textId="77777777" w:rsidTr="00666947">
      <w:trPr>
        <w:trHeight w:val="397"/>
      </w:trPr>
      <w:tc>
        <w:tcPr>
          <w:tcW w:w="9071" w:type="dxa"/>
        </w:tcPr>
        <w:p w14:paraId="2031DFCE" w14:textId="738F8586" w:rsidR="00E52A9A" w:rsidRDefault="00E52A9A" w:rsidP="00376EF3">
          <w:pPr>
            <w:pStyle w:val="FooterOdd"/>
          </w:pPr>
          <w:fldSimple w:instr=" DOCPROPERTY  xFooterTitle  \* MERGEFORMAT ">
            <w:r>
              <w:t>Great Ocean Road Coast and Parks Environmental-Economic Account</w:t>
            </w:r>
          </w:fldSimple>
        </w:p>
        <w:p w14:paraId="3463A0C7" w14:textId="48F798D9" w:rsidR="00E52A9A" w:rsidRPr="00CB1FB7" w:rsidRDefault="00E52A9A" w:rsidP="00376EF3">
          <w:pPr>
            <w:pStyle w:val="FooterOdd"/>
            <w:rPr>
              <w:b/>
            </w:rPr>
          </w:pPr>
          <w:fldSimple w:instr=" DOCPROPERTY  xFooterSubtitle  \* MERGEFORMAT ">
            <w:r>
              <w:t>Technical Report</w:t>
            </w:r>
          </w:fldSimple>
        </w:p>
      </w:tc>
      <w:tc>
        <w:tcPr>
          <w:tcW w:w="340" w:type="dxa"/>
        </w:tcPr>
        <w:p w14:paraId="6D1BBBF2"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72519555" w14:textId="77777777" w:rsidR="00E52A9A" w:rsidRDefault="00E52A9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4619D0" w14:textId="5921BD48" w:rsidR="00280AB9" w:rsidRDefault="00280AB9">
    <w:pPr>
      <w:pStyle w:val="Footer"/>
    </w:pPr>
    <w:r>
      <w:rPr>
        <w:noProof/>
      </w:rPr>
      <mc:AlternateContent>
        <mc:Choice Requires="wps">
          <w:drawing>
            <wp:anchor distT="0" distB="0" distL="114300" distR="114300" simplePos="0" relativeHeight="251658241" behindDoc="0" locked="0" layoutInCell="0" allowOverlap="1" wp14:anchorId="42E1525E" wp14:editId="78F300E5">
              <wp:simplePos x="0" y="0"/>
              <wp:positionH relativeFrom="page">
                <wp:align>center</wp:align>
              </wp:positionH>
              <wp:positionV relativeFrom="page">
                <wp:align>bottom</wp:align>
              </wp:positionV>
              <wp:extent cx="7772400" cy="463550"/>
              <wp:effectExtent l="0" t="0" r="0" b="12700"/>
              <wp:wrapNone/>
              <wp:docPr id="1875930760" name="Text Box 1875930760" descr="{&quot;HashCode&quot;:1862493762,&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07C90B5" w14:textId="28FD7B33" w:rsidR="00280AB9" w:rsidRPr="00B379D0" w:rsidRDefault="00B379D0" w:rsidP="00B379D0">
                          <w:pPr>
                            <w:spacing w:before="0" w:after="0"/>
                            <w:jc w:val="center"/>
                            <w:rPr>
                              <w:rFonts w:ascii="Calibri" w:hAnsi="Calibri" w:cs="Calibri"/>
                              <w:color w:val="000000"/>
                              <w:sz w:val="24"/>
                            </w:rPr>
                          </w:pPr>
                          <w:r w:rsidRPr="00B379D0">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42E1525E" id="_x0000_t202" coordsize="21600,21600" o:spt="202" path="m,l,21600r21600,l21600,xe">
              <v:stroke joinstyle="miter"/>
              <v:path gradientshapeok="t" o:connecttype="rect"/>
            </v:shapetype>
            <v:shape id="Text Box 1875930760" o:spid="_x0000_s1108" type="#_x0000_t202" alt="{&quot;HashCode&quot;:1862493762,&quot;Height&quot;:9999999.0,&quot;Width&quot;:9999999.0,&quot;Placement&quot;:&quot;Footer&quot;,&quot;Index&quot;:&quot;FirstPage&quot;,&quot;Section&quot;:1,&quot;Top&quot;:0.0,&quot;Left&quot;:0.0}" style="position:absolute;margin-left:0;margin-top:0;width:612pt;height:36.5pt;z-index:251658241;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33yGQ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n5z22EB1oPUQBua9k8uGZlgJ&#10;H54FEtU0Nsk3PNGhDVAvOFqc1YC//uaP+cQARTnrSDol9z93AhVn5rslbr6Mp9OotXQhA996Nyev&#10;3bX3QKoc0w/iZDJjbjAnUyO0r6TuRexGIWEl9Sy5DHi63IdByvR/SLVYpDTSlRNhZddOxuIRz4jt&#10;S/8q0B0JCETdI5zkJYp3PAy5AxOLXQDdJJIiwgOeR+BJk4m74/8TRf/2nrIuf/n8N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DmzffIZAgAALQQAAA4AAAAAAAAAAAAAAAAALgIAAGRycy9lMm9Eb2MueG1sUEsBAi0AFAAGAAgA&#10;AAAhAL4fCrfaAAAABQEAAA8AAAAAAAAAAAAAAAAAcwQAAGRycy9kb3ducmV2LnhtbFBLBQYAAAAA&#10;BAAEAPMAAAB6BQAAAAA=&#10;" o:allowincell="f" filled="f" stroked="f" strokeweight=".5pt">
              <v:textbox inset=",0,,0">
                <w:txbxContent>
                  <w:p w14:paraId="607C90B5" w14:textId="28FD7B33" w:rsidR="00280AB9" w:rsidRPr="00B379D0" w:rsidRDefault="00B379D0" w:rsidP="00B379D0">
                    <w:pPr>
                      <w:spacing w:before="0" w:after="0"/>
                      <w:jc w:val="center"/>
                      <w:rPr>
                        <w:rFonts w:ascii="Calibri" w:hAnsi="Calibri" w:cs="Calibri"/>
                        <w:color w:val="000000"/>
                        <w:sz w:val="24"/>
                      </w:rPr>
                    </w:pPr>
                    <w:r w:rsidRPr="00B379D0">
                      <w:rPr>
                        <w:rFonts w:ascii="Calibri" w:hAnsi="Calibri" w:cs="Calibri"/>
                        <w:color w:val="000000"/>
                        <w:sz w:val="24"/>
                      </w:rPr>
                      <w:t>OFFICIAL</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469B5499" w14:textId="77777777" w:rsidTr="00666947">
      <w:trPr>
        <w:trHeight w:val="397"/>
      </w:trPr>
      <w:tc>
        <w:tcPr>
          <w:tcW w:w="340" w:type="dxa"/>
        </w:tcPr>
        <w:p w14:paraId="332BB4AF"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2EBF7504" w14:textId="52B9A953" w:rsidR="00E52A9A" w:rsidRDefault="00E52A9A" w:rsidP="00376EF3">
          <w:pPr>
            <w:pStyle w:val="FooterEven"/>
          </w:pPr>
          <w:fldSimple w:instr=" DOCPROPERTY  xFooterTitle  \* MERGEFORMAT ">
            <w:r>
              <w:t>Great Ocean Road Coast and Parks Environmental-Economic Account</w:t>
            </w:r>
          </w:fldSimple>
        </w:p>
        <w:p w14:paraId="01F8F352" w14:textId="500B2039" w:rsidR="00E52A9A" w:rsidRPr="00810C40" w:rsidRDefault="00E52A9A" w:rsidP="00376EF3">
          <w:pPr>
            <w:pStyle w:val="FooterEven"/>
          </w:pPr>
          <w:fldSimple w:instr=" DOCPROPERTY  xFooterSubtitle  \* MERGEFORMAT ">
            <w:r>
              <w:t>Technical Report</w:t>
            </w:r>
          </w:fldSimple>
        </w:p>
      </w:tc>
    </w:tr>
  </w:tbl>
  <w:p w14:paraId="50095A2F" w14:textId="77777777" w:rsidR="00E52A9A" w:rsidRDefault="00E52A9A" w:rsidP="00376EF3">
    <w:pPr>
      <w:pStyle w:val="FooterEven"/>
    </w:pPr>
  </w:p>
  <w:p w14:paraId="11D59D6F" w14:textId="77777777" w:rsidR="00E52A9A" w:rsidRDefault="00E52A9A">
    <w:pPr>
      <w:pStyle w:val="Foote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383BF8B1" w14:textId="77777777" w:rsidTr="00666947">
      <w:trPr>
        <w:trHeight w:val="397"/>
      </w:trPr>
      <w:tc>
        <w:tcPr>
          <w:tcW w:w="9071" w:type="dxa"/>
        </w:tcPr>
        <w:p w14:paraId="26A112AE" w14:textId="53EC13C7" w:rsidR="00E52A9A" w:rsidRDefault="00E52A9A" w:rsidP="00376EF3">
          <w:pPr>
            <w:pStyle w:val="FooterOdd"/>
          </w:pPr>
          <w:fldSimple w:instr=" DOCPROPERTY  xFooterTitle  \* MERGEFORMAT ">
            <w:r>
              <w:t>Great Ocean Road Coast and Parks Environmental-Economic Account</w:t>
            </w:r>
          </w:fldSimple>
        </w:p>
        <w:p w14:paraId="0C567495" w14:textId="2BE9609A" w:rsidR="00E52A9A" w:rsidRPr="00CB1FB7" w:rsidRDefault="00E52A9A" w:rsidP="00376EF3">
          <w:pPr>
            <w:pStyle w:val="FooterOdd"/>
            <w:rPr>
              <w:b/>
            </w:rPr>
          </w:pPr>
          <w:fldSimple w:instr=" DOCPROPERTY  xFooterSubtitle  \* MERGEFORMAT ">
            <w:r>
              <w:t>Technical Report</w:t>
            </w:r>
          </w:fldSimple>
        </w:p>
      </w:tc>
      <w:tc>
        <w:tcPr>
          <w:tcW w:w="340" w:type="dxa"/>
        </w:tcPr>
        <w:p w14:paraId="6BC323A9"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6FC06029" w14:textId="77777777" w:rsidR="00E52A9A" w:rsidRDefault="00E52A9A">
    <w:pPr>
      <w:pStyle w:val="Foote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309D33F8" w14:textId="77777777" w:rsidTr="00666947">
      <w:trPr>
        <w:trHeight w:val="397"/>
      </w:trPr>
      <w:tc>
        <w:tcPr>
          <w:tcW w:w="340" w:type="dxa"/>
        </w:tcPr>
        <w:p w14:paraId="5D39FBC2"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147C3039" w14:textId="6132E21F" w:rsidR="00E52A9A" w:rsidRDefault="00E52A9A" w:rsidP="00376EF3">
          <w:pPr>
            <w:pStyle w:val="FooterEven"/>
          </w:pPr>
          <w:fldSimple w:instr=" DOCPROPERTY  xFooterTitle  \* MERGEFORMAT ">
            <w:r>
              <w:t>Great Ocean Road Coast and Parks Environmental-Economic Account</w:t>
            </w:r>
          </w:fldSimple>
        </w:p>
        <w:p w14:paraId="7B52C003" w14:textId="0D5D5AB8" w:rsidR="00E52A9A" w:rsidRPr="00810C40" w:rsidRDefault="00E52A9A" w:rsidP="00376EF3">
          <w:pPr>
            <w:pStyle w:val="FooterEven"/>
          </w:pPr>
          <w:fldSimple w:instr=" DOCPROPERTY  xFooterSubtitle  \* MERGEFORMAT ">
            <w:r>
              <w:t>Technical Report</w:t>
            </w:r>
          </w:fldSimple>
        </w:p>
      </w:tc>
    </w:tr>
  </w:tbl>
  <w:p w14:paraId="19DF74C2" w14:textId="77777777" w:rsidR="00E52A9A" w:rsidRDefault="00E52A9A" w:rsidP="00376EF3">
    <w:pPr>
      <w:pStyle w:val="FooterEven"/>
    </w:pPr>
  </w:p>
  <w:p w14:paraId="2C8EEAC7" w14:textId="77777777" w:rsidR="00E52A9A" w:rsidRDefault="00E52A9A">
    <w:pPr>
      <w:pStyle w:val="Foote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1C704504" w14:textId="77777777" w:rsidTr="00666947">
      <w:trPr>
        <w:trHeight w:val="397"/>
      </w:trPr>
      <w:tc>
        <w:tcPr>
          <w:tcW w:w="9071" w:type="dxa"/>
        </w:tcPr>
        <w:p w14:paraId="25C29318" w14:textId="5949D33C" w:rsidR="00E52A9A" w:rsidRDefault="00E52A9A" w:rsidP="00376EF3">
          <w:pPr>
            <w:pStyle w:val="FooterOdd"/>
          </w:pPr>
          <w:fldSimple w:instr=" DOCPROPERTY  xFooterTitle  \* MERGEFORMAT ">
            <w:r>
              <w:t>Great Ocean Road Coast and Parks Environmental-Economic Account</w:t>
            </w:r>
          </w:fldSimple>
        </w:p>
        <w:p w14:paraId="3491C0FB" w14:textId="3820CBDF" w:rsidR="00E52A9A" w:rsidRPr="00CB1FB7" w:rsidRDefault="00E52A9A" w:rsidP="00376EF3">
          <w:pPr>
            <w:pStyle w:val="FooterOdd"/>
            <w:rPr>
              <w:b/>
            </w:rPr>
          </w:pPr>
          <w:fldSimple w:instr=" DOCPROPERTY  xFooterSubtitle  \* MERGEFORMAT ">
            <w:r>
              <w:t>Technical Report</w:t>
            </w:r>
          </w:fldSimple>
        </w:p>
      </w:tc>
      <w:tc>
        <w:tcPr>
          <w:tcW w:w="340" w:type="dxa"/>
        </w:tcPr>
        <w:p w14:paraId="56A53F0A"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1A1470E3" w14:textId="77777777" w:rsidR="00E52A9A" w:rsidRDefault="00E52A9A">
    <w:pPr>
      <w:pStyle w:val="Foote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74E547D1" w14:textId="77777777" w:rsidTr="00666947">
      <w:trPr>
        <w:trHeight w:val="397"/>
      </w:trPr>
      <w:tc>
        <w:tcPr>
          <w:tcW w:w="340" w:type="dxa"/>
        </w:tcPr>
        <w:p w14:paraId="017C16FA"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108A1544" w14:textId="7DDB6971" w:rsidR="00E52A9A" w:rsidRDefault="00E52A9A" w:rsidP="00376EF3">
          <w:pPr>
            <w:pStyle w:val="FooterEven"/>
          </w:pPr>
          <w:fldSimple w:instr=" DOCPROPERTY  xFooterTitle  \* MERGEFORMAT ">
            <w:r>
              <w:t>Great Ocean Road Coast and Parks Environmental-Economic Account</w:t>
            </w:r>
          </w:fldSimple>
        </w:p>
        <w:p w14:paraId="1C5E9E22" w14:textId="07E519D9" w:rsidR="00E52A9A" w:rsidRPr="00810C40" w:rsidRDefault="00E52A9A" w:rsidP="00376EF3">
          <w:pPr>
            <w:pStyle w:val="FooterEven"/>
          </w:pPr>
          <w:fldSimple w:instr=" DOCPROPERTY  xFooterSubtitle  \* MERGEFORMAT ">
            <w:r>
              <w:t>Technical Report</w:t>
            </w:r>
          </w:fldSimple>
        </w:p>
      </w:tc>
    </w:tr>
  </w:tbl>
  <w:p w14:paraId="1B010DBC" w14:textId="77777777" w:rsidR="00E52A9A" w:rsidRDefault="00E52A9A" w:rsidP="00376EF3">
    <w:pPr>
      <w:pStyle w:val="FooterEven"/>
    </w:pPr>
  </w:p>
  <w:p w14:paraId="12789747" w14:textId="77777777" w:rsidR="00E52A9A" w:rsidRDefault="00E52A9A">
    <w:pPr>
      <w:pStyle w:val="Foote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74ACD259" w14:textId="77777777" w:rsidTr="00666947">
      <w:trPr>
        <w:trHeight w:val="397"/>
      </w:trPr>
      <w:tc>
        <w:tcPr>
          <w:tcW w:w="9071" w:type="dxa"/>
        </w:tcPr>
        <w:p w14:paraId="3733737E" w14:textId="6DD4ECB4" w:rsidR="00E52A9A" w:rsidRDefault="00E52A9A" w:rsidP="00376EF3">
          <w:pPr>
            <w:pStyle w:val="FooterOdd"/>
          </w:pPr>
          <w:fldSimple w:instr=" DOCPROPERTY  xFooterTitle  \* MERGEFORMAT ">
            <w:r>
              <w:t>Great Ocean Road Coast and Parks Environmental-Economic Account</w:t>
            </w:r>
          </w:fldSimple>
        </w:p>
        <w:p w14:paraId="4BE26A7C" w14:textId="665C642E" w:rsidR="00E52A9A" w:rsidRPr="00CB1FB7" w:rsidRDefault="00E52A9A" w:rsidP="00376EF3">
          <w:pPr>
            <w:pStyle w:val="FooterOdd"/>
            <w:rPr>
              <w:b/>
            </w:rPr>
          </w:pPr>
          <w:fldSimple w:instr=" DOCPROPERTY  xFooterSubtitle  \* MERGEFORMAT ">
            <w:r>
              <w:t>Technical Report</w:t>
            </w:r>
          </w:fldSimple>
        </w:p>
      </w:tc>
      <w:tc>
        <w:tcPr>
          <w:tcW w:w="340" w:type="dxa"/>
        </w:tcPr>
        <w:p w14:paraId="481BFC5A"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250E8F61" w14:textId="77777777" w:rsidR="00E52A9A" w:rsidRDefault="00E52A9A">
    <w:pPr>
      <w:pStyle w:val="Foote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10E53932" w14:textId="77777777" w:rsidTr="00666947">
      <w:trPr>
        <w:trHeight w:val="397"/>
      </w:trPr>
      <w:tc>
        <w:tcPr>
          <w:tcW w:w="340" w:type="dxa"/>
        </w:tcPr>
        <w:p w14:paraId="3F8F9350"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02134998" w14:textId="0B2B69B4" w:rsidR="00E52A9A" w:rsidRDefault="00E52A9A" w:rsidP="00376EF3">
          <w:pPr>
            <w:pStyle w:val="FooterEven"/>
          </w:pPr>
          <w:fldSimple w:instr=" DOCPROPERTY  xFooterTitle  \* MERGEFORMAT ">
            <w:r>
              <w:t>Great Ocean Road Coast and Parks Environmental-Economic Account</w:t>
            </w:r>
          </w:fldSimple>
        </w:p>
        <w:p w14:paraId="38FB046A" w14:textId="03D9CD69" w:rsidR="00E52A9A" w:rsidRPr="00810C40" w:rsidRDefault="00E52A9A" w:rsidP="00376EF3">
          <w:pPr>
            <w:pStyle w:val="FooterEven"/>
          </w:pPr>
          <w:fldSimple w:instr=" DOCPROPERTY  xFooterSubtitle  \* MERGEFORMAT ">
            <w:r>
              <w:t>Technical Report</w:t>
            </w:r>
          </w:fldSimple>
        </w:p>
      </w:tc>
    </w:tr>
  </w:tbl>
  <w:p w14:paraId="44CFDFBF" w14:textId="77777777" w:rsidR="00E52A9A" w:rsidRDefault="00E52A9A" w:rsidP="00376EF3">
    <w:pPr>
      <w:pStyle w:val="FooterEven"/>
    </w:pPr>
  </w:p>
  <w:p w14:paraId="75C77F25" w14:textId="77777777" w:rsidR="00E52A9A" w:rsidRDefault="00E52A9A">
    <w:pPr>
      <w:pStyle w:val="Foote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39EACFBD" w14:textId="77777777" w:rsidTr="00666947">
      <w:trPr>
        <w:trHeight w:val="397"/>
      </w:trPr>
      <w:tc>
        <w:tcPr>
          <w:tcW w:w="9071" w:type="dxa"/>
        </w:tcPr>
        <w:p w14:paraId="0ABBE236" w14:textId="1419C4F8" w:rsidR="00E52A9A" w:rsidRDefault="00E52A9A" w:rsidP="00376EF3">
          <w:pPr>
            <w:pStyle w:val="FooterOdd"/>
          </w:pPr>
          <w:fldSimple w:instr=" DOCPROPERTY  xFooterTitle  \* MERGEFORMAT ">
            <w:r>
              <w:t>Great Ocean Road Coast and Parks Environmental-Economic Account</w:t>
            </w:r>
          </w:fldSimple>
        </w:p>
        <w:p w14:paraId="64E1EF5B" w14:textId="6FFC5D2E" w:rsidR="00E52A9A" w:rsidRPr="00CB1FB7" w:rsidRDefault="00E52A9A" w:rsidP="00376EF3">
          <w:pPr>
            <w:pStyle w:val="FooterOdd"/>
            <w:rPr>
              <w:b/>
            </w:rPr>
          </w:pPr>
          <w:fldSimple w:instr=" DOCPROPERTY  xFooterSubtitle  \* MERGEFORMAT ">
            <w:r>
              <w:t>Technical Report</w:t>
            </w:r>
          </w:fldSimple>
        </w:p>
      </w:tc>
      <w:tc>
        <w:tcPr>
          <w:tcW w:w="340" w:type="dxa"/>
        </w:tcPr>
        <w:p w14:paraId="4AA869AC"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003060DA" w14:textId="77777777" w:rsidR="00E52A9A" w:rsidRDefault="00E52A9A">
    <w:pPr>
      <w:pStyle w:val="Foote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66DF9F1E" w14:textId="77777777" w:rsidTr="00666947">
      <w:trPr>
        <w:trHeight w:val="397"/>
      </w:trPr>
      <w:tc>
        <w:tcPr>
          <w:tcW w:w="340" w:type="dxa"/>
        </w:tcPr>
        <w:p w14:paraId="3DC4ECBE"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46BAFE9A" w14:textId="6C2437C2" w:rsidR="00E52A9A" w:rsidRDefault="00E52A9A" w:rsidP="00376EF3">
          <w:pPr>
            <w:pStyle w:val="FooterEven"/>
          </w:pPr>
          <w:fldSimple w:instr=" DOCPROPERTY  xFooterTitle  \* MERGEFORMAT ">
            <w:r>
              <w:t>Great Ocean Road Coast and Parks Environmental-Economic Account</w:t>
            </w:r>
          </w:fldSimple>
        </w:p>
        <w:p w14:paraId="0EC64206" w14:textId="63CFB8DB" w:rsidR="00E52A9A" w:rsidRPr="00810C40" w:rsidRDefault="00E52A9A" w:rsidP="00376EF3">
          <w:pPr>
            <w:pStyle w:val="FooterEven"/>
          </w:pPr>
          <w:fldSimple w:instr=" DOCPROPERTY  xFooterSubtitle  \* MERGEFORMAT ">
            <w:r>
              <w:t>Technical Report</w:t>
            </w:r>
          </w:fldSimple>
        </w:p>
      </w:tc>
    </w:tr>
  </w:tbl>
  <w:p w14:paraId="2BE831EB" w14:textId="77777777" w:rsidR="00E52A9A" w:rsidRDefault="00E52A9A" w:rsidP="00376EF3">
    <w:pPr>
      <w:pStyle w:val="FooterEven"/>
    </w:pPr>
  </w:p>
  <w:p w14:paraId="05CFCD0E" w14:textId="77777777" w:rsidR="00E52A9A" w:rsidRDefault="00E52A9A">
    <w:pPr>
      <w:pStyle w:val="Foote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7F7D0456" w14:textId="77777777" w:rsidTr="00666947">
      <w:trPr>
        <w:trHeight w:val="397"/>
      </w:trPr>
      <w:tc>
        <w:tcPr>
          <w:tcW w:w="9071" w:type="dxa"/>
        </w:tcPr>
        <w:p w14:paraId="3B728D8E" w14:textId="25DF22B8" w:rsidR="00E52A9A" w:rsidRDefault="00E52A9A" w:rsidP="00376EF3">
          <w:pPr>
            <w:pStyle w:val="FooterOdd"/>
          </w:pPr>
          <w:fldSimple w:instr=" DOCPROPERTY  xFooterTitle  \* MERGEFORMAT ">
            <w:r>
              <w:t>Great Ocean Road Coast and Parks Environmental-Economic Account</w:t>
            </w:r>
          </w:fldSimple>
        </w:p>
        <w:p w14:paraId="34AD4C1D" w14:textId="4ED0DD41" w:rsidR="00E52A9A" w:rsidRPr="00CB1FB7" w:rsidRDefault="00E52A9A" w:rsidP="00376EF3">
          <w:pPr>
            <w:pStyle w:val="FooterOdd"/>
            <w:rPr>
              <w:b/>
            </w:rPr>
          </w:pPr>
          <w:fldSimple w:instr=" DOCPROPERTY  xFooterSubtitle  \* MERGEFORMAT ">
            <w:r>
              <w:t>Technical Report</w:t>
            </w:r>
          </w:fldSimple>
        </w:p>
      </w:tc>
      <w:tc>
        <w:tcPr>
          <w:tcW w:w="340" w:type="dxa"/>
        </w:tcPr>
        <w:p w14:paraId="774DD1F8"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7A1C5126" w14:textId="77777777" w:rsidR="00E52A9A" w:rsidRDefault="00E52A9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1F731B8F" w14:textId="77777777" w:rsidTr="00666947">
      <w:trPr>
        <w:trHeight w:val="397"/>
      </w:trPr>
      <w:tc>
        <w:tcPr>
          <w:tcW w:w="340" w:type="dxa"/>
        </w:tcPr>
        <w:p w14:paraId="7B127FE3"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0FC10FFE" w14:textId="7D47A252" w:rsidR="00E52A9A" w:rsidRDefault="00E52A9A" w:rsidP="00376EF3">
          <w:pPr>
            <w:pStyle w:val="FooterEven"/>
          </w:pPr>
          <w:fldSimple w:instr=" DOCPROPERTY  xFooterTitle  \* MERGEFORMAT ">
            <w:r>
              <w:t>Great Ocean Road Coast and Parks Environmental-Economic Account</w:t>
            </w:r>
          </w:fldSimple>
        </w:p>
        <w:p w14:paraId="7C8F45BB" w14:textId="51F99A0E" w:rsidR="00E52A9A" w:rsidRPr="00810C40" w:rsidRDefault="00E52A9A" w:rsidP="00376EF3">
          <w:pPr>
            <w:pStyle w:val="FooterEven"/>
          </w:pPr>
          <w:fldSimple w:instr=" DOCPROPERTY  xFooterSubtitle  \* MERGEFORMAT ">
            <w:r>
              <w:t>Technical Report</w:t>
            </w:r>
          </w:fldSimple>
        </w:p>
      </w:tc>
    </w:tr>
  </w:tbl>
  <w:p w14:paraId="1DF503E9" w14:textId="77777777" w:rsidR="00E52A9A" w:rsidRDefault="00E52A9A" w:rsidP="00376EF3">
    <w:pPr>
      <w:pStyle w:val="FooterEven"/>
    </w:pPr>
  </w:p>
  <w:p w14:paraId="5BA3B5A5" w14:textId="77777777" w:rsidR="00E52A9A" w:rsidRDefault="00E52A9A">
    <w:pPr>
      <w:pStyle w:val="Foote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713A0526" w14:textId="77777777" w:rsidTr="00666947">
      <w:trPr>
        <w:trHeight w:val="397"/>
      </w:trPr>
      <w:tc>
        <w:tcPr>
          <w:tcW w:w="340" w:type="dxa"/>
        </w:tcPr>
        <w:p w14:paraId="565FAC51"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2F6290A5" w14:textId="3C874735" w:rsidR="00E52A9A" w:rsidRDefault="00E52A9A" w:rsidP="00376EF3">
          <w:pPr>
            <w:pStyle w:val="FooterEven"/>
          </w:pPr>
          <w:fldSimple w:instr=" DOCPROPERTY  xFooterTitle  \* MERGEFORMAT ">
            <w:r>
              <w:t>Great Ocean Road Coast and Parks Environmental-Economic Account</w:t>
            </w:r>
          </w:fldSimple>
        </w:p>
        <w:p w14:paraId="7353CF06" w14:textId="659B9150" w:rsidR="00E52A9A" w:rsidRPr="00810C40" w:rsidRDefault="00E52A9A" w:rsidP="00376EF3">
          <w:pPr>
            <w:pStyle w:val="FooterEven"/>
          </w:pPr>
          <w:fldSimple w:instr=" DOCPROPERTY  xFooterSubtitle  \* MERGEFORMAT ">
            <w:r>
              <w:t>Technical Report</w:t>
            </w:r>
          </w:fldSimple>
        </w:p>
      </w:tc>
    </w:tr>
  </w:tbl>
  <w:p w14:paraId="59E47944" w14:textId="77777777" w:rsidR="00E52A9A" w:rsidRDefault="00E52A9A" w:rsidP="00376EF3">
    <w:pPr>
      <w:pStyle w:val="FooterEven"/>
    </w:pPr>
  </w:p>
  <w:p w14:paraId="2D0D064A" w14:textId="77777777" w:rsidR="00E52A9A" w:rsidRDefault="00E52A9A">
    <w:pPr>
      <w:pStyle w:val="Foote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7067265C" w14:textId="77777777" w:rsidTr="00666947">
      <w:trPr>
        <w:trHeight w:val="397"/>
      </w:trPr>
      <w:tc>
        <w:tcPr>
          <w:tcW w:w="9071" w:type="dxa"/>
        </w:tcPr>
        <w:p w14:paraId="5320C5D2" w14:textId="1E3F98BC" w:rsidR="00E52A9A" w:rsidRDefault="00E52A9A" w:rsidP="00376EF3">
          <w:pPr>
            <w:pStyle w:val="FooterOdd"/>
          </w:pPr>
          <w:fldSimple w:instr=" DOCPROPERTY  xFooterTitle  \* MERGEFORMAT ">
            <w:r>
              <w:t>Great Ocean Road Coast and Parks Environmental-Economic Account</w:t>
            </w:r>
          </w:fldSimple>
        </w:p>
        <w:p w14:paraId="2B51DF4F" w14:textId="2529F9C4" w:rsidR="00E52A9A" w:rsidRPr="00CB1FB7" w:rsidRDefault="00E52A9A" w:rsidP="00376EF3">
          <w:pPr>
            <w:pStyle w:val="FooterOdd"/>
            <w:rPr>
              <w:b/>
            </w:rPr>
          </w:pPr>
          <w:fldSimple w:instr=" DOCPROPERTY  xFooterSubtitle  \* MERGEFORMAT ">
            <w:r>
              <w:t>Technical Report</w:t>
            </w:r>
          </w:fldSimple>
        </w:p>
      </w:tc>
      <w:tc>
        <w:tcPr>
          <w:tcW w:w="340" w:type="dxa"/>
        </w:tcPr>
        <w:p w14:paraId="7EF0A141"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4037790E" w14:textId="77777777" w:rsidR="00E52A9A" w:rsidRDefault="00E52A9A">
    <w:pPr>
      <w:pStyle w:val="Footer"/>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56105860" w14:textId="77777777" w:rsidTr="00666947">
      <w:trPr>
        <w:trHeight w:val="397"/>
      </w:trPr>
      <w:tc>
        <w:tcPr>
          <w:tcW w:w="340" w:type="dxa"/>
        </w:tcPr>
        <w:p w14:paraId="6FD072BD"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2ACEA0B1" w14:textId="06E52193" w:rsidR="00E52A9A" w:rsidRDefault="00E52A9A" w:rsidP="00376EF3">
          <w:pPr>
            <w:pStyle w:val="FooterEven"/>
          </w:pPr>
          <w:fldSimple w:instr=" DOCPROPERTY  xFooterTitle  \* MERGEFORMAT ">
            <w:r>
              <w:t>Great Ocean Road Coast and Parks Environmental-Economic Account</w:t>
            </w:r>
          </w:fldSimple>
        </w:p>
        <w:p w14:paraId="53F76CA8" w14:textId="4F13D6C6" w:rsidR="00E52A9A" w:rsidRPr="00810C40" w:rsidRDefault="00E52A9A" w:rsidP="00376EF3">
          <w:pPr>
            <w:pStyle w:val="FooterEven"/>
          </w:pPr>
          <w:fldSimple w:instr=" DOCPROPERTY  xFooterSubtitle  \* MERGEFORMAT ">
            <w:r>
              <w:t>Technical Report</w:t>
            </w:r>
          </w:fldSimple>
        </w:p>
      </w:tc>
    </w:tr>
  </w:tbl>
  <w:p w14:paraId="4C1B3191" w14:textId="77777777" w:rsidR="00E52A9A" w:rsidRDefault="00E52A9A" w:rsidP="00376EF3">
    <w:pPr>
      <w:pStyle w:val="FooterEven"/>
    </w:pPr>
  </w:p>
  <w:p w14:paraId="4A496795" w14:textId="77777777" w:rsidR="00E52A9A" w:rsidRDefault="00E52A9A">
    <w:pPr>
      <w:pStyle w:val="Foote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657B2AA4" w14:textId="77777777" w:rsidTr="00666947">
      <w:trPr>
        <w:trHeight w:val="397"/>
      </w:trPr>
      <w:tc>
        <w:tcPr>
          <w:tcW w:w="9071" w:type="dxa"/>
        </w:tcPr>
        <w:p w14:paraId="4F659882" w14:textId="447955C2" w:rsidR="00E52A9A" w:rsidRDefault="00E52A9A" w:rsidP="00376EF3">
          <w:pPr>
            <w:pStyle w:val="FooterOdd"/>
          </w:pPr>
          <w:fldSimple w:instr=" DOCPROPERTY  xFooterTitle  \* MERGEFORMAT ">
            <w:r>
              <w:t>Great Ocean Road Coast and Parks Environmental-Economic Account</w:t>
            </w:r>
          </w:fldSimple>
        </w:p>
        <w:p w14:paraId="079888E0" w14:textId="724F85E4" w:rsidR="00E52A9A" w:rsidRPr="00CB1FB7" w:rsidRDefault="00E52A9A" w:rsidP="00376EF3">
          <w:pPr>
            <w:pStyle w:val="FooterOdd"/>
            <w:rPr>
              <w:b/>
            </w:rPr>
          </w:pPr>
          <w:fldSimple w:instr=" DOCPROPERTY  xFooterSubtitle  \* MERGEFORMAT ">
            <w:r>
              <w:t>Technical Report</w:t>
            </w:r>
          </w:fldSimple>
        </w:p>
      </w:tc>
      <w:tc>
        <w:tcPr>
          <w:tcW w:w="340" w:type="dxa"/>
        </w:tcPr>
        <w:p w14:paraId="01C7B519"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411FB603" w14:textId="77777777" w:rsidR="00E52A9A" w:rsidRDefault="00E52A9A">
    <w:pPr>
      <w:pStyle w:val="Foote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679DC776" w14:textId="77777777" w:rsidTr="00666947">
      <w:trPr>
        <w:trHeight w:val="397"/>
      </w:trPr>
      <w:tc>
        <w:tcPr>
          <w:tcW w:w="340" w:type="dxa"/>
        </w:tcPr>
        <w:p w14:paraId="16C616E1"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486883AA" w14:textId="5A3C70EE" w:rsidR="00E52A9A" w:rsidRDefault="00E52A9A" w:rsidP="00376EF3">
          <w:pPr>
            <w:pStyle w:val="FooterEven"/>
          </w:pPr>
          <w:fldSimple w:instr=" DOCPROPERTY  xFooterTitle  \* MERGEFORMAT ">
            <w:r>
              <w:t>Great Ocean Road Coast and Parks Environmental-Economic Account</w:t>
            </w:r>
          </w:fldSimple>
        </w:p>
        <w:p w14:paraId="6C8FE6FF" w14:textId="395CE9A9" w:rsidR="00E52A9A" w:rsidRPr="00810C40" w:rsidRDefault="00E52A9A" w:rsidP="00376EF3">
          <w:pPr>
            <w:pStyle w:val="FooterEven"/>
          </w:pPr>
          <w:fldSimple w:instr=" DOCPROPERTY  xFooterSubtitle  \* MERGEFORMAT ">
            <w:r>
              <w:t>Technical Report</w:t>
            </w:r>
          </w:fldSimple>
        </w:p>
      </w:tc>
    </w:tr>
  </w:tbl>
  <w:p w14:paraId="2AF9D967" w14:textId="77777777" w:rsidR="00E52A9A" w:rsidRDefault="00E52A9A" w:rsidP="00376EF3">
    <w:pPr>
      <w:pStyle w:val="FooterEven"/>
    </w:pPr>
  </w:p>
  <w:p w14:paraId="4E160E99" w14:textId="77777777" w:rsidR="00E52A9A" w:rsidRDefault="00E52A9A">
    <w:pPr>
      <w:pStyle w:val="Footer"/>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7C9A4EC3" w14:textId="77777777" w:rsidTr="00666947">
      <w:trPr>
        <w:trHeight w:val="397"/>
      </w:trPr>
      <w:tc>
        <w:tcPr>
          <w:tcW w:w="9071" w:type="dxa"/>
        </w:tcPr>
        <w:p w14:paraId="1EC14CA8" w14:textId="374AAD81" w:rsidR="00E52A9A" w:rsidRDefault="00E52A9A" w:rsidP="00376EF3">
          <w:pPr>
            <w:pStyle w:val="FooterOdd"/>
          </w:pPr>
          <w:fldSimple w:instr=" DOCPROPERTY  xFooterTitle  \* MERGEFORMAT ">
            <w:r>
              <w:t>Great Ocean Road Coast and Parks Environmental-Economic Account</w:t>
            </w:r>
          </w:fldSimple>
        </w:p>
        <w:p w14:paraId="78A6929C" w14:textId="5791FDE5" w:rsidR="00E52A9A" w:rsidRPr="00CB1FB7" w:rsidRDefault="00E52A9A" w:rsidP="00376EF3">
          <w:pPr>
            <w:pStyle w:val="FooterOdd"/>
            <w:rPr>
              <w:b/>
            </w:rPr>
          </w:pPr>
          <w:fldSimple w:instr=" DOCPROPERTY  xFooterSubtitle  \* MERGEFORMAT ">
            <w:r>
              <w:t>Technical Report</w:t>
            </w:r>
          </w:fldSimple>
        </w:p>
      </w:tc>
      <w:tc>
        <w:tcPr>
          <w:tcW w:w="340" w:type="dxa"/>
        </w:tcPr>
        <w:p w14:paraId="295352C0"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46CC85D3" w14:textId="77777777" w:rsidR="00E52A9A" w:rsidRDefault="00E52A9A">
    <w:pPr>
      <w:pStyle w:val="Foote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6D0BDE34" w14:textId="77777777" w:rsidTr="00666947">
      <w:trPr>
        <w:trHeight w:val="397"/>
      </w:trPr>
      <w:tc>
        <w:tcPr>
          <w:tcW w:w="340" w:type="dxa"/>
        </w:tcPr>
        <w:p w14:paraId="51EF209A"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5DC2A828" w14:textId="57A76F58" w:rsidR="00E52A9A" w:rsidRDefault="00E52A9A" w:rsidP="00376EF3">
          <w:pPr>
            <w:pStyle w:val="FooterEven"/>
          </w:pPr>
          <w:fldSimple w:instr=" DOCPROPERTY  xFooterTitle  \* MERGEFORMAT ">
            <w:r>
              <w:t>Great Ocean Road Coast and Parks Environmental-Economic Account</w:t>
            </w:r>
          </w:fldSimple>
        </w:p>
        <w:p w14:paraId="0FB9FC2C" w14:textId="11F5BC26" w:rsidR="00E52A9A" w:rsidRPr="00810C40" w:rsidRDefault="00E52A9A" w:rsidP="00376EF3">
          <w:pPr>
            <w:pStyle w:val="FooterEven"/>
          </w:pPr>
          <w:fldSimple w:instr=" DOCPROPERTY  xFooterSubtitle  \* MERGEFORMAT ">
            <w:r>
              <w:t>Technical Report</w:t>
            </w:r>
          </w:fldSimple>
        </w:p>
      </w:tc>
    </w:tr>
  </w:tbl>
  <w:p w14:paraId="7B584FE5" w14:textId="77777777" w:rsidR="00E52A9A" w:rsidRDefault="00E52A9A" w:rsidP="00376EF3">
    <w:pPr>
      <w:pStyle w:val="FooterEven"/>
    </w:pPr>
  </w:p>
  <w:p w14:paraId="05FE10B0" w14:textId="77777777" w:rsidR="00E52A9A" w:rsidRDefault="00E52A9A">
    <w:pPr>
      <w:pStyle w:val="Foote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315F3A6D" w14:textId="77777777" w:rsidTr="00666947">
      <w:trPr>
        <w:trHeight w:val="397"/>
      </w:trPr>
      <w:tc>
        <w:tcPr>
          <w:tcW w:w="9071" w:type="dxa"/>
        </w:tcPr>
        <w:p w14:paraId="4E2FD8F1" w14:textId="3020B445" w:rsidR="00E52A9A" w:rsidRDefault="00E52A9A" w:rsidP="00376EF3">
          <w:pPr>
            <w:pStyle w:val="FooterOdd"/>
          </w:pPr>
          <w:fldSimple w:instr=" DOCPROPERTY  xFooterTitle  \* MERGEFORMAT ">
            <w:r>
              <w:t>Great Ocean Road Coast and Parks Environmental-Economic Account</w:t>
            </w:r>
          </w:fldSimple>
        </w:p>
        <w:p w14:paraId="1CA27A55" w14:textId="1A3FA8A4" w:rsidR="00E52A9A" w:rsidRPr="00CB1FB7" w:rsidRDefault="00E52A9A" w:rsidP="00376EF3">
          <w:pPr>
            <w:pStyle w:val="FooterOdd"/>
            <w:rPr>
              <w:b/>
            </w:rPr>
          </w:pPr>
          <w:fldSimple w:instr=" DOCPROPERTY  xFooterSubtitle  \* MERGEFORMAT ">
            <w:r>
              <w:t>Technical Report</w:t>
            </w:r>
          </w:fldSimple>
        </w:p>
      </w:tc>
      <w:tc>
        <w:tcPr>
          <w:tcW w:w="340" w:type="dxa"/>
        </w:tcPr>
        <w:p w14:paraId="203BCE1F"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2D514629" w14:textId="77777777" w:rsidR="00E52A9A" w:rsidRDefault="00E52A9A">
    <w:pPr>
      <w:pStyle w:val="Footer"/>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125D3DDC" w14:textId="77777777" w:rsidTr="00666947">
      <w:trPr>
        <w:trHeight w:val="397"/>
      </w:trPr>
      <w:tc>
        <w:tcPr>
          <w:tcW w:w="340" w:type="dxa"/>
        </w:tcPr>
        <w:p w14:paraId="667C471C"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48C0F61B" w14:textId="405FEEAB" w:rsidR="00E52A9A" w:rsidRDefault="00E52A9A" w:rsidP="00376EF3">
          <w:pPr>
            <w:pStyle w:val="FooterEven"/>
          </w:pPr>
          <w:fldSimple w:instr=" DOCPROPERTY  xFooterTitle  \* MERGEFORMAT ">
            <w:r>
              <w:t>Great Ocean Road Coast and Parks Environmental-Economic Account</w:t>
            </w:r>
          </w:fldSimple>
        </w:p>
        <w:p w14:paraId="2DAE4A18" w14:textId="1F20B6EB" w:rsidR="00E52A9A" w:rsidRPr="00810C40" w:rsidRDefault="00E52A9A" w:rsidP="00376EF3">
          <w:pPr>
            <w:pStyle w:val="FooterEven"/>
          </w:pPr>
          <w:fldSimple w:instr=" DOCPROPERTY  xFooterSubtitle  \* MERGEFORMAT ">
            <w:r>
              <w:t>Technical Report</w:t>
            </w:r>
          </w:fldSimple>
        </w:p>
      </w:tc>
    </w:tr>
  </w:tbl>
  <w:p w14:paraId="1E1ACACF" w14:textId="77777777" w:rsidR="00E52A9A" w:rsidRDefault="00E52A9A" w:rsidP="00376EF3">
    <w:pPr>
      <w:pStyle w:val="FooterEven"/>
    </w:pPr>
  </w:p>
  <w:p w14:paraId="04E32F49" w14:textId="77777777" w:rsidR="00E52A9A" w:rsidRDefault="00E52A9A">
    <w:pPr>
      <w:pStyle w:val="Footer"/>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40CFDF16" w14:textId="77777777" w:rsidTr="00666947">
      <w:trPr>
        <w:trHeight w:val="397"/>
      </w:trPr>
      <w:tc>
        <w:tcPr>
          <w:tcW w:w="9071" w:type="dxa"/>
        </w:tcPr>
        <w:p w14:paraId="1A66B974" w14:textId="58053461" w:rsidR="00E52A9A" w:rsidRDefault="00E52A9A" w:rsidP="00376EF3">
          <w:pPr>
            <w:pStyle w:val="FooterOdd"/>
          </w:pPr>
          <w:fldSimple w:instr=" DOCPROPERTY  xFooterTitle  \* MERGEFORMAT ">
            <w:r>
              <w:t>Great Ocean Road Coast and Parks Environmental-Economic Account</w:t>
            </w:r>
          </w:fldSimple>
        </w:p>
        <w:p w14:paraId="71E552C8" w14:textId="45764D32" w:rsidR="00E52A9A" w:rsidRPr="00CB1FB7" w:rsidRDefault="00E52A9A" w:rsidP="00376EF3">
          <w:pPr>
            <w:pStyle w:val="FooterOdd"/>
            <w:rPr>
              <w:b/>
            </w:rPr>
          </w:pPr>
          <w:fldSimple w:instr=" DOCPROPERTY  xFooterSubtitle  \* MERGEFORMAT ">
            <w:r>
              <w:t>Technical Report</w:t>
            </w:r>
          </w:fldSimple>
        </w:p>
      </w:tc>
      <w:tc>
        <w:tcPr>
          <w:tcW w:w="340" w:type="dxa"/>
        </w:tcPr>
        <w:p w14:paraId="05A5B2FA"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01AE26AA" w14:textId="77777777" w:rsidR="00E52A9A" w:rsidRDefault="00E52A9A">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759E998E" w14:textId="77777777" w:rsidTr="00666947">
      <w:trPr>
        <w:trHeight w:val="397"/>
      </w:trPr>
      <w:tc>
        <w:tcPr>
          <w:tcW w:w="9071" w:type="dxa"/>
        </w:tcPr>
        <w:p w14:paraId="27D26F25" w14:textId="299C0DF9" w:rsidR="00E52A9A" w:rsidRDefault="00B379D0" w:rsidP="00376EF3">
          <w:pPr>
            <w:pStyle w:val="FooterOdd"/>
          </w:pPr>
          <w:r>
            <w:rPr>
              <w:noProof/>
            </w:rPr>
            <mc:AlternateContent>
              <mc:Choice Requires="wps">
                <w:drawing>
                  <wp:anchor distT="0" distB="0" distL="114300" distR="114300" simplePos="0" relativeHeight="251658243" behindDoc="0" locked="0" layoutInCell="0" allowOverlap="1" wp14:anchorId="62D0CF37" wp14:editId="4DBF191B">
                    <wp:simplePos x="0" y="0"/>
                    <wp:positionH relativeFrom="page">
                      <wp:align>center</wp:align>
                    </wp:positionH>
                    <wp:positionV relativeFrom="page">
                      <wp:align>bottom</wp:align>
                    </wp:positionV>
                    <wp:extent cx="7772400" cy="463550"/>
                    <wp:effectExtent l="0" t="0" r="0" b="12700"/>
                    <wp:wrapNone/>
                    <wp:docPr id="1368461953" name="Text Box 1368461953" descr="{&quot;HashCode&quot;:1862493762,&quot;Height&quot;:9999999.0,&quot;Width&quot;:9999999.0,&quot;Placement&quot;:&quot;Footer&quot;,&quot;Index&quot;:&quot;Primary&quot;,&quot;Section&quot;:7,&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99515D1" w14:textId="36802849" w:rsidR="00B379D0" w:rsidRPr="00B379D0" w:rsidRDefault="00B379D0" w:rsidP="00B379D0">
                                <w:pPr>
                                  <w:spacing w:before="0" w:after="0"/>
                                  <w:jc w:val="center"/>
                                  <w:rPr>
                                    <w:rFonts w:ascii="Calibri" w:hAnsi="Calibri" w:cs="Calibri"/>
                                    <w:color w:val="000000"/>
                                    <w:sz w:val="24"/>
                                  </w:rPr>
                                </w:pPr>
                                <w:r w:rsidRPr="00B379D0">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62D0CF37" id="_x0000_t202" coordsize="21600,21600" o:spt="202" path="m,l,21600r21600,l21600,xe">
                    <v:stroke joinstyle="miter"/>
                    <v:path gradientshapeok="t" o:connecttype="rect"/>
                  </v:shapetype>
                  <v:shape id="Text Box 1368461953" o:spid="_x0000_s1109" type="#_x0000_t202" alt="{&quot;HashCode&quot;:1862493762,&quot;Height&quot;:9999999.0,&quot;Width&quot;:9999999.0,&quot;Placement&quot;:&quot;Footer&quot;,&quot;Index&quot;:&quot;Primary&quot;,&quot;Section&quot;:7,&quot;Top&quot;:0.0,&quot;Left&quot;:0.0}" style="position:absolute;left:0;text-align:left;margin-left:0;margin-top:0;width:612pt;height:36.5pt;z-index:251658243;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LRExpsZAgAALQQAAA4AAAAAAAAAAAAAAAAALgIAAGRycy9lMm9Eb2MueG1sUEsBAi0AFAAGAAgA&#10;AAAhAL4fCrfaAAAABQEAAA8AAAAAAAAAAAAAAAAAcwQAAGRycy9kb3ducmV2LnhtbFBLBQYAAAAA&#10;BAAEAPMAAAB6BQAAAAA=&#10;" o:allowincell="f" filled="f" stroked="f" strokeweight=".5pt">
                    <v:textbox inset=",0,,0">
                      <w:txbxContent>
                        <w:p w14:paraId="699515D1" w14:textId="36802849" w:rsidR="00B379D0" w:rsidRPr="00B379D0" w:rsidRDefault="00B379D0" w:rsidP="00B379D0">
                          <w:pPr>
                            <w:spacing w:before="0" w:after="0"/>
                            <w:jc w:val="center"/>
                            <w:rPr>
                              <w:rFonts w:ascii="Calibri" w:hAnsi="Calibri" w:cs="Calibri"/>
                              <w:color w:val="000000"/>
                              <w:sz w:val="24"/>
                            </w:rPr>
                          </w:pPr>
                          <w:r w:rsidRPr="00B379D0">
                            <w:rPr>
                              <w:rFonts w:ascii="Calibri" w:hAnsi="Calibri" w:cs="Calibri"/>
                              <w:color w:val="000000"/>
                              <w:sz w:val="24"/>
                            </w:rPr>
                            <w:t>OFFICIAL</w:t>
                          </w:r>
                        </w:p>
                      </w:txbxContent>
                    </v:textbox>
                    <w10:wrap anchorx="page" anchory="page"/>
                  </v:shape>
                </w:pict>
              </mc:Fallback>
            </mc:AlternateContent>
          </w:r>
          <w:fldSimple w:instr=" DOCPROPERTY  xFooterTitle  \* MERGEFORMAT ">
            <w:r w:rsidR="00E52A9A">
              <w:t>Great Ocean Road Coast and Parks Environmental-Economic Account</w:t>
            </w:r>
          </w:fldSimple>
        </w:p>
        <w:p w14:paraId="4EFE960A" w14:textId="7F445234" w:rsidR="00E52A9A" w:rsidRPr="00CB1FB7" w:rsidRDefault="00E52A9A" w:rsidP="00376EF3">
          <w:pPr>
            <w:pStyle w:val="FooterOdd"/>
            <w:rPr>
              <w:b/>
            </w:rPr>
          </w:pPr>
          <w:fldSimple w:instr=" DOCPROPERTY  xFooterSubtitle  \* MERGEFORMAT ">
            <w:r>
              <w:t>Technical Report</w:t>
            </w:r>
          </w:fldSimple>
        </w:p>
      </w:tc>
      <w:tc>
        <w:tcPr>
          <w:tcW w:w="340" w:type="dxa"/>
        </w:tcPr>
        <w:p w14:paraId="17CEDA6F"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6075D67E" w14:textId="77777777" w:rsidR="00E52A9A" w:rsidRDefault="00E52A9A">
    <w:pPr>
      <w:pStyle w:val="Footer"/>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29A71356" w14:textId="77777777" w:rsidTr="00666947">
      <w:trPr>
        <w:trHeight w:val="397"/>
      </w:trPr>
      <w:tc>
        <w:tcPr>
          <w:tcW w:w="340" w:type="dxa"/>
        </w:tcPr>
        <w:p w14:paraId="75C5A01F"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399CC76A" w14:textId="45097FF9" w:rsidR="00E52A9A" w:rsidRDefault="00E52A9A" w:rsidP="00376EF3">
          <w:pPr>
            <w:pStyle w:val="FooterEven"/>
          </w:pPr>
          <w:fldSimple w:instr=" DOCPROPERTY  xFooterTitle  \* MERGEFORMAT ">
            <w:r>
              <w:t>Great Ocean Road Coast and Parks Environmental-Economic Account</w:t>
            </w:r>
          </w:fldSimple>
        </w:p>
        <w:p w14:paraId="4E9AF49D" w14:textId="66ED6C78" w:rsidR="00E52A9A" w:rsidRPr="00810C40" w:rsidRDefault="00E52A9A" w:rsidP="00376EF3">
          <w:pPr>
            <w:pStyle w:val="FooterEven"/>
          </w:pPr>
          <w:fldSimple w:instr=" DOCPROPERTY  xFooterSubtitle  \* MERGEFORMAT ">
            <w:r>
              <w:t>Technical Report</w:t>
            </w:r>
          </w:fldSimple>
        </w:p>
      </w:tc>
    </w:tr>
  </w:tbl>
  <w:p w14:paraId="099D9E17" w14:textId="77777777" w:rsidR="00E52A9A" w:rsidRDefault="00E52A9A" w:rsidP="00376EF3">
    <w:pPr>
      <w:pStyle w:val="FooterEven"/>
    </w:pPr>
  </w:p>
  <w:p w14:paraId="7EC695A5" w14:textId="77777777" w:rsidR="00E52A9A" w:rsidRDefault="00E52A9A">
    <w:pPr>
      <w:pStyle w:val="Footer"/>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1C44BB1A" w14:textId="77777777" w:rsidTr="00666947">
      <w:trPr>
        <w:trHeight w:val="397"/>
      </w:trPr>
      <w:tc>
        <w:tcPr>
          <w:tcW w:w="9071" w:type="dxa"/>
        </w:tcPr>
        <w:p w14:paraId="26AC757A" w14:textId="6D14948F" w:rsidR="00E52A9A" w:rsidRDefault="00E52A9A" w:rsidP="00376EF3">
          <w:pPr>
            <w:pStyle w:val="FooterOdd"/>
          </w:pPr>
          <w:fldSimple w:instr=" DOCPROPERTY  xFooterTitle  \* MERGEFORMAT ">
            <w:r>
              <w:t>Great Ocean Road Coast and Parks Environmental-Economic Account</w:t>
            </w:r>
          </w:fldSimple>
        </w:p>
        <w:p w14:paraId="41238D35" w14:textId="5249D6E3" w:rsidR="00E52A9A" w:rsidRPr="00CB1FB7" w:rsidRDefault="00E52A9A" w:rsidP="00376EF3">
          <w:pPr>
            <w:pStyle w:val="FooterOdd"/>
            <w:rPr>
              <w:b/>
            </w:rPr>
          </w:pPr>
          <w:fldSimple w:instr=" DOCPROPERTY  xFooterSubtitle  \* MERGEFORMAT ">
            <w:r>
              <w:t>Technical Report</w:t>
            </w:r>
          </w:fldSimple>
        </w:p>
      </w:tc>
      <w:tc>
        <w:tcPr>
          <w:tcW w:w="340" w:type="dxa"/>
        </w:tcPr>
        <w:p w14:paraId="0BECF376"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13CAA7FE" w14:textId="77777777" w:rsidR="00E52A9A" w:rsidRDefault="00E52A9A">
    <w:pPr>
      <w:pStyle w:val="Footer"/>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5621C10B" w14:textId="77777777" w:rsidTr="00666947">
      <w:trPr>
        <w:trHeight w:val="397"/>
      </w:trPr>
      <w:tc>
        <w:tcPr>
          <w:tcW w:w="340" w:type="dxa"/>
        </w:tcPr>
        <w:p w14:paraId="50ADCA02"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362B9AD9" w14:textId="60F9280C" w:rsidR="00E52A9A" w:rsidRDefault="00E52A9A" w:rsidP="00376EF3">
          <w:pPr>
            <w:pStyle w:val="FooterEven"/>
          </w:pPr>
          <w:fldSimple w:instr=" DOCPROPERTY  xFooterTitle  \* MERGEFORMAT ">
            <w:r>
              <w:t>Great Ocean Road Coast and Parks Environmental-Economic Account</w:t>
            </w:r>
          </w:fldSimple>
        </w:p>
        <w:p w14:paraId="41E054CB" w14:textId="0D9FE4C2" w:rsidR="00E52A9A" w:rsidRPr="00810C40" w:rsidRDefault="00E52A9A" w:rsidP="00376EF3">
          <w:pPr>
            <w:pStyle w:val="FooterEven"/>
          </w:pPr>
          <w:fldSimple w:instr=" DOCPROPERTY  xFooterSubtitle  \* MERGEFORMAT ">
            <w:r>
              <w:t>Technical Report</w:t>
            </w:r>
          </w:fldSimple>
        </w:p>
      </w:tc>
    </w:tr>
  </w:tbl>
  <w:p w14:paraId="67F79FE8" w14:textId="77777777" w:rsidR="00E52A9A" w:rsidRDefault="00E52A9A" w:rsidP="00376EF3">
    <w:pPr>
      <w:pStyle w:val="FooterEven"/>
    </w:pPr>
  </w:p>
  <w:p w14:paraId="21BE6A1D" w14:textId="77777777" w:rsidR="00E52A9A" w:rsidRDefault="00E52A9A">
    <w:pPr>
      <w:pStyle w:val="Footer"/>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5ECF0782" w14:textId="77777777" w:rsidTr="00666947">
      <w:trPr>
        <w:trHeight w:val="397"/>
      </w:trPr>
      <w:tc>
        <w:tcPr>
          <w:tcW w:w="9071" w:type="dxa"/>
        </w:tcPr>
        <w:p w14:paraId="421018B0" w14:textId="145CE591" w:rsidR="00E52A9A" w:rsidRDefault="00E52A9A" w:rsidP="00376EF3">
          <w:pPr>
            <w:pStyle w:val="FooterOdd"/>
          </w:pPr>
          <w:fldSimple w:instr=" DOCPROPERTY  xFooterTitle  \* MERGEFORMAT ">
            <w:r>
              <w:t>Great Ocean Road Coast and Parks Environmental-Economic Account</w:t>
            </w:r>
          </w:fldSimple>
        </w:p>
        <w:p w14:paraId="7E8FDFCA" w14:textId="7FA74FD0" w:rsidR="00E52A9A" w:rsidRPr="00CB1FB7" w:rsidRDefault="00E52A9A" w:rsidP="00376EF3">
          <w:pPr>
            <w:pStyle w:val="FooterOdd"/>
            <w:rPr>
              <w:b/>
            </w:rPr>
          </w:pPr>
          <w:fldSimple w:instr=" DOCPROPERTY  xFooterSubtitle  \* MERGEFORMAT ">
            <w:r>
              <w:t>Technical Report</w:t>
            </w:r>
          </w:fldSimple>
        </w:p>
      </w:tc>
      <w:tc>
        <w:tcPr>
          <w:tcW w:w="340" w:type="dxa"/>
        </w:tcPr>
        <w:p w14:paraId="70895000"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475FFBA4" w14:textId="77777777" w:rsidR="00E52A9A" w:rsidRDefault="00E52A9A">
    <w:pPr>
      <w:pStyle w:val="Footer"/>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74BBDFCB" w14:textId="77777777" w:rsidTr="00666947">
      <w:trPr>
        <w:trHeight w:val="397"/>
      </w:trPr>
      <w:tc>
        <w:tcPr>
          <w:tcW w:w="340" w:type="dxa"/>
        </w:tcPr>
        <w:p w14:paraId="6C1C15AA"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0C7816EB" w14:textId="4ACAD0CF" w:rsidR="00E52A9A" w:rsidRDefault="00E52A9A" w:rsidP="00376EF3">
          <w:pPr>
            <w:pStyle w:val="FooterEven"/>
          </w:pPr>
          <w:fldSimple w:instr=" DOCPROPERTY  xFooterTitle  \* MERGEFORMAT ">
            <w:r>
              <w:t>Great Ocean Road Coast and Parks Environmental-Economic Account</w:t>
            </w:r>
          </w:fldSimple>
        </w:p>
        <w:p w14:paraId="7613E818" w14:textId="2463C799" w:rsidR="00E52A9A" w:rsidRPr="00810C40" w:rsidRDefault="00E52A9A" w:rsidP="00376EF3">
          <w:pPr>
            <w:pStyle w:val="FooterEven"/>
          </w:pPr>
          <w:fldSimple w:instr=" DOCPROPERTY  xFooterSubtitle  \* MERGEFORMAT ">
            <w:r>
              <w:t>Technical Report</w:t>
            </w:r>
          </w:fldSimple>
        </w:p>
      </w:tc>
    </w:tr>
  </w:tbl>
  <w:p w14:paraId="66857158" w14:textId="77777777" w:rsidR="00E52A9A" w:rsidRDefault="00E52A9A" w:rsidP="00376EF3">
    <w:pPr>
      <w:pStyle w:val="FooterEven"/>
    </w:pPr>
  </w:p>
  <w:p w14:paraId="285A2DE3" w14:textId="77777777" w:rsidR="00E52A9A" w:rsidRDefault="00E52A9A">
    <w:pPr>
      <w:pStyle w:val="Footer"/>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4F43E1BA" w14:textId="77777777" w:rsidTr="00666947">
      <w:trPr>
        <w:trHeight w:val="397"/>
      </w:trPr>
      <w:tc>
        <w:tcPr>
          <w:tcW w:w="9071" w:type="dxa"/>
        </w:tcPr>
        <w:p w14:paraId="6718BE21" w14:textId="542FDA1E" w:rsidR="00E52A9A" w:rsidRDefault="00E52A9A" w:rsidP="00376EF3">
          <w:pPr>
            <w:pStyle w:val="FooterOdd"/>
          </w:pPr>
          <w:fldSimple w:instr=" DOCPROPERTY  xFooterTitle  \* MERGEFORMAT ">
            <w:r>
              <w:t>Great Ocean Road Coast and Parks Environmental-Economic Account</w:t>
            </w:r>
          </w:fldSimple>
        </w:p>
        <w:p w14:paraId="3B42E2B0" w14:textId="1991093D" w:rsidR="00E52A9A" w:rsidRPr="00CB1FB7" w:rsidRDefault="00E52A9A" w:rsidP="00376EF3">
          <w:pPr>
            <w:pStyle w:val="FooterOdd"/>
            <w:rPr>
              <w:b/>
            </w:rPr>
          </w:pPr>
          <w:fldSimple w:instr=" DOCPROPERTY  xFooterSubtitle  \* MERGEFORMAT ">
            <w:r>
              <w:t>Technical Report</w:t>
            </w:r>
          </w:fldSimple>
        </w:p>
      </w:tc>
      <w:tc>
        <w:tcPr>
          <w:tcW w:w="340" w:type="dxa"/>
        </w:tcPr>
        <w:p w14:paraId="0FFF4698"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7A37725C" w14:textId="77777777" w:rsidR="00E52A9A" w:rsidRDefault="00E52A9A">
    <w:pPr>
      <w:pStyle w:val="Footer"/>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09F9C43B" w14:textId="77777777" w:rsidTr="00666947">
      <w:trPr>
        <w:trHeight w:val="397"/>
      </w:trPr>
      <w:tc>
        <w:tcPr>
          <w:tcW w:w="340" w:type="dxa"/>
        </w:tcPr>
        <w:p w14:paraId="79F41943"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247A24CA" w14:textId="14099AE8" w:rsidR="00E52A9A" w:rsidRDefault="00E52A9A" w:rsidP="00376EF3">
          <w:pPr>
            <w:pStyle w:val="FooterEven"/>
          </w:pPr>
          <w:fldSimple w:instr=" DOCPROPERTY  xFooterTitle  \* MERGEFORMAT ">
            <w:r>
              <w:t>Great Ocean Road Coast and Parks Environmental-Economic Account</w:t>
            </w:r>
          </w:fldSimple>
        </w:p>
        <w:p w14:paraId="7CE22030" w14:textId="4228284D" w:rsidR="00E52A9A" w:rsidRPr="00810C40" w:rsidRDefault="00E52A9A" w:rsidP="00376EF3">
          <w:pPr>
            <w:pStyle w:val="FooterEven"/>
          </w:pPr>
          <w:fldSimple w:instr=" DOCPROPERTY  xFooterSubtitle  \* MERGEFORMAT ">
            <w:r>
              <w:t>Technical Report</w:t>
            </w:r>
          </w:fldSimple>
        </w:p>
      </w:tc>
    </w:tr>
  </w:tbl>
  <w:p w14:paraId="4DE9C966" w14:textId="77777777" w:rsidR="00E52A9A" w:rsidRDefault="00E52A9A" w:rsidP="00376EF3">
    <w:pPr>
      <w:pStyle w:val="FooterEven"/>
    </w:pPr>
  </w:p>
  <w:p w14:paraId="1CE03037" w14:textId="77777777" w:rsidR="00E52A9A" w:rsidRDefault="00E52A9A">
    <w:pPr>
      <w:pStyle w:val="Footer"/>
    </w:pP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47A2DE09" w14:textId="77777777" w:rsidTr="00666947">
      <w:trPr>
        <w:trHeight w:val="397"/>
      </w:trPr>
      <w:tc>
        <w:tcPr>
          <w:tcW w:w="9071" w:type="dxa"/>
        </w:tcPr>
        <w:p w14:paraId="4817435C" w14:textId="6BC8EB6F" w:rsidR="00E52A9A" w:rsidRDefault="00E52A9A" w:rsidP="00376EF3">
          <w:pPr>
            <w:pStyle w:val="FooterOdd"/>
          </w:pPr>
          <w:fldSimple w:instr=" DOCPROPERTY  xFooterTitle  \* MERGEFORMAT ">
            <w:r>
              <w:t>Great Ocean Road Coast and Parks Environmental-Economic Account</w:t>
            </w:r>
          </w:fldSimple>
        </w:p>
        <w:p w14:paraId="3F7FFF52" w14:textId="2131436B" w:rsidR="00E52A9A" w:rsidRPr="00CB1FB7" w:rsidRDefault="00E52A9A" w:rsidP="00376EF3">
          <w:pPr>
            <w:pStyle w:val="FooterOdd"/>
            <w:rPr>
              <w:b/>
            </w:rPr>
          </w:pPr>
          <w:fldSimple w:instr=" DOCPROPERTY  xFooterSubtitle  \* MERGEFORMAT ">
            <w:r>
              <w:t>Technical Report</w:t>
            </w:r>
          </w:fldSimple>
        </w:p>
      </w:tc>
      <w:tc>
        <w:tcPr>
          <w:tcW w:w="340" w:type="dxa"/>
        </w:tcPr>
        <w:p w14:paraId="2C72B552"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4E2CD18A" w14:textId="77777777" w:rsidR="00E52A9A" w:rsidRDefault="00E52A9A">
    <w:pPr>
      <w:pStyle w:val="Footer"/>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3520BDDB" w14:textId="77777777" w:rsidTr="00666947">
      <w:trPr>
        <w:trHeight w:val="397"/>
      </w:trPr>
      <w:tc>
        <w:tcPr>
          <w:tcW w:w="340" w:type="dxa"/>
        </w:tcPr>
        <w:p w14:paraId="2975F5C0"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2D619F9E" w14:textId="41C4119A" w:rsidR="00E52A9A" w:rsidRDefault="00E52A9A" w:rsidP="00376EF3">
          <w:pPr>
            <w:pStyle w:val="FooterEven"/>
          </w:pPr>
          <w:fldSimple w:instr=" DOCPROPERTY  xFooterTitle  \* MERGEFORMAT ">
            <w:r>
              <w:t>Great Ocean Road Coast and Parks Environmental-Economic Account</w:t>
            </w:r>
          </w:fldSimple>
        </w:p>
        <w:p w14:paraId="15353436" w14:textId="5F9C5A6A" w:rsidR="00E52A9A" w:rsidRPr="00810C40" w:rsidRDefault="00E52A9A" w:rsidP="00376EF3">
          <w:pPr>
            <w:pStyle w:val="FooterEven"/>
          </w:pPr>
          <w:fldSimple w:instr=" DOCPROPERTY  xFooterSubtitle  \* MERGEFORMAT ">
            <w:r>
              <w:t>Technical Report</w:t>
            </w:r>
          </w:fldSimple>
        </w:p>
      </w:tc>
    </w:tr>
  </w:tbl>
  <w:p w14:paraId="442043EA" w14:textId="77777777" w:rsidR="00E52A9A" w:rsidRDefault="00E52A9A" w:rsidP="00376EF3">
    <w:pPr>
      <w:pStyle w:val="FooterEven"/>
    </w:pPr>
  </w:p>
  <w:p w14:paraId="24DA3B2E" w14:textId="77777777" w:rsidR="00E52A9A" w:rsidRDefault="00E52A9A">
    <w:pPr>
      <w:pStyle w:val="Footer"/>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30F160E3" w14:textId="77777777" w:rsidTr="00666947">
      <w:trPr>
        <w:trHeight w:val="397"/>
      </w:trPr>
      <w:tc>
        <w:tcPr>
          <w:tcW w:w="9071" w:type="dxa"/>
        </w:tcPr>
        <w:p w14:paraId="40D3AA3B" w14:textId="48CD15BC" w:rsidR="00E52A9A" w:rsidRDefault="00E52A9A" w:rsidP="00376EF3">
          <w:pPr>
            <w:pStyle w:val="FooterOdd"/>
          </w:pPr>
          <w:fldSimple w:instr=" DOCPROPERTY  xFooterTitle  \* MERGEFORMAT ">
            <w:r>
              <w:t>Great Ocean Road Coast and Parks Environmental-Economic Account</w:t>
            </w:r>
          </w:fldSimple>
        </w:p>
        <w:p w14:paraId="13367A18" w14:textId="4A33349B" w:rsidR="00E52A9A" w:rsidRPr="00CB1FB7" w:rsidRDefault="00E52A9A" w:rsidP="00376EF3">
          <w:pPr>
            <w:pStyle w:val="FooterOdd"/>
            <w:rPr>
              <w:b/>
            </w:rPr>
          </w:pPr>
          <w:fldSimple w:instr=" DOCPROPERTY  xFooterSubtitle  \* MERGEFORMAT ">
            <w:r>
              <w:t>Technical Report</w:t>
            </w:r>
          </w:fldSimple>
        </w:p>
      </w:tc>
      <w:tc>
        <w:tcPr>
          <w:tcW w:w="340" w:type="dxa"/>
        </w:tcPr>
        <w:p w14:paraId="2BF6AA56"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371EAE6C" w14:textId="77777777" w:rsidR="00E52A9A" w:rsidRDefault="00E52A9A">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3152C14B" w14:textId="77777777" w:rsidTr="00666947">
      <w:trPr>
        <w:trHeight w:val="397"/>
      </w:trPr>
      <w:tc>
        <w:tcPr>
          <w:tcW w:w="340" w:type="dxa"/>
        </w:tcPr>
        <w:p w14:paraId="64109C4D"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6C492709" w14:textId="189D0923" w:rsidR="00E52A9A" w:rsidRDefault="00E52A9A" w:rsidP="00376EF3">
          <w:pPr>
            <w:pStyle w:val="FooterEven"/>
          </w:pPr>
          <w:fldSimple w:instr=" DOCPROPERTY  xFooterTitle  \* MERGEFORMAT ">
            <w:r>
              <w:t>Great Ocean Road Coast and Parks Environmental-Economic Account</w:t>
            </w:r>
          </w:fldSimple>
        </w:p>
        <w:p w14:paraId="4D6B8825" w14:textId="18055B7B" w:rsidR="00E52A9A" w:rsidRPr="00810C40" w:rsidRDefault="00E52A9A" w:rsidP="00376EF3">
          <w:pPr>
            <w:pStyle w:val="FooterEven"/>
          </w:pPr>
          <w:fldSimple w:instr=" DOCPROPERTY  xFooterSubtitle  \* MERGEFORMAT ">
            <w:r>
              <w:t>Technical Report</w:t>
            </w:r>
          </w:fldSimple>
        </w:p>
      </w:tc>
    </w:tr>
  </w:tbl>
  <w:p w14:paraId="4ECE2985" w14:textId="77777777" w:rsidR="00E52A9A" w:rsidRDefault="00E52A9A" w:rsidP="00376EF3">
    <w:pPr>
      <w:pStyle w:val="FooterEven"/>
    </w:pPr>
  </w:p>
  <w:p w14:paraId="561BB3E6" w14:textId="77777777" w:rsidR="00E52A9A" w:rsidRDefault="00E52A9A">
    <w:pPr>
      <w:pStyle w:val="Footer"/>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21AE9705" w14:textId="77777777" w:rsidTr="00666947">
      <w:trPr>
        <w:trHeight w:val="397"/>
      </w:trPr>
      <w:tc>
        <w:tcPr>
          <w:tcW w:w="340" w:type="dxa"/>
        </w:tcPr>
        <w:p w14:paraId="6A7B73FE"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1D1DCA37" w14:textId="2C0F789C" w:rsidR="00E52A9A" w:rsidRDefault="00E52A9A" w:rsidP="00376EF3">
          <w:pPr>
            <w:pStyle w:val="FooterEven"/>
          </w:pPr>
          <w:fldSimple w:instr=" DOCPROPERTY  xFooterTitle  \* MERGEFORMAT ">
            <w:r>
              <w:t>Great Ocean Road Coast and Parks Environmental-Economic Account</w:t>
            </w:r>
          </w:fldSimple>
        </w:p>
        <w:p w14:paraId="1AE36BE3" w14:textId="5FAEEAC8" w:rsidR="00E52A9A" w:rsidRPr="00810C40" w:rsidRDefault="00E52A9A" w:rsidP="00376EF3">
          <w:pPr>
            <w:pStyle w:val="FooterEven"/>
          </w:pPr>
          <w:fldSimple w:instr=" DOCPROPERTY  xFooterSubtitle  \* MERGEFORMAT ">
            <w:r>
              <w:t>Technical Report</w:t>
            </w:r>
          </w:fldSimple>
        </w:p>
      </w:tc>
    </w:tr>
  </w:tbl>
  <w:p w14:paraId="41E44D18" w14:textId="77777777" w:rsidR="00E52A9A" w:rsidRDefault="00E52A9A" w:rsidP="00376EF3">
    <w:pPr>
      <w:pStyle w:val="FooterEven"/>
    </w:pPr>
  </w:p>
  <w:p w14:paraId="6E6E66FC" w14:textId="77777777" w:rsidR="00E52A9A" w:rsidRDefault="00E52A9A">
    <w:pPr>
      <w:pStyle w:val="Footer"/>
    </w:pP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6C654B73" w14:textId="77777777" w:rsidTr="00666947">
      <w:trPr>
        <w:trHeight w:val="397"/>
      </w:trPr>
      <w:tc>
        <w:tcPr>
          <w:tcW w:w="9071" w:type="dxa"/>
        </w:tcPr>
        <w:p w14:paraId="629EEB2F" w14:textId="71236835" w:rsidR="00E52A9A" w:rsidRDefault="00E52A9A" w:rsidP="00376EF3">
          <w:pPr>
            <w:pStyle w:val="FooterOdd"/>
          </w:pPr>
          <w:fldSimple w:instr=" DOCPROPERTY  xFooterTitle  \* MERGEFORMAT ">
            <w:r>
              <w:t>Great Ocean Road Coast and Parks Environmental-Economic Account</w:t>
            </w:r>
          </w:fldSimple>
        </w:p>
        <w:p w14:paraId="05B1505B" w14:textId="1DF210CE" w:rsidR="00E52A9A" w:rsidRPr="00CB1FB7" w:rsidRDefault="00E52A9A" w:rsidP="00376EF3">
          <w:pPr>
            <w:pStyle w:val="FooterOdd"/>
            <w:rPr>
              <w:b/>
            </w:rPr>
          </w:pPr>
          <w:fldSimple w:instr=" DOCPROPERTY  xFooterSubtitle  \* MERGEFORMAT ">
            <w:r>
              <w:t>Technical Report</w:t>
            </w:r>
          </w:fldSimple>
        </w:p>
      </w:tc>
      <w:tc>
        <w:tcPr>
          <w:tcW w:w="340" w:type="dxa"/>
        </w:tcPr>
        <w:p w14:paraId="7E646435"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050C60E9" w14:textId="77777777" w:rsidR="00E52A9A" w:rsidRDefault="00E52A9A">
    <w:pPr>
      <w:pStyle w:val="Foote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3316F075" w14:textId="77777777" w:rsidTr="00666947">
      <w:trPr>
        <w:trHeight w:val="397"/>
      </w:trPr>
      <w:tc>
        <w:tcPr>
          <w:tcW w:w="340" w:type="dxa"/>
        </w:tcPr>
        <w:p w14:paraId="23D76F87"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1ADE4378" w14:textId="09573A39" w:rsidR="00E52A9A" w:rsidRDefault="00E52A9A" w:rsidP="00376EF3">
          <w:pPr>
            <w:pStyle w:val="FooterEven"/>
          </w:pPr>
          <w:fldSimple w:instr=" DOCPROPERTY  xFooterTitle  \* MERGEFORMAT ">
            <w:r>
              <w:t>Great Ocean Road Coast and Parks Environmental-Economic Account</w:t>
            </w:r>
          </w:fldSimple>
        </w:p>
        <w:p w14:paraId="5BCF19A0" w14:textId="1A5F2BF9" w:rsidR="00E52A9A" w:rsidRPr="00810C40" w:rsidRDefault="00E52A9A" w:rsidP="00376EF3">
          <w:pPr>
            <w:pStyle w:val="FooterEven"/>
          </w:pPr>
          <w:fldSimple w:instr=" DOCPROPERTY  xFooterSubtitle  \* MERGEFORMAT ">
            <w:r>
              <w:t>Technical Report</w:t>
            </w:r>
          </w:fldSimple>
        </w:p>
      </w:tc>
    </w:tr>
  </w:tbl>
  <w:p w14:paraId="12139079" w14:textId="77777777" w:rsidR="00E52A9A" w:rsidRDefault="00E52A9A" w:rsidP="00376EF3">
    <w:pPr>
      <w:pStyle w:val="FooterEven"/>
    </w:pPr>
  </w:p>
  <w:p w14:paraId="139A2EE0" w14:textId="77777777" w:rsidR="00E52A9A" w:rsidRDefault="00E52A9A">
    <w:pPr>
      <w:pStyle w:val="Footer"/>
    </w:pP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12224055" w14:textId="77777777" w:rsidTr="00666947">
      <w:trPr>
        <w:trHeight w:val="397"/>
      </w:trPr>
      <w:tc>
        <w:tcPr>
          <w:tcW w:w="9071" w:type="dxa"/>
        </w:tcPr>
        <w:p w14:paraId="18F9E3EB" w14:textId="4507C13D" w:rsidR="00E52A9A" w:rsidRDefault="00E52A9A" w:rsidP="00376EF3">
          <w:pPr>
            <w:pStyle w:val="FooterOdd"/>
          </w:pPr>
          <w:fldSimple w:instr=" DOCPROPERTY  xFooterTitle  \* MERGEFORMAT ">
            <w:r>
              <w:t>Great Ocean Road Coast and Parks Environmental-Economic Account</w:t>
            </w:r>
          </w:fldSimple>
        </w:p>
        <w:p w14:paraId="45A95BA1" w14:textId="24066182" w:rsidR="00E52A9A" w:rsidRPr="00CB1FB7" w:rsidRDefault="00E52A9A" w:rsidP="00376EF3">
          <w:pPr>
            <w:pStyle w:val="FooterOdd"/>
            <w:rPr>
              <w:b/>
            </w:rPr>
          </w:pPr>
          <w:fldSimple w:instr=" DOCPROPERTY  xFooterSubtitle  \* MERGEFORMAT ">
            <w:r>
              <w:t>Technical Report</w:t>
            </w:r>
          </w:fldSimple>
        </w:p>
      </w:tc>
      <w:tc>
        <w:tcPr>
          <w:tcW w:w="340" w:type="dxa"/>
        </w:tcPr>
        <w:p w14:paraId="0D2CFE3E"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470AAC02" w14:textId="77777777" w:rsidR="00E52A9A" w:rsidRDefault="00E52A9A">
    <w:pPr>
      <w:pStyle w:val="Footer"/>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589AD66F" w14:textId="77777777" w:rsidTr="00666947">
      <w:trPr>
        <w:trHeight w:val="397"/>
      </w:trPr>
      <w:tc>
        <w:tcPr>
          <w:tcW w:w="340" w:type="dxa"/>
        </w:tcPr>
        <w:p w14:paraId="07CDE967"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017FD9E1" w14:textId="41AB4DC3" w:rsidR="00E52A9A" w:rsidRDefault="00E52A9A" w:rsidP="00376EF3">
          <w:pPr>
            <w:pStyle w:val="FooterEven"/>
          </w:pPr>
          <w:fldSimple w:instr=" DOCPROPERTY  xFooterTitle  \* MERGEFORMAT ">
            <w:r>
              <w:t>Great Ocean Road Coast and Parks Environmental-Economic Account</w:t>
            </w:r>
          </w:fldSimple>
        </w:p>
        <w:p w14:paraId="20D64ED4" w14:textId="30297E44" w:rsidR="00E52A9A" w:rsidRPr="00810C40" w:rsidRDefault="00E52A9A" w:rsidP="00376EF3">
          <w:pPr>
            <w:pStyle w:val="FooterEven"/>
          </w:pPr>
          <w:fldSimple w:instr=" DOCPROPERTY  xFooterSubtitle  \* MERGEFORMAT ">
            <w:r>
              <w:t>Technical Report</w:t>
            </w:r>
          </w:fldSimple>
        </w:p>
      </w:tc>
    </w:tr>
  </w:tbl>
  <w:p w14:paraId="4721473D" w14:textId="77777777" w:rsidR="00E52A9A" w:rsidRDefault="00E52A9A" w:rsidP="00376EF3">
    <w:pPr>
      <w:pStyle w:val="FooterEven"/>
    </w:pPr>
  </w:p>
  <w:p w14:paraId="62B6C853" w14:textId="77777777" w:rsidR="00E52A9A" w:rsidRDefault="00E52A9A">
    <w:pPr>
      <w:pStyle w:val="Footer"/>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29ED1284" w14:textId="77777777" w:rsidTr="00666947">
      <w:trPr>
        <w:trHeight w:val="397"/>
      </w:trPr>
      <w:tc>
        <w:tcPr>
          <w:tcW w:w="9071" w:type="dxa"/>
        </w:tcPr>
        <w:p w14:paraId="2C1F55D1" w14:textId="02677051" w:rsidR="00E52A9A" w:rsidRDefault="00E52A9A" w:rsidP="00376EF3">
          <w:pPr>
            <w:pStyle w:val="FooterOdd"/>
          </w:pPr>
          <w:fldSimple w:instr=" DOCPROPERTY  xFooterTitle  \* MERGEFORMAT ">
            <w:r>
              <w:t>Great Ocean Road Coast and Parks Environmental-Economic Account</w:t>
            </w:r>
          </w:fldSimple>
        </w:p>
        <w:p w14:paraId="492BEAAC" w14:textId="72BAEAC8" w:rsidR="00E52A9A" w:rsidRPr="00CB1FB7" w:rsidRDefault="00E52A9A" w:rsidP="00376EF3">
          <w:pPr>
            <w:pStyle w:val="FooterOdd"/>
            <w:rPr>
              <w:b/>
            </w:rPr>
          </w:pPr>
          <w:fldSimple w:instr=" DOCPROPERTY  xFooterSubtitle  \* MERGEFORMAT ">
            <w:r>
              <w:t>Technical Report</w:t>
            </w:r>
          </w:fldSimple>
        </w:p>
      </w:tc>
      <w:tc>
        <w:tcPr>
          <w:tcW w:w="340" w:type="dxa"/>
        </w:tcPr>
        <w:p w14:paraId="34D6A7B8"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06EC0F2C" w14:textId="77777777" w:rsidR="00E52A9A" w:rsidRDefault="00E52A9A">
    <w:pPr>
      <w:pStyle w:val="Footer"/>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1392D14B" w14:textId="77777777" w:rsidTr="00666947">
      <w:trPr>
        <w:trHeight w:val="397"/>
      </w:trPr>
      <w:tc>
        <w:tcPr>
          <w:tcW w:w="340" w:type="dxa"/>
        </w:tcPr>
        <w:p w14:paraId="0F1FC3CE"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50A77958" w14:textId="12598F13" w:rsidR="00E52A9A" w:rsidRDefault="00E52A9A" w:rsidP="00376EF3">
          <w:pPr>
            <w:pStyle w:val="FooterEven"/>
          </w:pPr>
          <w:fldSimple w:instr=" DOCPROPERTY  xFooterTitle  \* MERGEFORMAT ">
            <w:r>
              <w:t>Great Ocean Road Coast and Parks Environmental-Economic Account</w:t>
            </w:r>
          </w:fldSimple>
        </w:p>
        <w:p w14:paraId="43E7180F" w14:textId="79C8F73D" w:rsidR="00E52A9A" w:rsidRPr="00810C40" w:rsidRDefault="00E52A9A" w:rsidP="00376EF3">
          <w:pPr>
            <w:pStyle w:val="FooterEven"/>
          </w:pPr>
          <w:fldSimple w:instr=" DOCPROPERTY  xFooterSubtitle  \* MERGEFORMAT ">
            <w:r>
              <w:t>Technical Report</w:t>
            </w:r>
          </w:fldSimple>
        </w:p>
      </w:tc>
    </w:tr>
  </w:tbl>
  <w:p w14:paraId="0273D58F" w14:textId="77777777" w:rsidR="00E52A9A" w:rsidRDefault="00E52A9A" w:rsidP="00376EF3">
    <w:pPr>
      <w:pStyle w:val="FooterEven"/>
    </w:pPr>
  </w:p>
  <w:p w14:paraId="30D481FA" w14:textId="77777777" w:rsidR="00E52A9A" w:rsidRDefault="00E52A9A">
    <w:pPr>
      <w:pStyle w:val="Footer"/>
    </w:pP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52289381" w14:textId="77777777" w:rsidTr="00666947">
      <w:trPr>
        <w:trHeight w:val="397"/>
      </w:trPr>
      <w:tc>
        <w:tcPr>
          <w:tcW w:w="9071" w:type="dxa"/>
        </w:tcPr>
        <w:p w14:paraId="5D63D341" w14:textId="7360C05B" w:rsidR="00E52A9A" w:rsidRDefault="00E52A9A" w:rsidP="00376EF3">
          <w:pPr>
            <w:pStyle w:val="FooterOdd"/>
          </w:pPr>
          <w:fldSimple w:instr=" DOCPROPERTY  xFooterTitle  \* MERGEFORMAT ">
            <w:r>
              <w:t>Great Ocean Road Coast and Parks Environmental-Economic Account</w:t>
            </w:r>
          </w:fldSimple>
        </w:p>
        <w:p w14:paraId="59AC4C76" w14:textId="2B3443F4" w:rsidR="00E52A9A" w:rsidRPr="00CB1FB7" w:rsidRDefault="00E52A9A" w:rsidP="00376EF3">
          <w:pPr>
            <w:pStyle w:val="FooterOdd"/>
            <w:rPr>
              <w:b/>
            </w:rPr>
          </w:pPr>
          <w:fldSimple w:instr=" DOCPROPERTY  xFooterSubtitle  \* MERGEFORMAT ">
            <w:r>
              <w:t>Technical Report</w:t>
            </w:r>
          </w:fldSimple>
        </w:p>
      </w:tc>
      <w:tc>
        <w:tcPr>
          <w:tcW w:w="340" w:type="dxa"/>
        </w:tcPr>
        <w:p w14:paraId="41FE41A1"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79AFA9C8" w14:textId="77777777" w:rsidR="00E52A9A" w:rsidRDefault="00E52A9A">
    <w:pPr>
      <w:pStyle w:val="Footer"/>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7E9EA63B" w14:textId="77777777" w:rsidTr="00666947">
      <w:trPr>
        <w:trHeight w:val="397"/>
      </w:trPr>
      <w:tc>
        <w:tcPr>
          <w:tcW w:w="340" w:type="dxa"/>
        </w:tcPr>
        <w:p w14:paraId="6F457DCD"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57F80A85" w14:textId="5597262B" w:rsidR="00E52A9A" w:rsidRDefault="00E52A9A" w:rsidP="00376EF3">
          <w:pPr>
            <w:pStyle w:val="FooterEven"/>
          </w:pPr>
          <w:fldSimple w:instr=" DOCPROPERTY  xFooterTitle  \* MERGEFORMAT ">
            <w:r>
              <w:t>Great Ocean Road Coast and Parks Environmental-Economic Account</w:t>
            </w:r>
          </w:fldSimple>
        </w:p>
        <w:p w14:paraId="61B883A1" w14:textId="74A70265" w:rsidR="00E52A9A" w:rsidRPr="00810C40" w:rsidRDefault="00E52A9A" w:rsidP="00376EF3">
          <w:pPr>
            <w:pStyle w:val="FooterEven"/>
          </w:pPr>
          <w:fldSimple w:instr=" DOCPROPERTY  xFooterSubtitle  \* MERGEFORMAT ">
            <w:r>
              <w:t>Technical Report</w:t>
            </w:r>
          </w:fldSimple>
        </w:p>
      </w:tc>
    </w:tr>
  </w:tbl>
  <w:p w14:paraId="275C111B" w14:textId="77777777" w:rsidR="00E52A9A" w:rsidRDefault="00E52A9A" w:rsidP="00376EF3">
    <w:pPr>
      <w:pStyle w:val="FooterEven"/>
    </w:pPr>
  </w:p>
  <w:p w14:paraId="12091366" w14:textId="77777777" w:rsidR="00E52A9A" w:rsidRDefault="00E52A9A">
    <w:pPr>
      <w:pStyle w:val="Footer"/>
    </w:pP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729599F8" w14:textId="77777777" w:rsidTr="00666947">
      <w:trPr>
        <w:trHeight w:val="397"/>
      </w:trPr>
      <w:tc>
        <w:tcPr>
          <w:tcW w:w="9071" w:type="dxa"/>
        </w:tcPr>
        <w:p w14:paraId="6AB0AA0C" w14:textId="24C348A2" w:rsidR="00E52A9A" w:rsidRDefault="00E52A9A" w:rsidP="00376EF3">
          <w:pPr>
            <w:pStyle w:val="FooterOdd"/>
          </w:pPr>
          <w:fldSimple w:instr=" DOCPROPERTY  xFooterTitle  \* MERGEFORMAT ">
            <w:r>
              <w:t>Great Ocean Road Coast and Parks Environmental-Economic Account</w:t>
            </w:r>
          </w:fldSimple>
        </w:p>
        <w:p w14:paraId="1678789C" w14:textId="3813EBB0" w:rsidR="00E52A9A" w:rsidRPr="00CB1FB7" w:rsidRDefault="00E52A9A" w:rsidP="00376EF3">
          <w:pPr>
            <w:pStyle w:val="FooterOdd"/>
            <w:rPr>
              <w:b/>
            </w:rPr>
          </w:pPr>
          <w:fldSimple w:instr=" DOCPROPERTY  xFooterSubtitle  \* MERGEFORMAT ">
            <w:r>
              <w:t>Technical Report</w:t>
            </w:r>
          </w:fldSimple>
        </w:p>
      </w:tc>
      <w:tc>
        <w:tcPr>
          <w:tcW w:w="340" w:type="dxa"/>
        </w:tcPr>
        <w:p w14:paraId="26B7C1E1"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7040B900" w14:textId="77777777" w:rsidR="00E52A9A" w:rsidRDefault="00E52A9A">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64E123CE" w14:textId="77777777" w:rsidTr="00666947">
      <w:trPr>
        <w:trHeight w:val="397"/>
      </w:trPr>
      <w:tc>
        <w:tcPr>
          <w:tcW w:w="9071" w:type="dxa"/>
        </w:tcPr>
        <w:p w14:paraId="4F29D444" w14:textId="3D4D1B5E" w:rsidR="00E52A9A" w:rsidRDefault="00B379D0" w:rsidP="00376EF3">
          <w:pPr>
            <w:pStyle w:val="FooterOdd"/>
          </w:pPr>
          <w:r>
            <w:rPr>
              <w:noProof/>
            </w:rPr>
            <mc:AlternateContent>
              <mc:Choice Requires="wps">
                <w:drawing>
                  <wp:anchor distT="0" distB="0" distL="114300" distR="114300" simplePos="0" relativeHeight="251658244" behindDoc="0" locked="0" layoutInCell="0" allowOverlap="1" wp14:anchorId="521FC8E1" wp14:editId="041687F0">
                    <wp:simplePos x="0" y="0"/>
                    <wp:positionH relativeFrom="page">
                      <wp:align>center</wp:align>
                    </wp:positionH>
                    <wp:positionV relativeFrom="page">
                      <wp:align>bottom</wp:align>
                    </wp:positionV>
                    <wp:extent cx="7772400" cy="463550"/>
                    <wp:effectExtent l="0" t="0" r="0" b="12700"/>
                    <wp:wrapNone/>
                    <wp:docPr id="251313496" name="Text Box 251313496" descr="{&quot;HashCode&quot;:1862493762,&quot;Height&quot;:9999999.0,&quot;Width&quot;:9999999.0,&quot;Placement&quot;:&quot;Footer&quot;,&quot;Index&quot;:&quot;Primary&quot;,&quot;Section&quot;:8,&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7E1F94F" w14:textId="32E65B28" w:rsidR="00B379D0" w:rsidRPr="00B379D0" w:rsidRDefault="00B379D0" w:rsidP="00B379D0">
                                <w:pPr>
                                  <w:spacing w:before="0" w:after="0"/>
                                  <w:jc w:val="center"/>
                                  <w:rPr>
                                    <w:rFonts w:ascii="Calibri" w:hAnsi="Calibri" w:cs="Calibri"/>
                                    <w:color w:val="000000"/>
                                    <w:sz w:val="24"/>
                                  </w:rPr>
                                </w:pPr>
                                <w:r w:rsidRPr="00B379D0">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21FC8E1" id="_x0000_t202" coordsize="21600,21600" o:spt="202" path="m,l,21600r21600,l21600,xe">
                    <v:stroke joinstyle="miter"/>
                    <v:path gradientshapeok="t" o:connecttype="rect"/>
                  </v:shapetype>
                  <v:shape id="Text Box 251313496" o:spid="_x0000_s1110" type="#_x0000_t202" alt="{&quot;HashCode&quot;:1862493762,&quot;Height&quot;:9999999.0,&quot;Width&quot;:9999999.0,&quot;Placement&quot;:&quot;Footer&quot;,&quot;Index&quot;:&quot;Primary&quot;,&quot;Section&quot;:8,&quot;Top&quot;:0.0,&quot;Left&quot;:0.0}" style="position:absolute;left:0;text-align:left;margin-left:0;margin-top:0;width:612pt;height:36.5pt;z-index:25165824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JRcGA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0xWmPDVQHWg9hYN47uWxohpXw&#10;4VkgUU1jk3zDEx3aAPWCo8VZDfjrb/6YTwxQlLOOpFNy/3MnUHFmvlvi5st4Oo1aSxcy8K13c/La&#10;XXsPpMox/SBOJjPmBnMyNUL7SupexG4UElZSz5LLgKfLfRikTP+HVItFSiNdORFWdu1kLB7xjNi+&#10;9K8C3ZGAQNQ9wkleonjHw5A7MLHYBdBNIikiPOB5BJ40mbg7/j9R9G/vKevyl89/Aw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VoSUXBgCAAAtBAAADgAAAAAAAAAAAAAAAAAuAgAAZHJzL2Uyb0RvYy54bWxQSwECLQAUAAYACAAA&#10;ACEAvh8Kt9oAAAAFAQAADwAAAAAAAAAAAAAAAAByBAAAZHJzL2Rvd25yZXYueG1sUEsFBgAAAAAE&#10;AAQA8wAAAHkFAAAAAA==&#10;" o:allowincell="f" filled="f" stroked="f" strokeweight=".5pt">
                    <v:textbox inset=",0,,0">
                      <w:txbxContent>
                        <w:p w14:paraId="37E1F94F" w14:textId="32E65B28" w:rsidR="00B379D0" w:rsidRPr="00B379D0" w:rsidRDefault="00B379D0" w:rsidP="00B379D0">
                          <w:pPr>
                            <w:spacing w:before="0" w:after="0"/>
                            <w:jc w:val="center"/>
                            <w:rPr>
                              <w:rFonts w:ascii="Calibri" w:hAnsi="Calibri" w:cs="Calibri"/>
                              <w:color w:val="000000"/>
                              <w:sz w:val="24"/>
                            </w:rPr>
                          </w:pPr>
                          <w:r w:rsidRPr="00B379D0">
                            <w:rPr>
                              <w:rFonts w:ascii="Calibri" w:hAnsi="Calibri" w:cs="Calibri"/>
                              <w:color w:val="000000"/>
                              <w:sz w:val="24"/>
                            </w:rPr>
                            <w:t>OFFICIAL</w:t>
                          </w:r>
                        </w:p>
                      </w:txbxContent>
                    </v:textbox>
                    <w10:wrap anchorx="page" anchory="page"/>
                  </v:shape>
                </w:pict>
              </mc:Fallback>
            </mc:AlternateContent>
          </w:r>
          <w:fldSimple w:instr=" DOCPROPERTY  xFooterTitle  \* MERGEFORMAT ">
            <w:r w:rsidR="00E52A9A">
              <w:t>Great Ocean Road Coast and Parks Environmental-Economic Account</w:t>
            </w:r>
          </w:fldSimple>
        </w:p>
        <w:p w14:paraId="12C10F5F" w14:textId="29F6E768" w:rsidR="00E52A9A" w:rsidRPr="00CB1FB7" w:rsidRDefault="00E52A9A" w:rsidP="00376EF3">
          <w:pPr>
            <w:pStyle w:val="FooterOdd"/>
            <w:rPr>
              <w:b/>
            </w:rPr>
          </w:pPr>
          <w:fldSimple w:instr=" DOCPROPERTY  xFooterSubtitle  \* MERGEFORMAT ">
            <w:r>
              <w:t>Technical Report</w:t>
            </w:r>
          </w:fldSimple>
        </w:p>
      </w:tc>
      <w:tc>
        <w:tcPr>
          <w:tcW w:w="340" w:type="dxa"/>
        </w:tcPr>
        <w:p w14:paraId="13775AC0"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2C278E8C" w14:textId="77777777" w:rsidR="00E52A9A" w:rsidRDefault="00E52A9A">
    <w:pPr>
      <w:pStyle w:val="Footer"/>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0ED8FD87" w14:textId="77777777" w:rsidTr="00666947">
      <w:trPr>
        <w:trHeight w:val="397"/>
      </w:trPr>
      <w:tc>
        <w:tcPr>
          <w:tcW w:w="340" w:type="dxa"/>
        </w:tcPr>
        <w:p w14:paraId="05792F32"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15143B20" w14:textId="1B89FF1B" w:rsidR="00E52A9A" w:rsidRDefault="00E52A9A" w:rsidP="00376EF3">
          <w:pPr>
            <w:pStyle w:val="FooterEven"/>
          </w:pPr>
          <w:fldSimple w:instr=" DOCPROPERTY  xFooterTitle  \* MERGEFORMAT ">
            <w:r>
              <w:t>Great Ocean Road Coast and Parks Environmental-Economic Account</w:t>
            </w:r>
          </w:fldSimple>
        </w:p>
        <w:p w14:paraId="442D09AD" w14:textId="2E5E498B" w:rsidR="00E52A9A" w:rsidRPr="00810C40" w:rsidRDefault="00E52A9A" w:rsidP="00376EF3">
          <w:pPr>
            <w:pStyle w:val="FooterEven"/>
          </w:pPr>
          <w:fldSimple w:instr=" DOCPROPERTY  xFooterSubtitle  \* MERGEFORMAT ">
            <w:r>
              <w:t>Technical Report</w:t>
            </w:r>
          </w:fldSimple>
        </w:p>
      </w:tc>
    </w:tr>
  </w:tbl>
  <w:p w14:paraId="3582E90E" w14:textId="77777777" w:rsidR="00E52A9A" w:rsidRDefault="00E52A9A" w:rsidP="00376EF3">
    <w:pPr>
      <w:pStyle w:val="FooterEven"/>
    </w:pPr>
  </w:p>
  <w:p w14:paraId="7A337CB9" w14:textId="77777777" w:rsidR="00E52A9A" w:rsidRDefault="00E52A9A">
    <w:pPr>
      <w:pStyle w:val="Footer"/>
    </w:pP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32E26A46" w14:textId="77777777" w:rsidTr="00666947">
      <w:trPr>
        <w:trHeight w:val="397"/>
      </w:trPr>
      <w:tc>
        <w:tcPr>
          <w:tcW w:w="9071" w:type="dxa"/>
        </w:tcPr>
        <w:p w14:paraId="4663659D" w14:textId="256681DE" w:rsidR="00E52A9A" w:rsidRDefault="00E52A9A" w:rsidP="00376EF3">
          <w:pPr>
            <w:pStyle w:val="FooterOdd"/>
          </w:pPr>
          <w:fldSimple w:instr=" DOCPROPERTY  xFooterTitle  \* MERGEFORMAT ">
            <w:r>
              <w:t>Great Ocean Road Coast and Parks Environmental-Economic Account</w:t>
            </w:r>
          </w:fldSimple>
        </w:p>
        <w:p w14:paraId="6E3E0EE0" w14:textId="18837055" w:rsidR="00E52A9A" w:rsidRPr="00CB1FB7" w:rsidRDefault="00E52A9A" w:rsidP="00376EF3">
          <w:pPr>
            <w:pStyle w:val="FooterOdd"/>
            <w:rPr>
              <w:b/>
            </w:rPr>
          </w:pPr>
          <w:fldSimple w:instr=" DOCPROPERTY  xFooterSubtitle  \* MERGEFORMAT ">
            <w:r>
              <w:t>Technical Report</w:t>
            </w:r>
          </w:fldSimple>
        </w:p>
      </w:tc>
      <w:tc>
        <w:tcPr>
          <w:tcW w:w="340" w:type="dxa"/>
        </w:tcPr>
        <w:p w14:paraId="5DCD9538"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3313CC9B" w14:textId="77777777" w:rsidR="00E52A9A" w:rsidRDefault="00E52A9A">
    <w:pPr>
      <w:pStyle w:val="Footer"/>
    </w:pP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73AF97DF" w14:textId="77777777" w:rsidTr="00666947">
      <w:trPr>
        <w:trHeight w:val="397"/>
      </w:trPr>
      <w:tc>
        <w:tcPr>
          <w:tcW w:w="340" w:type="dxa"/>
        </w:tcPr>
        <w:p w14:paraId="443BAAB1"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40102044" w14:textId="6489CC03" w:rsidR="00E52A9A" w:rsidRDefault="00E52A9A" w:rsidP="00376EF3">
          <w:pPr>
            <w:pStyle w:val="FooterEven"/>
          </w:pPr>
          <w:fldSimple w:instr=" DOCPROPERTY  xFooterTitle  \* MERGEFORMAT ">
            <w:r>
              <w:t>Great Ocean Road Coast and Parks Environmental-Economic Account</w:t>
            </w:r>
          </w:fldSimple>
        </w:p>
        <w:p w14:paraId="45B2B3FC" w14:textId="4C7B51B2" w:rsidR="00E52A9A" w:rsidRPr="00810C40" w:rsidRDefault="00E52A9A" w:rsidP="00376EF3">
          <w:pPr>
            <w:pStyle w:val="FooterEven"/>
          </w:pPr>
          <w:fldSimple w:instr=" DOCPROPERTY  xFooterSubtitle  \* MERGEFORMAT ">
            <w:r>
              <w:t>Technical Report</w:t>
            </w:r>
          </w:fldSimple>
        </w:p>
      </w:tc>
    </w:tr>
  </w:tbl>
  <w:p w14:paraId="3262313C" w14:textId="77777777" w:rsidR="00E52A9A" w:rsidRDefault="00E52A9A" w:rsidP="00376EF3">
    <w:pPr>
      <w:pStyle w:val="FooterEven"/>
    </w:pPr>
  </w:p>
  <w:p w14:paraId="7C07A1EF" w14:textId="77777777" w:rsidR="00E52A9A" w:rsidRDefault="00E52A9A">
    <w:pPr>
      <w:pStyle w:val="Footer"/>
    </w:pP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5E8DF2C5" w14:textId="77777777" w:rsidTr="00666947">
      <w:trPr>
        <w:trHeight w:val="397"/>
      </w:trPr>
      <w:tc>
        <w:tcPr>
          <w:tcW w:w="9071" w:type="dxa"/>
        </w:tcPr>
        <w:p w14:paraId="56906083" w14:textId="775B123D" w:rsidR="00E52A9A" w:rsidRDefault="00E52A9A" w:rsidP="00376EF3">
          <w:pPr>
            <w:pStyle w:val="FooterOdd"/>
          </w:pPr>
          <w:fldSimple w:instr=" DOCPROPERTY  xFooterTitle  \* MERGEFORMAT ">
            <w:r>
              <w:t>Great Ocean Road Coast and Parks Environmental-Economic Account</w:t>
            </w:r>
          </w:fldSimple>
        </w:p>
        <w:p w14:paraId="7BD36205" w14:textId="1B77210D" w:rsidR="00E52A9A" w:rsidRPr="00CB1FB7" w:rsidRDefault="00E52A9A" w:rsidP="00376EF3">
          <w:pPr>
            <w:pStyle w:val="FooterOdd"/>
            <w:rPr>
              <w:b/>
            </w:rPr>
          </w:pPr>
          <w:fldSimple w:instr=" DOCPROPERTY  xFooterSubtitle  \* MERGEFORMAT ">
            <w:r>
              <w:t>Technical Report</w:t>
            </w:r>
          </w:fldSimple>
        </w:p>
      </w:tc>
      <w:tc>
        <w:tcPr>
          <w:tcW w:w="340" w:type="dxa"/>
        </w:tcPr>
        <w:p w14:paraId="77645140"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06A7466A" w14:textId="77777777" w:rsidR="00E52A9A" w:rsidRDefault="00E52A9A">
    <w:pPr>
      <w:pStyle w:val="Footer"/>
    </w:pP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0079C8" w14:textId="644EB7E0" w:rsidR="007606C7" w:rsidRPr="00E52A9A" w:rsidRDefault="007606C7" w:rsidP="00E52A9A">
    <w:pPr>
      <w:pStyle w:val="Footer"/>
    </w:pP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2284F253" w14:textId="77777777" w:rsidTr="00666947">
      <w:trPr>
        <w:trHeight w:val="397"/>
      </w:trPr>
      <w:tc>
        <w:tcPr>
          <w:tcW w:w="340" w:type="dxa"/>
        </w:tcPr>
        <w:p w14:paraId="6FDCA0E2"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7E14EC64" w14:textId="56EA6BFE" w:rsidR="00E52A9A" w:rsidRDefault="00E52A9A" w:rsidP="00376EF3">
          <w:pPr>
            <w:pStyle w:val="FooterEven"/>
          </w:pPr>
          <w:fldSimple w:instr=" DOCPROPERTY  xFooterTitle  \* MERGEFORMAT ">
            <w:r>
              <w:t>Great Ocean Road Coast and Parks Environmental-Economic Account</w:t>
            </w:r>
          </w:fldSimple>
        </w:p>
        <w:p w14:paraId="03BDC6EC" w14:textId="306A42EC" w:rsidR="00E52A9A" w:rsidRPr="00810C40" w:rsidRDefault="00E52A9A" w:rsidP="00376EF3">
          <w:pPr>
            <w:pStyle w:val="FooterEven"/>
          </w:pPr>
          <w:fldSimple w:instr=" DOCPROPERTY  xFooterSubtitle  \* MERGEFORMAT ">
            <w:r>
              <w:t>Technical Report</w:t>
            </w:r>
          </w:fldSimple>
        </w:p>
      </w:tc>
    </w:tr>
  </w:tbl>
  <w:p w14:paraId="61512288" w14:textId="77777777" w:rsidR="00E52A9A" w:rsidRDefault="00E52A9A" w:rsidP="00376EF3">
    <w:pPr>
      <w:pStyle w:val="FooterEven"/>
    </w:pPr>
  </w:p>
  <w:p w14:paraId="00A6A715" w14:textId="77777777" w:rsidR="00E52A9A" w:rsidRDefault="00E52A9A">
    <w:pPr>
      <w:pStyle w:val="Footer"/>
    </w:pP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03E555FB" w14:textId="77777777" w:rsidTr="00666947">
      <w:trPr>
        <w:trHeight w:val="397"/>
      </w:trPr>
      <w:tc>
        <w:tcPr>
          <w:tcW w:w="9071" w:type="dxa"/>
        </w:tcPr>
        <w:p w14:paraId="31738A72" w14:textId="3818725B" w:rsidR="00E52A9A" w:rsidRDefault="00E52A9A" w:rsidP="00376EF3">
          <w:pPr>
            <w:pStyle w:val="FooterOdd"/>
          </w:pPr>
          <w:fldSimple w:instr=" DOCPROPERTY  xFooterTitle  \* MERGEFORMAT ">
            <w:r>
              <w:t>Great Ocean Road Coast and Parks Environmental-Economic Account</w:t>
            </w:r>
          </w:fldSimple>
        </w:p>
        <w:p w14:paraId="3892FCA6" w14:textId="03EE8122" w:rsidR="00E52A9A" w:rsidRPr="00CB1FB7" w:rsidRDefault="00E52A9A" w:rsidP="00376EF3">
          <w:pPr>
            <w:pStyle w:val="FooterOdd"/>
            <w:rPr>
              <w:b/>
            </w:rPr>
          </w:pPr>
          <w:fldSimple w:instr=" DOCPROPERTY  xFooterSubtitle  \* MERGEFORMAT ">
            <w:r>
              <w:t>Technical Report</w:t>
            </w:r>
          </w:fldSimple>
        </w:p>
      </w:tc>
      <w:tc>
        <w:tcPr>
          <w:tcW w:w="340" w:type="dxa"/>
        </w:tcPr>
        <w:p w14:paraId="79F33FD9"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10203243" w14:textId="77777777" w:rsidR="00E52A9A" w:rsidRDefault="00E52A9A">
    <w:pPr>
      <w:pStyle w:val="Footer"/>
    </w:pP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28CD7328" w14:textId="77777777" w:rsidTr="00666947">
      <w:trPr>
        <w:trHeight w:val="397"/>
      </w:trPr>
      <w:tc>
        <w:tcPr>
          <w:tcW w:w="340" w:type="dxa"/>
        </w:tcPr>
        <w:p w14:paraId="6008DAD4"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4EBFD56D" w14:textId="5F15453B" w:rsidR="00E52A9A" w:rsidRDefault="00E52A9A" w:rsidP="00376EF3">
          <w:pPr>
            <w:pStyle w:val="FooterEven"/>
          </w:pPr>
          <w:fldSimple w:instr=" DOCPROPERTY  xFooterTitle  \* MERGEFORMAT ">
            <w:r>
              <w:t>Great Ocean Road Coast and Parks Environmental-Economic Account</w:t>
            </w:r>
          </w:fldSimple>
        </w:p>
        <w:p w14:paraId="306B8B58" w14:textId="01A36071" w:rsidR="00E52A9A" w:rsidRPr="00810C40" w:rsidRDefault="00E52A9A" w:rsidP="00376EF3">
          <w:pPr>
            <w:pStyle w:val="FooterEven"/>
          </w:pPr>
          <w:fldSimple w:instr=" DOCPROPERTY  xFooterSubtitle  \* MERGEFORMAT ">
            <w:r>
              <w:t>Technical Report</w:t>
            </w:r>
          </w:fldSimple>
        </w:p>
      </w:tc>
    </w:tr>
  </w:tbl>
  <w:p w14:paraId="6CC7843E" w14:textId="77777777" w:rsidR="00E52A9A" w:rsidRDefault="00E52A9A" w:rsidP="00376EF3">
    <w:pPr>
      <w:pStyle w:val="FooterEven"/>
    </w:pPr>
  </w:p>
  <w:p w14:paraId="3D294000" w14:textId="77777777" w:rsidR="00E52A9A" w:rsidRDefault="00E52A9A">
    <w:pPr>
      <w:pStyle w:val="Footer"/>
    </w:pP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245846C0" w14:textId="77777777" w:rsidTr="00666947">
      <w:trPr>
        <w:trHeight w:val="397"/>
      </w:trPr>
      <w:tc>
        <w:tcPr>
          <w:tcW w:w="9071" w:type="dxa"/>
        </w:tcPr>
        <w:p w14:paraId="4928F7AD" w14:textId="3DF8F851" w:rsidR="00E52A9A" w:rsidRDefault="00E52A9A" w:rsidP="00376EF3">
          <w:pPr>
            <w:pStyle w:val="FooterOdd"/>
          </w:pPr>
          <w:fldSimple w:instr=" DOCPROPERTY  xFooterTitle  \* MERGEFORMAT ">
            <w:r>
              <w:t>Great Ocean Road Coast and Parks Environmental-Economic Account</w:t>
            </w:r>
          </w:fldSimple>
        </w:p>
        <w:p w14:paraId="43B28296" w14:textId="277F8C8F" w:rsidR="00E52A9A" w:rsidRPr="00CB1FB7" w:rsidRDefault="00E52A9A" w:rsidP="00376EF3">
          <w:pPr>
            <w:pStyle w:val="FooterOdd"/>
            <w:rPr>
              <w:b/>
            </w:rPr>
          </w:pPr>
          <w:fldSimple w:instr=" DOCPROPERTY  xFooterSubtitle  \* MERGEFORMAT ">
            <w:r>
              <w:t>Technical Report</w:t>
            </w:r>
          </w:fldSimple>
        </w:p>
      </w:tc>
      <w:tc>
        <w:tcPr>
          <w:tcW w:w="340" w:type="dxa"/>
        </w:tcPr>
        <w:p w14:paraId="32488D0F"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699F0678" w14:textId="77777777" w:rsidR="00E52A9A" w:rsidRDefault="00E52A9A">
    <w:pPr>
      <w:pStyle w:val="Footer"/>
    </w:pP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0643FD70" w14:textId="77777777" w:rsidTr="00666947">
      <w:trPr>
        <w:trHeight w:val="397"/>
      </w:trPr>
      <w:tc>
        <w:tcPr>
          <w:tcW w:w="9071" w:type="dxa"/>
        </w:tcPr>
        <w:p w14:paraId="38049104" w14:textId="4D1EE5A7" w:rsidR="00E52A9A" w:rsidRDefault="00E52A9A" w:rsidP="00376EF3">
          <w:pPr>
            <w:pStyle w:val="FooterOdd"/>
          </w:pPr>
          <w:fldSimple w:instr=" DOCPROPERTY  xFooterTitle  \* MERGEFORMAT ">
            <w:r>
              <w:t>Great Ocean Road Coast and Parks Environmental-Economic Account</w:t>
            </w:r>
          </w:fldSimple>
        </w:p>
        <w:p w14:paraId="223C2551" w14:textId="513E59D3" w:rsidR="00E52A9A" w:rsidRPr="00CB1FB7" w:rsidRDefault="00E52A9A" w:rsidP="00376EF3">
          <w:pPr>
            <w:pStyle w:val="FooterOdd"/>
            <w:rPr>
              <w:b/>
            </w:rPr>
          </w:pPr>
          <w:fldSimple w:instr=" DOCPROPERTY  xFooterSubtitle  \* MERGEFORMAT ">
            <w:r>
              <w:t>Technical Report</w:t>
            </w:r>
          </w:fldSimple>
        </w:p>
      </w:tc>
      <w:tc>
        <w:tcPr>
          <w:tcW w:w="340" w:type="dxa"/>
        </w:tcPr>
        <w:p w14:paraId="78704640"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795E72A6" w14:textId="77777777" w:rsidR="00E52A9A" w:rsidRDefault="00E52A9A">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0FF6AFFC" w14:textId="77777777" w:rsidTr="00666947">
      <w:trPr>
        <w:trHeight w:val="397"/>
      </w:trPr>
      <w:tc>
        <w:tcPr>
          <w:tcW w:w="9071" w:type="dxa"/>
        </w:tcPr>
        <w:p w14:paraId="6DA1E146" w14:textId="0FCC73C3" w:rsidR="00E52A9A" w:rsidRDefault="00E52A9A" w:rsidP="00376EF3">
          <w:pPr>
            <w:pStyle w:val="FooterOdd"/>
          </w:pPr>
          <w:fldSimple w:instr=" DOCPROPERTY  xFooterTitle  \* MERGEFORMAT ">
            <w:r>
              <w:t>Great Ocean Road Coast and Parks Environmental-Economic Account</w:t>
            </w:r>
          </w:fldSimple>
        </w:p>
        <w:p w14:paraId="764C1DC8" w14:textId="58D45012" w:rsidR="00E52A9A" w:rsidRPr="00CB1FB7" w:rsidRDefault="00E52A9A" w:rsidP="00376EF3">
          <w:pPr>
            <w:pStyle w:val="FooterOdd"/>
            <w:rPr>
              <w:b/>
            </w:rPr>
          </w:pPr>
          <w:fldSimple w:instr=" DOCPROPERTY  xFooterSubtitle  \* MERGEFORMAT ">
            <w:r>
              <w:t>Technical Report</w:t>
            </w:r>
          </w:fldSimple>
        </w:p>
      </w:tc>
      <w:tc>
        <w:tcPr>
          <w:tcW w:w="340" w:type="dxa"/>
        </w:tcPr>
        <w:p w14:paraId="611F7C76"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05CA065B" w14:textId="77777777" w:rsidR="00E52A9A" w:rsidRDefault="00E52A9A">
    <w:pPr>
      <w:pStyle w:val="Footer"/>
    </w:pP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1BC6E996" w14:textId="77777777" w:rsidTr="00666947">
      <w:trPr>
        <w:trHeight w:val="397"/>
      </w:trPr>
      <w:tc>
        <w:tcPr>
          <w:tcW w:w="340" w:type="dxa"/>
        </w:tcPr>
        <w:p w14:paraId="5A6DF00D"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469EFC13" w14:textId="16E91C6C" w:rsidR="00E52A9A" w:rsidRDefault="00E52A9A" w:rsidP="00376EF3">
          <w:pPr>
            <w:pStyle w:val="FooterEven"/>
          </w:pPr>
          <w:fldSimple w:instr=" DOCPROPERTY  xFooterTitle  \* MERGEFORMAT ">
            <w:r>
              <w:t>Great Ocean Road Coast and Parks Environmental-Economic Account</w:t>
            </w:r>
          </w:fldSimple>
        </w:p>
        <w:p w14:paraId="5C3942DC" w14:textId="37ABDBE3" w:rsidR="00E52A9A" w:rsidRPr="00810C40" w:rsidRDefault="00E52A9A" w:rsidP="00376EF3">
          <w:pPr>
            <w:pStyle w:val="FooterEven"/>
          </w:pPr>
          <w:fldSimple w:instr=" DOCPROPERTY  xFooterSubtitle  \* MERGEFORMAT ">
            <w:r>
              <w:t>Technical Report</w:t>
            </w:r>
          </w:fldSimple>
        </w:p>
      </w:tc>
    </w:tr>
  </w:tbl>
  <w:p w14:paraId="38FBD60A" w14:textId="77777777" w:rsidR="00E52A9A" w:rsidRDefault="00E52A9A" w:rsidP="00376EF3">
    <w:pPr>
      <w:pStyle w:val="FooterEven"/>
    </w:pPr>
  </w:p>
  <w:p w14:paraId="304F2077" w14:textId="77777777" w:rsidR="00E52A9A" w:rsidRDefault="00E52A9A">
    <w:pPr>
      <w:pStyle w:val="Footer"/>
    </w:pP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619CCF2D" w14:textId="77777777" w:rsidTr="00666947">
      <w:trPr>
        <w:trHeight w:val="397"/>
      </w:trPr>
      <w:tc>
        <w:tcPr>
          <w:tcW w:w="9071" w:type="dxa"/>
        </w:tcPr>
        <w:p w14:paraId="626A7327" w14:textId="09D9E550" w:rsidR="00E52A9A" w:rsidRDefault="00E52A9A" w:rsidP="00376EF3">
          <w:pPr>
            <w:pStyle w:val="FooterOdd"/>
          </w:pPr>
          <w:fldSimple w:instr=" DOCPROPERTY  xFooterTitle  \* MERGEFORMAT ">
            <w:r>
              <w:t>Great Ocean Road Coast and Parks Environmental-Economic Account</w:t>
            </w:r>
          </w:fldSimple>
        </w:p>
        <w:p w14:paraId="28D0933C" w14:textId="13D7D75E" w:rsidR="00E52A9A" w:rsidRPr="00CB1FB7" w:rsidRDefault="00E52A9A" w:rsidP="00376EF3">
          <w:pPr>
            <w:pStyle w:val="FooterOdd"/>
            <w:rPr>
              <w:b/>
            </w:rPr>
          </w:pPr>
          <w:fldSimple w:instr=" DOCPROPERTY  xFooterSubtitle  \* MERGEFORMAT ">
            <w:r>
              <w:t>Technical Report</w:t>
            </w:r>
          </w:fldSimple>
        </w:p>
      </w:tc>
      <w:tc>
        <w:tcPr>
          <w:tcW w:w="340" w:type="dxa"/>
        </w:tcPr>
        <w:p w14:paraId="64AD2622"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57C4CF9B" w14:textId="77777777" w:rsidR="00E52A9A" w:rsidRDefault="00E52A9A">
    <w:pPr>
      <w:pStyle w:val="Footer"/>
    </w:pP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2696A62D" w14:textId="77777777" w:rsidTr="00666947">
      <w:trPr>
        <w:trHeight w:val="397"/>
      </w:trPr>
      <w:tc>
        <w:tcPr>
          <w:tcW w:w="340" w:type="dxa"/>
        </w:tcPr>
        <w:p w14:paraId="657B89D5"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4F638ECA" w14:textId="61329894" w:rsidR="00E52A9A" w:rsidRDefault="00E52A9A" w:rsidP="00376EF3">
          <w:pPr>
            <w:pStyle w:val="FooterEven"/>
          </w:pPr>
          <w:fldSimple w:instr=" DOCPROPERTY  xFooterTitle  \* MERGEFORMAT ">
            <w:r>
              <w:t>Great Ocean Road Coast and Parks Environmental-Economic Account</w:t>
            </w:r>
          </w:fldSimple>
        </w:p>
        <w:p w14:paraId="3969B021" w14:textId="3D7FA77B" w:rsidR="00E52A9A" w:rsidRPr="00810C40" w:rsidRDefault="00E52A9A" w:rsidP="00376EF3">
          <w:pPr>
            <w:pStyle w:val="FooterEven"/>
          </w:pPr>
          <w:fldSimple w:instr=" DOCPROPERTY  xFooterSubtitle  \* MERGEFORMAT ">
            <w:r>
              <w:t>Technical Report</w:t>
            </w:r>
          </w:fldSimple>
        </w:p>
      </w:tc>
    </w:tr>
  </w:tbl>
  <w:p w14:paraId="7C71CB0F" w14:textId="77777777" w:rsidR="00E52A9A" w:rsidRDefault="00E52A9A" w:rsidP="00376EF3">
    <w:pPr>
      <w:pStyle w:val="FooterEven"/>
    </w:pPr>
  </w:p>
  <w:p w14:paraId="3487FFED" w14:textId="77777777" w:rsidR="00E52A9A" w:rsidRDefault="00E52A9A">
    <w:pPr>
      <w:pStyle w:val="Footer"/>
    </w:pP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77E6E7E3" w14:textId="77777777" w:rsidTr="00666947">
      <w:trPr>
        <w:trHeight w:val="397"/>
      </w:trPr>
      <w:tc>
        <w:tcPr>
          <w:tcW w:w="9071" w:type="dxa"/>
        </w:tcPr>
        <w:p w14:paraId="24398290" w14:textId="2ACF3FFF" w:rsidR="00E52A9A" w:rsidRDefault="00E52A9A" w:rsidP="00376EF3">
          <w:pPr>
            <w:pStyle w:val="FooterOdd"/>
          </w:pPr>
          <w:fldSimple w:instr=" DOCPROPERTY  xFooterTitle  \* MERGEFORMAT ">
            <w:r>
              <w:t>Great Ocean Road Coast and Parks Environmental-Economic Account</w:t>
            </w:r>
          </w:fldSimple>
        </w:p>
        <w:p w14:paraId="4D528E87" w14:textId="2BF4B2C9" w:rsidR="00E52A9A" w:rsidRPr="00CB1FB7" w:rsidRDefault="00E52A9A" w:rsidP="00376EF3">
          <w:pPr>
            <w:pStyle w:val="FooterOdd"/>
            <w:rPr>
              <w:b/>
            </w:rPr>
          </w:pPr>
          <w:fldSimple w:instr=" DOCPROPERTY  xFooterSubtitle  \* MERGEFORMAT ">
            <w:r>
              <w:t>Technical Report</w:t>
            </w:r>
          </w:fldSimple>
        </w:p>
      </w:tc>
      <w:tc>
        <w:tcPr>
          <w:tcW w:w="340" w:type="dxa"/>
        </w:tcPr>
        <w:p w14:paraId="73329E11"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705AD717" w14:textId="77777777" w:rsidR="00E52A9A" w:rsidRDefault="00E52A9A">
    <w:pPr>
      <w:pStyle w:val="Footer"/>
    </w:pP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6C0D4593" w14:textId="77777777" w:rsidTr="00666947">
      <w:trPr>
        <w:trHeight w:val="397"/>
      </w:trPr>
      <w:tc>
        <w:tcPr>
          <w:tcW w:w="340" w:type="dxa"/>
        </w:tcPr>
        <w:p w14:paraId="7025CFE0"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75A4B67D" w14:textId="4E13BA19" w:rsidR="00E52A9A" w:rsidRDefault="00E52A9A" w:rsidP="00376EF3">
          <w:pPr>
            <w:pStyle w:val="FooterEven"/>
          </w:pPr>
          <w:fldSimple w:instr=" DOCPROPERTY  xFooterTitle  \* MERGEFORMAT ">
            <w:r>
              <w:t>Great Ocean Road Coast and Parks Environmental-Economic Account</w:t>
            </w:r>
          </w:fldSimple>
        </w:p>
        <w:p w14:paraId="4AF9CBD3" w14:textId="0A17F71A" w:rsidR="00E52A9A" w:rsidRPr="00810C40" w:rsidRDefault="00E52A9A" w:rsidP="00376EF3">
          <w:pPr>
            <w:pStyle w:val="FooterEven"/>
          </w:pPr>
          <w:fldSimple w:instr=" DOCPROPERTY  xFooterSubtitle  \* MERGEFORMAT ">
            <w:r>
              <w:t>Technical Report</w:t>
            </w:r>
          </w:fldSimple>
        </w:p>
      </w:tc>
    </w:tr>
  </w:tbl>
  <w:p w14:paraId="54331622" w14:textId="77777777" w:rsidR="00E52A9A" w:rsidRDefault="00E52A9A" w:rsidP="00376EF3">
    <w:pPr>
      <w:pStyle w:val="FooterEven"/>
    </w:pPr>
  </w:p>
  <w:p w14:paraId="46E4E866" w14:textId="77777777" w:rsidR="00E52A9A" w:rsidRDefault="00E52A9A">
    <w:pPr>
      <w:pStyle w:val="Footer"/>
    </w:pP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15F7B181" w14:textId="77777777" w:rsidTr="00666947">
      <w:trPr>
        <w:trHeight w:val="397"/>
      </w:trPr>
      <w:tc>
        <w:tcPr>
          <w:tcW w:w="9071" w:type="dxa"/>
        </w:tcPr>
        <w:p w14:paraId="5ED33E1C" w14:textId="49ADF7F8" w:rsidR="00E52A9A" w:rsidRDefault="00E52A9A" w:rsidP="00376EF3">
          <w:pPr>
            <w:pStyle w:val="FooterOdd"/>
          </w:pPr>
          <w:fldSimple w:instr=" DOCPROPERTY  xFooterTitle  \* MERGEFORMAT ">
            <w:r>
              <w:t>Great Ocean Road Coast and Parks Environmental-Economic Account</w:t>
            </w:r>
          </w:fldSimple>
        </w:p>
        <w:p w14:paraId="69029D79" w14:textId="7CF8CEE3" w:rsidR="00E52A9A" w:rsidRPr="00CB1FB7" w:rsidRDefault="00E52A9A" w:rsidP="00376EF3">
          <w:pPr>
            <w:pStyle w:val="FooterOdd"/>
            <w:rPr>
              <w:b/>
            </w:rPr>
          </w:pPr>
          <w:fldSimple w:instr=" DOCPROPERTY  xFooterSubtitle  \* MERGEFORMAT ">
            <w:r>
              <w:t>Technical Report</w:t>
            </w:r>
          </w:fldSimple>
        </w:p>
      </w:tc>
      <w:tc>
        <w:tcPr>
          <w:tcW w:w="340" w:type="dxa"/>
        </w:tcPr>
        <w:p w14:paraId="24601AFA"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5A615CAE" w14:textId="77777777" w:rsidR="00E52A9A" w:rsidRDefault="00E52A9A">
    <w:pPr>
      <w:pStyle w:val="Footer"/>
    </w:pP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756D3B53" w14:textId="77777777" w:rsidTr="00666947">
      <w:trPr>
        <w:trHeight w:val="397"/>
      </w:trPr>
      <w:tc>
        <w:tcPr>
          <w:tcW w:w="340" w:type="dxa"/>
        </w:tcPr>
        <w:p w14:paraId="6BFE350C"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1245F48A" w14:textId="6E736DEC" w:rsidR="00E52A9A" w:rsidRDefault="00E52A9A" w:rsidP="00376EF3">
          <w:pPr>
            <w:pStyle w:val="FooterEven"/>
          </w:pPr>
          <w:fldSimple w:instr=" DOCPROPERTY  xFooterTitle  \* MERGEFORMAT ">
            <w:r>
              <w:t>Great Ocean Road Coast and Parks Environmental-Economic Account</w:t>
            </w:r>
          </w:fldSimple>
        </w:p>
        <w:p w14:paraId="20C30A42" w14:textId="6C0EEDEA" w:rsidR="00E52A9A" w:rsidRPr="00810C40" w:rsidRDefault="00E52A9A" w:rsidP="00376EF3">
          <w:pPr>
            <w:pStyle w:val="FooterEven"/>
          </w:pPr>
          <w:fldSimple w:instr=" DOCPROPERTY  xFooterSubtitle  \* MERGEFORMAT ">
            <w:r>
              <w:t>Technical Report</w:t>
            </w:r>
          </w:fldSimple>
        </w:p>
      </w:tc>
    </w:tr>
  </w:tbl>
  <w:p w14:paraId="7A89C593" w14:textId="77777777" w:rsidR="00E52A9A" w:rsidRDefault="00E52A9A" w:rsidP="00376EF3">
    <w:pPr>
      <w:pStyle w:val="FooterEven"/>
    </w:pPr>
  </w:p>
  <w:p w14:paraId="126DA44C" w14:textId="77777777" w:rsidR="00E52A9A" w:rsidRDefault="00E52A9A">
    <w:pPr>
      <w:pStyle w:val="Footer"/>
    </w:pP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7A8E687D" w14:textId="77777777" w:rsidTr="00666947">
      <w:trPr>
        <w:trHeight w:val="397"/>
      </w:trPr>
      <w:tc>
        <w:tcPr>
          <w:tcW w:w="9071" w:type="dxa"/>
        </w:tcPr>
        <w:p w14:paraId="1E919055" w14:textId="4FB80BF8" w:rsidR="00E52A9A" w:rsidRDefault="00E52A9A" w:rsidP="00376EF3">
          <w:pPr>
            <w:pStyle w:val="FooterOdd"/>
          </w:pPr>
          <w:fldSimple w:instr=" DOCPROPERTY  xFooterTitle  \* MERGEFORMAT ">
            <w:r>
              <w:t>Great Ocean Road Coast and Parks Environmental-Economic Account</w:t>
            </w:r>
          </w:fldSimple>
        </w:p>
        <w:p w14:paraId="515AD57C" w14:textId="175326A5" w:rsidR="00E52A9A" w:rsidRPr="00CB1FB7" w:rsidRDefault="00E52A9A" w:rsidP="00376EF3">
          <w:pPr>
            <w:pStyle w:val="FooterOdd"/>
            <w:rPr>
              <w:b/>
            </w:rPr>
          </w:pPr>
          <w:fldSimple w:instr=" DOCPROPERTY  xFooterSubtitle  \* MERGEFORMAT ">
            <w:r>
              <w:t>Technical Report</w:t>
            </w:r>
          </w:fldSimple>
        </w:p>
      </w:tc>
      <w:tc>
        <w:tcPr>
          <w:tcW w:w="340" w:type="dxa"/>
        </w:tcPr>
        <w:p w14:paraId="24BCD043"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444B6E8F" w14:textId="77777777" w:rsidR="00E52A9A" w:rsidRDefault="00E52A9A">
    <w:pPr>
      <w:pStyle w:val="Footer"/>
    </w:pP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F0DD23" w14:textId="63484535" w:rsidR="00205F19" w:rsidRPr="00E52A9A" w:rsidRDefault="00205F19" w:rsidP="00E52A9A">
    <w:pPr>
      <w:pStyle w:val="Footer"/>
    </w:pP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1F960D8B" w14:textId="77777777" w:rsidTr="00666947">
      <w:trPr>
        <w:trHeight w:val="397"/>
      </w:trPr>
      <w:tc>
        <w:tcPr>
          <w:tcW w:w="340" w:type="dxa"/>
        </w:tcPr>
        <w:p w14:paraId="2A02542A"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366397F0" w14:textId="302C0211" w:rsidR="00E52A9A" w:rsidRDefault="00E52A9A" w:rsidP="00376EF3">
          <w:pPr>
            <w:pStyle w:val="FooterEven"/>
          </w:pPr>
          <w:fldSimple w:instr=" DOCPROPERTY  xFooterTitle  \* MERGEFORMAT ">
            <w:r>
              <w:t>Great Ocean Road Coast and Parks Environmental-Economic Account</w:t>
            </w:r>
          </w:fldSimple>
        </w:p>
        <w:p w14:paraId="25C8B35F" w14:textId="06F0A9B5" w:rsidR="00E52A9A" w:rsidRPr="00810C40" w:rsidRDefault="00E52A9A" w:rsidP="00376EF3">
          <w:pPr>
            <w:pStyle w:val="FooterEven"/>
          </w:pPr>
          <w:fldSimple w:instr=" DOCPROPERTY  xFooterSubtitle  \* MERGEFORMAT ">
            <w:r>
              <w:t>Technical Report</w:t>
            </w:r>
          </w:fldSimple>
        </w:p>
      </w:tc>
    </w:tr>
  </w:tbl>
  <w:p w14:paraId="5A9252A7" w14:textId="77777777" w:rsidR="00E52A9A" w:rsidRDefault="00E52A9A" w:rsidP="00376EF3">
    <w:pPr>
      <w:pStyle w:val="FooterEven"/>
    </w:pPr>
  </w:p>
  <w:p w14:paraId="3A79C39C" w14:textId="77777777" w:rsidR="00E52A9A" w:rsidRDefault="00E52A9A">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4268BCCB" w14:textId="77777777" w:rsidTr="00666947">
      <w:trPr>
        <w:trHeight w:val="397"/>
      </w:trPr>
      <w:tc>
        <w:tcPr>
          <w:tcW w:w="340" w:type="dxa"/>
        </w:tcPr>
        <w:p w14:paraId="0C404677"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18DBE9D2" w14:textId="6CA6F88D" w:rsidR="00E52A9A" w:rsidRDefault="00E52A9A" w:rsidP="00376EF3">
          <w:pPr>
            <w:pStyle w:val="FooterEven"/>
          </w:pPr>
          <w:fldSimple w:instr=" DOCPROPERTY  xFooterTitle  \* MERGEFORMAT ">
            <w:r>
              <w:t>Great Ocean Road Coast and Parks Environmental-Economic Account</w:t>
            </w:r>
          </w:fldSimple>
        </w:p>
        <w:p w14:paraId="47A5E5AB" w14:textId="1EFF515F" w:rsidR="00E52A9A" w:rsidRPr="00810C40" w:rsidRDefault="00E52A9A" w:rsidP="00376EF3">
          <w:pPr>
            <w:pStyle w:val="FooterEven"/>
          </w:pPr>
          <w:fldSimple w:instr=" DOCPROPERTY  xFooterSubtitle  \* MERGEFORMAT ">
            <w:r>
              <w:t>Technical Report</w:t>
            </w:r>
          </w:fldSimple>
        </w:p>
      </w:tc>
    </w:tr>
  </w:tbl>
  <w:p w14:paraId="471F9242" w14:textId="77777777" w:rsidR="00E52A9A" w:rsidRDefault="00E52A9A" w:rsidP="00376EF3">
    <w:pPr>
      <w:pStyle w:val="FooterEven"/>
    </w:pPr>
  </w:p>
  <w:p w14:paraId="213AD801" w14:textId="77777777" w:rsidR="00E52A9A" w:rsidRDefault="00E52A9A">
    <w:pPr>
      <w:pStyle w:val="Footer"/>
    </w:pP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4D52B4BC" w14:textId="77777777" w:rsidTr="00666947">
      <w:trPr>
        <w:trHeight w:val="397"/>
      </w:trPr>
      <w:tc>
        <w:tcPr>
          <w:tcW w:w="9071" w:type="dxa"/>
        </w:tcPr>
        <w:p w14:paraId="59FA3104" w14:textId="69188C20" w:rsidR="00E52A9A" w:rsidRDefault="00E52A9A" w:rsidP="00376EF3">
          <w:pPr>
            <w:pStyle w:val="FooterOdd"/>
          </w:pPr>
          <w:fldSimple w:instr=" DOCPROPERTY  xFooterTitle  \* MERGEFORMAT ">
            <w:r>
              <w:t>Great Ocean Road Coast and Parks Environmental-Economic Account</w:t>
            </w:r>
          </w:fldSimple>
        </w:p>
        <w:p w14:paraId="6E37538C" w14:textId="2BD1C86A" w:rsidR="00E52A9A" w:rsidRPr="00CB1FB7" w:rsidRDefault="00E52A9A" w:rsidP="00376EF3">
          <w:pPr>
            <w:pStyle w:val="FooterOdd"/>
            <w:rPr>
              <w:b/>
            </w:rPr>
          </w:pPr>
          <w:fldSimple w:instr=" DOCPROPERTY  xFooterSubtitle  \* MERGEFORMAT ">
            <w:r>
              <w:t>Technical Report</w:t>
            </w:r>
          </w:fldSimple>
        </w:p>
      </w:tc>
      <w:tc>
        <w:tcPr>
          <w:tcW w:w="340" w:type="dxa"/>
        </w:tcPr>
        <w:p w14:paraId="5B8D0DAE"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78EC790B" w14:textId="77777777" w:rsidR="00E52A9A" w:rsidRDefault="00E52A9A">
    <w:pPr>
      <w:pStyle w:val="Footer"/>
    </w:pP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07BB385F" w14:textId="77777777" w:rsidTr="00666947">
      <w:trPr>
        <w:trHeight w:val="397"/>
      </w:trPr>
      <w:tc>
        <w:tcPr>
          <w:tcW w:w="340" w:type="dxa"/>
        </w:tcPr>
        <w:p w14:paraId="75923E41"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066B4B16" w14:textId="537DABD4" w:rsidR="00E52A9A" w:rsidRDefault="00E52A9A" w:rsidP="00376EF3">
          <w:pPr>
            <w:pStyle w:val="FooterEven"/>
          </w:pPr>
          <w:fldSimple w:instr=" DOCPROPERTY  xFooterTitle  \* MERGEFORMAT ">
            <w:r>
              <w:t>Great Ocean Road Coast and Parks Environmental-Economic Account</w:t>
            </w:r>
          </w:fldSimple>
        </w:p>
        <w:p w14:paraId="5D2C4E0D" w14:textId="0664CDD8" w:rsidR="00E52A9A" w:rsidRPr="00810C40" w:rsidRDefault="00E52A9A" w:rsidP="00376EF3">
          <w:pPr>
            <w:pStyle w:val="FooterEven"/>
          </w:pPr>
          <w:fldSimple w:instr=" DOCPROPERTY  xFooterSubtitle  \* MERGEFORMAT ">
            <w:r>
              <w:t>Technical Report</w:t>
            </w:r>
          </w:fldSimple>
        </w:p>
      </w:tc>
    </w:tr>
  </w:tbl>
  <w:p w14:paraId="346E3A5A" w14:textId="77777777" w:rsidR="00E52A9A" w:rsidRDefault="00E52A9A" w:rsidP="00376EF3">
    <w:pPr>
      <w:pStyle w:val="FooterEven"/>
    </w:pPr>
  </w:p>
  <w:p w14:paraId="03C15E20" w14:textId="77777777" w:rsidR="00E52A9A" w:rsidRDefault="00E52A9A">
    <w:pPr>
      <w:pStyle w:val="Footer"/>
    </w:pP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0FADC0AF" w14:textId="77777777" w:rsidTr="00666947">
      <w:trPr>
        <w:trHeight w:val="397"/>
      </w:trPr>
      <w:tc>
        <w:tcPr>
          <w:tcW w:w="9071" w:type="dxa"/>
        </w:tcPr>
        <w:p w14:paraId="2E8B75FD" w14:textId="38AE5C94" w:rsidR="00E52A9A" w:rsidRDefault="00E52A9A" w:rsidP="00376EF3">
          <w:pPr>
            <w:pStyle w:val="FooterOdd"/>
          </w:pPr>
          <w:fldSimple w:instr=" DOCPROPERTY  xFooterTitle  \* MERGEFORMAT ">
            <w:r>
              <w:t>Great Ocean Road Coast and Parks Environmental-Economic Account</w:t>
            </w:r>
          </w:fldSimple>
        </w:p>
        <w:p w14:paraId="373A3910" w14:textId="082459B6" w:rsidR="00E52A9A" w:rsidRPr="00CB1FB7" w:rsidRDefault="00E52A9A" w:rsidP="00376EF3">
          <w:pPr>
            <w:pStyle w:val="FooterOdd"/>
            <w:rPr>
              <w:b/>
            </w:rPr>
          </w:pPr>
          <w:fldSimple w:instr=" DOCPROPERTY  xFooterSubtitle  \* MERGEFORMAT ">
            <w:r>
              <w:t>Technical Report</w:t>
            </w:r>
          </w:fldSimple>
        </w:p>
      </w:tc>
      <w:tc>
        <w:tcPr>
          <w:tcW w:w="340" w:type="dxa"/>
        </w:tcPr>
        <w:p w14:paraId="4FABDF99"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17C5B3B9" w14:textId="77777777" w:rsidR="00E52A9A" w:rsidRDefault="00E52A9A">
    <w:pPr>
      <w:pStyle w:val="Footer"/>
    </w:pP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73F8E6C2" w14:textId="77777777" w:rsidTr="00666947">
      <w:trPr>
        <w:trHeight w:val="397"/>
      </w:trPr>
      <w:tc>
        <w:tcPr>
          <w:tcW w:w="340" w:type="dxa"/>
        </w:tcPr>
        <w:p w14:paraId="7CE07CFF"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4B28416A" w14:textId="3319095B" w:rsidR="00E52A9A" w:rsidRDefault="00E52A9A" w:rsidP="00376EF3">
          <w:pPr>
            <w:pStyle w:val="FooterEven"/>
          </w:pPr>
          <w:fldSimple w:instr=" DOCPROPERTY  xFooterTitle  \* MERGEFORMAT ">
            <w:r>
              <w:t>Great Ocean Road Coast and Parks Environmental-Economic Account</w:t>
            </w:r>
          </w:fldSimple>
        </w:p>
        <w:p w14:paraId="6262663C" w14:textId="328C315A" w:rsidR="00E52A9A" w:rsidRPr="00810C40" w:rsidRDefault="00E52A9A" w:rsidP="00376EF3">
          <w:pPr>
            <w:pStyle w:val="FooterEven"/>
          </w:pPr>
          <w:fldSimple w:instr=" DOCPROPERTY  xFooterSubtitle  \* MERGEFORMAT ">
            <w:r>
              <w:t>Technical Report</w:t>
            </w:r>
          </w:fldSimple>
        </w:p>
      </w:tc>
    </w:tr>
  </w:tbl>
  <w:p w14:paraId="2EB98DF3" w14:textId="77777777" w:rsidR="00E52A9A" w:rsidRDefault="00E52A9A" w:rsidP="00376EF3">
    <w:pPr>
      <w:pStyle w:val="FooterEven"/>
    </w:pPr>
  </w:p>
  <w:p w14:paraId="1F87654B" w14:textId="77777777" w:rsidR="00E52A9A" w:rsidRDefault="00E52A9A">
    <w:pPr>
      <w:pStyle w:val="Footer"/>
    </w:pP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0C8FA961" w14:textId="77777777" w:rsidTr="00666947">
      <w:trPr>
        <w:trHeight w:val="397"/>
      </w:trPr>
      <w:tc>
        <w:tcPr>
          <w:tcW w:w="9071" w:type="dxa"/>
        </w:tcPr>
        <w:p w14:paraId="21420019" w14:textId="20B72C24" w:rsidR="00E52A9A" w:rsidRDefault="00E52A9A" w:rsidP="00376EF3">
          <w:pPr>
            <w:pStyle w:val="FooterOdd"/>
          </w:pPr>
          <w:fldSimple w:instr=" DOCPROPERTY  xFooterTitle  \* MERGEFORMAT ">
            <w:r>
              <w:t>Great Ocean Road Coast and Parks Environmental-Economic Account</w:t>
            </w:r>
          </w:fldSimple>
        </w:p>
        <w:p w14:paraId="7C0A80CA" w14:textId="622D3F41" w:rsidR="00E52A9A" w:rsidRPr="00CB1FB7" w:rsidRDefault="00E52A9A" w:rsidP="00376EF3">
          <w:pPr>
            <w:pStyle w:val="FooterOdd"/>
            <w:rPr>
              <w:b/>
            </w:rPr>
          </w:pPr>
          <w:fldSimple w:instr=" DOCPROPERTY  xFooterSubtitle  \* MERGEFORMAT ">
            <w:r>
              <w:t>Technical Report</w:t>
            </w:r>
          </w:fldSimple>
        </w:p>
      </w:tc>
      <w:tc>
        <w:tcPr>
          <w:tcW w:w="340" w:type="dxa"/>
        </w:tcPr>
        <w:p w14:paraId="39FBD10D"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7E61B6EA" w14:textId="77777777" w:rsidR="00E52A9A" w:rsidRDefault="00E52A9A">
    <w:pPr>
      <w:pStyle w:val="Footer"/>
    </w:pP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40A9C320" w14:textId="77777777" w:rsidTr="00666947">
      <w:trPr>
        <w:trHeight w:val="397"/>
      </w:trPr>
      <w:tc>
        <w:tcPr>
          <w:tcW w:w="340" w:type="dxa"/>
        </w:tcPr>
        <w:p w14:paraId="76A47636"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1E57EEA1" w14:textId="487943A5" w:rsidR="00E52A9A" w:rsidRDefault="00E52A9A" w:rsidP="00376EF3">
          <w:pPr>
            <w:pStyle w:val="FooterEven"/>
          </w:pPr>
          <w:fldSimple w:instr=" DOCPROPERTY  xFooterTitle  \* MERGEFORMAT ">
            <w:r>
              <w:t>Great Ocean Road Coast and Parks Environmental-Economic Account</w:t>
            </w:r>
          </w:fldSimple>
        </w:p>
        <w:p w14:paraId="2E6A5774" w14:textId="794C69ED" w:rsidR="00E52A9A" w:rsidRPr="00810C40" w:rsidRDefault="00E52A9A" w:rsidP="00376EF3">
          <w:pPr>
            <w:pStyle w:val="FooterEven"/>
          </w:pPr>
          <w:fldSimple w:instr=" DOCPROPERTY  xFooterSubtitle  \* MERGEFORMAT ">
            <w:r>
              <w:t>Technical Report</w:t>
            </w:r>
          </w:fldSimple>
        </w:p>
      </w:tc>
    </w:tr>
  </w:tbl>
  <w:p w14:paraId="4BAF6F20" w14:textId="77777777" w:rsidR="00E52A9A" w:rsidRDefault="00E52A9A" w:rsidP="00376EF3">
    <w:pPr>
      <w:pStyle w:val="FooterEven"/>
    </w:pPr>
  </w:p>
  <w:p w14:paraId="244709ED" w14:textId="77777777" w:rsidR="00E52A9A" w:rsidRDefault="00E52A9A">
    <w:pPr>
      <w:pStyle w:val="Footer"/>
    </w:pP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622A31C8" w14:textId="77777777" w:rsidTr="00666947">
      <w:trPr>
        <w:trHeight w:val="397"/>
      </w:trPr>
      <w:tc>
        <w:tcPr>
          <w:tcW w:w="9071" w:type="dxa"/>
        </w:tcPr>
        <w:p w14:paraId="7D630F83" w14:textId="57CAF515" w:rsidR="00E52A9A" w:rsidRDefault="00E52A9A" w:rsidP="00376EF3">
          <w:pPr>
            <w:pStyle w:val="FooterOdd"/>
          </w:pPr>
          <w:fldSimple w:instr=" DOCPROPERTY  xFooterTitle  \* MERGEFORMAT ">
            <w:r>
              <w:t>Great Ocean Road Coast and Parks Environmental-Economic Account</w:t>
            </w:r>
          </w:fldSimple>
        </w:p>
        <w:p w14:paraId="5C570AC0" w14:textId="6398C402" w:rsidR="00E52A9A" w:rsidRPr="00CB1FB7" w:rsidRDefault="00E52A9A" w:rsidP="00376EF3">
          <w:pPr>
            <w:pStyle w:val="FooterOdd"/>
            <w:rPr>
              <w:b/>
            </w:rPr>
          </w:pPr>
          <w:fldSimple w:instr=" DOCPROPERTY  xFooterSubtitle  \* MERGEFORMAT ">
            <w:r>
              <w:t>Technical Report</w:t>
            </w:r>
          </w:fldSimple>
        </w:p>
      </w:tc>
      <w:tc>
        <w:tcPr>
          <w:tcW w:w="340" w:type="dxa"/>
        </w:tcPr>
        <w:p w14:paraId="124452D3"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07C4AA4A" w14:textId="77777777" w:rsidR="00E52A9A" w:rsidRDefault="00E52A9A">
    <w:pPr>
      <w:pStyle w:val="Footer"/>
    </w:pP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10B3E9C7" w14:textId="77777777" w:rsidTr="00666947">
      <w:trPr>
        <w:trHeight w:val="397"/>
      </w:trPr>
      <w:tc>
        <w:tcPr>
          <w:tcW w:w="340" w:type="dxa"/>
        </w:tcPr>
        <w:p w14:paraId="14D29FDA"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6F4B3DEB" w14:textId="6B14D660" w:rsidR="00E52A9A" w:rsidRDefault="00E52A9A" w:rsidP="00376EF3">
          <w:pPr>
            <w:pStyle w:val="FooterEven"/>
          </w:pPr>
          <w:fldSimple w:instr=" DOCPROPERTY  xFooterTitle  \* MERGEFORMAT ">
            <w:r>
              <w:t>Great Ocean Road Coast and Parks Environmental-Economic Account</w:t>
            </w:r>
          </w:fldSimple>
        </w:p>
        <w:p w14:paraId="34934467" w14:textId="20267B05" w:rsidR="00E52A9A" w:rsidRPr="00810C40" w:rsidRDefault="00E52A9A" w:rsidP="00376EF3">
          <w:pPr>
            <w:pStyle w:val="FooterEven"/>
          </w:pPr>
          <w:fldSimple w:instr=" DOCPROPERTY  xFooterSubtitle  \* MERGEFORMAT ">
            <w:r>
              <w:t>Technical Report</w:t>
            </w:r>
          </w:fldSimple>
        </w:p>
      </w:tc>
    </w:tr>
  </w:tbl>
  <w:p w14:paraId="611C4045" w14:textId="77777777" w:rsidR="00E52A9A" w:rsidRDefault="00E52A9A" w:rsidP="00376EF3">
    <w:pPr>
      <w:pStyle w:val="FooterEven"/>
    </w:pPr>
  </w:p>
  <w:p w14:paraId="13DA9420" w14:textId="77777777" w:rsidR="00E52A9A" w:rsidRDefault="00E52A9A">
    <w:pPr>
      <w:pStyle w:val="Footer"/>
    </w:pP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52A9A" w14:paraId="3BA1117A" w14:textId="77777777" w:rsidTr="00666947">
      <w:trPr>
        <w:trHeight w:val="397"/>
      </w:trPr>
      <w:tc>
        <w:tcPr>
          <w:tcW w:w="9071" w:type="dxa"/>
        </w:tcPr>
        <w:p w14:paraId="3C09D6B6" w14:textId="51BF161F" w:rsidR="00E52A9A" w:rsidRDefault="00E52A9A" w:rsidP="00376EF3">
          <w:pPr>
            <w:pStyle w:val="FooterOdd"/>
          </w:pPr>
          <w:fldSimple w:instr=" DOCPROPERTY  xFooterTitle  \* MERGEFORMAT ">
            <w:r>
              <w:t>Great Ocean Road Coast and Parks Environmental-Economic Account</w:t>
            </w:r>
          </w:fldSimple>
        </w:p>
        <w:p w14:paraId="607EE346" w14:textId="35979F9A" w:rsidR="00E52A9A" w:rsidRPr="00CB1FB7" w:rsidRDefault="00E52A9A" w:rsidP="00376EF3">
          <w:pPr>
            <w:pStyle w:val="FooterOdd"/>
            <w:rPr>
              <w:b/>
            </w:rPr>
          </w:pPr>
          <w:fldSimple w:instr=" DOCPROPERTY  xFooterSubtitle  \* MERGEFORMAT ">
            <w:r>
              <w:t>Technical Report</w:t>
            </w:r>
          </w:fldSimple>
        </w:p>
      </w:tc>
      <w:tc>
        <w:tcPr>
          <w:tcW w:w="340" w:type="dxa"/>
        </w:tcPr>
        <w:p w14:paraId="7EE1E87D" w14:textId="77777777" w:rsidR="00E52A9A" w:rsidRPr="00D55628" w:rsidRDefault="00E52A9A"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2D2837C8" w14:textId="77777777" w:rsidR="00E52A9A" w:rsidRDefault="00E52A9A">
    <w:pPr>
      <w:pStyle w:val="Footer"/>
    </w:pP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E52A9A" w14:paraId="45AE5688" w14:textId="77777777" w:rsidTr="00666947">
      <w:trPr>
        <w:trHeight w:val="397"/>
      </w:trPr>
      <w:tc>
        <w:tcPr>
          <w:tcW w:w="340" w:type="dxa"/>
        </w:tcPr>
        <w:p w14:paraId="37051087" w14:textId="77777777" w:rsidR="00E52A9A" w:rsidRPr="00D55628" w:rsidRDefault="00E52A9A"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5857DB24" w14:textId="0F2E9225" w:rsidR="00E52A9A" w:rsidRDefault="00E52A9A" w:rsidP="00376EF3">
          <w:pPr>
            <w:pStyle w:val="FooterEven"/>
          </w:pPr>
          <w:fldSimple w:instr=" DOCPROPERTY  xFooterTitle  \* MERGEFORMAT ">
            <w:r>
              <w:t>Great Ocean Road Coast and Parks Environmental-Economic Account</w:t>
            </w:r>
          </w:fldSimple>
        </w:p>
        <w:p w14:paraId="3D7ED496" w14:textId="613F9277" w:rsidR="00E52A9A" w:rsidRPr="00810C40" w:rsidRDefault="00E52A9A" w:rsidP="00376EF3">
          <w:pPr>
            <w:pStyle w:val="FooterEven"/>
          </w:pPr>
          <w:fldSimple w:instr=" DOCPROPERTY  xFooterSubtitle  \* MERGEFORMAT ">
            <w:r>
              <w:t>Technical Report</w:t>
            </w:r>
          </w:fldSimple>
        </w:p>
      </w:tc>
    </w:tr>
  </w:tbl>
  <w:p w14:paraId="4C3A89A7" w14:textId="77777777" w:rsidR="00E52A9A" w:rsidRDefault="00E52A9A" w:rsidP="00376EF3">
    <w:pPr>
      <w:pStyle w:val="FooterEven"/>
    </w:pPr>
  </w:p>
  <w:p w14:paraId="7CBFBB3C" w14:textId="77777777" w:rsidR="00E52A9A" w:rsidRDefault="00E52A9A">
    <w:pPr>
      <w:pStyle w:val="Footer"/>
    </w:pPr>
  </w:p>
  <w:p w14:paraId="6FA96339" w14:textId="77777777" w:rsidR="00F50B5A" w:rsidRPr="00E52A9A" w:rsidRDefault="00F50B5A" w:rsidP="00E52A9A">
    <w:pPr>
      <w:pStyle w:val="Footer"/>
    </w:pPr>
  </w:p>
  <w:p w14:paraId="78BD0883" w14:textId="77777777" w:rsidR="00D739D7" w:rsidRDefault="00D739D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60D3808" w14:textId="77777777" w:rsidR="00F51742" w:rsidRPr="0056073C" w:rsidRDefault="00F51742" w:rsidP="005D764F">
      <w:pPr>
        <w:pStyle w:val="FootnoteSeparator"/>
      </w:pPr>
    </w:p>
  </w:footnote>
  <w:footnote w:type="continuationSeparator" w:id="0">
    <w:p w14:paraId="41BBCE94" w14:textId="77777777" w:rsidR="00F51742" w:rsidRPr="00CA30B7" w:rsidRDefault="00F51742" w:rsidP="006D5A90">
      <w:pPr>
        <w:rPr>
          <w:lang w:val="en-US"/>
        </w:rPr>
      </w:pPr>
      <w:r w:rsidRPr="00CA30B7">
        <w:rPr>
          <w:lang w:val="en-US"/>
        </w:rPr>
        <w:t>_______</w:t>
      </w:r>
    </w:p>
  </w:footnote>
  <w:footnote w:type="continuationNotice" w:id="1">
    <w:p w14:paraId="1CE2F278" w14:textId="77777777" w:rsidR="00F51742" w:rsidRDefault="00F51742" w:rsidP="006D5A90"/>
  </w:footnote>
  <w:footnote w:id="2">
    <w:p w14:paraId="112E871A" w14:textId="77777777" w:rsidR="006749AC" w:rsidRPr="009E54B7" w:rsidRDefault="006749AC"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9E54B7">
        <w:t xml:space="preserve">Whilst the LGAs cover a larger area than the boundary of the </w:t>
      </w:r>
      <w:r>
        <w:t>GORCAP EEA</w:t>
      </w:r>
      <w:r w:rsidRPr="009E54B7">
        <w:t xml:space="preserve">, the expectation is that this figure is a suitable representation of the number of visits taken to the </w:t>
      </w:r>
      <w:r>
        <w:t>GORCAP EEA</w:t>
      </w:r>
      <w:r w:rsidRPr="009E54B7">
        <w:t xml:space="preserve"> region given that Parks Victoria data obtained for this </w:t>
      </w:r>
      <w:r>
        <w:t>GORCAP EEA</w:t>
      </w:r>
      <w:r w:rsidRPr="009E54B7">
        <w:t xml:space="preserve"> estimates 2.2million visits to the Twelve Apostles alone in 2019</w:t>
      </w:r>
    </w:p>
  </w:footnote>
  <w:footnote w:id="3">
    <w:p w14:paraId="61C8C704" w14:textId="77777777" w:rsidR="00B21991" w:rsidRPr="00D73BCB"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D73BCB">
        <w:t xml:space="preserve">The recommendations of the UN Conference on Environment and Development in Rio are </w:t>
      </w:r>
      <w:r w:rsidRPr="00D73BCB">
        <w:rPr>
          <w:shd w:val="clear" w:color="auto" w:fill="FFFFFF"/>
        </w:rPr>
        <w:t>set out in Agenda 21. This is a non-binding action plan of the United Nations with regard to sustainable development.</w:t>
      </w:r>
    </w:p>
  </w:footnote>
  <w:footnote w:id="4">
    <w:p w14:paraId="6E87DD89" w14:textId="77777777" w:rsidR="00B21991" w:rsidRPr="00860388"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860388">
        <w:t>For example, ecosystem service estimates rely on extent data from 2019 as well as estimates of the relationship between ecosystem extent and its productivity which may be from academic research undertaken in 201</w:t>
      </w:r>
      <w:r>
        <w:t>5</w:t>
      </w:r>
      <w:r w:rsidRPr="00860388">
        <w:t>. Therefore, an assumption is adopted that this relationship is stable and relevant to apply to an analysis that is being developed for 2019.</w:t>
      </w:r>
    </w:p>
  </w:footnote>
  <w:footnote w:id="5">
    <w:p w14:paraId="6D4ABEFD" w14:textId="77777777" w:rsidR="00B21991"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Pr>
          <w:color w:val="111111" w:themeColor="text1" w:themeShade="80"/>
        </w:rPr>
        <w:t xml:space="preserve">Benefits are distinguished as being either </w:t>
      </w:r>
      <w:r>
        <w:t>SNA benefits (produced by economic units such as food, water, energy) or non-SNA benefits (not produced by economic units such as clean air, flood protection).</w:t>
      </w:r>
    </w:p>
  </w:footnote>
  <w:footnote w:id="6">
    <w:p w14:paraId="678DD13D" w14:textId="77777777" w:rsidR="00B21991"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411D38">
        <w:t>Supporting services were originally defined in the Millennium Ecosystem Assessment as services that maintain the conditions for life on Earth and are thus necessary for the production of all other ecosystem services. Supporting services differ from final ecosystem services in that their impacts on people are either indirect or occur over a very long time (e.g. humans do not directly use soil formation services, although changes in this would indirectly affect people through the impact on the provisioning service of food production) (MA, 2005). These supporting services are treated as part of the underlying structures, process and functions that characterise ecosystems and since they are only indirectly consumed or used they may simultaneously facilitate many final ecosystem services (CICES, 2021).</w:t>
      </w:r>
    </w:p>
  </w:footnote>
  <w:footnote w:id="7">
    <w:p w14:paraId="46A10F90" w14:textId="77777777" w:rsidR="00B21991" w:rsidRPr="00D94499"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D94499">
        <w:t xml:space="preserve">DELWP’s Biodiversity division has developed CoastKit, a database which centralises marine and coastal scientific project data, images and resources into a single database and provides ready accessibility for managers and researchers (DELWP, 2020). This includes information on ecological condition including features of interest such as whale feeding grounds (i.e. critical area for the life cycle of species) and “socio-economic” condition including cultural assets such as shipwrecks / diving sites for marine recreation.  </w:t>
      </w:r>
    </w:p>
  </w:footnote>
  <w:footnote w:id="8">
    <w:p w14:paraId="2BDEF190" w14:textId="77777777" w:rsidR="00B21991"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t xml:space="preserve">The DELWP and PV (2015) study assessed runoff under the current park network and a measurement baseline scenario where parks are cleared for grazing (as a “without” natural capital scenario) to estimate water provision due to the existence of parks. Under this approach runoff (i.e. water lost outside of the parks area) was estimated to increase under the  measurement baseline suggesting water provision (i.e. that retained within the parks) increases due to forests and wetlands. Whilst this approach is suitable as an indicative measure (with appropriate caveats), the freshwater runoff that moves outside of the parks area under the measurement baseline is not necessarily lost (e.g. to the ocean) and could still provide value to society. Whilst water provision has been estimated in some studies as a provisioning service on the basis that ecosystems retain water within a catchment (prior to flowing to sea), the UN (2019) notes that water is not the result of ecosystem processes and therefore water supply may better categorised as an abiotic service. The study team suggests that further work is needed to be done to understand the ecosystem service associated with water provision and how it is to be assessed from a practical perspective. Therefore, it is excluded from quantification and valuation within this GORCAP EEA (although existing </w:t>
      </w:r>
      <w:r w:rsidRPr="00402507">
        <w:t>estimate</w:t>
      </w:r>
      <w:r>
        <w:t>s</w:t>
      </w:r>
      <w:r w:rsidRPr="00402507">
        <w:t xml:space="preserve"> of the </w:t>
      </w:r>
      <w:r>
        <w:t xml:space="preserve">physical amount and </w:t>
      </w:r>
      <w:r w:rsidRPr="00402507">
        <w:t xml:space="preserve">monetary value of water supply </w:t>
      </w:r>
      <w:r>
        <w:t>that were identified fr</w:t>
      </w:r>
      <w:r w:rsidRPr="00402507">
        <w:t>om the</w:t>
      </w:r>
      <w:r>
        <w:t xml:space="preserve"> reviewed</w:t>
      </w:r>
      <w:r w:rsidRPr="00402507">
        <w:t xml:space="preserve"> Victoria specific literature</w:t>
      </w:r>
      <w:r>
        <w:t xml:space="preserve"> (see Annex 3)</w:t>
      </w:r>
      <w:r w:rsidRPr="00402507">
        <w:t xml:space="preserve"> </w:t>
      </w:r>
      <w:r>
        <w:t>are noted for future reference / account development).</w:t>
      </w:r>
    </w:p>
  </w:footnote>
  <w:footnote w:id="9">
    <w:p w14:paraId="26E6CEF6" w14:textId="7EE179E6" w:rsidR="00B41AF2" w:rsidRPr="00FB15DB" w:rsidRDefault="00F761FB" w:rsidP="00B41AF2">
      <w:pPr>
        <w:pStyle w:val="BodyText"/>
        <w:tabs>
          <w:tab w:val="left" w:pos="425"/>
        </w:tabs>
        <w:ind w:left="425" w:hanging="425"/>
      </w:pPr>
      <w:r>
        <w:rPr>
          <w:rStyle w:val="FootnoteReference"/>
        </w:rPr>
        <w:footnoteRef/>
      </w:r>
      <w:r>
        <w:t xml:space="preserve"> </w:t>
      </w:r>
      <w:r w:rsidR="00B41AF2">
        <w:tab/>
      </w:r>
    </w:p>
    <w:p w14:paraId="521F6724" w14:textId="7F9E893B" w:rsidR="00F761FB" w:rsidRDefault="00F761FB">
      <w:pPr>
        <w:pStyle w:val="FootnoteText"/>
      </w:pPr>
    </w:p>
  </w:footnote>
  <w:footnote w:id="10">
    <w:p w14:paraId="0658BC20" w14:textId="6A05AF83" w:rsidR="00686113" w:rsidRDefault="00686113">
      <w:pPr>
        <w:pStyle w:val="FootnoteText"/>
      </w:pPr>
      <w:r>
        <w:rPr>
          <w:rStyle w:val="FootnoteReference"/>
        </w:rPr>
        <w:footnoteRef/>
      </w:r>
      <w:r>
        <w:t xml:space="preserve"> </w:t>
      </w:r>
      <w:r>
        <w:tab/>
      </w:r>
      <w:r w:rsidRPr="00FB15DB">
        <w:t xml:space="preserve">It is not considered appropriate to place a monetary value on natural assets that are protected for their cultural heritage value to people (e.g. species of importance, arboreal Avenues of Honour). This is because assets that are protected for their cultural value should not be compared to / traded off against the value of other ecosystem services (e.g., in cost-benefit analysis). </w:t>
      </w:r>
    </w:p>
  </w:footnote>
  <w:footnote w:id="11">
    <w:p w14:paraId="22E5EA85" w14:textId="77777777" w:rsidR="00B21991"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B7593F">
        <w:t xml:space="preserve">As noted above, </w:t>
      </w:r>
      <w:r>
        <w:t>valuing</w:t>
      </w:r>
      <w:r w:rsidRPr="00B7593F">
        <w:t xml:space="preserve"> supporting services is considered by the study team to be a</w:t>
      </w:r>
      <w:r>
        <w:t xml:space="preserve">cceptable </w:t>
      </w:r>
      <w:r w:rsidRPr="00B7593F">
        <w:t xml:space="preserve">so long as the </w:t>
      </w:r>
      <w:r w:rsidRPr="008365FE">
        <w:t>indirect</w:t>
      </w:r>
      <w:r w:rsidRPr="00B7593F">
        <w:t xml:space="preserve"> contribution to socio-economic benefits (through supporting the ecological functioning of ecosystems) is estimated in a way that avoids double counting the value that the natural environment provides to society. However, given the conceptual and practical challenges associated with this, the GOR Coast and Parks assessment focuses on quantifying and valuing “final ecosystem services” only, which are defined as ecosystem services that </w:t>
      </w:r>
      <w:r w:rsidRPr="008365FE">
        <w:t xml:space="preserve">directly </w:t>
      </w:r>
      <w:r w:rsidRPr="00B7593F">
        <w:t>contribute to human wellbeing through the benefits that they support.</w:t>
      </w:r>
    </w:p>
  </w:footnote>
  <w:footnote w:id="12">
    <w:p w14:paraId="6962B58C" w14:textId="77777777" w:rsidR="00B21991"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AF6220">
        <w:t>Biomass - timber</w:t>
      </w:r>
      <w:r>
        <w:t>;</w:t>
      </w:r>
      <w:r w:rsidRPr="00AF6220">
        <w:t xml:space="preserve"> Coastal protection</w:t>
      </w:r>
      <w:r>
        <w:t xml:space="preserve">; </w:t>
      </w:r>
      <w:r w:rsidRPr="00AF6220">
        <w:t>Education</w:t>
      </w:r>
      <w:r>
        <w:t>;</w:t>
      </w:r>
      <w:r w:rsidRPr="00AF6220">
        <w:t xml:space="preserve"> Biomass - food</w:t>
      </w:r>
      <w:r>
        <w:t>;</w:t>
      </w:r>
      <w:r w:rsidRPr="00AF6220">
        <w:t xml:space="preserve"> Global climate regulation</w:t>
      </w:r>
      <w:r>
        <w:t>;</w:t>
      </w:r>
      <w:r w:rsidRPr="00AF6220">
        <w:t xml:space="preserve"> Recreation</w:t>
      </w:r>
      <w:r>
        <w:t xml:space="preserve"> and t</w:t>
      </w:r>
      <w:r w:rsidRPr="00AF6220">
        <w:t>ourism</w:t>
      </w:r>
      <w:r>
        <w:t>.</w:t>
      </w:r>
    </w:p>
  </w:footnote>
  <w:footnote w:id="13">
    <w:p w14:paraId="0ADBB5C5" w14:textId="77777777" w:rsidR="00B21991"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AF6220">
        <w:t>Aesthetics</w:t>
      </w:r>
      <w:r>
        <w:t>;</w:t>
      </w:r>
      <w:r w:rsidRPr="00AF6220">
        <w:t xml:space="preserve"> Cultural value - heritage and knowledge</w:t>
      </w:r>
      <w:r>
        <w:t>;</w:t>
      </w:r>
      <w:r w:rsidRPr="00AF6220">
        <w:t xml:space="preserve"> Existence / Option value</w:t>
      </w:r>
      <w:r>
        <w:t>;</w:t>
      </w:r>
      <w:r w:rsidRPr="00AF6220">
        <w:t xml:space="preserve"> Social / community cohesion</w:t>
      </w:r>
      <w:r>
        <w:t>.</w:t>
      </w:r>
    </w:p>
  </w:footnote>
  <w:footnote w:id="14">
    <w:p w14:paraId="29D90E59" w14:textId="77777777" w:rsidR="00B21991" w:rsidRPr="00C71C24"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963B64">
        <w:t xml:space="preserve">The coastal hazard index </w:t>
      </w:r>
      <w:r>
        <w:t>is based on</w:t>
      </w:r>
      <w:r w:rsidRPr="00963B64">
        <w:t xml:space="preserve"> the habitat risk exposure function embedded in Coastal Vulnerability toolbox of InVEST model and incorporates the effects of geomorphology and coastal relief as well as exposures from wind, waves, sea level rise and storm surge potential</w:t>
      </w:r>
      <w:r>
        <w:t xml:space="preserve"> (The Nature Conservancy et al, n.d.)</w:t>
      </w:r>
      <w:r w:rsidRPr="00963B64">
        <w:t xml:space="preserve">. </w:t>
      </w:r>
    </w:p>
  </w:footnote>
  <w:footnote w:id="15">
    <w:p w14:paraId="070846A0" w14:textId="77777777" w:rsidR="00B21991"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C71C24">
        <w:t>The value</w:t>
      </w:r>
      <w:r>
        <w:t xml:space="preserve"> of the “h</w:t>
      </w:r>
      <w:r w:rsidRPr="00C71C24">
        <w:t xml:space="preserve">abitat </w:t>
      </w:r>
      <w:r>
        <w:t>r</w:t>
      </w:r>
      <w:r w:rsidRPr="00C71C24">
        <w:t>ole</w:t>
      </w:r>
      <w:r>
        <w:t xml:space="preserve">” </w:t>
      </w:r>
      <w:r w:rsidRPr="00C71C24">
        <w:t>is calculated by</w:t>
      </w:r>
      <w:r>
        <w:t xml:space="preserve"> (1) s</w:t>
      </w:r>
      <w:r w:rsidRPr="00C71C24">
        <w:t xml:space="preserve">ubtracting the </w:t>
      </w:r>
      <w:r>
        <w:t>h</w:t>
      </w:r>
      <w:r w:rsidRPr="00C71C24">
        <w:t xml:space="preserve">azard </w:t>
      </w:r>
      <w:r>
        <w:t>i</w:t>
      </w:r>
      <w:r w:rsidRPr="00C71C24">
        <w:t>ndex</w:t>
      </w:r>
      <w:r>
        <w:t xml:space="preserve"> score</w:t>
      </w:r>
      <w:r w:rsidRPr="00C71C24">
        <w:t xml:space="preserve"> </w:t>
      </w:r>
      <w:r>
        <w:t xml:space="preserve">under a </w:t>
      </w:r>
      <w:r w:rsidRPr="00C71C24">
        <w:t xml:space="preserve">“with” </w:t>
      </w:r>
      <w:r>
        <w:t>h</w:t>
      </w:r>
      <w:r w:rsidRPr="00C71C24">
        <w:t xml:space="preserve">abitat scenario from </w:t>
      </w:r>
      <w:r>
        <w:t>the h</w:t>
      </w:r>
      <w:r w:rsidRPr="00C71C24">
        <w:t xml:space="preserve">azard </w:t>
      </w:r>
      <w:r>
        <w:t>i</w:t>
      </w:r>
      <w:r w:rsidRPr="00C71C24">
        <w:t>ndex</w:t>
      </w:r>
      <w:r>
        <w:t xml:space="preserve"> score under a</w:t>
      </w:r>
      <w:r w:rsidRPr="00C71C24">
        <w:t xml:space="preserve"> “without” </w:t>
      </w:r>
      <w:r>
        <w:t>h</w:t>
      </w:r>
      <w:r w:rsidRPr="00C71C24">
        <w:t>abitat scenario</w:t>
      </w:r>
      <w:r>
        <w:t xml:space="preserve"> (2) taking the value from (1) and </w:t>
      </w:r>
      <w:r w:rsidRPr="00C71C24">
        <w:t>divid</w:t>
      </w:r>
      <w:r>
        <w:t xml:space="preserve">ing </w:t>
      </w:r>
      <w:r w:rsidRPr="00C71C24">
        <w:t xml:space="preserve">by the maximum </w:t>
      </w:r>
      <w:r>
        <w:t>h</w:t>
      </w:r>
      <w:r w:rsidRPr="00C71C24">
        <w:t xml:space="preserve">azard </w:t>
      </w:r>
      <w:r>
        <w:t>i</w:t>
      </w:r>
      <w:r w:rsidRPr="00C71C24">
        <w:t>ndex (</w:t>
      </w:r>
      <w:r>
        <w:t xml:space="preserve">i.e. under the </w:t>
      </w:r>
      <w:r w:rsidRPr="00C71C24">
        <w:t xml:space="preserve">“without” </w:t>
      </w:r>
      <w:r>
        <w:t>h</w:t>
      </w:r>
      <w:r w:rsidRPr="00C71C24">
        <w:t>abitat scenario)</w:t>
      </w:r>
      <w:r>
        <w:t xml:space="preserve"> (The Nature Conservancy et al, n.d.)</w:t>
      </w:r>
      <w:r w:rsidRPr="00963B64">
        <w:t>.</w:t>
      </w:r>
    </w:p>
  </w:footnote>
  <w:footnote w:id="16">
    <w:p w14:paraId="638A16E1" w14:textId="77777777" w:rsidR="00B21991"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912198">
        <w:t xml:space="preserve">The Carnell et al (2019) analysis estimates that approximately 4,000 additional people within 1km of the coastline would be exposed to coastal hazards if the coastal protection service provided by coastal wetlands (mangroves, seagrass and tidal marsh) in the </w:t>
      </w:r>
      <w:r>
        <w:t>GORCAP region</w:t>
      </w:r>
      <w:r w:rsidRPr="00912198">
        <w:t xml:space="preserve"> did not exist. The magnitude of this exposure is unclear,</w:t>
      </w:r>
      <w:r>
        <w:t xml:space="preserve"> and it seems a high estimate of additional population given (a) the total population in the region is approximately 20,000 (b) the change in exposure due to wetlands is low, between 1% to 4% (see Section 5.2.2)</w:t>
      </w:r>
      <w:r w:rsidRPr="00912198">
        <w:t xml:space="preserve">. This is not the total population that benefits from coastal protection within the </w:t>
      </w:r>
      <w:r>
        <w:t>GORCAP region</w:t>
      </w:r>
      <w:r w:rsidRPr="00912198">
        <w:t xml:space="preserve"> as it does not include the population that benefits from reduced exposure to coastal hazards.</w:t>
      </w:r>
      <w:r>
        <w:t xml:space="preserve"> For these reasons this analysis has not been included in the GORCAP EEA.</w:t>
      </w:r>
    </w:p>
  </w:footnote>
  <w:footnote w:id="17">
    <w:p w14:paraId="439C9CC4" w14:textId="77777777" w:rsidR="00B21991" w:rsidRPr="0092256D"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92256D">
        <w:t>i.e. the exposure of the coastline to hazards would be reduced but the coastline is protected by seawalls (for example), so the value is only in reducing exposure of seawalls to erosion</w:t>
      </w:r>
      <w:r>
        <w:t>.</w:t>
      </w:r>
    </w:p>
  </w:footnote>
  <w:footnote w:id="18">
    <w:p w14:paraId="6A36DBAD" w14:textId="77777777" w:rsidR="00B21991" w:rsidRPr="00550311"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550311">
        <w:t xml:space="preserve">Based on the </w:t>
      </w:r>
      <w:r>
        <w:t xml:space="preserve">median </w:t>
      </w:r>
      <w:r w:rsidRPr="000D3E03">
        <w:t xml:space="preserve">estimated cost of replacing </w:t>
      </w:r>
      <w:r>
        <w:t xml:space="preserve">the 84 existing </w:t>
      </w:r>
      <w:r w:rsidRPr="000D3E03">
        <w:t>built infrastructure</w:t>
      </w:r>
      <w:r>
        <w:t xml:space="preserve"> assets</w:t>
      </w:r>
      <w:r w:rsidRPr="000D3E03">
        <w:t xml:space="preserve"> (i.e. groynes, seawalls, revetments, breakwaters) along the coast in Surf Coast, Colac Otway, Corangamite, Warrnambool and Moyne municipalities, with the same (i.e. like for like) infrastructure</w:t>
      </w:r>
      <w:r>
        <w:t xml:space="preserve"> from AW Maritime (2021).</w:t>
      </w:r>
    </w:p>
  </w:footnote>
  <w:footnote w:id="19">
    <w:p w14:paraId="559658D5" w14:textId="77777777" w:rsidR="00B21991" w:rsidRPr="00B2705E"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B2705E">
        <w:t>The data covers the number of school visits along the Great Ocean Road boundary to the following suburbs: Aireys Inlet, Allansford, Anglesea, Apollo Bay, Fairhaven, Gellibrand Lower, Jan Juc, Kennett River, Lavers Hill, Lorne, Marengo, Nullawarre, Peterborough, Port Campbell, Princetown, Skenes Creek, Torquay, Torquay North, Warrnambool and  Wye River.</w:t>
      </w:r>
    </w:p>
  </w:footnote>
  <w:footnote w:id="20">
    <w:p w14:paraId="03DACD2F" w14:textId="77777777" w:rsidR="00B21991" w:rsidRPr="00B2705E"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B2705E">
        <w:t>Excursion, water sports and/ or sport activities eligible for classification under natural environment activities were selected based on venue names with the following key words: beach, coastal, 12 (Twelve) Apostles, surf, blazing saddles, creek, scout camp, marine park, Great Ocean Road, walking, lighthouse, river, promenade, picnic, lake, park (excl. adventure, caravan, car, holiday and recreational parks), Point Road Knight, wave, skate, Bass Straight, field day, sea, gardens, falls, environment, Soapy rock, bay, bluff, bridge, coastal, forest (excl. shopping centres, colleges, schools), reserve.</w:t>
      </w:r>
    </w:p>
  </w:footnote>
  <w:footnote w:id="21">
    <w:p w14:paraId="7BFE2377" w14:textId="77777777" w:rsidR="00B21991" w:rsidRPr="00AC5118"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AC5118">
        <w:t>Updated to 2021 dollars from $8 using CPI adjustment from June 2017 to March 2021 for Domestic holiday travel and accommodation, Australia.</w:t>
      </w:r>
    </w:p>
  </w:footnote>
  <w:footnote w:id="22">
    <w:p w14:paraId="5FA3908D" w14:textId="77777777" w:rsidR="00B21991"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AC5118">
        <w:t>Updated to 2021 dollars from $22 using CPI adjustment from June 2017 to March 2021 for Domestic holiday travel and accommodation, Australia.</w:t>
      </w:r>
    </w:p>
  </w:footnote>
  <w:footnote w:id="23">
    <w:p w14:paraId="20ED6909" w14:textId="77777777" w:rsidR="00B21991" w:rsidRPr="00A256B7" w:rsidRDefault="00B21991" w:rsidP="00B21991">
      <w:pPr>
        <w:pStyle w:val="FootnoteText"/>
      </w:pPr>
      <w:r w:rsidRPr="008365FE">
        <w:rPr>
          <w:rStyle w:val="EndnoteReference"/>
        </w:rPr>
        <w:t xml:space="preserve"> </w:t>
      </w:r>
      <w:r w:rsidRPr="008365FE">
        <w:rPr>
          <w:rStyle w:val="EndnoteReference"/>
        </w:rPr>
        <w:tab/>
      </w:r>
      <w:r w:rsidRPr="00A634FD">
        <w:footnoteRef/>
      </w:r>
      <w:r>
        <w:t xml:space="preserve"> </w:t>
      </w:r>
      <w:r w:rsidRPr="00A634FD">
        <w:t>The ABS data estimates slightly different areas of total agricultural land within the SA4 regions of Geelong and Warrnambool and South</w:t>
      </w:r>
      <w:r>
        <w:t>-</w:t>
      </w:r>
      <w:r w:rsidRPr="00A634FD">
        <w:t>West</w:t>
      </w:r>
      <w:r>
        <w:t>, compared to the extent mapping. If the total farmland area within the GORCAP region was compared to the ABS agricultural area, the proportions would instead be 1.03 per cent for Geelong and 1.54 per cent for Warrnambool and South-West. This difference is not considered material, and so the extent mapping areas were chosen for consistency.</w:t>
      </w:r>
    </w:p>
  </w:footnote>
  <w:footnote w:id="24">
    <w:p w14:paraId="4EE342C1" w14:textId="77777777" w:rsidR="00B21991" w:rsidRPr="00C26142"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C26142">
        <w:t>A key challenge in accounting for fish biomass production for food is the attribution of value to specific ecosystem assets. The fluid nature of the marine environment means that fish depend on multiple ecosystem assets over the course of their life cycle and the location that fish are caught will not necessarily capture this complexity. The Blandon and zu Ermgassen (2014) and Carnell et al (2019) approaches allow attribution of biomass production to specific assets (seagrass, mangrove and saltmarsh) within the marine environment.</w:t>
      </w:r>
    </w:p>
  </w:footnote>
  <w:footnote w:id="25">
    <w:p w14:paraId="7F84C0B3" w14:textId="77777777" w:rsidR="00B21991" w:rsidRPr="00C86EA4"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C26142">
        <w:t xml:space="preserve">A key challenge in accounting for invertebrate biomass production for food is the attribution of value to specific ecosystem assets. The fluid nature of the marine environment means that invertebrates depend on multiple ecosystem assets over the course of their life cycle and the location that and invertebrates are caught will not necessarily capture this complexity. The study team is proposing an approach for abalone that attributes production to the </w:t>
      </w:r>
      <w:r>
        <w:t>GORCAP region</w:t>
      </w:r>
      <w:r w:rsidRPr="00C26142">
        <w:t xml:space="preserve"> based on abalone biomass hotspots, primary larval sources and catch (distributed by habitat) from the Ierodiaconou et al (2018) study.</w:t>
      </w:r>
    </w:p>
  </w:footnote>
  <w:footnote w:id="26">
    <w:p w14:paraId="22E18405" w14:textId="77777777" w:rsidR="00B21991" w:rsidRPr="00FF27F1"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FF27F1">
        <w:t>Updated to 2021 dollars using CPI adjustment from December 2018 to March 2021 for Fish and other seafood, Australia.</w:t>
      </w:r>
    </w:p>
  </w:footnote>
  <w:footnote w:id="27">
    <w:p w14:paraId="40928A5C" w14:textId="77777777" w:rsidR="00B21991" w:rsidRPr="00393B03"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FF27F1">
        <w:t>Updated to 2021 dollars from $45 using CPI adjustment from December 2010 to March 2021 for Fish and other seafood, Melbourne.</w:t>
      </w:r>
    </w:p>
  </w:footnote>
  <w:footnote w:id="28">
    <w:p w14:paraId="50D2BD65" w14:textId="77777777" w:rsidR="00B21991"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393B03">
        <w:t xml:space="preserve">There are other ecological functions that capture carbon within terrestrial and marine environments, but these are not within the current scope of the </w:t>
      </w:r>
      <w:r>
        <w:t>GORCAP EEA</w:t>
      </w:r>
      <w:r w:rsidRPr="00393B03">
        <w:t>.</w:t>
      </w:r>
      <w:r>
        <w:t xml:space="preserve"> </w:t>
      </w:r>
    </w:p>
  </w:footnote>
  <w:footnote w:id="29">
    <w:p w14:paraId="3FB89A97" w14:textId="77777777" w:rsidR="00B21991" w:rsidRPr="00FF27F1"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FF27F1">
        <w:t xml:space="preserve">Authors unknown 2020, Discussion paper 3.2: Treatments for selected ecosystem services and related flows for the revised SEEA EEA. February 2020, p. 19.  </w:t>
      </w:r>
    </w:p>
  </w:footnote>
  <w:footnote w:id="30">
    <w:p w14:paraId="280F76F6" w14:textId="77777777" w:rsidR="00B21991" w:rsidRPr="00491B00"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FF27F1">
        <w:t xml:space="preserve">Consistent with Victorian Department of Treasury and Finance guidance on discount rates. Department of Treasury and Finance 2013, </w:t>
      </w:r>
      <w:r w:rsidRPr="008365FE">
        <w:t>Economic evaluation: Technical guidance</w:t>
      </w:r>
      <w:r w:rsidRPr="00FF27F1">
        <w:t>, State of Victoria, Melbourne, pp 24-27.</w:t>
      </w:r>
      <w:r w:rsidRPr="003D2B7C">
        <w:t xml:space="preserve"> </w:t>
      </w:r>
    </w:p>
  </w:footnote>
  <w:footnote w:id="31">
    <w:p w14:paraId="7453889E" w14:textId="77777777" w:rsidR="00B21991" w:rsidRPr="00D9224D"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D9224D">
        <w:t xml:space="preserve">United Nations Statistics Division 2020, ‘Chapter draft prepared for global consultation – Chapter 10: Accounting for ecosystem assets in monetary terms’, System of Environmental-Economic Accounting 2012 – Experimental </w:t>
      </w:r>
      <w:r>
        <w:t>Environmental-economic account</w:t>
      </w:r>
      <w:r w:rsidRPr="00D9224D">
        <w:t xml:space="preserve">ing Revision, May, p. 9-10.  </w:t>
      </w:r>
    </w:p>
  </w:footnote>
  <w:footnote w:id="32">
    <w:p w14:paraId="43ACF9A7" w14:textId="77777777" w:rsidR="00B21991" w:rsidRPr="006D04C1"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6D04C1">
        <w:t>Tonnes of carbon sequestered and storage (retention) can be converted to CO</w:t>
      </w:r>
      <w:r w:rsidRPr="006D04C1">
        <w:rPr>
          <w:vertAlign w:val="subscript"/>
        </w:rPr>
        <w:t>2</w:t>
      </w:r>
      <w:r w:rsidRPr="006D04C1">
        <w:t>e by applying an equivalent factor of 3.664. One tonne of carbon is equal to 3.664 tonnes of CO2e (DoEE, 2017).</w:t>
      </w:r>
    </w:p>
  </w:footnote>
  <w:footnote w:id="33">
    <w:p w14:paraId="5DF25701" w14:textId="77777777" w:rsidR="00B21991" w:rsidRPr="0015469D"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15469D">
        <w:t xml:space="preserve">Updated to 2021 Australian dollars – see Table </w:t>
      </w:r>
      <w:r>
        <w:t>9</w:t>
      </w:r>
    </w:p>
  </w:footnote>
  <w:footnote w:id="34">
    <w:p w14:paraId="3500AB50" w14:textId="77777777" w:rsidR="00B21991" w:rsidRPr="0015469D"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15469D">
        <w:t>Updated to 2021 Australian dollars from US$</w:t>
      </w:r>
      <w:r>
        <w:t>28</w:t>
      </w:r>
      <w:r w:rsidRPr="0015469D">
        <w:t xml:space="preserve"> (2020 value </w:t>
      </w:r>
      <w:r>
        <w:t>– global</w:t>
      </w:r>
      <w:r w:rsidRPr="0015469D">
        <w:t xml:space="preserve"> average</w:t>
      </w:r>
      <w:r>
        <w:t xml:space="preserve"> of implemented carbon taxes</w:t>
      </w:r>
      <w:r w:rsidRPr="0015469D">
        <w:t xml:space="preserve">) using </w:t>
      </w:r>
      <w:r w:rsidRPr="000C6EEA">
        <w:t>average AUD/USD exchange rate in 2019/20 of $0.67 (</w:t>
      </w:r>
      <w:r>
        <w:t>Reserve Bank of Australia, Historical Exchange Rates</w:t>
      </w:r>
      <w:r w:rsidRPr="000C6EEA">
        <w:t xml:space="preserve">) and </w:t>
      </w:r>
      <w:r w:rsidRPr="0015469D">
        <w:t xml:space="preserve">CPI adjustment from June 2020 to March 2021 for All </w:t>
      </w:r>
      <w:r w:rsidRPr="000C6EEA">
        <w:t xml:space="preserve">groups </w:t>
      </w:r>
      <w:r w:rsidRPr="0015469D">
        <w:t>CPI</w:t>
      </w:r>
      <w:r w:rsidRPr="000C6EEA">
        <w:t>, Australia</w:t>
      </w:r>
      <w:r w:rsidRPr="0015469D">
        <w:t>.</w:t>
      </w:r>
    </w:p>
  </w:footnote>
  <w:footnote w:id="35">
    <w:p w14:paraId="75B8EFC1" w14:textId="77777777" w:rsidR="00B21991" w:rsidRPr="0015469D"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15469D">
        <w:t>Updated to 2021 Australian dollars from US$42 (2020 value</w:t>
      </w:r>
      <w:r>
        <w:t xml:space="preserve"> in 2007 dollars</w:t>
      </w:r>
      <w:r w:rsidRPr="0015469D">
        <w:t xml:space="preserve">) using </w:t>
      </w:r>
      <w:r w:rsidRPr="000C6EEA">
        <w:t xml:space="preserve">average AUD/USD exchange rate in </w:t>
      </w:r>
      <w:r>
        <w:t>2006/07</w:t>
      </w:r>
      <w:r w:rsidRPr="000C6EEA">
        <w:t xml:space="preserve"> of $0.</w:t>
      </w:r>
      <w:r>
        <w:t>79</w:t>
      </w:r>
      <w:r w:rsidRPr="000C6EEA">
        <w:t xml:space="preserve"> (</w:t>
      </w:r>
      <w:r>
        <w:t>Reserve Bank of Australia, Historical Exchange Rates</w:t>
      </w:r>
      <w:r w:rsidRPr="000C6EEA">
        <w:t xml:space="preserve">) and </w:t>
      </w:r>
      <w:r w:rsidRPr="0015469D">
        <w:t xml:space="preserve">CPI adjustment from June 2007 to March 2021 for All </w:t>
      </w:r>
      <w:r w:rsidRPr="000C6EEA">
        <w:t xml:space="preserve">groups </w:t>
      </w:r>
      <w:r w:rsidRPr="0015469D">
        <w:t>CPI</w:t>
      </w:r>
      <w:r w:rsidRPr="000C6EEA">
        <w:t>, Australia</w:t>
      </w:r>
      <w:r w:rsidRPr="0015469D">
        <w:t>.</w:t>
      </w:r>
    </w:p>
  </w:footnote>
  <w:footnote w:id="36">
    <w:p w14:paraId="52D2BB32" w14:textId="77777777" w:rsidR="00B21991" w:rsidRPr="00376637"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15469D">
        <w:t xml:space="preserve">Updated to 2021 Australian dollars from US$67 (2020 value – adjusted from 2001 value with growth of 2.4% p.a.) </w:t>
      </w:r>
      <w:r w:rsidRPr="000C6EEA">
        <w:t xml:space="preserve">using average AUD/USD exchange rate in </w:t>
      </w:r>
      <w:r>
        <w:t>1999/2000</w:t>
      </w:r>
      <w:r w:rsidRPr="000C6EEA">
        <w:t xml:space="preserve"> of $0.</w:t>
      </w:r>
      <w:r>
        <w:t>63</w:t>
      </w:r>
      <w:r w:rsidRPr="000C6EEA">
        <w:t xml:space="preserve"> (</w:t>
      </w:r>
      <w:r>
        <w:t>Reserve Bank of Australia, Historical Exchange Rates</w:t>
      </w:r>
      <w:r w:rsidRPr="000C6EEA">
        <w:t xml:space="preserve">) and CPI adjustment from June </w:t>
      </w:r>
      <w:r>
        <w:t>2000</w:t>
      </w:r>
      <w:r w:rsidRPr="000C6EEA">
        <w:t xml:space="preserve"> to March 2021 for All groups CPI, Australia.</w:t>
      </w:r>
    </w:p>
  </w:footnote>
  <w:footnote w:id="37">
    <w:p w14:paraId="79643F35" w14:textId="77777777" w:rsidR="00B21991" w:rsidRPr="002045C2"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2045C2">
        <w:t>Updated to 2021 dollars from $16 using CPI adjustment from September 2020 to March 2021 for All groups CPI, Australia.</w:t>
      </w:r>
    </w:p>
  </w:footnote>
  <w:footnote w:id="38">
    <w:p w14:paraId="15D9D07D" w14:textId="77777777" w:rsidR="00B21991"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2045C2">
        <w:t>Updated to 2021 dollars from $71 using CPI adjustment from December 2018 to March 2021 for All groups CPI, Australia.</w:t>
      </w:r>
    </w:p>
  </w:footnote>
  <w:footnote w:id="39">
    <w:p w14:paraId="6020052E" w14:textId="77777777" w:rsidR="00B21991" w:rsidRPr="00687A02"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t>A</w:t>
      </w:r>
      <w:r w:rsidRPr="00687A02">
        <w:t xml:space="preserve"> sample size of 30 or more is required to meet the threshold for reliable modelling according to the Central Limit Theorem. This limits the number of SA2 regions able to be modelled. To overcome the sample size constraint while providing the most detailed regional breakdowns possible, SA2s with insufficient data are further grouped into Great Ocean Road tourism sub-regions</w:t>
      </w:r>
      <w:r>
        <w:t>.</w:t>
      </w:r>
    </w:p>
  </w:footnote>
  <w:footnote w:id="40">
    <w:p w14:paraId="47739146" w14:textId="77777777" w:rsidR="00B21991" w:rsidRPr="001253A7"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026451">
        <w:t xml:space="preserve">The five LGA’s that intersect with the </w:t>
      </w:r>
      <w:r>
        <w:t>GORCAP EEA</w:t>
      </w:r>
      <w:r w:rsidRPr="00026451">
        <w:t xml:space="preserve"> region are: Colac Otway, Moyne, Surf Coast, Corangamite, Warrnambool.</w:t>
      </w:r>
    </w:p>
  </w:footnote>
  <w:footnote w:id="41">
    <w:p w14:paraId="379902EC" w14:textId="77777777" w:rsidR="00B21991"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1253A7">
        <w:t>The vehicle counter collects vehicle classification as well as count. We use the Aus. Roads classifications to determine type of vehicle. The formula for calculating estimated visits from vehicles assumes 2.7. people per car, 20 people per coaster and 40 people per coach. There is also a calibration for the 12 Apostles due Booringa Rd use and Paddock parking numbers in peak season</w:t>
      </w:r>
    </w:p>
  </w:footnote>
  <w:footnote w:id="42">
    <w:p w14:paraId="0411DF12" w14:textId="77777777" w:rsidR="00B21991"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026451">
        <w:t xml:space="preserve">Vehicle count information is also collected by Parks Victoria for Erskine Falls which sits on the periphery of the </w:t>
      </w:r>
      <w:r>
        <w:t>GORCAP EEA</w:t>
      </w:r>
      <w:r w:rsidRPr="00026451">
        <w:t xml:space="preserve"> region, about 5km outside of the boundary. </w:t>
      </w:r>
    </w:p>
  </w:footnote>
  <w:footnote w:id="43">
    <w:p w14:paraId="3CA76605" w14:textId="77777777" w:rsidR="00B21991" w:rsidRPr="00223951"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223951">
        <w:t>The</w:t>
      </w:r>
      <w:r>
        <w:t xml:space="preserve"> domestic residents who are in scope of the</w:t>
      </w:r>
      <w:r w:rsidRPr="00223951">
        <w:t xml:space="preserve"> national visitor survey </w:t>
      </w:r>
      <w:r>
        <w:t>are over 15 years old and so it is assumed that it is relevant to use the total visitor numbers to estimate productivity benefits and avoided medical costs.</w:t>
      </w:r>
    </w:p>
  </w:footnote>
  <w:footnote w:id="44">
    <w:p w14:paraId="7D01954B" w14:textId="77777777" w:rsidR="00B21991" w:rsidRPr="00AA6C32"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AA6C32">
        <w:t>This includes domestic day trips (typically 5-15% of respondents), overnight trips and international visitors.</w:t>
      </w:r>
    </w:p>
  </w:footnote>
  <w:footnote w:id="45">
    <w:p w14:paraId="40C96963" w14:textId="77777777" w:rsidR="00B21991" w:rsidRPr="00AA6C32"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026451">
        <w:t>i.e. expenditure underpins GVA and could (depending on type of recreational activity) capture part of the welfare value.</w:t>
      </w:r>
    </w:p>
  </w:footnote>
  <w:footnote w:id="46">
    <w:p w14:paraId="09DCE0A5" w14:textId="77777777" w:rsidR="00B21991" w:rsidRPr="007E4CBD"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026451">
        <w:t>Direct contribution is money spent directly in the tourism industry – without a tourism industry this money would not be generated. Indirect contribution is t</w:t>
      </w:r>
      <w:r w:rsidRPr="007E4CBD">
        <w:t xml:space="preserve">he flow-on effect of the tourism industry </w:t>
      </w:r>
      <w:r w:rsidRPr="00026451">
        <w:t>(DJPR, 2020).</w:t>
      </w:r>
    </w:p>
  </w:footnote>
  <w:footnote w:id="47">
    <w:p w14:paraId="79A2E012" w14:textId="77777777" w:rsidR="00B21991" w:rsidRPr="001F432A"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7E4CBD">
        <w:t>The analysis focuses on Gross Value Added (GVA) rather than Gross Regional Product or Expenditure because GVA is considered the most accurate measure of the contribution of the industry to the economy. Tourism expenditure figures capture the visitor spend within the GOR tourism region</w:t>
      </w:r>
      <w:r>
        <w:t xml:space="preserve">. </w:t>
      </w:r>
      <w:r w:rsidRPr="0085094D">
        <w:t>G</w:t>
      </w:r>
      <w:r>
        <w:t>VA</w:t>
      </w:r>
      <w:r w:rsidRPr="0085094D">
        <w:t xml:space="preserve"> is the value of output minus the value of intermediate consumptio</w:t>
      </w:r>
      <w:r>
        <w:t xml:space="preserve">n, </w:t>
      </w:r>
      <w:r w:rsidRPr="007E4CBD">
        <w:t>GRP is GVA plus net taxes on products that are attributable to the industry. As such GRP will generally have a higher value than GVA.</w:t>
      </w:r>
    </w:p>
  </w:footnote>
  <w:footnote w:id="48">
    <w:p w14:paraId="787B1356" w14:textId="77777777" w:rsidR="00B21991" w:rsidRPr="007E4CBD"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7E4CBD">
        <w:t>The list of industries is Accommodation; Ownership of dwellings; Cafes, restaurants and takeaway food services; Clubs, pubs, taverns &amp; bars; Rail transport; Taxi transport; Other road transport; Air, water and other transport; Motor vehicle hiring; Travel agency and tour operator services; Cultural services; Casinos and other gambling services; Other sports and recreation services; Automotive fuel retailing; Other retail trade; Education and training.</w:t>
      </w:r>
    </w:p>
  </w:footnote>
  <w:footnote w:id="49">
    <w:p w14:paraId="24A1D3BD" w14:textId="77777777" w:rsidR="00B21991"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AC5118">
        <w:t>Updated to 2021 dollars from $495 million using CPI adjustment from June 2019 to March 2021 for Domestic holiday travel and accommodation, Australia.</w:t>
      </w:r>
    </w:p>
  </w:footnote>
  <w:footnote w:id="50">
    <w:p w14:paraId="6F44B91F" w14:textId="77777777" w:rsidR="00B21991" w:rsidRPr="00423D8E" w:rsidRDefault="00B21991" w:rsidP="00B21991">
      <w:pPr>
        <w:pStyle w:val="FootnoteText"/>
        <w:rPr>
          <w:sz w:val="20"/>
        </w:rPr>
      </w:pPr>
      <w:r w:rsidRPr="008365FE">
        <w:rPr>
          <w:rStyle w:val="EndnoteReference"/>
        </w:rPr>
        <w:footnoteRef/>
      </w:r>
      <w:r w:rsidRPr="008365FE">
        <w:rPr>
          <w:rStyle w:val="EndnoteReference"/>
        </w:rPr>
        <w:t xml:space="preserve"> </w:t>
      </w:r>
      <w:r w:rsidRPr="008365FE">
        <w:rPr>
          <w:rStyle w:val="EndnoteReference"/>
        </w:rPr>
        <w:tab/>
      </w:r>
      <w:r w:rsidRPr="00431B69">
        <w:t>93</w:t>
      </w:r>
      <w:r>
        <w:t xml:space="preserve"> per cent</w:t>
      </w:r>
      <w:r w:rsidRPr="00431B69">
        <w:t xml:space="preserve"> of respondents noted great coastal experiences as something they were expecting to experience. The non-environmental related attraction that respondents were most expecting was shopping at 42</w:t>
      </w:r>
      <w:r>
        <w:t xml:space="preserve"> per cent</w:t>
      </w:r>
      <w:r w:rsidRPr="00431B69">
        <w:t>. This suggests that it is reasonable to assume at least 51</w:t>
      </w:r>
      <w:r>
        <w:t xml:space="preserve"> per cent</w:t>
      </w:r>
      <w:r w:rsidRPr="00431B69">
        <w:t xml:space="preserve"> of visitors (93 </w:t>
      </w:r>
      <w:r>
        <w:t>per cent</w:t>
      </w:r>
      <w:r w:rsidRPr="00431B69">
        <w:t xml:space="preserve"> minus 42</w:t>
      </w:r>
      <w:r>
        <w:t xml:space="preserve"> per cent</w:t>
      </w:r>
      <w:r w:rsidRPr="00431B69">
        <w:t>) would not be attracted to the region in the absence of the natural environment (but could still come for shopping or other non-environmentally related activity) and that this figure could be up to 93</w:t>
      </w:r>
      <w:r>
        <w:t xml:space="preserve"> per cent</w:t>
      </w:r>
      <w:r w:rsidRPr="00431B69">
        <w:t xml:space="preserve"> of visitors.</w:t>
      </w:r>
    </w:p>
  </w:footnote>
  <w:footnote w:id="51">
    <w:p w14:paraId="3A7ED4B2" w14:textId="77777777" w:rsidR="00B21991" w:rsidRPr="00987112"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987112">
        <w:t>Updated to 2021 dollars from $458 using CPI adjustment from December 2007 to March 2021 for All groups CPI, Australia.</w:t>
      </w:r>
    </w:p>
  </w:footnote>
  <w:footnote w:id="52">
    <w:p w14:paraId="2EB28303" w14:textId="77777777" w:rsidR="00B21991" w:rsidRPr="00AC5118"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AC5118">
        <w:t>Updated to 2021 dollars from $48 using CPI adjustment from December 2006 to March 2021 for All groups CPI, Australia.</w:t>
      </w:r>
    </w:p>
  </w:footnote>
  <w:footnote w:id="53">
    <w:p w14:paraId="1158D579" w14:textId="77777777" w:rsidR="00B21991"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AC5118">
        <w:t>Updated to 2021 dollars from $154 using CPI adjustment from December 2006 to March 2021 for All groups CPI, Australia.</w:t>
      </w:r>
    </w:p>
  </w:footnote>
  <w:footnote w:id="54">
    <w:p w14:paraId="18022C18" w14:textId="77777777" w:rsidR="00B21991"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AF5AB7">
        <w:t>Updated to 2021 dollars from $86 using CPI adjustment from December 2007 to March 2021 for All groups CPI, Australia.</w:t>
      </w:r>
    </w:p>
  </w:footnote>
  <w:footnote w:id="55">
    <w:p w14:paraId="266263D8" w14:textId="77777777" w:rsidR="00B21991"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0D4245">
        <w:t>Plantation forests include both hardwood and softwood species and are owned and operated by investors, timber industry businesses, other private growers (including farm foresters and government.</w:t>
      </w:r>
    </w:p>
  </w:footnote>
  <w:footnote w:id="56">
    <w:p w14:paraId="279D281E" w14:textId="77777777" w:rsidR="00B21991"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901ADE">
        <w:t>VicForests is the state-owned business responsible for the harvest and sale of timber from state forests on behalf of the Victorian Government. VicForests also runs a small community forestry program in western Victoria.</w:t>
      </w:r>
    </w:p>
  </w:footnote>
  <w:footnote w:id="57">
    <w:p w14:paraId="5318C7C9" w14:textId="77777777" w:rsidR="00B21991"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351405">
        <w:t>Sawlog is high quality timber from the lower to middle part of the tree trunk. Depending on its quality, sawlog can be used in products from pallets and roofing battens to furniture and flooring. Pulp log is from the branches and upper trunk and is primarily used to make paper and cardboard</w:t>
      </w:r>
      <w:r w:rsidRPr="00D34813">
        <w:t xml:space="preserve">. </w:t>
      </w:r>
    </w:p>
  </w:footnote>
  <w:footnote w:id="58">
    <w:p w14:paraId="78B54F65" w14:textId="77777777" w:rsidR="00B21991" w:rsidRPr="00AF5AB7"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AF5AB7">
        <w:t>Updated to 2021 dollars from $156 using CPI adjustment from June 2019 to March 2021 for All groups CPI, Australia.</w:t>
      </w:r>
    </w:p>
  </w:footnote>
  <w:footnote w:id="59">
    <w:p w14:paraId="5EB3CCAD" w14:textId="77777777" w:rsidR="00B21991"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AF5AB7">
        <w:t>Updated to 2021 dollars from $146 using CPI adjustment from June 2016 to March 2021 for All groups CPI, Australia.</w:t>
      </w:r>
    </w:p>
  </w:footnote>
  <w:footnote w:id="60">
    <w:p w14:paraId="32BFF3C5" w14:textId="77777777" w:rsidR="00B21991" w:rsidRPr="00292791" w:rsidRDefault="00B21991" w:rsidP="00B21991">
      <w:pPr>
        <w:pStyle w:val="FootnoteText"/>
      </w:pPr>
      <w:r w:rsidRPr="008365FE">
        <w:rPr>
          <w:rStyle w:val="EndnoteReference"/>
        </w:rPr>
        <w:footnoteRef/>
      </w:r>
      <w:r w:rsidRPr="008365FE">
        <w:rPr>
          <w:rStyle w:val="EndnoteReference"/>
        </w:rPr>
        <w:t xml:space="preserve"> </w:t>
      </w:r>
      <w:r w:rsidRPr="008365FE">
        <w:rPr>
          <w:rStyle w:val="EndnoteReference"/>
        </w:rPr>
        <w:tab/>
      </w:r>
      <w:r w:rsidRPr="00292791">
        <w:t>Coastcare Victoria supports community groups and volunteers working to protect and enhance Victoria's coastline.</w:t>
      </w:r>
    </w:p>
  </w:footnote>
  <w:footnote w:id="61">
    <w:p w14:paraId="3007CDCC" w14:textId="77777777" w:rsidR="007904E8" w:rsidRPr="00101A5B" w:rsidRDefault="007904E8" w:rsidP="007904E8">
      <w:pPr>
        <w:pStyle w:val="FootnoteText"/>
      </w:pPr>
      <w:r w:rsidRPr="00A01449">
        <w:rPr>
          <w:rStyle w:val="EndnoteReference"/>
        </w:rPr>
        <w:footnoteRef/>
      </w:r>
      <w:r w:rsidRPr="00A01449">
        <w:rPr>
          <w:rStyle w:val="EndnoteReference"/>
        </w:rPr>
        <w:t xml:space="preserve"> </w:t>
      </w:r>
      <w:r w:rsidRPr="00A01449">
        <w:rPr>
          <w:rStyle w:val="EndnoteReference"/>
        </w:rPr>
        <w:tab/>
      </w:r>
      <w:r w:rsidRPr="00101A5B">
        <w:t>See Table 6 for narrow asset breakdown of the marine broad asset class, based on CBiCS (DELWP, 2020).</w:t>
      </w:r>
    </w:p>
  </w:footnote>
  <w:footnote w:id="62">
    <w:p w14:paraId="366ECBD9" w14:textId="77777777" w:rsidR="007904E8" w:rsidRPr="009D137B" w:rsidRDefault="007904E8" w:rsidP="007904E8">
      <w:pPr>
        <w:pStyle w:val="FootnoteText"/>
      </w:pPr>
      <w:r w:rsidRPr="00A01449">
        <w:rPr>
          <w:rStyle w:val="EndnoteReference"/>
        </w:rPr>
        <w:footnoteRef/>
      </w:r>
      <w:r w:rsidRPr="00A01449">
        <w:rPr>
          <w:rStyle w:val="EndnoteReference"/>
        </w:rPr>
        <w:t xml:space="preserve"> </w:t>
      </w:r>
      <w:r w:rsidRPr="00A01449">
        <w:rPr>
          <w:rStyle w:val="EndnoteReference"/>
        </w:rPr>
        <w:tab/>
      </w:r>
      <w:r w:rsidRPr="009D137B">
        <w:t xml:space="preserve">Based on the broad asset classification in Table </w:t>
      </w:r>
      <w:r>
        <w:t>18</w:t>
      </w:r>
      <w:r w:rsidRPr="009D137B">
        <w:t>.</w:t>
      </w:r>
    </w:p>
  </w:footnote>
  <w:footnote w:id="63">
    <w:p w14:paraId="538F1B46" w14:textId="77777777" w:rsidR="007904E8" w:rsidRDefault="007904E8" w:rsidP="007904E8">
      <w:pPr>
        <w:pStyle w:val="FootnoteText"/>
      </w:pPr>
      <w:r w:rsidRPr="00A01449">
        <w:rPr>
          <w:rStyle w:val="EndnoteReference"/>
        </w:rPr>
        <w:footnoteRef/>
      </w:r>
      <w:r w:rsidRPr="00A01449">
        <w:rPr>
          <w:rStyle w:val="EndnoteReference"/>
        </w:rPr>
        <w:t xml:space="preserve"> </w:t>
      </w:r>
      <w:r w:rsidRPr="00A01449">
        <w:rPr>
          <w:rStyle w:val="EndnoteReference"/>
        </w:rPr>
        <w:tab/>
      </w:r>
      <w:r>
        <w:t xml:space="preserve">The GORCAP EEA focuses on biotic ecosystem services apart from the </w:t>
      </w:r>
      <w:r w:rsidRPr="00250FA4">
        <w:t>coastal protection service where the abiotic service provided by the geomorphology of the coast in terms of reducing coastal hazard exposure will be assessed because this is critical from a coastal management perspective.</w:t>
      </w:r>
    </w:p>
  </w:footnote>
  <w:footnote w:id="64">
    <w:p w14:paraId="3416254C" w14:textId="77777777" w:rsidR="007904E8" w:rsidRPr="005244D3" w:rsidRDefault="007904E8" w:rsidP="007904E8">
      <w:pPr>
        <w:pStyle w:val="FootnoteText"/>
      </w:pPr>
      <w:r w:rsidRPr="00A01449">
        <w:rPr>
          <w:rStyle w:val="EndnoteReference"/>
        </w:rPr>
        <w:footnoteRef/>
      </w:r>
      <w:r w:rsidRPr="00A01449">
        <w:rPr>
          <w:rStyle w:val="EndnoteReference"/>
        </w:rPr>
        <w:t xml:space="preserve"> </w:t>
      </w:r>
      <w:r w:rsidRPr="00A01449">
        <w:rPr>
          <w:rStyle w:val="EndnoteReference"/>
        </w:rPr>
        <w:tab/>
      </w:r>
      <w:r w:rsidRPr="00760664">
        <w:t>23,</w:t>
      </w:r>
      <w:r w:rsidRPr="005244D3">
        <w:t>900</w:t>
      </w:r>
      <w:r w:rsidRPr="00760664">
        <w:t xml:space="preserve"> ha</w:t>
      </w:r>
      <w:r w:rsidRPr="007542EE">
        <w:t xml:space="preserve"> is calculated as the area that is double counted (</w:t>
      </w:r>
      <w:r w:rsidRPr="00760664">
        <w:t>22,</w:t>
      </w:r>
      <w:r w:rsidRPr="005244D3">
        <w:t>400</w:t>
      </w:r>
      <w:r w:rsidRPr="007542EE">
        <w:t xml:space="preserve"> = (1,</w:t>
      </w:r>
      <w:r w:rsidRPr="005244D3">
        <w:t>600</w:t>
      </w:r>
      <w:r w:rsidRPr="007542EE">
        <w:t xml:space="preserve"> + 600 + </w:t>
      </w:r>
      <w:r w:rsidRPr="00760664">
        <w:t>8,</w:t>
      </w:r>
      <w:r w:rsidRPr="005244D3">
        <w:t>800</w:t>
      </w:r>
      <w:r w:rsidRPr="007542EE">
        <w:t>)</w:t>
      </w:r>
      <w:r>
        <w:t xml:space="preserve"> </w:t>
      </w:r>
      <w:r w:rsidRPr="007542EE">
        <w:t>*</w:t>
      </w:r>
      <w:r>
        <w:t>2</w:t>
      </w:r>
      <w:r w:rsidRPr="007542EE">
        <w:t>) and triple (1,500 = 500*3) counted.</w:t>
      </w:r>
      <w:r>
        <w:t xml:space="preserve"> </w:t>
      </w:r>
    </w:p>
  </w:footnote>
  <w:footnote w:id="65">
    <w:p w14:paraId="50A1986B" w14:textId="77777777" w:rsidR="007904E8" w:rsidRDefault="007904E8" w:rsidP="007904E8">
      <w:pPr>
        <w:pStyle w:val="FootnoteText"/>
      </w:pPr>
      <w:r w:rsidRPr="00A01449">
        <w:rPr>
          <w:rStyle w:val="EndnoteReference"/>
        </w:rPr>
        <w:footnoteRef/>
      </w:r>
      <w:r w:rsidRPr="00A01449">
        <w:rPr>
          <w:rStyle w:val="EndnoteReference"/>
        </w:rPr>
        <w:t xml:space="preserve"> </w:t>
      </w:r>
      <w:r w:rsidRPr="00A01449">
        <w:rPr>
          <w:rStyle w:val="EndnoteReference"/>
        </w:rPr>
        <w:tab/>
      </w:r>
      <w:r>
        <w:t xml:space="preserve">The total area benefitting from coastal exposure reduction is </w:t>
      </w:r>
      <w:r w:rsidRPr="008D76DB">
        <w:t>63,</w:t>
      </w:r>
      <w:r w:rsidRPr="005244D3">
        <w:t>600</w:t>
      </w:r>
      <w:r w:rsidRPr="008D76DB">
        <w:t xml:space="preserve"> ha</w:t>
      </w:r>
      <w:r>
        <w:t xml:space="preserve"> plus </w:t>
      </w:r>
      <w:r w:rsidRPr="008D76DB">
        <w:t>11,</w:t>
      </w:r>
      <w:r w:rsidRPr="005244D3">
        <w:t>700</w:t>
      </w:r>
      <w:r w:rsidRPr="008D76DB">
        <w:t xml:space="preserve"> ha = </w:t>
      </w:r>
      <w:r w:rsidRPr="005244D3">
        <w:t>75,300</w:t>
      </w:r>
      <w:r w:rsidRPr="008D76DB">
        <w:t xml:space="preserve"> ha</w:t>
      </w:r>
      <w:r>
        <w:t>.</w:t>
      </w:r>
    </w:p>
  </w:footnote>
  <w:footnote w:id="66">
    <w:p w14:paraId="62612978" w14:textId="77777777" w:rsidR="007904E8" w:rsidRPr="00C30BFD" w:rsidRDefault="007904E8" w:rsidP="007904E8">
      <w:pPr>
        <w:pStyle w:val="FootnoteText"/>
      </w:pPr>
      <w:r w:rsidRPr="00A01449">
        <w:rPr>
          <w:rStyle w:val="EndnoteReference"/>
        </w:rPr>
        <w:footnoteRef/>
      </w:r>
      <w:r w:rsidRPr="00A01449">
        <w:rPr>
          <w:rStyle w:val="EndnoteReference"/>
        </w:rPr>
        <w:t xml:space="preserve"> </w:t>
      </w:r>
      <w:r w:rsidRPr="00A01449">
        <w:rPr>
          <w:rStyle w:val="EndnoteReference"/>
        </w:rPr>
        <w:tab/>
      </w:r>
      <w:r w:rsidRPr="00C30BFD">
        <w:t>Whilst hatching could have been added to Figure 1 where multiple ecosystems exist, this resulted in a Figure that was difficult to understand (i.e. all areas benefitting from exposure reduction by mangrove also benefit from saltmarsh and seagrass).</w:t>
      </w:r>
    </w:p>
  </w:footnote>
  <w:footnote w:id="67">
    <w:p w14:paraId="4480D050" w14:textId="77777777" w:rsidR="007904E8" w:rsidRDefault="007904E8" w:rsidP="007904E8">
      <w:pPr>
        <w:pStyle w:val="FootnoteText"/>
      </w:pPr>
      <w:r w:rsidRPr="00A01449">
        <w:rPr>
          <w:rStyle w:val="EndnoteReference"/>
        </w:rPr>
        <w:footnoteRef/>
      </w:r>
      <w:r w:rsidRPr="00A01449">
        <w:rPr>
          <w:rStyle w:val="EndnoteReference"/>
        </w:rPr>
        <w:t xml:space="preserve"> </w:t>
      </w:r>
      <w:r w:rsidRPr="00A01449">
        <w:rPr>
          <w:rStyle w:val="EndnoteReference"/>
        </w:rPr>
        <w:tab/>
      </w:r>
      <w:r w:rsidRPr="00AC5118">
        <w:t xml:space="preserve">Based on the average costs of construction for </w:t>
      </w:r>
      <w:r>
        <w:t>built infra</w:t>
      </w:r>
      <w:r w:rsidRPr="00AC5118">
        <w:t>structure</w:t>
      </w:r>
      <w:r>
        <w:t xml:space="preserve"> </w:t>
      </w:r>
      <w:r w:rsidRPr="00E773BF">
        <w:t>(</w:t>
      </w:r>
      <w:r>
        <w:t>e.g.</w:t>
      </w:r>
      <w:r w:rsidRPr="00E773BF">
        <w:t xml:space="preserve"> groynes, seawalls, revetments, breakwaters)</w:t>
      </w:r>
      <w:r>
        <w:t xml:space="preserve"> </w:t>
      </w:r>
      <w:r w:rsidRPr="00AC5118">
        <w:t>of $3,</w:t>
      </w:r>
      <w:r>
        <w:t>842</w:t>
      </w:r>
      <w:r w:rsidRPr="00AC5118">
        <w:t xml:space="preserve"> per metre as an alternative to living infrastructure (from </w:t>
      </w:r>
      <w:r>
        <w:t>AM Maritime,</w:t>
      </w:r>
      <w:r w:rsidRPr="00AC5118">
        <w:t xml:space="preserve"> 2021).</w:t>
      </w:r>
    </w:p>
  </w:footnote>
  <w:footnote w:id="68">
    <w:p w14:paraId="1CC4603C" w14:textId="77777777" w:rsidR="007904E8" w:rsidRDefault="007904E8" w:rsidP="007904E8">
      <w:pPr>
        <w:pStyle w:val="FootnoteText"/>
      </w:pPr>
      <w:r w:rsidRPr="00A01449">
        <w:rPr>
          <w:rStyle w:val="EndnoteReference"/>
        </w:rPr>
        <w:footnoteRef/>
      </w:r>
      <w:r w:rsidRPr="00A01449">
        <w:rPr>
          <w:rStyle w:val="EndnoteReference"/>
        </w:rPr>
        <w:t xml:space="preserve"> </w:t>
      </w:r>
      <w:r w:rsidRPr="00A01449">
        <w:rPr>
          <w:rStyle w:val="EndnoteReference"/>
        </w:rPr>
        <w:tab/>
      </w:r>
      <w:r w:rsidRPr="00AC5118">
        <w:t>Updated to 2021 dollars from $24.8 MILLION using CPI adjustment from June 2019 to March 2021 for Domestic holiday travel and accommodation, Australia.</w:t>
      </w:r>
    </w:p>
  </w:footnote>
  <w:footnote w:id="69">
    <w:p w14:paraId="34ACA91A" w14:textId="77777777" w:rsidR="007904E8" w:rsidRPr="00FF27F1" w:rsidRDefault="007904E8" w:rsidP="007904E8">
      <w:pPr>
        <w:pStyle w:val="FootnoteText"/>
      </w:pPr>
      <w:r w:rsidRPr="00A01449">
        <w:rPr>
          <w:rStyle w:val="EndnoteReference"/>
        </w:rPr>
        <w:footnoteRef/>
      </w:r>
      <w:r w:rsidRPr="00A01449">
        <w:rPr>
          <w:rStyle w:val="EndnoteReference"/>
        </w:rPr>
        <w:t xml:space="preserve"> </w:t>
      </w:r>
      <w:r w:rsidRPr="00A01449">
        <w:rPr>
          <w:rStyle w:val="EndnoteReference"/>
        </w:rPr>
        <w:tab/>
      </w:r>
      <w:r w:rsidRPr="00FF27F1">
        <w:t>Updated to 2021 dollars using CPI adjustment from June 2020 to March 2021 for Food and non-alcoholic beverages, Melbourne.</w:t>
      </w:r>
    </w:p>
  </w:footnote>
  <w:footnote w:id="70">
    <w:p w14:paraId="5EE012F9" w14:textId="77777777" w:rsidR="007904E8" w:rsidRPr="001253A7" w:rsidRDefault="007904E8" w:rsidP="007904E8">
      <w:pPr>
        <w:pStyle w:val="FootnoteText"/>
      </w:pPr>
      <w:r w:rsidRPr="00A01449">
        <w:rPr>
          <w:rStyle w:val="EndnoteReference"/>
        </w:rPr>
        <w:footnoteRef/>
      </w:r>
      <w:r w:rsidRPr="00A01449">
        <w:rPr>
          <w:rStyle w:val="EndnoteReference"/>
        </w:rPr>
        <w:t xml:space="preserve"> </w:t>
      </w:r>
      <w:r w:rsidRPr="00A01449">
        <w:rPr>
          <w:rStyle w:val="EndnoteReference"/>
        </w:rPr>
        <w:tab/>
      </w:r>
      <w:r w:rsidRPr="00026451">
        <w:t xml:space="preserve">The five LGA’s that intersect with the </w:t>
      </w:r>
      <w:r>
        <w:t>GORCAP EEA</w:t>
      </w:r>
      <w:r w:rsidRPr="00026451">
        <w:t xml:space="preserve"> region are: Colac Otway, Moyne, Surf Coast, Corangamite, Warrnambool.</w:t>
      </w:r>
    </w:p>
  </w:footnote>
  <w:footnote w:id="71">
    <w:p w14:paraId="3A3E9279" w14:textId="77777777" w:rsidR="007606C7" w:rsidRPr="006F37C9" w:rsidRDefault="007606C7" w:rsidP="007606C7">
      <w:pPr>
        <w:pStyle w:val="FootnoteText"/>
      </w:pPr>
      <w:r w:rsidRPr="00B81543">
        <w:rPr>
          <w:rStyle w:val="EndnoteReference"/>
        </w:rPr>
        <w:footnoteRef/>
      </w:r>
      <w:r w:rsidRPr="00B81543">
        <w:rPr>
          <w:rStyle w:val="EndnoteReference"/>
        </w:rPr>
        <w:t xml:space="preserve"> </w:t>
      </w:r>
      <w:r w:rsidRPr="00B81543">
        <w:rPr>
          <w:rStyle w:val="EndnoteReference"/>
        </w:rPr>
        <w:tab/>
      </w:r>
      <w:r w:rsidRPr="006F37C9">
        <w:t>This consists of the following approximate breakdown: Bellarine to Princetown: 17 groups approximately 425 members in total; Princetown to Nelson: 35 groups approximately 875</w:t>
      </w:r>
      <w:r>
        <w:t xml:space="preserve"> members</w:t>
      </w:r>
      <w:r w:rsidRPr="006F37C9">
        <w:t xml:space="preserve"> in total.</w:t>
      </w:r>
    </w:p>
  </w:footnote>
  <w:footnote w:id="72">
    <w:p w14:paraId="0D85FCA9" w14:textId="77777777" w:rsidR="007606C7" w:rsidRPr="003C5735" w:rsidRDefault="007606C7" w:rsidP="007606C7">
      <w:pPr>
        <w:pStyle w:val="FootnoteText"/>
      </w:pPr>
      <w:r w:rsidRPr="00B81543">
        <w:rPr>
          <w:rStyle w:val="EndnoteReference"/>
        </w:rPr>
        <w:footnoteRef/>
      </w:r>
      <w:r w:rsidRPr="00B81543">
        <w:rPr>
          <w:rStyle w:val="EndnoteReference"/>
        </w:rPr>
        <w:t xml:space="preserve"> </w:t>
      </w:r>
      <w:r w:rsidRPr="00B81543">
        <w:rPr>
          <w:rStyle w:val="EndnoteReference"/>
        </w:rPr>
        <w:tab/>
      </w:r>
      <w:r w:rsidRPr="00987D5F">
        <w:t xml:space="preserve">There are other ecological functions that capture carbon within terrestrial and marine environments, but these are not within the </w:t>
      </w:r>
      <w:r w:rsidRPr="003C5735">
        <w:t xml:space="preserve">current scope of the </w:t>
      </w:r>
      <w:r>
        <w:t>GORCAP EEA</w:t>
      </w:r>
      <w:r w:rsidRPr="003C5735">
        <w:t xml:space="preserve">. </w:t>
      </w:r>
    </w:p>
  </w:footnote>
  <w:footnote w:id="73">
    <w:p w14:paraId="683A848F" w14:textId="77777777" w:rsidR="007606C7" w:rsidRDefault="007606C7" w:rsidP="007606C7">
      <w:pPr>
        <w:pStyle w:val="FootnoteText"/>
      </w:pPr>
      <w:r w:rsidRPr="00B81543">
        <w:rPr>
          <w:rStyle w:val="EndnoteReference"/>
        </w:rPr>
        <w:footnoteRef/>
      </w:r>
      <w:r w:rsidRPr="00B81543">
        <w:rPr>
          <w:rStyle w:val="EndnoteReference"/>
        </w:rPr>
        <w:t xml:space="preserve"> </w:t>
      </w:r>
      <w:r w:rsidRPr="00B81543">
        <w:rPr>
          <w:rStyle w:val="EndnoteReference"/>
        </w:rPr>
        <w:tab/>
      </w:r>
      <w:r w:rsidRPr="003C5735">
        <w:t>This is distinct from the net annual addition which considers carbon emitted/removed, including carbon losses due to disturbances such as fire and harvesting</w:t>
      </w:r>
      <w:r w:rsidRPr="003C5735">
        <w:rPr>
          <w:rFonts w:eastAsia="Calibri"/>
          <w:color w:val="2E2D2D" w:themeColor="text1" w:themeTint="F2"/>
        </w:rPr>
        <w:t>. By focusing solely on additions to carbon stocks, the gross (and net) sequestration approach fails to capture the contribution ecosystems make by storing carbon over time (see carbon retention approach).</w:t>
      </w:r>
      <w:r>
        <w:rPr>
          <w:rFonts w:eastAsia="Calibri"/>
          <w:color w:val="2E2D2D" w:themeColor="text1" w:themeTint="F2"/>
        </w:rPr>
        <w:t xml:space="preserve"> </w:t>
      </w:r>
    </w:p>
  </w:footnote>
  <w:footnote w:id="74">
    <w:p w14:paraId="27FC3F63" w14:textId="77777777" w:rsidR="007606C7" w:rsidRPr="00784F71" w:rsidRDefault="007606C7" w:rsidP="007606C7">
      <w:pPr>
        <w:pStyle w:val="FootnoteText"/>
      </w:pPr>
      <w:r w:rsidRPr="00B81543">
        <w:rPr>
          <w:rStyle w:val="EndnoteReference"/>
        </w:rPr>
        <w:footnoteRef/>
      </w:r>
      <w:r w:rsidRPr="00B81543">
        <w:rPr>
          <w:rStyle w:val="EndnoteReference"/>
        </w:rPr>
        <w:t xml:space="preserve"> </w:t>
      </w:r>
      <w:r w:rsidRPr="00B81543">
        <w:rPr>
          <w:rStyle w:val="EndnoteReference"/>
        </w:rPr>
        <w:tab/>
      </w:r>
      <w:r w:rsidRPr="00784F71">
        <w:t>The reason for the large discrepancy between the TRA and Parks Victoria estimates is unclear but following consultation with Parks Victoria on this issue it is possible that the international sample for the TRA estimates do not capture the large number of international visitors to the site via licenced tour operators that are typical for the region.</w:t>
      </w:r>
    </w:p>
  </w:footnote>
  <w:footnote w:id="75">
    <w:p w14:paraId="13187FDA" w14:textId="77777777" w:rsidR="007606C7" w:rsidRPr="009E54B7" w:rsidRDefault="007606C7" w:rsidP="007606C7">
      <w:pPr>
        <w:pStyle w:val="FootnoteText"/>
      </w:pPr>
      <w:r w:rsidRPr="00B81543">
        <w:rPr>
          <w:rStyle w:val="EndnoteReference"/>
        </w:rPr>
        <w:footnoteRef/>
      </w:r>
      <w:r w:rsidRPr="00B81543">
        <w:rPr>
          <w:rStyle w:val="EndnoteReference"/>
        </w:rPr>
        <w:t xml:space="preserve"> </w:t>
      </w:r>
      <w:r w:rsidRPr="00B81543">
        <w:rPr>
          <w:rStyle w:val="EndnoteReference"/>
        </w:rPr>
        <w:tab/>
      </w:r>
      <w:r w:rsidRPr="009E54B7">
        <w:t xml:space="preserve">Whilst the LGAs cover a larger area than the boundary of the </w:t>
      </w:r>
      <w:r>
        <w:t>GORCAP EEA</w:t>
      </w:r>
      <w:r w:rsidRPr="009E54B7">
        <w:t xml:space="preserve">, the expectation is that this figure is a suitable representation of the number of visits taken to the </w:t>
      </w:r>
      <w:r>
        <w:t>GORCAP EEA</w:t>
      </w:r>
      <w:r w:rsidRPr="009E54B7">
        <w:t xml:space="preserve"> region given that Parks Victoria data obtained for this </w:t>
      </w:r>
      <w:r>
        <w:t>GORCAP EEA</w:t>
      </w:r>
      <w:r w:rsidRPr="009E54B7">
        <w:t xml:space="preserve"> estimates 2.2million visits to the Twelve Apostles alone in 2019</w:t>
      </w:r>
    </w:p>
  </w:footnote>
  <w:footnote w:id="76">
    <w:p w14:paraId="2DED7B3B" w14:textId="77777777" w:rsidR="007606C7" w:rsidRPr="00D40518" w:rsidRDefault="007606C7" w:rsidP="007606C7">
      <w:pPr>
        <w:pStyle w:val="FootnoteText"/>
      </w:pPr>
      <w:r w:rsidRPr="00B81543">
        <w:rPr>
          <w:rStyle w:val="EndnoteReference"/>
        </w:rPr>
        <w:footnoteRef/>
      </w:r>
      <w:r w:rsidRPr="00B81543">
        <w:rPr>
          <w:rStyle w:val="EndnoteReference"/>
        </w:rPr>
        <w:t xml:space="preserve"> </w:t>
      </w:r>
      <w:r w:rsidRPr="00B81543">
        <w:rPr>
          <w:rStyle w:val="EndnoteReference"/>
        </w:rPr>
        <w:tab/>
      </w:r>
      <w:r w:rsidRPr="00D40518">
        <w:t xml:space="preserve">The Port Phillip Bay study (DELWP, 2016) did not </w:t>
      </w:r>
      <w:r>
        <w:t xml:space="preserve">actually </w:t>
      </w:r>
      <w:r w:rsidRPr="00D40518">
        <w:t>develop a condition account due to a lack of suitable data (although indicators of potential relevance were outlined).</w:t>
      </w:r>
    </w:p>
  </w:footnote>
  <w:footnote w:id="77">
    <w:p w14:paraId="0A9D4048" w14:textId="77777777" w:rsidR="007606C7" w:rsidRPr="00D94499" w:rsidRDefault="007606C7" w:rsidP="007606C7">
      <w:pPr>
        <w:pStyle w:val="FootnoteText"/>
      </w:pPr>
      <w:r w:rsidRPr="00B81543">
        <w:rPr>
          <w:rStyle w:val="EndnoteReference"/>
        </w:rPr>
        <w:footnoteRef/>
      </w:r>
      <w:r w:rsidRPr="00B81543">
        <w:rPr>
          <w:rStyle w:val="EndnoteReference"/>
        </w:rPr>
        <w:t xml:space="preserve"> </w:t>
      </w:r>
      <w:r w:rsidRPr="00B81543">
        <w:rPr>
          <w:rStyle w:val="EndnoteReference"/>
        </w:rPr>
        <w:tab/>
      </w:r>
      <w:r w:rsidRPr="00D94499">
        <w:t xml:space="preserve">DELWP’s Biodiversity division has developed CoastKit, a database which centralises marine and coastal scientific project data, images and resources into a single database and provides ready accessibility for managers and researchers (DELWP, 2020). This includes information on ecological condition including features of interest such as whale feeding grounds (i.e. critical area for the life cycle of species) and “socio-economic” condition including cultural assets such as shipwrecks / diving sites for marine recreation.  </w:t>
      </w:r>
    </w:p>
  </w:footnote>
  <w:footnote w:id="78">
    <w:p w14:paraId="4DB7C653" w14:textId="77777777" w:rsidR="007606C7" w:rsidRPr="008E7477" w:rsidRDefault="007606C7" w:rsidP="007606C7">
      <w:pPr>
        <w:pStyle w:val="FootnoteText"/>
      </w:pPr>
      <w:r w:rsidRPr="00B81543">
        <w:rPr>
          <w:rStyle w:val="EndnoteReference"/>
        </w:rPr>
        <w:footnoteRef/>
      </w:r>
      <w:r w:rsidRPr="00B81543">
        <w:rPr>
          <w:rStyle w:val="EndnoteReference"/>
        </w:rPr>
        <w:t xml:space="preserve"> </w:t>
      </w:r>
      <w:r w:rsidRPr="00B81543">
        <w:rPr>
          <w:rStyle w:val="EndnoteReference"/>
        </w:rPr>
        <w:tab/>
      </w:r>
      <w:r w:rsidRPr="008E7477">
        <w:t>The index scale is 100=Fully satisfied, 80=Very satisfied, 60=Satisfied, 40=Dissatisfied, 20=Very dissatisfied, 0=Completely dissatisfied. Data for 2019-2020 shows for three parks</w:t>
      </w:r>
      <w:r>
        <w:t xml:space="preserve"> (Parks Victoria, 2021, pers. comm. Michelle Rose)</w:t>
      </w:r>
      <w:r w:rsidRPr="008E7477">
        <w:t xml:space="preserve">: </w:t>
      </w:r>
    </w:p>
    <w:p w14:paraId="1E403286" w14:textId="77777777" w:rsidR="007606C7" w:rsidRPr="008E7477" w:rsidRDefault="007606C7" w:rsidP="007606C7">
      <w:pPr>
        <w:pStyle w:val="FootnoteText"/>
      </w:pPr>
      <w:r w:rsidRPr="008E7477">
        <w:t xml:space="preserve"> </w:t>
      </w:r>
    </w:p>
    <w:p w14:paraId="1FDF0663" w14:textId="77777777" w:rsidR="007606C7" w:rsidRPr="008E7477" w:rsidRDefault="007606C7" w:rsidP="007606C7">
      <w:pPr>
        <w:pStyle w:val="FootnoteText"/>
      </w:pPr>
      <w:r w:rsidRPr="008E7477">
        <w:t>Port Campbell NP = 86, with 46% fully satisfied</w:t>
      </w:r>
    </w:p>
    <w:p w14:paraId="4A04D749" w14:textId="77777777" w:rsidR="007606C7" w:rsidRPr="008E7477" w:rsidRDefault="007606C7" w:rsidP="007606C7">
      <w:pPr>
        <w:pStyle w:val="FootnoteText"/>
      </w:pPr>
      <w:r w:rsidRPr="008E7477">
        <w:t>Bay of Islands CP = 92.4 with 68% fully satisfied</w:t>
      </w:r>
    </w:p>
    <w:p w14:paraId="36C3E4C3" w14:textId="77777777" w:rsidR="007606C7" w:rsidRPr="008E7477" w:rsidRDefault="007606C7" w:rsidP="007606C7">
      <w:pPr>
        <w:pStyle w:val="FootnoteText"/>
      </w:pPr>
      <w:r w:rsidRPr="008E7477">
        <w:t>Great Otway NP = 89.6 with 57% fully satisfied</w:t>
      </w:r>
    </w:p>
    <w:p w14:paraId="142BCD22" w14:textId="77777777" w:rsidR="007606C7" w:rsidRDefault="007606C7" w:rsidP="007606C7">
      <w:pPr>
        <w:pStyle w:val="FootnoteText"/>
      </w:pPr>
    </w:p>
  </w:footnote>
  <w:footnote w:id="79">
    <w:p w14:paraId="6F693EFB" w14:textId="77777777" w:rsidR="007606C7" w:rsidRPr="00AC5400" w:rsidRDefault="007606C7" w:rsidP="007606C7">
      <w:pPr>
        <w:pStyle w:val="FootnoteText"/>
      </w:pPr>
      <w:r w:rsidRPr="00B81543">
        <w:rPr>
          <w:rStyle w:val="EndnoteReference"/>
        </w:rPr>
        <w:footnoteRef/>
      </w:r>
      <w:r w:rsidRPr="00B81543">
        <w:rPr>
          <w:rStyle w:val="EndnoteReference"/>
        </w:rPr>
        <w:t xml:space="preserve"> </w:t>
      </w:r>
      <w:r w:rsidRPr="00B81543">
        <w:rPr>
          <w:rStyle w:val="EndnoteReference"/>
        </w:rPr>
        <w:tab/>
      </w:r>
      <w:r w:rsidRPr="00AC5400">
        <w:t>pers. comm. Liz Dalgleish-Wright</w:t>
      </w:r>
    </w:p>
  </w:footnote>
  <w:footnote w:id="80">
    <w:p w14:paraId="33A214C7" w14:textId="77777777" w:rsidR="007606C7" w:rsidRPr="00AC5400" w:rsidRDefault="007606C7" w:rsidP="007606C7">
      <w:pPr>
        <w:pStyle w:val="FootnoteText"/>
      </w:pPr>
      <w:r w:rsidRPr="00B81543">
        <w:rPr>
          <w:rStyle w:val="EndnoteReference"/>
        </w:rPr>
        <w:footnoteRef/>
      </w:r>
      <w:r w:rsidRPr="00B81543">
        <w:rPr>
          <w:rStyle w:val="EndnoteReference"/>
        </w:rPr>
        <w:t xml:space="preserve"> </w:t>
      </w:r>
      <w:r w:rsidRPr="00B81543">
        <w:rPr>
          <w:rStyle w:val="EndnoteReference"/>
        </w:rPr>
        <w:tab/>
      </w:r>
      <w:r>
        <w:t>Parks Victoria note that these records are partial with some research potentially omitted as a result of</w:t>
      </w:r>
      <w:r w:rsidRPr="00AC5400">
        <w:t xml:space="preserve"> paper based record keeping</w:t>
      </w:r>
      <w:r>
        <w:t xml:space="preserve"> and changes in occupational health and safety </w:t>
      </w:r>
      <w:r w:rsidRPr="00DB0D30">
        <w:t>and legal requirements</w:t>
      </w:r>
      <w:r>
        <w:t>.</w:t>
      </w:r>
    </w:p>
  </w:footnote>
  <w:footnote w:id="81">
    <w:p w14:paraId="6C03D7DA" w14:textId="77777777" w:rsidR="007606C7" w:rsidRPr="00AF0968" w:rsidRDefault="007606C7" w:rsidP="007606C7">
      <w:pPr>
        <w:pStyle w:val="FootnoteText"/>
      </w:pPr>
      <w:r w:rsidRPr="00B81543">
        <w:rPr>
          <w:rStyle w:val="EndnoteReference"/>
        </w:rPr>
        <w:footnoteRef/>
      </w:r>
      <w:r w:rsidRPr="00B81543">
        <w:rPr>
          <w:rStyle w:val="EndnoteReference"/>
        </w:rPr>
        <w:t xml:space="preserve"> </w:t>
      </w:r>
      <w:r w:rsidRPr="00B81543">
        <w:rPr>
          <w:rStyle w:val="EndnoteReference"/>
        </w:rPr>
        <w:tab/>
      </w:r>
      <w:r w:rsidRPr="00AF0968">
        <w:rPr>
          <w:lang w:val="en"/>
        </w:rPr>
        <w:t>UK urban accounts (eftec, 2017) adopt a 100</w:t>
      </w:r>
      <w:r w:rsidRPr="00AF0968">
        <w:t>-year asset life to reflect that</w:t>
      </w:r>
      <w:r w:rsidRPr="00AF0968">
        <w:rPr>
          <w:lang w:val="en"/>
        </w:rPr>
        <w:t xml:space="preserve"> ecosystem service flows can be supplied indefinitely if these assets are managed sustainably (UN et al., 2012) and a 100-year period captures ~92</w:t>
      </w:r>
      <w:r>
        <w:rPr>
          <w:lang w:val="en"/>
        </w:rPr>
        <w:t xml:space="preserve"> per cent</w:t>
      </w:r>
      <w:r w:rsidRPr="00AF0968">
        <w:rPr>
          <w:lang w:val="en"/>
        </w:rPr>
        <w:t xml:space="preserve"> of the net present value of continued flows into perpetuity (using HMT discount rates) (Defra and ONS, 2017).</w:t>
      </w:r>
    </w:p>
  </w:footnote>
  <w:footnote w:id="82">
    <w:p w14:paraId="6A7CC3EC" w14:textId="77777777" w:rsidR="007606C7" w:rsidRPr="00D85F88" w:rsidRDefault="007606C7" w:rsidP="007606C7">
      <w:pPr>
        <w:pStyle w:val="FootnoteText"/>
      </w:pPr>
      <w:r w:rsidRPr="00B81543">
        <w:rPr>
          <w:rStyle w:val="EndnoteReference"/>
        </w:rPr>
        <w:footnoteRef/>
      </w:r>
      <w:r w:rsidRPr="00B81543">
        <w:rPr>
          <w:rStyle w:val="EndnoteReference"/>
        </w:rPr>
        <w:t xml:space="preserve"> </w:t>
      </w:r>
      <w:r w:rsidRPr="00B81543">
        <w:rPr>
          <w:rStyle w:val="EndnoteReference"/>
        </w:rPr>
        <w:tab/>
      </w:r>
      <w:r w:rsidRPr="00D85F88">
        <w:t>The URS (2007) report also notes positive changes affecting Victorian coasts including changes in societal preferences towards conservation as well as (policy induced) changes to logging practices including reduced logging of native forests and increases in national parks and other conservation areas including marine parks.</w:t>
      </w:r>
    </w:p>
  </w:footnote>
  <w:footnote w:id="83">
    <w:p w14:paraId="4F752D25" w14:textId="77777777" w:rsidR="007606C7" w:rsidRPr="00675070" w:rsidRDefault="007606C7" w:rsidP="007606C7">
      <w:pPr>
        <w:pStyle w:val="FootnoteText"/>
      </w:pPr>
      <w:r w:rsidRPr="00B81543">
        <w:rPr>
          <w:rStyle w:val="EndnoteReference"/>
        </w:rPr>
        <w:footnoteRef/>
      </w:r>
      <w:r w:rsidRPr="00B81543">
        <w:rPr>
          <w:rStyle w:val="EndnoteReference"/>
        </w:rPr>
        <w:t xml:space="preserve"> </w:t>
      </w:r>
      <w:r w:rsidRPr="00B81543">
        <w:rPr>
          <w:rStyle w:val="EndnoteReference"/>
        </w:rPr>
        <w:tab/>
      </w:r>
      <w:r w:rsidRPr="00675070">
        <w:t>The UKNEA defining it through six main habitats: Sand Dunes, Machair, Shingle, Saltmarsh, Sea Cliffs and Coastal Lagoons.</w:t>
      </w:r>
    </w:p>
  </w:footnote>
  <w:footnote w:id="84">
    <w:p w14:paraId="5D51BA4F" w14:textId="77777777" w:rsidR="007606C7" w:rsidRPr="00675070" w:rsidRDefault="007606C7" w:rsidP="007606C7">
      <w:pPr>
        <w:pStyle w:val="FootnoteText"/>
      </w:pPr>
      <w:r w:rsidRPr="00B81543">
        <w:rPr>
          <w:rStyle w:val="EndnoteReference"/>
        </w:rPr>
        <w:footnoteRef/>
      </w:r>
      <w:r w:rsidRPr="00B81543">
        <w:rPr>
          <w:rStyle w:val="EndnoteReference"/>
        </w:rPr>
        <w:t xml:space="preserve"> </w:t>
      </w:r>
      <w:r w:rsidRPr="00B81543">
        <w:rPr>
          <w:rStyle w:val="EndnoteReference"/>
        </w:rPr>
        <w:tab/>
      </w:r>
      <w:r w:rsidRPr="00675070">
        <w:t>The ONS (2016) Scoping UK coastal margin environmental-economic accounts note how the boundary of ecological areas for the purpose of environmental-economic accounting can be based on classifications of:</w:t>
      </w:r>
    </w:p>
    <w:p w14:paraId="7FA22F32" w14:textId="77777777" w:rsidR="007606C7" w:rsidRPr="00675070" w:rsidRDefault="007606C7" w:rsidP="007606C7">
      <w:pPr>
        <w:pStyle w:val="FootnoteText"/>
      </w:pPr>
      <w:r w:rsidRPr="00BB46CB">
        <w:rPr>
          <w:b/>
        </w:rPr>
        <w:t>Habitats/ecosystems</w:t>
      </w:r>
      <w:r w:rsidRPr="00675070">
        <w:t>: An ecological or environmental area that is inhabited by a particular animal or plant species;</w:t>
      </w:r>
    </w:p>
    <w:p w14:paraId="0BF99843" w14:textId="77777777" w:rsidR="007606C7" w:rsidRPr="00675070" w:rsidRDefault="007606C7" w:rsidP="007606C7">
      <w:pPr>
        <w:pStyle w:val="FootnoteText"/>
      </w:pPr>
      <w:r w:rsidRPr="00BB46CB">
        <w:rPr>
          <w:b/>
        </w:rPr>
        <w:t>Land cover:</w:t>
      </w:r>
      <w:r w:rsidRPr="00675070">
        <w:t xml:space="preserve"> The physical coverage of land, usually expressed in terms of vegetation cover or lack of it. Related to, but not synonymous with, land use;</w:t>
      </w:r>
    </w:p>
    <w:p w14:paraId="698D037D" w14:textId="27D6E985" w:rsidR="007606C7" w:rsidRDefault="007606C7" w:rsidP="007606C7">
      <w:pPr>
        <w:pStyle w:val="FootnoteText"/>
      </w:pPr>
      <w:r w:rsidRPr="00BB46CB">
        <w:rPr>
          <w:b/>
        </w:rPr>
        <w:t xml:space="preserve">Land use: </w:t>
      </w:r>
      <w:r w:rsidRPr="00675070">
        <w:t>The human use of a piece of land for a certain purpose (such as irrigated agriculture or recreation). Influenced by, but not synonymous with, land cover.</w:t>
      </w:r>
      <w:r w:rsidRPr="00BB46CB">
        <w:rPr>
          <w:b/>
        </w:rPr>
        <w:t xml:space="preserve"> </w:t>
      </w:r>
    </w:p>
  </w:footnote>
  <w:footnote w:id="85">
    <w:p w14:paraId="3537DBFB" w14:textId="77777777" w:rsidR="00F50B5A" w:rsidRDefault="00F50B5A" w:rsidP="00F50B5A">
      <w:pPr>
        <w:pStyle w:val="FootnoteText"/>
        <w:ind w:left="0" w:firstLine="0"/>
      </w:pPr>
      <w:r>
        <w:rPr>
          <w:rStyle w:val="FootnoteReference"/>
        </w:rPr>
        <w:footnoteRef/>
      </w:r>
      <w:r>
        <w:t xml:space="preserve"> </w:t>
      </w:r>
      <w:r w:rsidRPr="00FC1C07">
        <w:rPr>
          <w:szCs w:val="18"/>
        </w:rPr>
        <w:t xml:space="preserve">This is because </w:t>
      </w:r>
      <w:r>
        <w:rPr>
          <w:szCs w:val="18"/>
        </w:rPr>
        <w:t>environmental-economic account</w:t>
      </w:r>
      <w:r w:rsidRPr="00FC1C07">
        <w:rPr>
          <w:szCs w:val="18"/>
        </w:rPr>
        <w:t>s</w:t>
      </w:r>
      <w:r>
        <w:rPr>
          <w:szCs w:val="18"/>
        </w:rPr>
        <w:t xml:space="preserve"> only</w:t>
      </w:r>
      <w:r w:rsidRPr="00FC1C07">
        <w:rPr>
          <w:szCs w:val="18"/>
        </w:rPr>
        <w:t xml:space="preserve"> report on the </w:t>
      </w:r>
      <w:r w:rsidRPr="004245AB">
        <w:rPr>
          <w:i/>
          <w:szCs w:val="18"/>
        </w:rPr>
        <w:t>status</w:t>
      </w:r>
      <w:r>
        <w:rPr>
          <w:szCs w:val="18"/>
        </w:rPr>
        <w:t xml:space="preserve"> of </w:t>
      </w:r>
      <w:r w:rsidRPr="00FC1C07">
        <w:rPr>
          <w:szCs w:val="18"/>
        </w:rPr>
        <w:t>natural capital asset stocks</w:t>
      </w:r>
      <w:r>
        <w:rPr>
          <w:szCs w:val="18"/>
        </w:rPr>
        <w:t xml:space="preserve"> and the </w:t>
      </w:r>
      <w:r w:rsidRPr="00FC1C07">
        <w:rPr>
          <w:i/>
          <w:szCs w:val="18"/>
        </w:rPr>
        <w:t>benefits</w:t>
      </w:r>
      <w:r w:rsidRPr="00FC1C07">
        <w:rPr>
          <w:szCs w:val="18"/>
        </w:rPr>
        <w:t xml:space="preserve"> produced by</w:t>
      </w:r>
      <w:r>
        <w:rPr>
          <w:szCs w:val="18"/>
        </w:rPr>
        <w:t xml:space="preserve"> these stocks (UN, 2012). </w:t>
      </w:r>
    </w:p>
  </w:footnote>
  <w:footnote w:id="86">
    <w:p w14:paraId="3AFEED72" w14:textId="77777777" w:rsidR="00F50B5A" w:rsidRDefault="00F50B5A" w:rsidP="00F50B5A">
      <w:pPr>
        <w:pStyle w:val="FootnoteText"/>
        <w:spacing w:line="240" w:lineRule="auto"/>
        <w:ind w:left="0" w:firstLine="0"/>
        <w:rPr>
          <w:szCs w:val="18"/>
        </w:rPr>
      </w:pPr>
      <w:r>
        <w:rPr>
          <w:rStyle w:val="FootnoteReference10"/>
          <w:szCs w:val="18"/>
        </w:rPr>
        <w:footnoteRef/>
      </w:r>
      <w:r>
        <w:rPr>
          <w:szCs w:val="18"/>
        </w:rPr>
        <w:t xml:space="preserve"> </w:t>
      </w:r>
      <w:r w:rsidRPr="0023058A">
        <w:rPr>
          <w:color w:val="1A1A1A"/>
          <w:szCs w:val="18"/>
        </w:rPr>
        <w:t xml:space="preserve">Other ecosystem services can be included in an </w:t>
      </w:r>
      <w:r>
        <w:rPr>
          <w:color w:val="1A1A1A"/>
          <w:szCs w:val="18"/>
        </w:rPr>
        <w:t>environmental-economic account</w:t>
      </w:r>
      <w:r w:rsidRPr="0023058A">
        <w:rPr>
          <w:color w:val="1A1A1A"/>
          <w:szCs w:val="18"/>
        </w:rPr>
        <w:t xml:space="preserve"> subject to satisfying the definition of ecosystem services.</w:t>
      </w:r>
    </w:p>
  </w:footnote>
  <w:footnote w:id="87">
    <w:p w14:paraId="60E81045" w14:textId="77777777" w:rsidR="00F50B5A" w:rsidRPr="00701C6F" w:rsidRDefault="00F50B5A" w:rsidP="00F50B5A">
      <w:pPr>
        <w:pStyle w:val="FootnoteText"/>
        <w:spacing w:after="0" w:line="240" w:lineRule="auto"/>
        <w:ind w:left="0" w:firstLine="0"/>
        <w:rPr>
          <w:szCs w:val="18"/>
        </w:rPr>
      </w:pPr>
      <w:r w:rsidRPr="00701C6F">
        <w:rPr>
          <w:rStyle w:val="FootnoteReference10"/>
          <w:szCs w:val="18"/>
        </w:rPr>
        <w:footnoteRef/>
      </w:r>
      <w:r w:rsidRPr="00701C6F">
        <w:rPr>
          <w:szCs w:val="18"/>
        </w:rPr>
        <w:t xml:space="preserve"> The Environmental Systems Modelling Platform (EnSym) is a computer software package originally designed to quantify the environmental benefits of on-ground conservation and revegetation works. Environmental impacts reported by EnSym cover water quantity and quality, plant physiology, native vegetation and groundwater. EnSym can be used to assess the environmental impacts of land use changes and to produce information and accounts that align with the United Nations System of Environmental-Economic Accounting (SEEA).</w:t>
      </w:r>
    </w:p>
  </w:footnote>
  <w:footnote w:id="88">
    <w:p w14:paraId="41C50973" w14:textId="77777777" w:rsidR="00F50B5A" w:rsidRPr="00180748" w:rsidRDefault="00F50B5A" w:rsidP="00F50B5A">
      <w:pPr>
        <w:pStyle w:val="FootnoteText"/>
        <w:spacing w:after="0" w:line="240" w:lineRule="auto"/>
        <w:ind w:left="0" w:firstLine="0"/>
      </w:pPr>
      <w:r w:rsidRPr="00701C6F">
        <w:rPr>
          <w:rStyle w:val="FootnoteReference10"/>
          <w:szCs w:val="18"/>
        </w:rPr>
        <w:footnoteRef/>
      </w:r>
      <w:r w:rsidRPr="00701C6F">
        <w:rPr>
          <w:szCs w:val="18"/>
        </w:rPr>
        <w:t xml:space="preserve"> The evidence on the amenity value of the natural environment is focused on monetary provision rather than physical provision. This reflects the method typically used to value amenity (i.e. hedonic pricing method) which relies on the market price of residences and the proximity of those residences to green space (which is a “spatial configuration” of ecosystem assets metric and should be included within the condition account).</w:t>
      </w:r>
    </w:p>
  </w:footnote>
  <w:footnote w:id="89">
    <w:p w14:paraId="3F084736" w14:textId="77777777" w:rsidR="00F50B5A" w:rsidRPr="00A43004" w:rsidRDefault="00F50B5A" w:rsidP="00F50B5A">
      <w:pPr>
        <w:pStyle w:val="FootnoteText"/>
        <w:spacing w:after="0" w:line="240" w:lineRule="auto"/>
        <w:ind w:left="0" w:firstLine="0"/>
        <w:rPr>
          <w:szCs w:val="18"/>
        </w:rPr>
      </w:pPr>
      <w:r w:rsidRPr="00A43004">
        <w:rPr>
          <w:rStyle w:val="FootnoteReference10"/>
          <w:szCs w:val="18"/>
        </w:rPr>
        <w:footnoteRef/>
      </w:r>
      <w:r w:rsidRPr="00A43004">
        <w:rPr>
          <w:szCs w:val="18"/>
        </w:rPr>
        <w:t xml:space="preserve"> Based on a count of cadastral boundaries within the GOR boundary in each LGA, within 1 kilometre from the coastline</w:t>
      </w:r>
    </w:p>
  </w:footnote>
  <w:footnote w:id="90">
    <w:p w14:paraId="3BA0B291" w14:textId="77777777" w:rsidR="00F50B5A" w:rsidRDefault="00F50B5A" w:rsidP="00F50B5A">
      <w:pPr>
        <w:pStyle w:val="FootnoteText"/>
        <w:spacing w:after="0" w:line="240" w:lineRule="auto"/>
        <w:ind w:left="0" w:firstLine="0"/>
      </w:pPr>
      <w:r w:rsidRPr="0069730D">
        <w:rPr>
          <w:rStyle w:val="FootnoteReference"/>
        </w:rPr>
        <w:footnoteRef/>
      </w:r>
      <w:r w:rsidRPr="0069730D">
        <w:t xml:space="preserve"> </w:t>
      </w:r>
      <w:r w:rsidRPr="00BC379B">
        <w:rPr>
          <w:rFonts w:ascii="Arial" w:hAnsi="Arial"/>
          <w:szCs w:val="18"/>
        </w:rPr>
        <w:t>The estimated GVA contribution consists of $71 million in profits, wages and rents (i.e. direct gross value-added), and $37 million in supply chain activity to generate nature-based outdoor activity goods and services (indirect gross value-added).</w:t>
      </w:r>
    </w:p>
  </w:footnote>
  <w:footnote w:id="91">
    <w:p w14:paraId="1EEF3740" w14:textId="77777777" w:rsidR="00F50B5A" w:rsidRDefault="00F50B5A" w:rsidP="00F50B5A">
      <w:pPr>
        <w:pStyle w:val="FootnoteText"/>
        <w:spacing w:line="240" w:lineRule="auto"/>
        <w:ind w:left="0" w:firstLine="0"/>
      </w:pPr>
      <w:r>
        <w:rPr>
          <w:rStyle w:val="FootnoteReference"/>
        </w:rPr>
        <w:footnoteRef/>
      </w:r>
      <w:r>
        <w:t xml:space="preserve"> </w:t>
      </w:r>
      <w:r w:rsidRPr="00FE5531">
        <w:rPr>
          <w:rFonts w:ascii="Arial" w:hAnsi="Arial"/>
          <w:color w:val="1A1A1A"/>
          <w:szCs w:val="18"/>
        </w:rPr>
        <w:t xml:space="preserve">The remaining 2,503 tonnes was from aquaculture, valued at $17.7m (ABARES, 2012). Given time and resource constraints, aquaculture has been scoped out of this initial </w:t>
      </w:r>
      <w:r>
        <w:rPr>
          <w:rFonts w:ascii="Arial" w:hAnsi="Arial"/>
          <w:color w:val="1A1A1A"/>
          <w:szCs w:val="18"/>
        </w:rPr>
        <w:t>GORCAP EEA</w:t>
      </w:r>
      <w:r w:rsidRPr="00FE5531">
        <w:rPr>
          <w:rFonts w:ascii="Arial" w:hAnsi="Arial"/>
          <w:color w:val="1A1A1A"/>
          <w:szCs w:val="18"/>
        </w:rPr>
        <w:t xml:space="preserve"> but could be considered in future iterations.</w:t>
      </w:r>
    </w:p>
  </w:footnote>
  <w:footnote w:id="92">
    <w:p w14:paraId="447D542E" w14:textId="77777777" w:rsidR="00B55451" w:rsidRPr="00D9224D" w:rsidRDefault="00B55451" w:rsidP="00B55451">
      <w:pPr>
        <w:pStyle w:val="FootnoteText"/>
        <w:spacing w:after="0"/>
        <w:ind w:left="0" w:firstLine="0"/>
        <w:rPr>
          <w:rFonts w:ascii="Arial" w:hAnsi="Arial"/>
          <w:szCs w:val="18"/>
        </w:rPr>
      </w:pPr>
      <w:r w:rsidRPr="00D9224D">
        <w:rPr>
          <w:rStyle w:val="FootnoteReference1"/>
          <w:rFonts w:ascii="Arial" w:hAnsi="Arial"/>
          <w:szCs w:val="18"/>
        </w:rPr>
        <w:footnoteRef/>
      </w:r>
      <w:r w:rsidRPr="00D9224D">
        <w:rPr>
          <w:rFonts w:ascii="Arial" w:hAnsi="Arial"/>
          <w:szCs w:val="18"/>
        </w:rPr>
        <w:t xml:space="preserve"> United Nations 2014, </w:t>
      </w:r>
      <w:r w:rsidRPr="00D9224D">
        <w:rPr>
          <w:rFonts w:ascii="Arial" w:hAnsi="Arial"/>
          <w:i/>
          <w:iCs/>
          <w:szCs w:val="18"/>
        </w:rPr>
        <w:t xml:space="preserve">System of Environmental-Economic Accounting 2012: Experimental </w:t>
      </w:r>
      <w:r>
        <w:rPr>
          <w:rFonts w:ascii="Arial" w:hAnsi="Arial"/>
          <w:i/>
          <w:iCs/>
          <w:szCs w:val="18"/>
        </w:rPr>
        <w:t>environmental-economic account</w:t>
      </w:r>
      <w:r w:rsidRPr="00D9224D">
        <w:rPr>
          <w:rFonts w:ascii="Arial" w:hAnsi="Arial"/>
          <w:i/>
          <w:iCs/>
          <w:szCs w:val="18"/>
        </w:rPr>
        <w:t>ing</w:t>
      </w:r>
      <w:r w:rsidRPr="00D9224D">
        <w:rPr>
          <w:rFonts w:ascii="Arial" w:hAnsi="Arial"/>
          <w:szCs w:val="18"/>
        </w:rPr>
        <w:t xml:space="preserve">, United Nations, New York, pp 64-66. </w:t>
      </w:r>
    </w:p>
  </w:footnote>
  <w:footnote w:id="93">
    <w:p w14:paraId="17133B8C" w14:textId="77777777" w:rsidR="00B55451" w:rsidRPr="0081729C" w:rsidRDefault="00B55451" w:rsidP="00B55451">
      <w:pPr>
        <w:pStyle w:val="FootnoteText"/>
        <w:spacing w:after="0"/>
        <w:ind w:left="0" w:firstLine="0"/>
      </w:pPr>
      <w:r w:rsidRPr="00D9224D">
        <w:rPr>
          <w:rStyle w:val="FootnoteReference1"/>
          <w:rFonts w:ascii="Arial" w:hAnsi="Arial"/>
          <w:szCs w:val="18"/>
        </w:rPr>
        <w:footnoteRef/>
      </w:r>
      <w:r w:rsidRPr="00D9224D">
        <w:rPr>
          <w:rFonts w:ascii="Arial" w:hAnsi="Arial"/>
          <w:szCs w:val="18"/>
        </w:rPr>
        <w:t xml:space="preserve"> United Nations 2014, </w:t>
      </w:r>
      <w:r w:rsidRPr="00D9224D">
        <w:rPr>
          <w:rFonts w:ascii="Arial" w:hAnsi="Arial"/>
          <w:i/>
          <w:iCs/>
          <w:szCs w:val="18"/>
        </w:rPr>
        <w:t xml:space="preserve">System of Environmental-Economic Accounting 2012: Experimental </w:t>
      </w:r>
      <w:r>
        <w:rPr>
          <w:rFonts w:ascii="Arial" w:hAnsi="Arial"/>
          <w:i/>
          <w:iCs/>
          <w:szCs w:val="18"/>
        </w:rPr>
        <w:t>environmental-economic account</w:t>
      </w:r>
      <w:r w:rsidRPr="00D9224D">
        <w:rPr>
          <w:rFonts w:ascii="Arial" w:hAnsi="Arial"/>
          <w:i/>
          <w:iCs/>
          <w:szCs w:val="18"/>
        </w:rPr>
        <w:t>ing</w:t>
      </w:r>
      <w:r w:rsidRPr="00D9224D">
        <w:rPr>
          <w:rFonts w:ascii="Arial" w:hAnsi="Arial"/>
          <w:szCs w:val="18"/>
        </w:rPr>
        <w:t>, United Nations, New York, pp 48-94.</w:t>
      </w:r>
      <w:r w:rsidRPr="00D9224D">
        <w:rPr>
          <w:rFonts w:ascii="Arial" w:hAnsi="Arial"/>
          <w:szCs w:val="14"/>
        </w:rPr>
        <w:t xml:space="preserve"> </w:t>
      </w:r>
      <w:r w:rsidRPr="00D9224D">
        <w:rPr>
          <w:rFonts w:ascii="Arial" w:hAnsi="Arial"/>
        </w:rPr>
        <w:tab/>
      </w:r>
      <w:r w:rsidRPr="0081729C">
        <w:t xml:space="preserve"> </w:t>
      </w:r>
    </w:p>
  </w:footnote>
  <w:footnote w:id="94">
    <w:p w14:paraId="57E02906" w14:textId="77777777" w:rsidR="00B55451" w:rsidRPr="00D9224D" w:rsidRDefault="00B55451" w:rsidP="00B55451">
      <w:pPr>
        <w:pStyle w:val="FootnoteText"/>
        <w:spacing w:after="0" w:line="240" w:lineRule="auto"/>
        <w:ind w:left="0" w:firstLine="0"/>
        <w:rPr>
          <w:rFonts w:ascii="Arial" w:hAnsi="Arial"/>
          <w:szCs w:val="18"/>
        </w:rPr>
      </w:pPr>
      <w:r w:rsidRPr="00D9224D">
        <w:rPr>
          <w:rStyle w:val="FootnoteReference1"/>
          <w:rFonts w:ascii="Arial" w:hAnsi="Arial"/>
          <w:szCs w:val="18"/>
        </w:rPr>
        <w:footnoteRef/>
      </w:r>
      <w:r w:rsidRPr="00D9224D">
        <w:rPr>
          <w:rFonts w:ascii="Arial" w:hAnsi="Arial"/>
          <w:szCs w:val="18"/>
        </w:rPr>
        <w:t xml:space="preserve"> The 2012 SEEA EEA guidance outlines a distinct carbon storage service in addition to carbon sequestration. See: United Nations 2014, </w:t>
      </w:r>
      <w:r w:rsidRPr="00D9224D">
        <w:rPr>
          <w:rFonts w:ascii="Arial" w:hAnsi="Arial"/>
          <w:i/>
          <w:iCs/>
          <w:szCs w:val="18"/>
        </w:rPr>
        <w:t xml:space="preserve">System of Environmental-Economic Accounting 2012: Experimental </w:t>
      </w:r>
      <w:r>
        <w:rPr>
          <w:rFonts w:ascii="Arial" w:hAnsi="Arial"/>
          <w:i/>
          <w:iCs/>
          <w:szCs w:val="18"/>
        </w:rPr>
        <w:t>environmental-economic account</w:t>
      </w:r>
      <w:r w:rsidRPr="00D9224D">
        <w:rPr>
          <w:rFonts w:ascii="Arial" w:hAnsi="Arial"/>
          <w:i/>
          <w:iCs/>
          <w:szCs w:val="18"/>
        </w:rPr>
        <w:t>ing</w:t>
      </w:r>
      <w:r w:rsidRPr="00D9224D">
        <w:rPr>
          <w:rFonts w:ascii="Arial" w:hAnsi="Arial"/>
          <w:szCs w:val="18"/>
        </w:rPr>
        <w:t>, United Nations, New York, pp 64-66.  A paper presented at the 25</w:t>
      </w:r>
      <w:r w:rsidRPr="00D9224D">
        <w:rPr>
          <w:rFonts w:ascii="Arial" w:hAnsi="Arial"/>
          <w:szCs w:val="18"/>
          <w:vertAlign w:val="superscript"/>
        </w:rPr>
        <w:t>th</w:t>
      </w:r>
      <w:r w:rsidRPr="00D9224D">
        <w:rPr>
          <w:rFonts w:ascii="Arial" w:hAnsi="Arial"/>
          <w:szCs w:val="18"/>
        </w:rPr>
        <w:t xml:space="preserve"> meeting of the London Group on Environmental Accounting highlights the limitations of assessing carbon sequestration in isolation and proposes a distinct carbon storage service in addition to carbon sequestration. See: Keith, H, Vardon, M, Lindenmayer, D, Mackey, B 2019, ‘Accounting for carbon stocks and flows: storage and sequestration are both ecosystem services’, Paper for the 25</w:t>
      </w:r>
      <w:r w:rsidRPr="00D9224D">
        <w:rPr>
          <w:rFonts w:ascii="Arial" w:hAnsi="Arial"/>
          <w:szCs w:val="18"/>
          <w:vertAlign w:val="superscript"/>
        </w:rPr>
        <w:t>th</w:t>
      </w:r>
      <w:r w:rsidRPr="00D9224D">
        <w:rPr>
          <w:rFonts w:ascii="Arial" w:hAnsi="Arial"/>
          <w:szCs w:val="18"/>
        </w:rPr>
        <w:t xml:space="preserve"> meeting of the London Group on Environmental Accounting, Melbourne.</w:t>
      </w:r>
    </w:p>
  </w:footnote>
  <w:footnote w:id="95">
    <w:p w14:paraId="4D92A9BD" w14:textId="77777777" w:rsidR="00B55451" w:rsidRPr="00D9224D" w:rsidRDefault="00B55451" w:rsidP="00B55451">
      <w:pPr>
        <w:pStyle w:val="FootnoteText"/>
        <w:spacing w:after="0" w:line="240" w:lineRule="auto"/>
        <w:ind w:left="0" w:firstLine="0"/>
        <w:rPr>
          <w:rFonts w:ascii="Arial" w:hAnsi="Arial"/>
          <w:szCs w:val="18"/>
        </w:rPr>
      </w:pPr>
      <w:r w:rsidRPr="00D9224D">
        <w:rPr>
          <w:rStyle w:val="FootnoteReference1"/>
          <w:rFonts w:ascii="Arial" w:hAnsi="Arial"/>
          <w:szCs w:val="18"/>
        </w:rPr>
        <w:footnoteRef/>
      </w:r>
      <w:r w:rsidRPr="00D9224D">
        <w:rPr>
          <w:rFonts w:ascii="Arial" w:hAnsi="Arial"/>
          <w:szCs w:val="18"/>
        </w:rPr>
        <w:t xml:space="preserve"> United Nations Statistics Division 2020, ‘Chapter draft prepared for global consultation – Chapter 6: Ecosystem services concepts for accounting’, System of Environmental-Economic Accounting 2012 – Experimental </w:t>
      </w:r>
      <w:r>
        <w:rPr>
          <w:rFonts w:ascii="Arial" w:hAnsi="Arial"/>
          <w:szCs w:val="18"/>
        </w:rPr>
        <w:t>Environmental-economic account</w:t>
      </w:r>
      <w:r w:rsidRPr="00D9224D">
        <w:rPr>
          <w:rFonts w:ascii="Arial" w:hAnsi="Arial"/>
          <w:szCs w:val="18"/>
        </w:rPr>
        <w:t xml:space="preserve">ing Revisions, July, p. 16.   </w:t>
      </w:r>
    </w:p>
  </w:footnote>
  <w:footnote w:id="96">
    <w:p w14:paraId="0E869A58" w14:textId="77777777" w:rsidR="00B55451" w:rsidRPr="00D9224D" w:rsidRDefault="00B55451" w:rsidP="00B55451">
      <w:pPr>
        <w:pStyle w:val="FootnoteText"/>
        <w:spacing w:after="0" w:line="240" w:lineRule="auto"/>
        <w:ind w:left="0" w:firstLine="0"/>
        <w:rPr>
          <w:rFonts w:ascii="Arial" w:hAnsi="Arial"/>
          <w:szCs w:val="18"/>
        </w:rPr>
      </w:pPr>
      <w:r w:rsidRPr="00D9224D">
        <w:rPr>
          <w:rStyle w:val="FootnoteReference1"/>
          <w:rFonts w:ascii="Arial" w:hAnsi="Arial"/>
          <w:szCs w:val="18"/>
        </w:rPr>
        <w:footnoteRef/>
      </w:r>
      <w:r w:rsidRPr="00D9224D">
        <w:rPr>
          <w:rFonts w:ascii="Arial" w:hAnsi="Arial"/>
          <w:szCs w:val="18"/>
        </w:rPr>
        <w:t xml:space="preserve"> This use of a stock measure to quantify service flow is analogous to quantifying the services supplied by a storage company in terms of the volume of goods stored</w:t>
      </w:r>
      <w:r>
        <w:rPr>
          <w:rFonts w:ascii="Arial" w:hAnsi="Arial"/>
          <w:szCs w:val="18"/>
        </w:rPr>
        <w:t xml:space="preserve"> (for example)</w:t>
      </w:r>
      <w:r w:rsidRPr="00D9224D">
        <w:rPr>
          <w:rFonts w:ascii="Arial" w:hAnsi="Arial"/>
          <w:szCs w:val="18"/>
        </w:rPr>
        <w:t xml:space="preserve">. For further discussion see United Nations Statistics Division 2020, ‘Chapter draft prepared for global consultation – Chapter 6: Ecosystem services concepts for accounting’, System of Environmental-Economic Accounting 2012 – Experimental </w:t>
      </w:r>
      <w:r>
        <w:rPr>
          <w:rFonts w:ascii="Arial" w:hAnsi="Arial"/>
          <w:szCs w:val="18"/>
        </w:rPr>
        <w:t>Environmental-economic account</w:t>
      </w:r>
      <w:r w:rsidRPr="00D9224D">
        <w:rPr>
          <w:rFonts w:ascii="Arial" w:hAnsi="Arial"/>
          <w:szCs w:val="18"/>
        </w:rPr>
        <w:t xml:space="preserve">ing Revisions, July, pp 16-17.   </w:t>
      </w:r>
    </w:p>
  </w:footnote>
  <w:footnote w:id="97">
    <w:p w14:paraId="5CDBDDE9" w14:textId="77777777" w:rsidR="00B55451" w:rsidRPr="00637D21" w:rsidRDefault="00B55451" w:rsidP="00B55451">
      <w:pPr>
        <w:pStyle w:val="FootnoteText"/>
        <w:spacing w:after="0" w:line="240" w:lineRule="auto"/>
        <w:ind w:left="0" w:firstLine="0"/>
        <w:rPr>
          <w:szCs w:val="18"/>
        </w:rPr>
      </w:pPr>
      <w:r w:rsidRPr="00637D21">
        <w:rPr>
          <w:rStyle w:val="FootnoteReference"/>
          <w:szCs w:val="18"/>
        </w:rPr>
        <w:footnoteRef/>
      </w:r>
      <w:r w:rsidRPr="00637D21">
        <w:rPr>
          <w:szCs w:val="18"/>
        </w:rPr>
        <w:t xml:space="preserve"> </w:t>
      </w:r>
      <w:r w:rsidRPr="00637D21">
        <w:rPr>
          <w:rFonts w:ascii="Arial" w:hAnsi="Arial"/>
          <w:color w:val="111111" w:themeColor="text1" w:themeShade="80"/>
          <w:szCs w:val="18"/>
        </w:rPr>
        <w:t>The values of between 2 and 5 tonnes CO</w:t>
      </w:r>
      <w:r w:rsidRPr="00637D21">
        <w:rPr>
          <w:rFonts w:ascii="Arial" w:hAnsi="Arial"/>
          <w:color w:val="111111" w:themeColor="text1" w:themeShade="80"/>
          <w:szCs w:val="18"/>
          <w:vertAlign w:val="subscript"/>
        </w:rPr>
        <w:t>2</w:t>
      </w:r>
      <w:r w:rsidRPr="00637D21">
        <w:rPr>
          <w:rFonts w:ascii="Arial" w:hAnsi="Arial"/>
          <w:color w:val="111111" w:themeColor="text1" w:themeShade="80"/>
          <w:szCs w:val="18"/>
        </w:rPr>
        <w:t>e / ha / year are consistent with the wider literature on the carbon sequestration value of afforested areas. Accumulation of carbon in biomass after afforestation varies greatly by tree species and site and ranges globally between 1 and 35 t CO</w:t>
      </w:r>
      <w:r w:rsidRPr="00637D21">
        <w:rPr>
          <w:rFonts w:ascii="Arial" w:hAnsi="Arial"/>
          <w:color w:val="111111" w:themeColor="text1" w:themeShade="80"/>
          <w:szCs w:val="18"/>
          <w:vertAlign w:val="subscript"/>
        </w:rPr>
        <w:t>2</w:t>
      </w:r>
      <w:r w:rsidRPr="00637D21">
        <w:rPr>
          <w:rFonts w:ascii="Arial" w:hAnsi="Arial"/>
          <w:color w:val="111111" w:themeColor="text1" w:themeShade="80"/>
          <w:szCs w:val="18"/>
        </w:rPr>
        <w:t xml:space="preserve">/ha/yr (Richards and Stokes, 2004 in IPCC, 2007). Brown (2009) states that newly planted tree seedlings in temperate regions (which </w:t>
      </w:r>
      <w:r>
        <w:rPr>
          <w:rFonts w:ascii="Arial" w:hAnsi="Arial"/>
          <w:color w:val="111111" w:themeColor="text1" w:themeShade="80"/>
          <w:szCs w:val="18"/>
        </w:rPr>
        <w:t>GORCAP region</w:t>
      </w:r>
      <w:r w:rsidRPr="00637D21">
        <w:rPr>
          <w:rFonts w:ascii="Arial" w:hAnsi="Arial"/>
          <w:color w:val="111111" w:themeColor="text1" w:themeShade="80"/>
          <w:szCs w:val="18"/>
        </w:rPr>
        <w:t xml:space="preserve"> is) remove an average of 6.5 tonnes CO</w:t>
      </w:r>
      <w:r w:rsidRPr="00637D21">
        <w:rPr>
          <w:rFonts w:ascii="Arial" w:hAnsi="Arial"/>
          <w:color w:val="111111" w:themeColor="text1" w:themeShade="80"/>
          <w:szCs w:val="18"/>
          <w:vertAlign w:val="subscript"/>
        </w:rPr>
        <w:t>2</w:t>
      </w:r>
      <w:r w:rsidRPr="00637D21">
        <w:rPr>
          <w:rFonts w:ascii="Arial" w:hAnsi="Arial"/>
          <w:color w:val="111111" w:themeColor="text1" w:themeShade="80"/>
          <w:szCs w:val="18"/>
        </w:rPr>
        <w:t>e/ha/year. The UK Urban Natural Capital Account adopted an average rate of sequestration of 5 tonnes CO</w:t>
      </w:r>
      <w:r w:rsidRPr="00637D21">
        <w:rPr>
          <w:rFonts w:ascii="Arial" w:hAnsi="Arial"/>
          <w:color w:val="111111" w:themeColor="text1" w:themeShade="80"/>
          <w:szCs w:val="18"/>
          <w:vertAlign w:val="subscript"/>
        </w:rPr>
        <w:t>2</w:t>
      </w:r>
      <w:r w:rsidRPr="00637D21">
        <w:rPr>
          <w:rFonts w:ascii="Arial" w:hAnsi="Arial"/>
          <w:color w:val="111111" w:themeColor="text1" w:themeShade="80"/>
          <w:szCs w:val="18"/>
        </w:rPr>
        <w:t>e/ha/year across the UK (eftec et al, 2017).</w:t>
      </w:r>
    </w:p>
  </w:footnote>
  <w:footnote w:id="98">
    <w:p w14:paraId="79DD1978" w14:textId="77777777" w:rsidR="00B55451" w:rsidRPr="001477FA" w:rsidRDefault="00B55451" w:rsidP="00B55451">
      <w:pPr>
        <w:pStyle w:val="FootnoteText"/>
        <w:spacing w:after="0" w:line="240" w:lineRule="auto"/>
        <w:ind w:left="0" w:firstLine="0"/>
        <w:rPr>
          <w:rFonts w:ascii="Arial" w:hAnsi="Arial"/>
          <w:szCs w:val="18"/>
        </w:rPr>
      </w:pPr>
      <w:r w:rsidRPr="001477FA">
        <w:rPr>
          <w:rFonts w:ascii="Arial" w:hAnsi="Arial"/>
          <w:szCs w:val="18"/>
          <w:vertAlign w:val="superscript"/>
        </w:rPr>
        <w:footnoteRef/>
      </w:r>
      <w:r w:rsidRPr="001477FA">
        <w:rPr>
          <w:rFonts w:ascii="Arial" w:hAnsi="Arial"/>
          <w:szCs w:val="18"/>
          <w:vertAlign w:val="superscript"/>
        </w:rPr>
        <w:t xml:space="preserve"> </w:t>
      </w:r>
      <w:r w:rsidRPr="001477FA">
        <w:rPr>
          <w:rFonts w:ascii="Arial" w:hAnsi="Arial"/>
          <w:szCs w:val="18"/>
        </w:rPr>
        <w:t xml:space="preserve">Conversion indices used are from the World Bank’s World Development Indicators published in the Bank’s online databank. World Bank Databank, World Development Indicators, Official exchange rate (LCU per US$, period average): Series code PA.NUS.FCRF, GDP deflator (base year varies by country): Series code NY.GDP.DEFL.ZS, </w:t>
      </w:r>
      <w:hyperlink r:id="rId1" w:history="1">
        <w:r w:rsidRPr="001477FA">
          <w:rPr>
            <w:rStyle w:val="Hyperlink"/>
            <w:rFonts w:ascii="Arial" w:hAnsi="Arial"/>
            <w:szCs w:val="18"/>
          </w:rPr>
          <w:t>http://databank.worldbank.org/data/</w:t>
        </w:r>
      </w:hyperlink>
      <w:r w:rsidRPr="001477FA">
        <w:rPr>
          <w:rFonts w:ascii="Arial" w:hAnsi="Arial"/>
          <w:szCs w:val="18"/>
        </w:rPr>
        <w:t xml:space="preserve"> </w:t>
      </w:r>
    </w:p>
  </w:footnote>
  <w:footnote w:id="99">
    <w:p w14:paraId="32270B07" w14:textId="77777777" w:rsidR="00B55451" w:rsidRPr="001477FA" w:rsidRDefault="00B55451" w:rsidP="00B55451">
      <w:pPr>
        <w:pStyle w:val="FootnoteText"/>
        <w:spacing w:after="0" w:line="240" w:lineRule="auto"/>
        <w:ind w:left="0" w:firstLine="0"/>
        <w:rPr>
          <w:rFonts w:ascii="Arial" w:hAnsi="Arial"/>
          <w:szCs w:val="18"/>
        </w:rPr>
      </w:pPr>
      <w:r w:rsidRPr="001477FA">
        <w:rPr>
          <w:rFonts w:ascii="Arial" w:hAnsi="Arial"/>
          <w:szCs w:val="18"/>
          <w:vertAlign w:val="superscript"/>
        </w:rPr>
        <w:footnoteRef/>
      </w:r>
      <w:r w:rsidRPr="001477FA">
        <w:rPr>
          <w:rFonts w:ascii="Arial" w:hAnsi="Arial"/>
          <w:szCs w:val="18"/>
        </w:rPr>
        <w:t xml:space="preserve"> This IPCC scenario assumes global action is taken to keep global temperature rises to below 2°C and is maintained out to 2050. Values are derived from the mean of carbon prices that have been assessed by the IPCC as providing a greater than 66 per cent chance of keeping global temperature increases to below two degrees by 2100 – consistent with atmospheric concentrations of carbon dioxide equivalent to 430-480 ppm.</w:t>
      </w:r>
    </w:p>
  </w:footnote>
  <w:footnote w:id="100">
    <w:p w14:paraId="1EDEDDBE" w14:textId="77777777" w:rsidR="00B55451" w:rsidRDefault="00B55451" w:rsidP="00B55451">
      <w:pPr>
        <w:pStyle w:val="FootnoteText"/>
        <w:spacing w:after="0" w:line="240" w:lineRule="auto"/>
        <w:ind w:left="0" w:firstLine="0"/>
      </w:pPr>
      <w:r w:rsidRPr="001477FA">
        <w:rPr>
          <w:rFonts w:ascii="Arial" w:hAnsi="Arial"/>
          <w:szCs w:val="18"/>
          <w:vertAlign w:val="superscript"/>
        </w:rPr>
        <w:footnoteRef/>
      </w:r>
      <w:r w:rsidRPr="001477FA">
        <w:rPr>
          <w:rFonts w:ascii="Arial" w:hAnsi="Arial"/>
          <w:szCs w:val="18"/>
        </w:rPr>
        <w:t xml:space="preserve"> Values consistent with this IPCC scenario have previously been applied in Victorian Government analysis and decision-making. For example, see Department of Environment, Land, Water and Planning 2020, ’Appendix 12’, </w:t>
      </w:r>
      <w:r w:rsidRPr="001477FA">
        <w:rPr>
          <w:rFonts w:ascii="Arial" w:hAnsi="Arial"/>
          <w:i/>
          <w:iCs/>
          <w:szCs w:val="18"/>
        </w:rPr>
        <w:t>Regulatory Impact Statement: Victorian Energy Efficiency Target Amendment (Prescribed Customers and Targets) Regulations 2020</w:t>
      </w:r>
      <w:r w:rsidRPr="001477FA">
        <w:rPr>
          <w:rFonts w:ascii="Arial" w:hAnsi="Arial"/>
          <w:szCs w:val="18"/>
        </w:rPr>
        <w:t>, State of Victoria, Melbourne, pp. 20-22.</w:t>
      </w:r>
      <w:r>
        <w:t xml:space="preserve"> </w:t>
      </w:r>
      <w:r>
        <w:rPr>
          <w:i/>
          <w:iCs/>
        </w:rPr>
        <w:t xml:space="preserve">    </w:t>
      </w:r>
    </w:p>
  </w:footnote>
  <w:footnote w:id="101">
    <w:p w14:paraId="60AC2043" w14:textId="77777777" w:rsidR="00205F19" w:rsidRPr="00D9224D" w:rsidRDefault="00205F19" w:rsidP="00205F19">
      <w:pPr>
        <w:pStyle w:val="FootnoteText"/>
      </w:pPr>
      <w:r w:rsidRPr="00E35548">
        <w:rPr>
          <w:rStyle w:val="EndnoteReference"/>
        </w:rPr>
        <w:footnoteRef/>
      </w:r>
      <w:r w:rsidRPr="00E35548">
        <w:rPr>
          <w:rStyle w:val="EndnoteReference"/>
        </w:rPr>
        <w:t xml:space="preserve"> </w:t>
      </w:r>
      <w:r w:rsidRPr="00E35548">
        <w:rPr>
          <w:rStyle w:val="EndnoteReference"/>
        </w:rPr>
        <w:tab/>
      </w:r>
      <w:r w:rsidRPr="00D9224D">
        <w:t>A quantity of carbon can be expressed in CO</w:t>
      </w:r>
      <w:r w:rsidRPr="00D9224D">
        <w:rPr>
          <w:vertAlign w:val="subscript"/>
        </w:rPr>
        <w:t>2</w:t>
      </w:r>
      <w:r w:rsidRPr="00D9224D">
        <w:t xml:space="preserve"> equivalent terms by adjusting for the amount of carbon it contains.  The atomic weight of a carbon atom is 12 and the atomic weight of oxygen is 16, so the total atomic weight of CO</w:t>
      </w:r>
      <w:r w:rsidRPr="00D9224D">
        <w:rPr>
          <w:vertAlign w:val="subscript"/>
        </w:rPr>
        <w:t>2</w:t>
      </w:r>
      <w:r w:rsidRPr="00D9224D">
        <w:t xml:space="preserve"> is 44 (12 + (16 * 2) = 44).  This means that a quantity of CO</w:t>
      </w:r>
      <w:r w:rsidRPr="00D9224D">
        <w:rPr>
          <w:vertAlign w:val="subscript"/>
        </w:rPr>
        <w:t xml:space="preserve">2 </w:t>
      </w:r>
      <w:r w:rsidRPr="00D9224D">
        <w:t>can be expressed in terms of the amount of carbon it contains by multiplying the amount of CO</w:t>
      </w:r>
      <w:r w:rsidRPr="00D9224D">
        <w:rPr>
          <w:vertAlign w:val="subscript"/>
        </w:rPr>
        <w:t>2</w:t>
      </w:r>
      <w:r w:rsidRPr="00D9224D">
        <w:t xml:space="preserve"> by 0.27 (12/44). e.g. 1 tonne of CO</w:t>
      </w:r>
      <w:r w:rsidRPr="00D9224D">
        <w:rPr>
          <w:vertAlign w:val="subscript"/>
        </w:rPr>
        <w:t>2</w:t>
      </w:r>
      <w:r w:rsidRPr="00D9224D">
        <w:t xml:space="preserve"> can be expressed as 0.27 tonne of carbon (as this is the amount of carbon in the CO</w:t>
      </w:r>
      <w:r w:rsidRPr="00D9224D">
        <w:rPr>
          <w:vertAlign w:val="subscript"/>
        </w:rPr>
        <w:t>2</w:t>
      </w:r>
      <w:r w:rsidRPr="00D9224D">
        <w:t>) and 1 tonne of carbon can be expressed as 3.66 tonnes of CO</w:t>
      </w:r>
      <w:r w:rsidRPr="00D9224D">
        <w:rPr>
          <w:vertAlign w:val="subscript"/>
        </w:rPr>
        <w:t>2</w:t>
      </w:r>
      <w:r w:rsidRPr="00D9224D">
        <w:t>e (as this is the amount of CO</w:t>
      </w:r>
      <w:r w:rsidRPr="00D9224D">
        <w:rPr>
          <w:vertAlign w:val="subscript"/>
        </w:rPr>
        <w:t xml:space="preserve">2 </w:t>
      </w:r>
      <w:r w:rsidRPr="00D9224D">
        <w:t>that has that amount of carbon in). (Ecometrica, n.d.).</w:t>
      </w:r>
    </w:p>
  </w:footnote>
  <w:footnote w:id="102">
    <w:p w14:paraId="465E9C3B" w14:textId="77777777" w:rsidR="00205F19" w:rsidRPr="00DC2E8C" w:rsidRDefault="00205F19" w:rsidP="00205F19">
      <w:pPr>
        <w:pStyle w:val="FootnoteText"/>
      </w:pPr>
      <w:r w:rsidRPr="00E35548">
        <w:rPr>
          <w:rStyle w:val="EndnoteReference"/>
        </w:rPr>
        <w:footnoteRef/>
      </w:r>
      <w:r w:rsidRPr="00E35548">
        <w:rPr>
          <w:rStyle w:val="EndnoteReference"/>
        </w:rPr>
        <w:t xml:space="preserve"> </w:t>
      </w:r>
      <w:r w:rsidRPr="00E35548">
        <w:rPr>
          <w:rStyle w:val="EndnoteReference"/>
        </w:rPr>
        <w:tab/>
      </w:r>
      <w:r w:rsidRPr="00DC2E8C">
        <w:t xml:space="preserve">The DELWP and Parks Victoria (2015) report states that these estimates are based on analysis from SKM (2010) and Deloitte Access Economics (2013) and that it includes the value of direct, indirect and induced output and consumer surplus. There could be double counting of value and so these estimates are not deemed to be reliable but are presented here for purpose of completeness of the literature review. </w:t>
      </w:r>
    </w:p>
  </w:footnote>
  <w:footnote w:id="103">
    <w:p w14:paraId="369C60DF" w14:textId="77777777" w:rsidR="00205F19" w:rsidRPr="00EB580F" w:rsidRDefault="00205F19" w:rsidP="00205F19">
      <w:pPr>
        <w:pStyle w:val="FootnoteText"/>
      </w:pPr>
      <w:r w:rsidRPr="00E35548">
        <w:rPr>
          <w:rStyle w:val="EndnoteReference"/>
        </w:rPr>
        <w:footnoteRef/>
      </w:r>
      <w:r w:rsidRPr="00E35548">
        <w:rPr>
          <w:rStyle w:val="EndnoteReference"/>
        </w:rPr>
        <w:t xml:space="preserve"> </w:t>
      </w:r>
      <w:r w:rsidRPr="00E35548">
        <w:rPr>
          <w:rStyle w:val="EndnoteReference"/>
        </w:rPr>
        <w:tab/>
      </w:r>
      <w:r w:rsidRPr="00E773BF">
        <w:rPr>
          <w:lang w:val="en"/>
        </w:rPr>
        <w:t xml:space="preserve">The visibility mapping has been set at 16 km from the viewer based on established knowledge of viewplane distances. The map has been prepared using </w:t>
      </w:r>
      <w:r w:rsidRPr="00EB580F">
        <w:rPr>
          <w:lang w:val="en"/>
        </w:rPr>
        <w:t>Map</w:t>
      </w:r>
      <w:r>
        <w:rPr>
          <w:lang w:val="en"/>
        </w:rPr>
        <w:t>I</w:t>
      </w:r>
      <w:r w:rsidRPr="00EB580F">
        <w:rPr>
          <w:lang w:val="en"/>
        </w:rPr>
        <w:t>nfo</w:t>
      </w:r>
      <w:r w:rsidRPr="00E773BF">
        <w:rPr>
          <w:lang w:val="en"/>
        </w:rPr>
        <w:t xml:space="preserve"> Engage software and depicts the actual extent of the view experienced from a line (series of points). The viewshed has been determined purely on topographical data and does not consider any built form or vegetation that may obscure the view (Clare Scott Planning, 2019).</w:t>
      </w:r>
    </w:p>
  </w:footnote>
  <w:footnote w:id="104">
    <w:p w14:paraId="283D11E5" w14:textId="77777777" w:rsidR="00205F19" w:rsidRDefault="00205F19" w:rsidP="00205F19">
      <w:pPr>
        <w:pStyle w:val="FootnoteText"/>
      </w:pPr>
      <w:r w:rsidRPr="00E35548">
        <w:rPr>
          <w:rStyle w:val="EndnoteReference"/>
        </w:rPr>
        <w:footnoteRef/>
      </w:r>
      <w:r w:rsidRPr="00E35548">
        <w:rPr>
          <w:rStyle w:val="EndnoteReference"/>
        </w:rPr>
        <w:t xml:space="preserve"> </w:t>
      </w:r>
      <w:r w:rsidRPr="00E35548">
        <w:rPr>
          <w:rStyle w:val="EndnoteReference"/>
        </w:rPr>
        <w:tab/>
      </w:r>
      <w:r w:rsidRPr="00EB580F">
        <w:t>The DELWP (2016) report states “This is the first time marine and coastal environmental-economic accounting has been undertaken in Australia. (The Australian Bureau of Statistics is investigating an expansion of its Great Barrier Reef accounts to include marine and coastal assets). The findings of the report are preliminary however they provide useful insights into areas for further research.</w:t>
      </w:r>
      <w:r>
        <w:t xml:space="preserve"> </w:t>
      </w:r>
    </w:p>
  </w:footnote>
  <w:footnote w:id="105">
    <w:p w14:paraId="49E45196" w14:textId="77777777" w:rsidR="00205F19" w:rsidRPr="0081786B" w:rsidRDefault="00205F19" w:rsidP="00205F19">
      <w:pPr>
        <w:pStyle w:val="FootnoteText"/>
      </w:pPr>
      <w:r w:rsidRPr="00E35548">
        <w:rPr>
          <w:rStyle w:val="EndnoteReference"/>
        </w:rPr>
        <w:footnoteRef/>
      </w:r>
      <w:r w:rsidRPr="00E35548">
        <w:rPr>
          <w:rStyle w:val="EndnoteReference"/>
        </w:rPr>
        <w:t xml:space="preserve"> </w:t>
      </w:r>
      <w:r w:rsidRPr="00E35548">
        <w:rPr>
          <w:rStyle w:val="EndnoteReference"/>
        </w:rPr>
        <w:tab/>
      </w:r>
      <w:r w:rsidRPr="0081786B">
        <w:t xml:space="preserve">With thanks in particular to the following DELWP colleagues who were contacted initially for direction to existing data and methods: Rebecca Price, Adam Hood, Lawrance Ferns, Rhiannon Holden, Kimberly MacDonald, Tom Hill, Liam Costello, Libby Sampson, Sue Andrews, Scott Rawlings, Freya McCormick. Further consultation within DELWP and externally will be undertaken as part of this scoping exercise. </w:t>
      </w:r>
    </w:p>
  </w:footnote>
  <w:footnote w:id="106">
    <w:p w14:paraId="571AC7B3" w14:textId="77777777" w:rsidR="00205F19" w:rsidRPr="0081786B" w:rsidRDefault="00205F19" w:rsidP="00205F19">
      <w:pPr>
        <w:pStyle w:val="FootnoteText"/>
        <w:rPr>
          <w:highlight w:val="yellow"/>
        </w:rPr>
      </w:pPr>
      <w:r w:rsidRPr="00E35548">
        <w:rPr>
          <w:rStyle w:val="EndnoteReference"/>
        </w:rPr>
        <w:footnoteRef/>
      </w:r>
      <w:r w:rsidRPr="00E35548">
        <w:rPr>
          <w:rStyle w:val="EndnoteReference"/>
        </w:rPr>
        <w:t xml:space="preserve"> </w:t>
      </w:r>
      <w:r w:rsidRPr="00E35548">
        <w:rPr>
          <w:rStyle w:val="EndnoteReference"/>
        </w:rPr>
        <w:tab/>
      </w:r>
      <w:r w:rsidRPr="0081786B">
        <w:t>The International Union for Conservation of Nature (IUCN) are developing a standardised, globally consistent and spatially explicit typology and terminology for managing the world’s ecosystems and their services.</w:t>
      </w:r>
    </w:p>
  </w:footnote>
  <w:footnote w:id="107">
    <w:p w14:paraId="396C008F" w14:textId="77777777" w:rsidR="00205F19" w:rsidRPr="0081786B" w:rsidRDefault="00205F19" w:rsidP="00205F19">
      <w:pPr>
        <w:pStyle w:val="FootnoteText"/>
      </w:pPr>
      <w:r w:rsidRPr="00E35548">
        <w:rPr>
          <w:rStyle w:val="EndnoteReference"/>
        </w:rPr>
        <w:footnoteRef/>
      </w:r>
      <w:r w:rsidRPr="00E35548">
        <w:rPr>
          <w:rStyle w:val="EndnoteReference"/>
        </w:rPr>
        <w:t xml:space="preserve"> </w:t>
      </w:r>
      <w:r w:rsidRPr="00E35548">
        <w:rPr>
          <w:rStyle w:val="EndnoteReference"/>
        </w:rPr>
        <w:tab/>
      </w:r>
      <w:r w:rsidRPr="0081786B">
        <w:t>EVC’s are the basic mapping units used in Victoria for biodiversity planning and conservation assessment at landscape scales. Each EVC represents a group of plant species that occur in similar physical environments and have similar ecological responses. There are around 300 EVC’s in Victoria.</w:t>
      </w:r>
    </w:p>
  </w:footnote>
  <w:footnote w:id="108">
    <w:p w14:paraId="7F5E4251" w14:textId="77777777" w:rsidR="00205F19" w:rsidRDefault="00205F19" w:rsidP="00205F19">
      <w:pPr>
        <w:pStyle w:val="FootnoteText"/>
      </w:pPr>
      <w:r w:rsidRPr="00E35548">
        <w:rPr>
          <w:rStyle w:val="EndnoteReference"/>
        </w:rPr>
        <w:footnoteRef/>
      </w:r>
      <w:r w:rsidRPr="00E35548">
        <w:rPr>
          <w:rStyle w:val="EndnoteReference"/>
        </w:rPr>
        <w:t xml:space="preserve"> </w:t>
      </w:r>
      <w:r w:rsidRPr="00E35548">
        <w:rPr>
          <w:rStyle w:val="EndnoteReference"/>
        </w:rPr>
        <w:tab/>
      </w:r>
      <w:r w:rsidRPr="0081786B">
        <w:t>The CBiCS classification adapts components from the Joint Nature Conservation Committee – European Nature Information System (JNCC-EUNIS) and the United States’ Coastal and Marine Ecological Classification System (CMECS) (DELWP, 2016).</w:t>
      </w:r>
    </w:p>
  </w:footnote>
  <w:footnote w:id="109">
    <w:p w14:paraId="5E230B7E" w14:textId="77777777" w:rsidR="00205F19" w:rsidRPr="00BD186B" w:rsidRDefault="00205F19" w:rsidP="00205F19">
      <w:pPr>
        <w:pStyle w:val="FootnoteText"/>
      </w:pPr>
      <w:r w:rsidRPr="00E35548">
        <w:rPr>
          <w:rStyle w:val="EndnoteReference"/>
        </w:rPr>
        <w:footnoteRef/>
      </w:r>
      <w:r w:rsidRPr="00E35548">
        <w:rPr>
          <w:rStyle w:val="EndnoteReference"/>
        </w:rPr>
        <w:t xml:space="preserve"> </w:t>
      </w:r>
      <w:r w:rsidRPr="00E35548">
        <w:rPr>
          <w:rStyle w:val="EndnoteReference"/>
        </w:rPr>
        <w:tab/>
      </w:r>
      <w:r w:rsidRPr="00BD186B">
        <w:t>Information at the biotope level (Level 5) may be relevant for specific issues or very localised natural resource management.</w:t>
      </w:r>
    </w:p>
  </w:footnote>
  <w:footnote w:id="110">
    <w:p w14:paraId="017CDA89" w14:textId="77777777" w:rsidR="00205F19" w:rsidRPr="00BD186B" w:rsidRDefault="00205F19" w:rsidP="00205F19">
      <w:pPr>
        <w:pStyle w:val="FootnoteText"/>
      </w:pPr>
      <w:r w:rsidRPr="00E35548">
        <w:rPr>
          <w:rStyle w:val="EndnoteReference"/>
        </w:rPr>
        <w:footnoteRef/>
      </w:r>
      <w:r w:rsidRPr="00E35548">
        <w:rPr>
          <w:rStyle w:val="EndnoteReference"/>
        </w:rPr>
        <w:t xml:space="preserve"> </w:t>
      </w:r>
      <w:r w:rsidRPr="00E35548">
        <w:rPr>
          <w:rStyle w:val="EndnoteReference"/>
        </w:rPr>
        <w:tab/>
      </w:r>
      <w:r w:rsidRPr="00BD186B">
        <w:t>Comprehensive insofar as it covers all ecosystems and mutually exclusive so that a given area of land, water, air or sub-soil is only included once within an account.</w:t>
      </w:r>
    </w:p>
  </w:footnote>
  <w:footnote w:id="111">
    <w:p w14:paraId="2DD8739E" w14:textId="77777777" w:rsidR="00205F19" w:rsidRDefault="00205F19" w:rsidP="00205F19">
      <w:pPr>
        <w:pStyle w:val="FootnoteText"/>
      </w:pPr>
      <w:r w:rsidRPr="00E35548">
        <w:rPr>
          <w:rStyle w:val="EndnoteReference"/>
        </w:rPr>
        <w:footnoteRef/>
      </w:r>
      <w:r w:rsidRPr="00E35548">
        <w:rPr>
          <w:rStyle w:val="EndnoteReference"/>
        </w:rPr>
        <w:t xml:space="preserve"> </w:t>
      </w:r>
      <w:r w:rsidRPr="00E35548">
        <w:rPr>
          <w:rStyle w:val="EndnoteReference"/>
        </w:rPr>
        <w:tab/>
      </w:r>
      <w:r w:rsidRPr="00BD186B">
        <w:t>For example, URS (2007) uses slightly different classification of coastal ecosystems to Milon and Alvarez (2007) – it includes kelp forests as well as coastal scrubs, heath and woodland and splits out dunes from shore, beaches. URS also identify different ecosystem services for each ecosystem - seagrass are suggested as providing a recreational benefit on the basis that seagrass have a high concentration of fish which makes them a popular fishing spot.</w:t>
      </w:r>
    </w:p>
  </w:footnote>
  <w:footnote w:id="112">
    <w:p w14:paraId="63D83091" w14:textId="77777777" w:rsidR="00205F19" w:rsidRPr="00063BEE" w:rsidRDefault="00205F19" w:rsidP="00205F19">
      <w:pPr>
        <w:pStyle w:val="FootnoteText"/>
      </w:pPr>
      <w:r w:rsidRPr="00E35548">
        <w:rPr>
          <w:rStyle w:val="EndnoteReference"/>
        </w:rPr>
        <w:footnoteRef/>
      </w:r>
      <w:r w:rsidRPr="00E35548">
        <w:rPr>
          <w:rStyle w:val="EndnoteReference"/>
        </w:rPr>
        <w:t xml:space="preserve"> </w:t>
      </w:r>
      <w:r w:rsidRPr="00E35548">
        <w:rPr>
          <w:rStyle w:val="EndnoteReference"/>
        </w:rPr>
        <w:tab/>
      </w:r>
      <w:r w:rsidRPr="00063BEE">
        <w:t xml:space="preserve">Broad assets within Victoria are </w:t>
      </w:r>
      <w:r>
        <w:t>classified as</w:t>
      </w:r>
      <w:r w:rsidRPr="00063BEE">
        <w:t>: marine; alpine; heathland; grassland; forest/woodland (&gt;0.5ha); coastal margin (beaches and bathing waters); farmland; freshwaters and wetlands.</w:t>
      </w:r>
    </w:p>
  </w:footnote>
  <w:footnote w:id="113">
    <w:p w14:paraId="77CC0A8B" w14:textId="77777777" w:rsidR="00205F19" w:rsidRPr="00EB580F" w:rsidRDefault="00205F19" w:rsidP="00205F19">
      <w:pPr>
        <w:pStyle w:val="FootnoteText"/>
        <w:rPr>
          <w:rFonts w:ascii="TimesNewRomanMTStd" w:hAnsi="TimesNewRomanMTStd" w:cs="TimesNewRomanMTStd"/>
        </w:rPr>
      </w:pPr>
      <w:r w:rsidRPr="00E35548">
        <w:rPr>
          <w:rStyle w:val="EndnoteReference"/>
        </w:rPr>
        <w:footnoteRef/>
      </w:r>
      <w:r w:rsidRPr="00E35548">
        <w:rPr>
          <w:rStyle w:val="EndnoteReference"/>
        </w:rPr>
        <w:t xml:space="preserve"> </w:t>
      </w:r>
      <w:r w:rsidRPr="00E35548">
        <w:rPr>
          <w:rStyle w:val="EndnoteReference"/>
        </w:rPr>
        <w:tab/>
      </w:r>
      <w:r w:rsidRPr="00EB580F">
        <w:t>As noted in Mace (2019) “In practice, this (identifying critical natural capital assets to report on in a condition account) is more complicated than it might appear. First, the asset–benefit relationships are complicated, multi-dimensional, multi-scale, and non-linear. Hence any attempt to map assets to services rapidly becomes enormously complicated. Second, ecosystem services are usually analysed one at a time, yet there are always interactions between different services that are missed in simple stock-flow accounting for individual services.”</w:t>
      </w:r>
    </w:p>
  </w:footnote>
  <w:footnote w:id="114">
    <w:p w14:paraId="69BD732D" w14:textId="77777777" w:rsidR="00205F19" w:rsidRPr="000A623C" w:rsidRDefault="00205F19" w:rsidP="00205F19">
      <w:pPr>
        <w:pStyle w:val="FootnoteText"/>
        <w:rPr>
          <w:rFonts w:ascii="TimesNewRomanMTStd" w:hAnsi="TimesNewRomanMTStd" w:cs="TimesNewRomanMTStd"/>
          <w:sz w:val="14"/>
          <w:szCs w:val="14"/>
        </w:rPr>
      </w:pPr>
      <w:r w:rsidRPr="00E35548">
        <w:rPr>
          <w:rStyle w:val="EndnoteReference"/>
        </w:rPr>
        <w:footnoteRef/>
      </w:r>
      <w:r w:rsidRPr="00E35548">
        <w:rPr>
          <w:rStyle w:val="EndnoteReference"/>
        </w:rPr>
        <w:t xml:space="preserve"> </w:t>
      </w:r>
      <w:r w:rsidRPr="00E35548">
        <w:rPr>
          <w:rStyle w:val="EndnoteReference"/>
        </w:rPr>
        <w:tab/>
      </w:r>
      <w:r w:rsidRPr="00EB580F">
        <w:t>“For example, soil, water, nutrients, and crop plants are necessary for agricultural production. But we could never assert that genetic diversity did not matter at all for most benefits, or that soil, water, and nutrients are dispensable or replaceable” (Mace, 2019).</w:t>
      </w:r>
    </w:p>
  </w:footnote>
  <w:footnote w:id="115">
    <w:p w14:paraId="23F868C8" w14:textId="77777777" w:rsidR="00205F19" w:rsidRPr="00EB580F" w:rsidRDefault="00205F19" w:rsidP="00205F19">
      <w:pPr>
        <w:pStyle w:val="FootnoteText"/>
      </w:pPr>
      <w:r w:rsidRPr="00E35548">
        <w:rPr>
          <w:rStyle w:val="EndnoteReference"/>
        </w:rPr>
        <w:footnoteRef/>
      </w:r>
      <w:r w:rsidRPr="00E35548">
        <w:rPr>
          <w:rStyle w:val="EndnoteReference"/>
        </w:rPr>
        <w:t xml:space="preserve"> </w:t>
      </w:r>
      <w:r w:rsidRPr="00E35548">
        <w:rPr>
          <w:rStyle w:val="EndnoteReference"/>
        </w:rPr>
        <w:tab/>
      </w:r>
      <w:r w:rsidRPr="00EB580F">
        <w:t>The June 2019, VEAC facilitated workshop on Coastal Reserves - Understanding Values and Uses at the DELWP Victorian Marine and Coastal Forum, included participants from committees of management, local government, DELWP, consultants and conservation groups (VEAC, 2020).</w:t>
      </w:r>
    </w:p>
  </w:footnote>
  <w:footnote w:id="116">
    <w:p w14:paraId="0BD8758F" w14:textId="77777777" w:rsidR="00205F19" w:rsidRDefault="00205F19" w:rsidP="00205F19">
      <w:pPr>
        <w:pStyle w:val="FootnoteText"/>
      </w:pPr>
      <w:r w:rsidRPr="00E35548">
        <w:rPr>
          <w:rStyle w:val="EndnoteReference"/>
        </w:rPr>
        <w:footnoteRef/>
      </w:r>
      <w:r w:rsidRPr="00E35548">
        <w:rPr>
          <w:rStyle w:val="EndnoteReference"/>
        </w:rPr>
        <w:t xml:space="preserve"> </w:t>
      </w:r>
      <w:r w:rsidRPr="00E35548">
        <w:rPr>
          <w:rStyle w:val="EndnoteReference"/>
        </w:rPr>
        <w:tab/>
      </w:r>
      <w:r w:rsidRPr="00EB580F">
        <w:t>Non-Aboriginal cultural heritage includes the role the sea and coast have played in the early economic, social and physical development of Victoria by non-Aboriginal settlers. Non-Aboriginal cultural assets include historic places or sites, historic landscapes or areas, historic buildings or groups of buildings, historic objects, and post-contact Aboriginal Cultural Heritage places, sites or objects (VEAC, 2020).</w:t>
      </w:r>
    </w:p>
  </w:footnote>
  <w:footnote w:id="117">
    <w:p w14:paraId="0A22AB92" w14:textId="77777777" w:rsidR="00205F19" w:rsidRPr="00F2492F" w:rsidRDefault="00205F19" w:rsidP="00205F19">
      <w:pPr>
        <w:pStyle w:val="FootnoteText"/>
      </w:pPr>
      <w:r w:rsidRPr="00E35548">
        <w:rPr>
          <w:rStyle w:val="EndnoteReference"/>
        </w:rPr>
        <w:footnoteRef/>
      </w:r>
      <w:r w:rsidRPr="00E35548">
        <w:rPr>
          <w:rStyle w:val="EndnoteReference"/>
        </w:rPr>
        <w:t xml:space="preserve"> </w:t>
      </w:r>
      <w:r w:rsidRPr="00E35548">
        <w:rPr>
          <w:rStyle w:val="EndnoteReference"/>
        </w:rPr>
        <w:tab/>
      </w:r>
      <w:r w:rsidRPr="00F2492F">
        <w:t>For example, trying to force tabular data (e.g. on the number of recreational visits to the Great Ocean Road) to a level of spatial disaggregation for which it was not collected can lead to issues of reliability. Yet excluding that data from an account would mean a loss of valuable information that can provide insights for decision makers.</w:t>
      </w:r>
    </w:p>
  </w:footnote>
  <w:footnote w:id="118">
    <w:p w14:paraId="6F1CB17D" w14:textId="77777777" w:rsidR="00205F19" w:rsidRPr="00EB580F" w:rsidRDefault="00205F19" w:rsidP="00205F19">
      <w:pPr>
        <w:pStyle w:val="FootnoteText"/>
      </w:pPr>
      <w:r w:rsidRPr="00E35548">
        <w:rPr>
          <w:rStyle w:val="EndnoteReference"/>
        </w:rPr>
        <w:footnoteRef/>
      </w:r>
      <w:r w:rsidRPr="00E35548">
        <w:rPr>
          <w:rStyle w:val="EndnoteReference"/>
        </w:rPr>
        <w:t xml:space="preserve"> </w:t>
      </w:r>
      <w:r w:rsidRPr="00E35548">
        <w:rPr>
          <w:rStyle w:val="EndnoteReference"/>
        </w:rPr>
        <w:tab/>
      </w:r>
      <w:r w:rsidRPr="00EB580F">
        <w:t xml:space="preserve">Marginal changes in outcomes refer to incremental (small) changes from the current situation and is typically what is estimated for policy appraisals. For example, a policy may seek to improve (for example) water quality from its current status towards good ecological condition by investing in ecosystem assets (e.g. wetlands). By contrast, environmental-economic accounts seek to estimate the effect of removing all existing ecosystem assets (e.g. wetlands) that affect water quality (for example) to estimate the total value of these assets.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E83713" w14:textId="77777777" w:rsidR="00B379D0" w:rsidRDefault="00B379D0">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E40A6F" w14:textId="77777777" w:rsidR="00E547F8" w:rsidRPr="00E52A9A" w:rsidRDefault="00E547F8" w:rsidP="00E52A9A">
    <w:pPr>
      <w:pStyle w:val="Header"/>
    </w:pP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EB5EBA" w14:textId="77777777" w:rsidR="00F50B5A" w:rsidRPr="00E52A9A" w:rsidRDefault="00F50B5A" w:rsidP="00E52A9A">
    <w:pPr>
      <w:pStyle w:val="Header"/>
    </w:pP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88DB66" w14:textId="77777777" w:rsidR="00F50B5A" w:rsidRPr="00E52A9A" w:rsidRDefault="00F50B5A" w:rsidP="00E52A9A">
    <w:pPr>
      <w:pStyle w:val="Header"/>
    </w:pP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BED991" w14:textId="77777777" w:rsidR="00F50B5A" w:rsidRPr="00E52A9A" w:rsidRDefault="00F50B5A" w:rsidP="00E52A9A">
    <w:pPr>
      <w:pStyle w:val="Header"/>
    </w:pP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063807" w14:textId="77777777" w:rsidR="00F50B5A" w:rsidRPr="00E52A9A" w:rsidRDefault="00F50B5A" w:rsidP="00E52A9A">
    <w:pPr>
      <w:pStyle w:val="Header"/>
    </w:pP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6E3B20" w14:textId="77777777" w:rsidR="00B55451" w:rsidRPr="00E52A9A" w:rsidRDefault="00B55451" w:rsidP="00E52A9A">
    <w:pPr>
      <w:pStyle w:val="Header"/>
    </w:pP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070C11" w14:textId="77777777" w:rsidR="00B55451" w:rsidRPr="00E52A9A" w:rsidRDefault="00B55451" w:rsidP="00E52A9A">
    <w:pPr>
      <w:pStyle w:val="Header"/>
    </w:pP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40E13B" w14:textId="77777777" w:rsidR="00B55451" w:rsidRPr="00E52A9A" w:rsidRDefault="00B55451" w:rsidP="00E52A9A">
    <w:pPr>
      <w:pStyle w:val="Header"/>
    </w:pP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C4FFAD" w14:textId="77777777" w:rsidR="00B55451" w:rsidRPr="00E52A9A" w:rsidRDefault="00B55451" w:rsidP="00E52A9A">
    <w:pPr>
      <w:pStyle w:val="Header"/>
    </w:pP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B1013A" w14:textId="77777777" w:rsidR="00B55451" w:rsidRPr="00E52A9A" w:rsidRDefault="00B55451" w:rsidP="00E52A9A">
    <w:pPr>
      <w:pStyle w:val="Header"/>
    </w:pP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0E172B" w14:textId="77777777" w:rsidR="00B55451" w:rsidRPr="00E52A9A" w:rsidRDefault="00B55451" w:rsidP="00E52A9A">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4C904E" w14:textId="77777777" w:rsidR="00B21991" w:rsidRPr="00E52A9A" w:rsidRDefault="00B21991" w:rsidP="00E52A9A">
    <w:pPr>
      <w:pStyle w:val="Header"/>
    </w:pP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650E1B" w14:textId="77777777" w:rsidR="00B55451" w:rsidRPr="00E52A9A" w:rsidRDefault="00B55451" w:rsidP="00E52A9A">
    <w:pPr>
      <w:pStyle w:val="Header"/>
    </w:pP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0EC24E" w14:textId="77777777" w:rsidR="00B55451" w:rsidRPr="00E52A9A" w:rsidRDefault="00B55451" w:rsidP="00E52A9A">
    <w:pPr>
      <w:pStyle w:val="Header"/>
    </w:pP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25283B" w14:textId="77777777" w:rsidR="00B55451" w:rsidRPr="00E52A9A" w:rsidRDefault="00B55451" w:rsidP="00E52A9A">
    <w:pPr>
      <w:pStyle w:val="Header"/>
    </w:pP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8E0404" w14:textId="77777777" w:rsidR="00B55451" w:rsidRPr="00E52A9A" w:rsidRDefault="00B55451" w:rsidP="00E52A9A">
    <w:pPr>
      <w:pStyle w:val="Header"/>
    </w:pP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E6C0E7" w14:textId="77777777" w:rsidR="00B55451" w:rsidRPr="00E52A9A" w:rsidRDefault="00B55451" w:rsidP="00E52A9A">
    <w:pPr>
      <w:pStyle w:val="Header"/>
    </w:pP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260CBE" w14:textId="77777777" w:rsidR="00205F19" w:rsidRPr="00E52A9A" w:rsidRDefault="00205F19" w:rsidP="00E52A9A">
    <w:pPr>
      <w:pStyle w:val="Header"/>
    </w:pP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038456" w14:textId="77777777" w:rsidR="00205F19" w:rsidRPr="00E52A9A" w:rsidRDefault="00205F19" w:rsidP="00E52A9A">
    <w:pPr>
      <w:pStyle w:val="Header"/>
    </w:pP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75A82B" w14:textId="77777777" w:rsidR="00205F19" w:rsidRPr="00E52A9A" w:rsidRDefault="00205F19" w:rsidP="00E52A9A">
    <w:pPr>
      <w:pStyle w:val="Header"/>
    </w:pP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FF03CB" w14:textId="77777777" w:rsidR="00205F19" w:rsidRPr="00E52A9A" w:rsidRDefault="00205F19" w:rsidP="00E52A9A">
    <w:pPr>
      <w:pStyle w:val="Header"/>
    </w:pP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2C5DE8" w14:textId="77777777" w:rsidR="00205F19" w:rsidRPr="00E52A9A" w:rsidRDefault="00205F19" w:rsidP="00E52A9A">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B0247B" w14:textId="77777777" w:rsidR="00B21991" w:rsidRPr="00E52A9A" w:rsidRDefault="00B21991" w:rsidP="00E52A9A">
    <w:pPr>
      <w:pStyle w:val="Header"/>
    </w:pP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E32961" w14:textId="77777777" w:rsidR="00205F19" w:rsidRPr="00E52A9A" w:rsidRDefault="00205F19" w:rsidP="00E52A9A">
    <w:pPr>
      <w:pStyle w:val="Header"/>
    </w:pP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380295" w14:textId="77777777" w:rsidR="00205F19" w:rsidRPr="00E52A9A" w:rsidRDefault="00205F19" w:rsidP="00E52A9A">
    <w:pPr>
      <w:pStyle w:val="Header"/>
    </w:pP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9423DD" w14:textId="77777777" w:rsidR="00205F19" w:rsidRPr="00E52A9A" w:rsidRDefault="00205F19" w:rsidP="00E52A9A">
    <w:pPr>
      <w:pStyle w:val="Header"/>
    </w:pPr>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03BFDC" w14:textId="77777777" w:rsidR="00205F19" w:rsidRPr="00E52A9A" w:rsidRDefault="00205F19" w:rsidP="00E52A9A">
    <w:pPr>
      <w:pStyle w:val="Header"/>
    </w:pP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168B06" w14:textId="77777777" w:rsidR="00205F19" w:rsidRPr="00E52A9A" w:rsidRDefault="00205F19" w:rsidP="00E52A9A">
    <w:pPr>
      <w:pStyle w:val="Header"/>
    </w:pP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A8F345" w14:textId="77777777" w:rsidR="00205F19" w:rsidRPr="00E52A9A" w:rsidRDefault="00205F19" w:rsidP="00E52A9A">
    <w:pPr>
      <w:pStyle w:val="Header"/>
    </w:pP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E9C68D" w14:textId="77777777" w:rsidR="00205F19" w:rsidRPr="00E52A9A" w:rsidRDefault="00205F19" w:rsidP="00E52A9A">
    <w:pPr>
      <w:pStyle w:val="Header"/>
    </w:pPr>
  </w:p>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58DD69" w14:textId="77777777" w:rsidR="00205F19" w:rsidRPr="00E52A9A" w:rsidRDefault="00205F19" w:rsidP="00E52A9A">
    <w:pPr>
      <w:pStyle w:val="Header"/>
    </w:pPr>
  </w:p>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BCAD93" w14:textId="77777777" w:rsidR="00205F19" w:rsidRPr="00E52A9A" w:rsidRDefault="00205F19" w:rsidP="00E52A9A">
    <w:pPr>
      <w:pStyle w:val="Header"/>
    </w:pPr>
  </w:p>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0A426D" w14:textId="77777777" w:rsidR="00205F19" w:rsidRPr="00E52A9A" w:rsidRDefault="00205F19" w:rsidP="00E52A9A">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CB9C16" w14:textId="77777777" w:rsidR="00B21991" w:rsidRPr="00E52A9A" w:rsidRDefault="00B21991" w:rsidP="00E52A9A">
    <w:pPr>
      <w:pStyle w:val="Header"/>
    </w:pPr>
  </w:p>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0EE246" w14:textId="77777777" w:rsidR="00205F19" w:rsidRPr="00E52A9A" w:rsidRDefault="00205F19" w:rsidP="00E52A9A">
    <w:pPr>
      <w:pStyle w:val="Header"/>
    </w:pPr>
  </w:p>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0D52D3" w14:textId="77777777" w:rsidR="00205F19" w:rsidRPr="00E52A9A" w:rsidRDefault="00205F19" w:rsidP="00E52A9A">
    <w:pPr>
      <w:pStyle w:val="Header"/>
    </w:pPr>
  </w:p>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F29E9F" w14:textId="77777777" w:rsidR="00205F19" w:rsidRPr="00E52A9A" w:rsidRDefault="00205F19" w:rsidP="00E52A9A">
    <w:pPr>
      <w:pStyle w:val="Header"/>
    </w:pPr>
  </w:p>
</w:hdr>
</file>

<file path=word/header1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B2A54E" w14:textId="77777777" w:rsidR="00205F19" w:rsidRPr="00E52A9A" w:rsidRDefault="00205F19" w:rsidP="00E52A9A">
    <w:pPr>
      <w:pStyle w:val="Header"/>
    </w:pPr>
  </w:p>
</w:hdr>
</file>

<file path=word/header1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709151" w14:textId="77777777" w:rsidR="00205F19" w:rsidRPr="00E52A9A" w:rsidRDefault="00205F19" w:rsidP="00E52A9A">
    <w:pPr>
      <w:pStyle w:val="Header"/>
    </w:pPr>
  </w:p>
</w:hdr>
</file>

<file path=word/header1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8EBD30" w14:textId="77777777" w:rsidR="00205F19" w:rsidRPr="00E52A9A" w:rsidRDefault="00205F19" w:rsidP="00E52A9A">
    <w:pPr>
      <w:pStyle w:val="Header"/>
    </w:pPr>
  </w:p>
</w:hdr>
</file>

<file path=word/header1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4B4D03" w14:textId="77777777" w:rsidR="00205F19" w:rsidRPr="00E52A9A" w:rsidRDefault="00205F19" w:rsidP="00E52A9A">
    <w:pPr>
      <w:pStyle w:val="Header"/>
    </w:pPr>
  </w:p>
</w:hdr>
</file>

<file path=word/header1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AC5A70" w14:textId="77777777" w:rsidR="00205F19" w:rsidRPr="00E52A9A" w:rsidRDefault="00205F19" w:rsidP="00E52A9A">
    <w:pPr>
      <w:pStyle w:val="Header"/>
    </w:pPr>
  </w:p>
</w:hdr>
</file>

<file path=word/header1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A7ECF2" w14:textId="77777777" w:rsidR="00205F19" w:rsidRPr="00E52A9A" w:rsidRDefault="00205F19" w:rsidP="00E52A9A">
    <w:pPr>
      <w:pStyle w:val="Header"/>
    </w:pPr>
  </w:p>
</w:hdr>
</file>

<file path=word/header1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053A76" w14:textId="77777777" w:rsidR="00CD157B" w:rsidRPr="00E52A9A" w:rsidRDefault="00CD157B" w:rsidP="00E52A9A">
    <w:pPr>
      <w:pStyle w:val="Header"/>
    </w:pPr>
    <w:bookmarkStart w:id="465" w:name="_Hlk162690853"/>
    <w:bookmarkStart w:id="466" w:name="_Hlk162690854"/>
    <w:bookmarkStart w:id="467" w:name="_Hlk162690866"/>
    <w:bookmarkStart w:id="468" w:name="_Hlk162690867"/>
    <w:bookmarkStart w:id="469" w:name="_Hlk162690876"/>
    <w:bookmarkStart w:id="470" w:name="_Hlk162690877"/>
    <w:bookmarkStart w:id="471" w:name="_Hlk162690895"/>
    <w:bookmarkStart w:id="472" w:name="_Hlk162690896"/>
    <w:bookmarkStart w:id="473" w:name="_Hlk162690906"/>
    <w:bookmarkStart w:id="474" w:name="_Hlk162690907"/>
    <w:bookmarkStart w:id="475" w:name="_Hlk162690917"/>
    <w:bookmarkStart w:id="476" w:name="_Hlk162690918"/>
    <w:bookmarkStart w:id="477" w:name="_Hlk162690931"/>
    <w:bookmarkStart w:id="478" w:name="_Hlk162690932"/>
    <w:bookmarkStart w:id="479" w:name="_Hlk162690952"/>
    <w:bookmarkStart w:id="480" w:name="_Hlk162690953"/>
    <w:bookmarkStart w:id="481" w:name="_Hlk162690965"/>
    <w:bookmarkStart w:id="482" w:name="_Hlk162690966"/>
    <w:bookmarkStart w:id="483" w:name="_Hlk162690978"/>
    <w:bookmarkStart w:id="484" w:name="_Hlk162690979"/>
    <w:bookmarkStart w:id="485" w:name="_Hlk162690991"/>
    <w:bookmarkStart w:id="486" w:name="_Hlk162690992"/>
    <w:bookmarkStart w:id="487" w:name="_Hlk162691006"/>
    <w:bookmarkStart w:id="488" w:name="_Hlk162691007"/>
    <w:bookmarkStart w:id="489" w:name="_Hlk162691020"/>
    <w:bookmarkStart w:id="490" w:name="_Hlk162691021"/>
    <w:bookmarkStart w:id="491" w:name="_Hlk162691035"/>
    <w:bookmarkStart w:id="492" w:name="_Hlk162691036"/>
    <w:bookmarkStart w:id="493" w:name="_Hlk162691050"/>
    <w:bookmarkStart w:id="494" w:name="_Hlk162691051"/>
    <w:bookmarkStart w:id="495" w:name="_Hlk162691065"/>
    <w:bookmarkStart w:id="496" w:name="_Hlk162691066"/>
    <w:bookmarkStart w:id="497" w:name="_Hlk162691081"/>
    <w:bookmarkStart w:id="498" w:name="_Hlk162691082"/>
    <w:bookmarkStart w:id="499" w:name="_Hlk162691097"/>
    <w:bookmarkStart w:id="500" w:name="_Hlk162691098"/>
    <w:bookmarkStart w:id="501" w:name="_Hlk162691113"/>
    <w:bookmarkStart w:id="502" w:name="_Hlk162691114"/>
    <w:bookmarkStart w:id="503" w:name="_Hlk162691129"/>
    <w:bookmarkStart w:id="504" w:name="_Hlk162691130"/>
    <w:bookmarkStart w:id="505" w:name="_Hlk162691146"/>
    <w:bookmarkStart w:id="506" w:name="_Hlk162691147"/>
    <w:bookmarkStart w:id="507" w:name="_Hlk162691164"/>
    <w:bookmarkStart w:id="508" w:name="_Hlk162691165"/>
    <w:bookmarkStart w:id="509" w:name="_Hlk162691180"/>
    <w:bookmarkStart w:id="510" w:name="_Hlk162691181"/>
    <w:bookmarkStart w:id="511" w:name="_Hlk162691198"/>
    <w:bookmarkStart w:id="512" w:name="_Hlk162691199"/>
    <w:bookmarkStart w:id="513" w:name="_Hlk162691215"/>
    <w:bookmarkStart w:id="514" w:name="_Hlk162691216"/>
    <w:bookmarkStart w:id="515" w:name="_Hlk162691229"/>
    <w:bookmarkStart w:id="516" w:name="_Hlk162691230"/>
    <w:bookmarkStart w:id="517" w:name="_Hlk162691238"/>
    <w:bookmarkStart w:id="518" w:name="_Hlk162691239"/>
    <w:bookmarkStart w:id="519" w:name="_Hlk162692645"/>
    <w:bookmarkStart w:id="520" w:name="_Hlk162692646"/>
    <w:bookmarkStart w:id="521" w:name="_Hlk162692679"/>
    <w:bookmarkStart w:id="522" w:name="_Hlk162692680"/>
    <w:bookmarkStart w:id="523" w:name="_Hlk162692700"/>
    <w:bookmarkStart w:id="524" w:name="_Hlk162692701"/>
    <w:bookmarkStart w:id="525" w:name="_Hlk162692733"/>
    <w:bookmarkStart w:id="526" w:name="_Hlk162692734"/>
    <w:bookmarkStart w:id="527" w:name="_Hlk162692752"/>
    <w:bookmarkStart w:id="528" w:name="_Hlk162692753"/>
    <w:bookmarkStart w:id="529" w:name="_Hlk162692787"/>
    <w:bookmarkStart w:id="530" w:name="_Hlk162692788"/>
    <w:bookmarkStart w:id="531" w:name="_Hlk162692807"/>
    <w:bookmarkStart w:id="532" w:name="_Hlk162692808"/>
    <w:bookmarkStart w:id="533" w:name="_Hlk162692827"/>
    <w:bookmarkStart w:id="534" w:name="_Hlk162692828"/>
    <w:bookmarkStart w:id="535" w:name="_Hlk162694175"/>
    <w:bookmarkStart w:id="536" w:name="_Hlk162694176"/>
    <w:bookmarkStart w:id="537" w:name="_Hlk162694197"/>
    <w:bookmarkStart w:id="538" w:name="_Hlk162694198"/>
    <w:bookmarkStart w:id="539" w:name="_Hlk162694222"/>
    <w:bookmarkStart w:id="540" w:name="_Hlk162694223"/>
    <w:bookmarkStart w:id="541" w:name="_Hlk162694243"/>
    <w:bookmarkStart w:id="542" w:name="_Hlk162694244"/>
    <w:bookmarkStart w:id="543" w:name="_Hlk162694263"/>
    <w:bookmarkStart w:id="544" w:name="_Hlk162694264"/>
    <w:bookmarkStart w:id="545" w:name="_Hlk162694283"/>
    <w:bookmarkStart w:id="546" w:name="_Hlk162694284"/>
    <w:bookmarkStart w:id="547" w:name="_Hlk162694304"/>
    <w:bookmarkStart w:id="548" w:name="_Hlk162694305"/>
    <w:bookmarkStart w:id="549" w:name="_Hlk162694325"/>
    <w:bookmarkStart w:id="550" w:name="_Hlk162694326"/>
    <w:bookmarkStart w:id="551" w:name="_Hlk162694345"/>
    <w:bookmarkStart w:id="552" w:name="_Hlk162694346"/>
    <w:bookmarkStart w:id="553" w:name="_Hlk162694367"/>
    <w:bookmarkStart w:id="554" w:name="_Hlk162694368"/>
    <w:bookmarkStart w:id="555" w:name="_Hlk162694388"/>
    <w:bookmarkStart w:id="556" w:name="_Hlk162694389"/>
    <w:bookmarkStart w:id="557" w:name="_Hlk162694409"/>
    <w:bookmarkStart w:id="558" w:name="_Hlk162694410"/>
    <w:bookmarkStart w:id="559" w:name="_Hlk162694430"/>
    <w:bookmarkStart w:id="560" w:name="_Hlk162694431"/>
    <w:bookmarkStart w:id="561" w:name="_Hlk162694449"/>
    <w:bookmarkStart w:id="562" w:name="_Hlk162694450"/>
    <w:bookmarkStart w:id="563" w:name="_Hlk162694468"/>
    <w:bookmarkStart w:id="564" w:name="_Hlk162694469"/>
    <w:bookmarkStart w:id="565" w:name="_Hlk162699998"/>
    <w:bookmarkStart w:id="566" w:name="_Hlk162699999"/>
    <w:bookmarkStart w:id="567" w:name="_Hlk162700020"/>
    <w:bookmarkStart w:id="568" w:name="_Hlk162700021"/>
    <w:bookmarkStart w:id="569" w:name="_Hlk162700043"/>
    <w:bookmarkStart w:id="570" w:name="_Hlk162700044"/>
    <w:bookmarkStart w:id="571" w:name="_Hlk162700066"/>
    <w:bookmarkStart w:id="572" w:name="_Hlk162700067"/>
    <w:bookmarkStart w:id="573" w:name="_Hlk162700090"/>
    <w:bookmarkStart w:id="574" w:name="_Hlk162700091"/>
    <w:bookmarkStart w:id="575" w:name="_Hlk162700113"/>
    <w:bookmarkStart w:id="576" w:name="_Hlk162700114"/>
    <w:bookmarkStart w:id="577" w:name="_Hlk162700137"/>
    <w:bookmarkStart w:id="578" w:name="_Hlk162700138"/>
    <w:bookmarkStart w:id="579" w:name="_Hlk162700160"/>
    <w:bookmarkStart w:id="580" w:name="_Hlk162700161"/>
    <w:bookmarkStart w:id="581" w:name="_Hlk162700183"/>
    <w:bookmarkStart w:id="582" w:name="_Hlk162700184"/>
    <w:bookmarkStart w:id="583" w:name="_Hlk162700205"/>
    <w:bookmarkStart w:id="584" w:name="_Hlk162700206"/>
    <w:bookmarkStart w:id="585" w:name="_Hlk162700228"/>
    <w:bookmarkStart w:id="586" w:name="_Hlk162700229"/>
    <w:bookmarkStart w:id="587" w:name="_Hlk162700271"/>
    <w:bookmarkStart w:id="588" w:name="_Hlk162700272"/>
    <w:bookmarkStart w:id="589" w:name="_Hlk162700296"/>
    <w:bookmarkStart w:id="590" w:name="_Hlk162700297"/>
    <w:bookmarkStart w:id="591" w:name="_Hlk162700321"/>
    <w:bookmarkStart w:id="592" w:name="_Hlk162700322"/>
    <w:bookmarkStart w:id="593" w:name="_Hlk162700346"/>
    <w:bookmarkStart w:id="594" w:name="_Hlk162700347"/>
    <w:bookmarkStart w:id="595" w:name="_Hlk162700371"/>
    <w:bookmarkStart w:id="596" w:name="_Hlk162700372"/>
    <w:bookmarkStart w:id="597" w:name="_Hlk162700397"/>
    <w:bookmarkStart w:id="598" w:name="_Hlk162700398"/>
    <w:bookmarkStart w:id="599" w:name="_Hlk162700420"/>
    <w:bookmarkStart w:id="600" w:name="_Hlk162700421"/>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C30A62" w14:textId="77777777" w:rsidR="00B21991" w:rsidRPr="00E52A9A" w:rsidRDefault="00B21991" w:rsidP="00E52A9A">
    <w:pPr>
      <w:pStyle w:val="Header"/>
    </w:pPr>
  </w:p>
</w:hdr>
</file>

<file path=word/header1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3BFFA4" w14:textId="77777777" w:rsidR="00557E19" w:rsidRPr="00E52A9A" w:rsidRDefault="00557E19" w:rsidP="00E52A9A">
    <w:pPr>
      <w:pStyle w:val="Header"/>
    </w:pPr>
  </w:p>
</w:hdr>
</file>

<file path=word/header1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63C9DA" w14:textId="77777777" w:rsidR="00CB5C6F" w:rsidRPr="00E52A9A" w:rsidRDefault="00CB5C6F" w:rsidP="00E52A9A">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A31189" w14:textId="77777777" w:rsidR="00B21991" w:rsidRPr="00E52A9A" w:rsidRDefault="00B21991" w:rsidP="00E52A9A">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33C67C" w14:textId="77777777" w:rsidR="00B21991" w:rsidRPr="00E52A9A" w:rsidRDefault="00B21991" w:rsidP="00E52A9A">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B4C1A0" w14:textId="77777777" w:rsidR="00B21991" w:rsidRPr="00E52A9A" w:rsidRDefault="00B21991" w:rsidP="00E52A9A">
    <w:pPr>
      <w:pStyle w:val="Header"/>
    </w:pPr>
    <w:bookmarkStart w:id="93" w:name="_Hlk162690870"/>
    <w:bookmarkStart w:id="94" w:name="_Hlk162690871"/>
    <w:bookmarkStart w:id="95" w:name="_Hlk162690880"/>
    <w:bookmarkStart w:id="96" w:name="_Hlk162690881"/>
    <w:bookmarkStart w:id="97" w:name="_Hlk162690899"/>
    <w:bookmarkStart w:id="98" w:name="_Hlk162690900"/>
    <w:bookmarkStart w:id="99" w:name="_Hlk162690910"/>
    <w:bookmarkStart w:id="100" w:name="_Hlk162690911"/>
    <w:bookmarkStart w:id="101" w:name="_Hlk162690921"/>
    <w:bookmarkStart w:id="102" w:name="_Hlk162690922"/>
    <w:bookmarkStart w:id="103" w:name="_Hlk162690935"/>
    <w:bookmarkStart w:id="104" w:name="_Hlk162690936"/>
    <w:bookmarkStart w:id="105" w:name="_Hlk162690956"/>
    <w:bookmarkStart w:id="106" w:name="_Hlk162690957"/>
    <w:bookmarkStart w:id="107" w:name="_Hlk162690969"/>
    <w:bookmarkStart w:id="108" w:name="_Hlk162690970"/>
    <w:bookmarkStart w:id="109" w:name="_Hlk162690982"/>
    <w:bookmarkStart w:id="110" w:name="_Hlk162690983"/>
    <w:bookmarkStart w:id="111" w:name="_Hlk162690995"/>
    <w:bookmarkStart w:id="112" w:name="_Hlk162690996"/>
    <w:bookmarkStart w:id="113" w:name="_Hlk162691010"/>
    <w:bookmarkStart w:id="114" w:name="_Hlk162691011"/>
    <w:bookmarkStart w:id="115" w:name="_Hlk162691024"/>
    <w:bookmarkStart w:id="116" w:name="_Hlk162691025"/>
    <w:bookmarkStart w:id="117" w:name="_Hlk162691039"/>
    <w:bookmarkStart w:id="118" w:name="_Hlk162691040"/>
    <w:bookmarkStart w:id="119" w:name="_Hlk162691054"/>
    <w:bookmarkStart w:id="120" w:name="_Hlk162691055"/>
    <w:bookmarkStart w:id="121" w:name="_Hlk162691069"/>
    <w:bookmarkStart w:id="122" w:name="_Hlk162691070"/>
    <w:bookmarkStart w:id="123" w:name="_Hlk162691085"/>
    <w:bookmarkStart w:id="124" w:name="_Hlk162691086"/>
    <w:bookmarkStart w:id="125" w:name="_Hlk162691101"/>
    <w:bookmarkStart w:id="126" w:name="_Hlk162691102"/>
    <w:bookmarkStart w:id="127" w:name="_Hlk162691117"/>
    <w:bookmarkStart w:id="128" w:name="_Hlk162691118"/>
    <w:bookmarkStart w:id="129" w:name="_Hlk162691133"/>
    <w:bookmarkStart w:id="130" w:name="_Hlk162691134"/>
    <w:bookmarkStart w:id="131" w:name="_Hlk162691150"/>
    <w:bookmarkStart w:id="132" w:name="_Hlk162691151"/>
    <w:bookmarkStart w:id="133" w:name="_Hlk162691168"/>
    <w:bookmarkStart w:id="134" w:name="_Hlk162691169"/>
    <w:bookmarkStart w:id="135" w:name="_Hlk162691184"/>
    <w:bookmarkStart w:id="136" w:name="_Hlk162691185"/>
    <w:bookmarkStart w:id="137" w:name="_Hlk162691202"/>
    <w:bookmarkStart w:id="138" w:name="_Hlk162691203"/>
    <w:bookmarkStart w:id="139" w:name="_Hlk162691219"/>
    <w:bookmarkStart w:id="140" w:name="_Hlk162691220"/>
    <w:bookmarkStart w:id="141" w:name="_Hlk162691233"/>
    <w:bookmarkStart w:id="142" w:name="_Hlk162691234"/>
    <w:bookmarkStart w:id="143" w:name="_Hlk162691242"/>
    <w:bookmarkStart w:id="144" w:name="_Hlk162691243"/>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86AE53" w14:textId="77777777" w:rsidR="00B21991" w:rsidRPr="00E52A9A" w:rsidRDefault="00B21991" w:rsidP="00E52A9A">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2123BB" w14:textId="77777777" w:rsidR="007904E8" w:rsidRPr="00E52A9A" w:rsidRDefault="007904E8" w:rsidP="00E52A9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84122A" w14:textId="77777777" w:rsidR="00B379D0" w:rsidRDefault="00B379D0">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756F97" w14:textId="77777777" w:rsidR="007904E8" w:rsidRPr="00E52A9A" w:rsidRDefault="007904E8" w:rsidP="00E52A9A">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4E2D6F" w14:textId="77777777" w:rsidR="007904E8" w:rsidRPr="00E52A9A" w:rsidRDefault="007904E8" w:rsidP="00E52A9A">
    <w:pPr>
      <w:pStyle w:val="Header"/>
    </w:pPr>
    <w:bookmarkStart w:id="201" w:name="_Hlk162692649"/>
    <w:bookmarkStart w:id="202" w:name="_Hlk162692650"/>
    <w:bookmarkStart w:id="203" w:name="_Hlk162692682"/>
    <w:bookmarkStart w:id="204" w:name="_Hlk162692683"/>
    <w:bookmarkStart w:id="205" w:name="_Hlk162692703"/>
    <w:bookmarkStart w:id="206" w:name="_Hlk162692704"/>
    <w:bookmarkStart w:id="207" w:name="_Hlk162692736"/>
    <w:bookmarkStart w:id="208" w:name="_Hlk162692737"/>
    <w:bookmarkStart w:id="209" w:name="_Hlk162692755"/>
    <w:bookmarkStart w:id="210" w:name="_Hlk162692756"/>
    <w:bookmarkStart w:id="211" w:name="_Hlk162692790"/>
    <w:bookmarkStart w:id="212" w:name="_Hlk162692791"/>
    <w:bookmarkStart w:id="213" w:name="_Hlk162692811"/>
    <w:bookmarkStart w:id="214" w:name="_Hlk162692812"/>
    <w:bookmarkStart w:id="215" w:name="_Hlk162692830"/>
    <w:bookmarkStart w:id="216" w:name="_Hlk162692831"/>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8F3497" w14:textId="77777777" w:rsidR="007904E8" w:rsidRPr="00E52A9A" w:rsidRDefault="007904E8" w:rsidP="00E52A9A">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6D73A8" w14:textId="77777777" w:rsidR="007904E8" w:rsidRPr="00E52A9A" w:rsidRDefault="007904E8" w:rsidP="00E52A9A">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9BFE1E" w14:textId="77777777" w:rsidR="007904E8" w:rsidRPr="00E52A9A" w:rsidRDefault="007904E8" w:rsidP="00E52A9A">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607E20" w14:textId="77777777" w:rsidR="007904E8" w:rsidRPr="00E52A9A" w:rsidRDefault="007904E8" w:rsidP="00E52A9A">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811B05" w14:textId="77777777" w:rsidR="007904E8" w:rsidRPr="00E52A9A" w:rsidRDefault="007904E8" w:rsidP="00E52A9A">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7771F2" w14:textId="77777777" w:rsidR="007904E8" w:rsidRPr="00E52A9A" w:rsidRDefault="007904E8" w:rsidP="00E52A9A">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B2790C" w14:textId="77777777" w:rsidR="007904E8" w:rsidRPr="00E52A9A" w:rsidRDefault="007904E8" w:rsidP="00E52A9A">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FE96A2" w14:textId="77777777" w:rsidR="007904E8" w:rsidRPr="00E52A9A" w:rsidRDefault="007904E8" w:rsidP="00E52A9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6E945E" w14:textId="77777777" w:rsidR="007904E8" w:rsidRPr="00E52A9A" w:rsidRDefault="007904E8" w:rsidP="00E52A9A">
    <w:pPr>
      <w:pStyle w:val="Header"/>
    </w:pPr>
    <w:bookmarkStart w:id="1" w:name="_Hlk162690868"/>
    <w:bookmarkStart w:id="2" w:name="_Hlk162690869"/>
    <w:bookmarkStart w:id="3" w:name="_Hlk162690878"/>
    <w:bookmarkStart w:id="4" w:name="_Hlk162690879"/>
    <w:bookmarkStart w:id="5" w:name="_Hlk162690897"/>
    <w:bookmarkStart w:id="6" w:name="_Hlk162690898"/>
    <w:bookmarkStart w:id="7" w:name="_Hlk162690908"/>
    <w:bookmarkStart w:id="8" w:name="_Hlk162690909"/>
    <w:bookmarkStart w:id="9" w:name="_Hlk162690919"/>
    <w:bookmarkStart w:id="10" w:name="_Hlk162690920"/>
    <w:bookmarkStart w:id="11" w:name="_Hlk162690933"/>
    <w:bookmarkStart w:id="12" w:name="_Hlk162690934"/>
    <w:bookmarkStart w:id="13" w:name="_Hlk162690954"/>
    <w:bookmarkStart w:id="14" w:name="_Hlk162690955"/>
    <w:bookmarkStart w:id="15" w:name="_Hlk162690967"/>
    <w:bookmarkStart w:id="16" w:name="_Hlk162690968"/>
    <w:bookmarkStart w:id="17" w:name="_Hlk162690980"/>
    <w:bookmarkStart w:id="18" w:name="_Hlk162690981"/>
    <w:bookmarkStart w:id="19" w:name="_Hlk162690993"/>
    <w:bookmarkStart w:id="20" w:name="_Hlk162690994"/>
    <w:bookmarkStart w:id="21" w:name="_Hlk162691008"/>
    <w:bookmarkStart w:id="22" w:name="_Hlk162691009"/>
    <w:bookmarkStart w:id="23" w:name="_Hlk162691022"/>
    <w:bookmarkStart w:id="24" w:name="_Hlk162691023"/>
    <w:bookmarkStart w:id="25" w:name="_Hlk162691037"/>
    <w:bookmarkStart w:id="26" w:name="_Hlk162691038"/>
    <w:bookmarkStart w:id="27" w:name="_Hlk162691052"/>
    <w:bookmarkStart w:id="28" w:name="_Hlk162691053"/>
    <w:bookmarkStart w:id="29" w:name="_Hlk162691067"/>
    <w:bookmarkStart w:id="30" w:name="_Hlk162691068"/>
    <w:bookmarkStart w:id="31" w:name="_Hlk162691083"/>
    <w:bookmarkStart w:id="32" w:name="_Hlk162691084"/>
    <w:bookmarkStart w:id="33" w:name="_Hlk162691099"/>
    <w:bookmarkStart w:id="34" w:name="_Hlk162691100"/>
    <w:bookmarkStart w:id="35" w:name="_Hlk162691115"/>
    <w:bookmarkStart w:id="36" w:name="_Hlk162691116"/>
    <w:bookmarkStart w:id="37" w:name="_Hlk162691131"/>
    <w:bookmarkStart w:id="38" w:name="_Hlk162691132"/>
    <w:bookmarkStart w:id="39" w:name="_Hlk162691148"/>
    <w:bookmarkStart w:id="40" w:name="_Hlk162691149"/>
    <w:bookmarkStart w:id="41" w:name="_Hlk162691166"/>
    <w:bookmarkStart w:id="42" w:name="_Hlk162691167"/>
    <w:bookmarkStart w:id="43" w:name="_Hlk162691182"/>
    <w:bookmarkStart w:id="44" w:name="_Hlk162691183"/>
    <w:bookmarkStart w:id="45" w:name="_Hlk162691200"/>
    <w:bookmarkStart w:id="46" w:name="_Hlk162691201"/>
    <w:bookmarkStart w:id="47" w:name="_Hlk162691217"/>
    <w:bookmarkStart w:id="48" w:name="_Hlk162691218"/>
    <w:bookmarkStart w:id="49" w:name="_Hlk162691231"/>
    <w:bookmarkStart w:id="50" w:name="_Hlk162691232"/>
    <w:bookmarkStart w:id="51" w:name="_Hlk162691240"/>
    <w:bookmarkStart w:id="52" w:name="_Hlk162691241"/>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65CA46" w14:textId="77777777" w:rsidR="007904E8" w:rsidRPr="00E52A9A" w:rsidRDefault="007904E8" w:rsidP="00E52A9A">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79C073" w14:textId="77777777" w:rsidR="007904E8" w:rsidRPr="00E52A9A" w:rsidRDefault="007904E8" w:rsidP="00E52A9A">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E22CA2" w14:textId="77777777" w:rsidR="007904E8" w:rsidRPr="00E52A9A" w:rsidRDefault="007904E8" w:rsidP="00E52A9A">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444847" w14:textId="77777777" w:rsidR="007904E8" w:rsidRPr="00E52A9A" w:rsidRDefault="007904E8" w:rsidP="00E52A9A">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7BFAFC" w14:textId="77777777" w:rsidR="007904E8" w:rsidRPr="00E52A9A" w:rsidRDefault="007904E8" w:rsidP="00E52A9A">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C11AF3" w14:textId="77777777" w:rsidR="007904E8" w:rsidRPr="00E52A9A" w:rsidRDefault="007904E8" w:rsidP="00E52A9A">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3B815" w14:textId="77777777" w:rsidR="007904E8" w:rsidRPr="00E52A9A" w:rsidRDefault="007904E8" w:rsidP="00E52A9A">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B98B8D" w14:textId="77777777" w:rsidR="007904E8" w:rsidRPr="00E52A9A" w:rsidRDefault="007904E8" w:rsidP="00E52A9A">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B18C96" w14:textId="77777777" w:rsidR="007904E8" w:rsidRPr="00E52A9A" w:rsidRDefault="007904E8" w:rsidP="00E52A9A">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FD9E72" w14:textId="77777777" w:rsidR="007904E8" w:rsidRPr="00E52A9A" w:rsidRDefault="007904E8" w:rsidP="00E52A9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78E110" w14:textId="77777777" w:rsidR="003311EA" w:rsidRPr="00E52A9A" w:rsidRDefault="003311EA" w:rsidP="00E52A9A">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BE3330" w14:textId="77777777" w:rsidR="007904E8" w:rsidRPr="00E52A9A" w:rsidRDefault="007904E8" w:rsidP="00E52A9A">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0F107" w14:textId="77777777" w:rsidR="007904E8" w:rsidRPr="00E52A9A" w:rsidRDefault="007904E8" w:rsidP="00E52A9A">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15A063" w14:textId="77777777" w:rsidR="007904E8" w:rsidRPr="00E52A9A" w:rsidRDefault="007904E8" w:rsidP="00E52A9A">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B6FD32" w14:textId="77777777" w:rsidR="007904E8" w:rsidRPr="00E52A9A" w:rsidRDefault="007904E8" w:rsidP="00E52A9A">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587C25" w14:textId="77777777" w:rsidR="007904E8" w:rsidRPr="00E52A9A" w:rsidRDefault="007904E8" w:rsidP="00E52A9A">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593DAC" w14:textId="77777777" w:rsidR="007904E8" w:rsidRPr="00E52A9A" w:rsidRDefault="007904E8" w:rsidP="00E52A9A">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BF9795" w14:textId="77777777" w:rsidR="007904E8" w:rsidRPr="00E52A9A" w:rsidRDefault="007904E8" w:rsidP="00E52A9A">
    <w:pPr>
      <w:pStyle w:val="Heade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085B02" w14:textId="77777777" w:rsidR="007904E8" w:rsidRPr="00E52A9A" w:rsidRDefault="007904E8" w:rsidP="00E52A9A">
    <w:pPr>
      <w:pStyle w:val="Heade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155B51" w14:textId="77777777" w:rsidR="007904E8" w:rsidRPr="00E52A9A" w:rsidRDefault="007904E8" w:rsidP="00E52A9A">
    <w:pPr>
      <w:pStyle w:val="Heade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41989A" w14:textId="77777777" w:rsidR="007904E8" w:rsidRPr="00E52A9A" w:rsidRDefault="007904E8" w:rsidP="00E52A9A">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473CA5" w14:textId="77777777" w:rsidR="00B21991" w:rsidRPr="00E52A9A" w:rsidRDefault="00B21991" w:rsidP="00E52A9A">
    <w:pPr>
      <w:pStyle w:val="Heade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1E8D33" w14:textId="77777777" w:rsidR="007904E8" w:rsidRPr="00E52A9A" w:rsidRDefault="007904E8" w:rsidP="00E52A9A">
    <w:pPr>
      <w:pStyle w:val="Heade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D6A3BB" w14:textId="77777777" w:rsidR="007904E8" w:rsidRPr="00E52A9A" w:rsidRDefault="007904E8" w:rsidP="00E52A9A">
    <w:pPr>
      <w:pStyle w:val="Heade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B8CD0A" w14:textId="77777777" w:rsidR="007904E8" w:rsidRPr="00E52A9A" w:rsidRDefault="007904E8" w:rsidP="00E52A9A">
    <w:pPr>
      <w:pStyle w:val="Heade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DE789B" w14:textId="77777777" w:rsidR="007904E8" w:rsidRPr="00E52A9A" w:rsidRDefault="007904E8" w:rsidP="00E52A9A">
    <w:pPr>
      <w:pStyle w:val="Heade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B6C647" w14:textId="77777777" w:rsidR="007904E8" w:rsidRPr="00E52A9A" w:rsidRDefault="007904E8" w:rsidP="00E52A9A">
    <w:pPr>
      <w:pStyle w:val="Heade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BFD976" w14:textId="77777777" w:rsidR="007904E8" w:rsidRPr="00E52A9A" w:rsidRDefault="007904E8" w:rsidP="00E52A9A">
    <w:pPr>
      <w:pStyle w:val="Heade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E64BF7" w14:textId="77777777" w:rsidR="007904E8" w:rsidRPr="00E52A9A" w:rsidRDefault="007904E8" w:rsidP="00E52A9A">
    <w:pPr>
      <w:pStyle w:val="Heade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4D6EA2" w14:textId="77777777" w:rsidR="007904E8" w:rsidRPr="00E52A9A" w:rsidRDefault="007904E8" w:rsidP="00E52A9A">
    <w:pPr>
      <w:pStyle w:val="Heade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993050" w14:textId="77777777" w:rsidR="007904E8" w:rsidRPr="00E52A9A" w:rsidRDefault="007904E8" w:rsidP="00E52A9A">
    <w:pPr>
      <w:pStyle w:val="Heade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BEBF79" w14:textId="77777777" w:rsidR="007904E8" w:rsidRPr="00E52A9A" w:rsidRDefault="007904E8" w:rsidP="00E52A9A">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EF3A98" w14:textId="77777777" w:rsidR="00B21991" w:rsidRPr="00E52A9A" w:rsidRDefault="00B21991" w:rsidP="00E52A9A">
    <w:pPr>
      <w:pStyle w:val="Heade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8E2D4C" w14:textId="77777777" w:rsidR="007904E8" w:rsidRPr="00E52A9A" w:rsidRDefault="007904E8" w:rsidP="00E52A9A">
    <w:pPr>
      <w:pStyle w:val="Heade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879A32" w14:textId="77777777" w:rsidR="007904E8" w:rsidRPr="00E52A9A" w:rsidRDefault="007904E8" w:rsidP="00E52A9A">
    <w:pPr>
      <w:pStyle w:val="Heade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A8512F" w14:textId="77777777" w:rsidR="007904E8" w:rsidRPr="00E52A9A" w:rsidRDefault="007904E8" w:rsidP="00E52A9A">
    <w:pPr>
      <w:pStyle w:val="Heade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4A2237" w14:textId="77777777" w:rsidR="007904E8" w:rsidRPr="00E52A9A" w:rsidRDefault="007904E8" w:rsidP="00E52A9A">
    <w:pPr>
      <w:pStyle w:val="Heade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46232D" w14:textId="77777777" w:rsidR="007904E8" w:rsidRPr="00E52A9A" w:rsidRDefault="007904E8" w:rsidP="00E52A9A">
    <w:pPr>
      <w:pStyle w:val="Heade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5DECBF" w14:textId="77777777" w:rsidR="007904E8" w:rsidRPr="00E52A9A" w:rsidRDefault="007904E8" w:rsidP="00E52A9A">
    <w:pPr>
      <w:pStyle w:val="Heade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D9E401" w14:textId="77777777" w:rsidR="007904E8" w:rsidRPr="00E52A9A" w:rsidRDefault="007904E8" w:rsidP="00E52A9A">
    <w:pPr>
      <w:pStyle w:val="Header"/>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43CC18" w14:textId="77777777" w:rsidR="007904E8" w:rsidRPr="00E52A9A" w:rsidRDefault="007904E8" w:rsidP="00E52A9A">
    <w:pPr>
      <w:pStyle w:val="Heade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E3E753" w14:textId="77777777" w:rsidR="007904E8" w:rsidRPr="00E52A9A" w:rsidRDefault="007904E8" w:rsidP="00E52A9A">
    <w:pPr>
      <w:pStyle w:val="Header"/>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34D39A" w14:textId="77777777" w:rsidR="007904E8" w:rsidRPr="00E52A9A" w:rsidRDefault="007904E8" w:rsidP="00E52A9A">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7A9FFA" w14:textId="77777777" w:rsidR="00B21991" w:rsidRPr="00E52A9A" w:rsidRDefault="00B21991" w:rsidP="00E52A9A">
    <w:pPr>
      <w:pStyle w:val="Heade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DF01AF" w14:textId="77777777" w:rsidR="007904E8" w:rsidRPr="00E52A9A" w:rsidRDefault="007904E8" w:rsidP="00E52A9A">
    <w:pPr>
      <w:pStyle w:val="Header"/>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4DB531" w14:textId="77777777" w:rsidR="007904E8" w:rsidRPr="00E52A9A" w:rsidRDefault="007904E8" w:rsidP="00E52A9A">
    <w:pPr>
      <w:pStyle w:val="Header"/>
    </w:pPr>
    <w:bookmarkStart w:id="241" w:name="_Hlk162692653"/>
    <w:bookmarkStart w:id="242" w:name="_Hlk162692654"/>
    <w:bookmarkStart w:id="243" w:name="_Hlk162692707"/>
    <w:bookmarkStart w:id="244" w:name="_Hlk162692708"/>
    <w:bookmarkStart w:id="245" w:name="_Hlk162692759"/>
    <w:bookmarkStart w:id="246" w:name="_Hlk162692760"/>
    <w:bookmarkStart w:id="247" w:name="_Hlk162692794"/>
    <w:bookmarkStart w:id="248" w:name="_Hlk162692795"/>
    <w:bookmarkStart w:id="249" w:name="_Hlk162692815"/>
    <w:bookmarkStart w:id="250" w:name="_Hlk162692816"/>
    <w:bookmarkStart w:id="251" w:name="_Hlk162692834"/>
    <w:bookmarkStart w:id="252" w:name="_Hlk162692835"/>
    <w:bookmarkEnd w:id="241"/>
    <w:bookmarkEnd w:id="242"/>
    <w:bookmarkEnd w:id="243"/>
    <w:bookmarkEnd w:id="244"/>
    <w:bookmarkEnd w:id="245"/>
    <w:bookmarkEnd w:id="246"/>
    <w:bookmarkEnd w:id="247"/>
    <w:bookmarkEnd w:id="248"/>
    <w:bookmarkEnd w:id="249"/>
    <w:bookmarkEnd w:id="250"/>
    <w:bookmarkEnd w:id="251"/>
    <w:bookmarkEnd w:id="252"/>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F45AD2" w14:textId="77777777" w:rsidR="007904E8" w:rsidRPr="00E52A9A" w:rsidRDefault="007904E8" w:rsidP="00E52A9A">
    <w:pPr>
      <w:pStyle w:val="Header"/>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DD07E7" w14:textId="77777777" w:rsidR="007606C7" w:rsidRPr="00E52A9A" w:rsidRDefault="007606C7" w:rsidP="00E52A9A">
    <w:pPr>
      <w:pStyle w:val="Header"/>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AD3CC9" w14:textId="77777777" w:rsidR="007606C7" w:rsidRPr="00E52A9A" w:rsidRDefault="007606C7" w:rsidP="00E52A9A">
    <w:pPr>
      <w:pStyle w:val="Header"/>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548C95" w14:textId="77777777" w:rsidR="007606C7" w:rsidRPr="00E52A9A" w:rsidRDefault="007606C7" w:rsidP="00E52A9A">
    <w:pPr>
      <w:pStyle w:val="Header"/>
    </w:pPr>
    <w:bookmarkStart w:id="257" w:name="_Hlk162694179"/>
    <w:bookmarkStart w:id="258" w:name="_Hlk162694180"/>
    <w:bookmarkStart w:id="259" w:name="_Hlk162694200"/>
    <w:bookmarkStart w:id="260" w:name="_Hlk162694201"/>
    <w:bookmarkStart w:id="261" w:name="_Hlk162694225"/>
    <w:bookmarkStart w:id="262" w:name="_Hlk162694226"/>
    <w:bookmarkStart w:id="263" w:name="_Hlk162694246"/>
    <w:bookmarkStart w:id="264" w:name="_Hlk162694247"/>
    <w:bookmarkStart w:id="265" w:name="_Hlk162694265"/>
    <w:bookmarkStart w:id="266" w:name="_Hlk162694266"/>
    <w:bookmarkStart w:id="267" w:name="_Hlk162694286"/>
    <w:bookmarkStart w:id="268" w:name="_Hlk162694287"/>
    <w:bookmarkStart w:id="269" w:name="_Hlk162694307"/>
    <w:bookmarkStart w:id="270" w:name="_Hlk162694308"/>
    <w:bookmarkStart w:id="271" w:name="_Hlk162694328"/>
    <w:bookmarkStart w:id="272" w:name="_Hlk162694329"/>
    <w:bookmarkStart w:id="273" w:name="_Hlk162694348"/>
    <w:bookmarkStart w:id="274" w:name="_Hlk162694349"/>
    <w:bookmarkStart w:id="275" w:name="_Hlk162694369"/>
    <w:bookmarkStart w:id="276" w:name="_Hlk162694370"/>
    <w:bookmarkStart w:id="277" w:name="_Hlk162694391"/>
    <w:bookmarkStart w:id="278" w:name="_Hlk162694392"/>
    <w:bookmarkStart w:id="279" w:name="_Hlk162694412"/>
    <w:bookmarkStart w:id="280" w:name="_Hlk162694413"/>
    <w:bookmarkStart w:id="281" w:name="_Hlk162694433"/>
    <w:bookmarkStart w:id="282" w:name="_Hlk162694434"/>
    <w:bookmarkStart w:id="283" w:name="_Hlk162694452"/>
    <w:bookmarkStart w:id="284" w:name="_Hlk162694453"/>
    <w:bookmarkStart w:id="285" w:name="_Hlk162694471"/>
    <w:bookmarkStart w:id="286" w:name="_Hlk162694472"/>
    <w:bookmarkStart w:id="287" w:name="_Hlk162700002"/>
    <w:bookmarkStart w:id="288" w:name="_Hlk162700003"/>
    <w:bookmarkStart w:id="289" w:name="_Hlk162700023"/>
    <w:bookmarkStart w:id="290" w:name="_Hlk162700024"/>
    <w:bookmarkStart w:id="291" w:name="_Hlk162700046"/>
    <w:bookmarkStart w:id="292" w:name="_Hlk162700047"/>
    <w:bookmarkStart w:id="293" w:name="_Hlk162700069"/>
    <w:bookmarkStart w:id="294" w:name="_Hlk162700070"/>
    <w:bookmarkStart w:id="295" w:name="_Hlk162700093"/>
    <w:bookmarkStart w:id="296" w:name="_Hlk162700094"/>
    <w:bookmarkStart w:id="297" w:name="_Hlk162700116"/>
    <w:bookmarkStart w:id="298" w:name="_Hlk162700117"/>
    <w:bookmarkStart w:id="299" w:name="_Hlk162700140"/>
    <w:bookmarkStart w:id="300" w:name="_Hlk162700141"/>
    <w:bookmarkStart w:id="301" w:name="_Hlk162700163"/>
    <w:bookmarkStart w:id="302" w:name="_Hlk162700164"/>
    <w:bookmarkStart w:id="303" w:name="_Hlk162700186"/>
    <w:bookmarkStart w:id="304" w:name="_Hlk162700187"/>
    <w:bookmarkStart w:id="305" w:name="_Hlk162700208"/>
    <w:bookmarkStart w:id="306" w:name="_Hlk162700209"/>
    <w:bookmarkStart w:id="307" w:name="_Hlk162700231"/>
    <w:bookmarkStart w:id="308" w:name="_Hlk162700232"/>
    <w:bookmarkStart w:id="309" w:name="_Hlk162700274"/>
    <w:bookmarkStart w:id="310" w:name="_Hlk162700275"/>
    <w:bookmarkStart w:id="311" w:name="_Hlk162700299"/>
    <w:bookmarkStart w:id="312" w:name="_Hlk162700300"/>
    <w:bookmarkStart w:id="313" w:name="_Hlk162700324"/>
    <w:bookmarkStart w:id="314" w:name="_Hlk162700325"/>
    <w:bookmarkStart w:id="315" w:name="_Hlk162700349"/>
    <w:bookmarkStart w:id="316" w:name="_Hlk162700350"/>
    <w:bookmarkStart w:id="317" w:name="_Hlk162700375"/>
    <w:bookmarkStart w:id="318" w:name="_Hlk162700376"/>
    <w:bookmarkStart w:id="319" w:name="_Hlk162700400"/>
    <w:bookmarkStart w:id="320" w:name="_Hlk162700401"/>
    <w:bookmarkStart w:id="321" w:name="_Hlk162700424"/>
    <w:bookmarkStart w:id="322" w:name="_Hlk162700425"/>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A21865" w14:textId="77777777" w:rsidR="007606C7" w:rsidRPr="00E52A9A" w:rsidRDefault="007606C7" w:rsidP="00E52A9A">
    <w:pPr>
      <w:pStyle w:val="Header"/>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D92C4A" w14:textId="77777777" w:rsidR="007606C7" w:rsidRPr="00E52A9A" w:rsidRDefault="007606C7" w:rsidP="00E52A9A">
    <w:pPr>
      <w:pStyle w:val="Header"/>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502D2D" w14:textId="77777777" w:rsidR="007606C7" w:rsidRPr="00E52A9A" w:rsidRDefault="007606C7" w:rsidP="00E52A9A">
    <w:pPr>
      <w:pStyle w:val="Header"/>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063D1E" w14:textId="77777777" w:rsidR="007606C7" w:rsidRPr="00E52A9A" w:rsidRDefault="007606C7" w:rsidP="00E52A9A">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AFB1D4" w14:textId="77777777" w:rsidR="00B21991" w:rsidRPr="00E52A9A" w:rsidRDefault="00B21991" w:rsidP="00E52A9A">
    <w:pPr>
      <w:pStyle w:val="Header"/>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D658BD" w14:textId="77777777" w:rsidR="007606C7" w:rsidRPr="00E52A9A" w:rsidRDefault="007606C7" w:rsidP="00E52A9A">
    <w:pPr>
      <w:pStyle w:val="Header"/>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16B1B7" w14:textId="77777777" w:rsidR="007606C7" w:rsidRPr="00E52A9A" w:rsidRDefault="007606C7" w:rsidP="00E52A9A">
    <w:pPr>
      <w:pStyle w:val="Header"/>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B04DDE" w14:textId="77777777" w:rsidR="007606C7" w:rsidRPr="00E52A9A" w:rsidRDefault="007606C7" w:rsidP="00E52A9A">
    <w:pPr>
      <w:pStyle w:val="Header"/>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03C0D7" w14:textId="77777777" w:rsidR="007606C7" w:rsidRPr="00E52A9A" w:rsidRDefault="007606C7" w:rsidP="00E52A9A">
    <w:pPr>
      <w:pStyle w:val="Header"/>
    </w:pP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84F0BC" w14:textId="77777777" w:rsidR="007606C7" w:rsidRPr="00E52A9A" w:rsidRDefault="007606C7" w:rsidP="00E52A9A">
    <w:pPr>
      <w:pStyle w:val="Header"/>
    </w:pPr>
    <w:bookmarkStart w:id="376" w:name="_Hlk162694182"/>
    <w:bookmarkStart w:id="377" w:name="_Hlk162694183"/>
    <w:bookmarkStart w:id="378" w:name="_Hlk162694268"/>
    <w:bookmarkStart w:id="379" w:name="_Hlk162694269"/>
    <w:bookmarkStart w:id="380" w:name="_Hlk162694394"/>
    <w:bookmarkStart w:id="381" w:name="_Hlk162694395"/>
    <w:bookmarkStart w:id="382" w:name="_Hlk162694415"/>
    <w:bookmarkStart w:id="383" w:name="_Hlk162694416"/>
    <w:bookmarkStart w:id="384" w:name="_Hlk162694436"/>
    <w:bookmarkStart w:id="385" w:name="_Hlk162694437"/>
    <w:bookmarkStart w:id="386" w:name="_Hlk162694455"/>
    <w:bookmarkStart w:id="387" w:name="_Hlk162694456"/>
    <w:bookmarkStart w:id="388" w:name="_Hlk162694474"/>
    <w:bookmarkStart w:id="389" w:name="_Hlk162694475"/>
    <w:bookmarkStart w:id="390" w:name="_Hlk162700027"/>
    <w:bookmarkStart w:id="391" w:name="_Hlk162700028"/>
    <w:bookmarkStart w:id="392" w:name="_Hlk162700050"/>
    <w:bookmarkStart w:id="393" w:name="_Hlk162700051"/>
    <w:bookmarkStart w:id="394" w:name="_Hlk162700073"/>
    <w:bookmarkStart w:id="395" w:name="_Hlk162700074"/>
    <w:bookmarkStart w:id="396" w:name="_Hlk162700167"/>
    <w:bookmarkStart w:id="397" w:name="_Hlk162700168"/>
    <w:bookmarkStart w:id="398" w:name="_Hlk162700277"/>
    <w:bookmarkStart w:id="399" w:name="_Hlk162700278"/>
    <w:bookmarkStart w:id="400" w:name="_Hlk162700302"/>
    <w:bookmarkStart w:id="401" w:name="_Hlk162700303"/>
    <w:bookmarkStart w:id="402" w:name="_Hlk162700328"/>
    <w:bookmarkStart w:id="403" w:name="_Hlk162700329"/>
    <w:bookmarkStart w:id="404" w:name="_Hlk162700353"/>
    <w:bookmarkStart w:id="405" w:name="_Hlk162700354"/>
    <w:bookmarkStart w:id="406" w:name="_Hlk162700378"/>
    <w:bookmarkStart w:id="407" w:name="_Hlk162700379"/>
    <w:bookmarkStart w:id="408" w:name="_Hlk162700404"/>
    <w:bookmarkStart w:id="409" w:name="_Hlk162700405"/>
    <w:bookmarkStart w:id="410" w:name="_Hlk162700427"/>
    <w:bookmarkStart w:id="411" w:name="_Hlk162700428"/>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0C7551" w14:textId="77777777" w:rsidR="007606C7" w:rsidRPr="00E52A9A" w:rsidRDefault="007606C7" w:rsidP="00E52A9A">
    <w:pPr>
      <w:pStyle w:val="Header"/>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AF74A5" w14:textId="77777777" w:rsidR="00205F19" w:rsidRPr="00E52A9A" w:rsidRDefault="00205F19" w:rsidP="00E52A9A">
    <w:pPr>
      <w:pStyle w:val="Header"/>
    </w:pP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B5E915" w14:textId="77777777" w:rsidR="00205F19" w:rsidRPr="00E52A9A" w:rsidRDefault="00205F19" w:rsidP="00E52A9A">
    <w:pPr>
      <w:pStyle w:val="Header"/>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48BB84" w14:textId="77777777" w:rsidR="00205F19" w:rsidRPr="00E52A9A" w:rsidRDefault="00205F19" w:rsidP="00E52A9A">
    <w:pPr>
      <w:pStyle w:val="Header"/>
    </w:pP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274C2B" w14:textId="77777777" w:rsidR="00F50B5A" w:rsidRPr="00E52A9A" w:rsidRDefault="00F50B5A" w:rsidP="00E52A9A">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D9B3BA" w14:textId="77777777" w:rsidR="00B21991" w:rsidRPr="00E52A9A" w:rsidRDefault="00B21991" w:rsidP="00E52A9A">
    <w:pPr>
      <w:pStyle w:val="Header"/>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923082" w14:textId="77777777" w:rsidR="00F50B5A" w:rsidRPr="00E52A9A" w:rsidRDefault="00F50B5A" w:rsidP="00E52A9A">
    <w:pPr>
      <w:pStyle w:val="Header"/>
    </w:pP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874CB7" w14:textId="77777777" w:rsidR="00F50B5A" w:rsidRPr="00E52A9A" w:rsidRDefault="00F50B5A" w:rsidP="00E52A9A">
    <w:pPr>
      <w:pStyle w:val="Header"/>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E29C0E" w14:textId="77777777" w:rsidR="00F50B5A" w:rsidRPr="00E52A9A" w:rsidRDefault="00F50B5A" w:rsidP="00E52A9A">
    <w:pPr>
      <w:pStyle w:val="Header"/>
    </w:pP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82B88E" w14:textId="77777777" w:rsidR="00F50B5A" w:rsidRPr="00E52A9A" w:rsidRDefault="00F50B5A" w:rsidP="00E52A9A">
    <w:pPr>
      <w:pStyle w:val="Header"/>
    </w:pP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52DDBF" w14:textId="77777777" w:rsidR="00F50B5A" w:rsidRPr="00E52A9A" w:rsidRDefault="00F50B5A" w:rsidP="00E52A9A">
    <w:pPr>
      <w:pStyle w:val="Header"/>
    </w:pP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D53DAC" w14:textId="77777777" w:rsidR="00F50B5A" w:rsidRPr="00E52A9A" w:rsidRDefault="00F50B5A" w:rsidP="00E52A9A">
    <w:pPr>
      <w:pStyle w:val="Header"/>
    </w:pP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8BDE0C" w14:textId="77777777" w:rsidR="00F50B5A" w:rsidRPr="00E52A9A" w:rsidRDefault="00F50B5A" w:rsidP="00E52A9A">
    <w:pPr>
      <w:pStyle w:val="Header"/>
    </w:pP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1BD314" w14:textId="77777777" w:rsidR="00F50B5A" w:rsidRPr="00E52A9A" w:rsidRDefault="00F50B5A" w:rsidP="00E52A9A">
    <w:pPr>
      <w:pStyle w:val="Header"/>
    </w:pP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724278" w14:textId="77777777" w:rsidR="00F50B5A" w:rsidRPr="00E52A9A" w:rsidRDefault="00F50B5A" w:rsidP="00E52A9A">
    <w:pPr>
      <w:pStyle w:val="Header"/>
    </w:pP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634774" w14:textId="77777777" w:rsidR="00F50B5A" w:rsidRPr="00E52A9A" w:rsidRDefault="00F50B5A" w:rsidP="00E52A9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6F68CE"/>
    <w:multiLevelType w:val="multilevel"/>
    <w:tmpl w:val="9F2A8B76"/>
    <w:styleLink w:val="MyListNumbering"/>
    <w:lvl w:ilvl="0">
      <w:start w:val="1"/>
      <w:numFmt w:val="lowerLetter"/>
      <w:lvlText w:val="(%1)"/>
      <w:lvlJc w:val="left"/>
      <w:pPr>
        <w:tabs>
          <w:tab w:val="num" w:pos="567"/>
        </w:tabs>
        <w:ind w:left="360" w:hanging="360"/>
      </w:pPr>
      <w:rPr>
        <w:rFonts w:hint="default"/>
      </w:rPr>
    </w:lvl>
    <w:lvl w:ilvl="1">
      <w:start w:val="1"/>
      <w:numFmt w:val="lowerRoman"/>
      <w:lvlText w:val="%2."/>
      <w:lvlJc w:val="left"/>
      <w:pPr>
        <w:ind w:left="1440" w:hanging="360"/>
      </w:pPr>
      <w:rPr>
        <w:rFonts w:hint="default"/>
      </w:rPr>
    </w:lvl>
    <w:lvl w:ilvl="2">
      <w:start w:val="1"/>
      <w:numFmt w:val="decimal"/>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 w15:restartNumberingAfterBreak="0">
    <w:nsid w:val="03B57116"/>
    <w:multiLevelType w:val="multilevel"/>
    <w:tmpl w:val="16B44AD4"/>
    <w:name w:val="TableNumbering2"/>
    <w:lvl w:ilvl="0">
      <w:start w:val="1"/>
      <w:numFmt w:val="none"/>
      <w:suff w:val="nothing"/>
      <w:lvlText w:val=""/>
      <w:lvlJc w:val="left"/>
      <w:pPr>
        <w:ind w:left="113" w:firstLine="0"/>
      </w:pPr>
      <w:rPr>
        <w:rFonts w:hint="default"/>
      </w:rPr>
    </w:lvl>
    <w:lvl w:ilvl="1">
      <w:start w:val="1"/>
      <w:numFmt w:val="decimal"/>
      <w:lvlText w:val="(%2)"/>
      <w:lvlJc w:val="left"/>
      <w:pPr>
        <w:tabs>
          <w:tab w:val="num" w:pos="284"/>
        </w:tabs>
        <w:ind w:left="284" w:hanging="284"/>
      </w:pPr>
      <w:rPr>
        <w:rFonts w:hint="default"/>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2" w15:restartNumberingAfterBreak="0">
    <w:nsid w:val="06034DEE"/>
    <w:multiLevelType w:val="hybridMultilevel"/>
    <w:tmpl w:val="1B1EAF00"/>
    <w:lvl w:ilvl="0" w:tplc="3DFEA762">
      <w:start w:val="1"/>
      <w:numFmt w:val="lowerLetter"/>
      <w:lvlText w:val="%1)"/>
      <w:lvlJc w:val="left"/>
      <w:pPr>
        <w:ind w:left="-218" w:hanging="360"/>
      </w:pPr>
      <w:rPr>
        <w:rFonts w:hint="default"/>
        <w:b/>
      </w:rPr>
    </w:lvl>
    <w:lvl w:ilvl="1" w:tplc="0C090019" w:tentative="1">
      <w:start w:val="1"/>
      <w:numFmt w:val="lowerLetter"/>
      <w:lvlText w:val="%2."/>
      <w:lvlJc w:val="left"/>
      <w:pPr>
        <w:ind w:left="502" w:hanging="360"/>
      </w:pPr>
    </w:lvl>
    <w:lvl w:ilvl="2" w:tplc="0C09001B" w:tentative="1">
      <w:start w:val="1"/>
      <w:numFmt w:val="lowerRoman"/>
      <w:lvlText w:val="%3."/>
      <w:lvlJc w:val="right"/>
      <w:pPr>
        <w:ind w:left="1222" w:hanging="180"/>
      </w:pPr>
    </w:lvl>
    <w:lvl w:ilvl="3" w:tplc="0C09000F" w:tentative="1">
      <w:start w:val="1"/>
      <w:numFmt w:val="decimal"/>
      <w:lvlText w:val="%4."/>
      <w:lvlJc w:val="left"/>
      <w:pPr>
        <w:ind w:left="1942" w:hanging="360"/>
      </w:pPr>
    </w:lvl>
    <w:lvl w:ilvl="4" w:tplc="0C090019" w:tentative="1">
      <w:start w:val="1"/>
      <w:numFmt w:val="lowerLetter"/>
      <w:lvlText w:val="%5."/>
      <w:lvlJc w:val="left"/>
      <w:pPr>
        <w:ind w:left="2662" w:hanging="360"/>
      </w:pPr>
    </w:lvl>
    <w:lvl w:ilvl="5" w:tplc="0C09001B" w:tentative="1">
      <w:start w:val="1"/>
      <w:numFmt w:val="lowerRoman"/>
      <w:lvlText w:val="%6."/>
      <w:lvlJc w:val="right"/>
      <w:pPr>
        <w:ind w:left="3382" w:hanging="180"/>
      </w:pPr>
    </w:lvl>
    <w:lvl w:ilvl="6" w:tplc="0C09000F" w:tentative="1">
      <w:start w:val="1"/>
      <w:numFmt w:val="decimal"/>
      <w:lvlText w:val="%7."/>
      <w:lvlJc w:val="left"/>
      <w:pPr>
        <w:ind w:left="4102" w:hanging="360"/>
      </w:pPr>
    </w:lvl>
    <w:lvl w:ilvl="7" w:tplc="0C090019" w:tentative="1">
      <w:start w:val="1"/>
      <w:numFmt w:val="lowerLetter"/>
      <w:lvlText w:val="%8."/>
      <w:lvlJc w:val="left"/>
      <w:pPr>
        <w:ind w:left="4822" w:hanging="360"/>
      </w:pPr>
    </w:lvl>
    <w:lvl w:ilvl="8" w:tplc="0C09001B" w:tentative="1">
      <w:start w:val="1"/>
      <w:numFmt w:val="lowerRoman"/>
      <w:lvlText w:val="%9."/>
      <w:lvlJc w:val="right"/>
      <w:pPr>
        <w:ind w:left="5542" w:hanging="180"/>
      </w:pPr>
    </w:lvl>
  </w:abstractNum>
  <w:abstractNum w:abstractNumId="3" w15:restartNumberingAfterBreak="0">
    <w:nsid w:val="068B37FE"/>
    <w:multiLevelType w:val="hybridMultilevel"/>
    <w:tmpl w:val="A2EE2272"/>
    <w:name w:val="DEPIListBullets"/>
    <w:lvl w:ilvl="0" w:tplc="648A93FA">
      <w:start w:val="1"/>
      <w:numFmt w:val="bullet"/>
      <w:lvlText w:val="•"/>
      <w:lvlJc w:val="left"/>
      <w:pPr>
        <w:tabs>
          <w:tab w:val="num" w:pos="-1488"/>
        </w:tabs>
        <w:ind w:left="-1488" w:hanging="170"/>
      </w:pPr>
      <w:rPr>
        <w:rFonts w:ascii="Times New Roman" w:hAnsi="Times New Roman" w:cs="Times New Roman" w:hint="default"/>
        <w:b w:val="0"/>
        <w:i w:val="0"/>
        <w:color w:val="232222" w:themeColor="text1"/>
        <w:position w:val="0"/>
        <w:sz w:val="20"/>
      </w:rPr>
    </w:lvl>
    <w:lvl w:ilvl="1" w:tplc="5D529D2C">
      <w:start w:val="1"/>
      <w:numFmt w:val="bullet"/>
      <w:lvlText w:val="–"/>
      <w:lvlJc w:val="left"/>
      <w:pPr>
        <w:tabs>
          <w:tab w:val="num" w:pos="-1318"/>
        </w:tabs>
        <w:ind w:left="-1318" w:hanging="170"/>
      </w:pPr>
      <w:rPr>
        <w:rFonts w:asciiTheme="minorHAnsi" w:hAnsiTheme="minorHAnsi" w:hint="default"/>
        <w:b w:val="0"/>
        <w:i w:val="0"/>
        <w:color w:val="auto"/>
        <w:position w:val="2"/>
        <w:sz w:val="20"/>
      </w:rPr>
    </w:lvl>
    <w:lvl w:ilvl="2" w:tplc="2CB0D70E">
      <w:start w:val="1"/>
      <w:numFmt w:val="bullet"/>
      <w:lvlText w:val="&gt;"/>
      <w:lvlJc w:val="left"/>
      <w:pPr>
        <w:tabs>
          <w:tab w:val="num" w:pos="-1148"/>
        </w:tabs>
        <w:ind w:left="-1148" w:hanging="170"/>
      </w:pPr>
      <w:rPr>
        <w:rFonts w:ascii="Symbol" w:hAnsi="Symbol" w:hint="default"/>
        <w:b w:val="0"/>
        <w:i w:val="0"/>
        <w:color w:val="232222" w:themeColor="text1"/>
        <w:spacing w:val="0"/>
        <w:w w:val="100"/>
        <w:position w:val="3"/>
        <w:sz w:val="18"/>
        <w:szCs w:val="16"/>
      </w:rPr>
    </w:lvl>
    <w:lvl w:ilvl="3" w:tplc="C6983F0E">
      <w:start w:val="1"/>
      <w:numFmt w:val="none"/>
      <w:lvlText w:val=""/>
      <w:lvlJc w:val="left"/>
      <w:pPr>
        <w:tabs>
          <w:tab w:val="num" w:pos="-31680"/>
        </w:tabs>
        <w:ind w:left="31111" w:firstLine="0"/>
      </w:pPr>
      <w:rPr>
        <w:rFonts w:hint="default"/>
      </w:rPr>
    </w:lvl>
    <w:lvl w:ilvl="4" w:tplc="47D63226">
      <w:start w:val="1"/>
      <w:numFmt w:val="none"/>
      <w:lvlText w:val=""/>
      <w:lvlJc w:val="left"/>
      <w:pPr>
        <w:tabs>
          <w:tab w:val="num" w:pos="-31680"/>
        </w:tabs>
        <w:ind w:left="31111" w:firstLine="0"/>
      </w:pPr>
      <w:rPr>
        <w:rFonts w:hint="default"/>
      </w:rPr>
    </w:lvl>
    <w:lvl w:ilvl="5" w:tplc="28F8FDBA">
      <w:start w:val="1"/>
      <w:numFmt w:val="none"/>
      <w:lvlText w:val=""/>
      <w:lvlJc w:val="left"/>
      <w:pPr>
        <w:tabs>
          <w:tab w:val="num" w:pos="-31680"/>
        </w:tabs>
        <w:ind w:left="31111" w:firstLine="0"/>
      </w:pPr>
      <w:rPr>
        <w:rFonts w:hint="default"/>
      </w:rPr>
    </w:lvl>
    <w:lvl w:ilvl="6" w:tplc="8DC2F88C">
      <w:start w:val="1"/>
      <w:numFmt w:val="none"/>
      <w:lvlText w:val=""/>
      <w:lvlJc w:val="left"/>
      <w:pPr>
        <w:tabs>
          <w:tab w:val="num" w:pos="-31680"/>
        </w:tabs>
        <w:ind w:left="31111" w:firstLine="0"/>
      </w:pPr>
      <w:rPr>
        <w:rFonts w:hint="default"/>
      </w:rPr>
    </w:lvl>
    <w:lvl w:ilvl="7" w:tplc="DF2899A0">
      <w:start w:val="1"/>
      <w:numFmt w:val="none"/>
      <w:lvlText w:val=""/>
      <w:lvlJc w:val="left"/>
      <w:pPr>
        <w:tabs>
          <w:tab w:val="num" w:pos="-31680"/>
        </w:tabs>
        <w:ind w:left="31111" w:firstLine="0"/>
      </w:pPr>
      <w:rPr>
        <w:rFonts w:hint="default"/>
      </w:rPr>
    </w:lvl>
    <w:lvl w:ilvl="8" w:tplc="26F841C4">
      <w:start w:val="1"/>
      <w:numFmt w:val="none"/>
      <w:lvlText w:val=""/>
      <w:lvlJc w:val="left"/>
      <w:pPr>
        <w:tabs>
          <w:tab w:val="num" w:pos="-31680"/>
        </w:tabs>
        <w:ind w:left="31111" w:firstLine="0"/>
      </w:pPr>
      <w:rPr>
        <w:rFonts w:hint="default"/>
      </w:rPr>
    </w:lvl>
  </w:abstractNum>
  <w:abstractNum w:abstractNumId="4" w15:restartNumberingAfterBreak="0">
    <w:nsid w:val="0B990B44"/>
    <w:multiLevelType w:val="multilevel"/>
    <w:tmpl w:val="A7889DD4"/>
    <w:name w:val="Bullets32"/>
    <w:lvl w:ilvl="0">
      <w:start w:val="1"/>
      <w:numFmt w:val="bullet"/>
      <w:lvlText w:val=""/>
      <w:lvlJc w:val="left"/>
      <w:pPr>
        <w:ind w:left="340" w:hanging="340"/>
      </w:pPr>
      <w:rPr>
        <w:rFonts w:ascii="Webdings" w:hAnsi="Webdings" w:hint="default"/>
        <w:position w:val="2"/>
        <w:sz w:val="16"/>
      </w:rPr>
    </w:lvl>
    <w:lvl w:ilvl="1">
      <w:start w:val="1"/>
      <w:numFmt w:val="bullet"/>
      <w:lvlText w:val="o"/>
      <w:lvlJc w:val="left"/>
      <w:pPr>
        <w:ind w:left="340" w:hanging="340"/>
      </w:pPr>
      <w:rPr>
        <w:rFonts w:ascii="Courier New" w:hAnsi="Courier New" w:cs="Courier New" w:hint="default"/>
      </w:rPr>
    </w:lvl>
    <w:lvl w:ilvl="2">
      <w:start w:val="1"/>
      <w:numFmt w:val="bullet"/>
      <w:lvlText w:val=""/>
      <w:lvlJc w:val="left"/>
      <w:pPr>
        <w:ind w:left="340" w:hanging="340"/>
      </w:pPr>
      <w:rPr>
        <w:rFonts w:ascii="Wingdings" w:hAnsi="Wingdings" w:hint="default"/>
      </w:rPr>
    </w:lvl>
    <w:lvl w:ilvl="3">
      <w:start w:val="1"/>
      <w:numFmt w:val="bullet"/>
      <w:lvlText w:val=""/>
      <w:lvlJc w:val="left"/>
      <w:pPr>
        <w:ind w:left="340" w:hanging="340"/>
      </w:pPr>
      <w:rPr>
        <w:rFonts w:ascii="Symbol" w:hAnsi="Symbol" w:hint="default"/>
      </w:rPr>
    </w:lvl>
    <w:lvl w:ilvl="4">
      <w:start w:val="1"/>
      <w:numFmt w:val="bullet"/>
      <w:lvlText w:val="o"/>
      <w:lvlJc w:val="left"/>
      <w:pPr>
        <w:ind w:left="340" w:hanging="340"/>
      </w:pPr>
      <w:rPr>
        <w:rFonts w:ascii="Courier New" w:hAnsi="Courier New" w:cs="Courier New" w:hint="default"/>
      </w:rPr>
    </w:lvl>
    <w:lvl w:ilvl="5">
      <w:start w:val="1"/>
      <w:numFmt w:val="bullet"/>
      <w:lvlText w:val=""/>
      <w:lvlJc w:val="left"/>
      <w:pPr>
        <w:ind w:left="340" w:hanging="340"/>
      </w:pPr>
      <w:rPr>
        <w:rFonts w:ascii="Wingdings" w:hAnsi="Wingdings" w:hint="default"/>
      </w:rPr>
    </w:lvl>
    <w:lvl w:ilvl="6">
      <w:start w:val="1"/>
      <w:numFmt w:val="bullet"/>
      <w:lvlText w:val=""/>
      <w:lvlJc w:val="left"/>
      <w:pPr>
        <w:ind w:left="340" w:hanging="340"/>
      </w:pPr>
      <w:rPr>
        <w:rFonts w:ascii="Symbol" w:hAnsi="Symbol" w:hint="default"/>
      </w:rPr>
    </w:lvl>
    <w:lvl w:ilvl="7">
      <w:start w:val="1"/>
      <w:numFmt w:val="bullet"/>
      <w:lvlText w:val="o"/>
      <w:lvlJc w:val="left"/>
      <w:pPr>
        <w:ind w:left="340" w:hanging="340"/>
      </w:pPr>
      <w:rPr>
        <w:rFonts w:ascii="Courier New" w:hAnsi="Courier New" w:cs="Courier New" w:hint="default"/>
      </w:rPr>
    </w:lvl>
    <w:lvl w:ilvl="8">
      <w:start w:val="1"/>
      <w:numFmt w:val="bullet"/>
      <w:lvlText w:val=""/>
      <w:lvlJc w:val="left"/>
      <w:pPr>
        <w:ind w:left="340" w:hanging="340"/>
      </w:pPr>
      <w:rPr>
        <w:rFonts w:ascii="Wingdings" w:hAnsi="Wingdings" w:hint="default"/>
      </w:rPr>
    </w:lvl>
  </w:abstractNum>
  <w:abstractNum w:abstractNumId="5" w15:restartNumberingAfterBreak="0">
    <w:nsid w:val="0CBA6409"/>
    <w:multiLevelType w:val="multilevel"/>
    <w:tmpl w:val="C9881CB4"/>
    <w:name w:val="TableBullets"/>
    <w:lvl w:ilvl="0">
      <w:start w:val="1"/>
      <w:numFmt w:val="bullet"/>
      <w:suff w:val="nothing"/>
      <w:lvlText w:val=""/>
      <w:lvlJc w:val="left"/>
      <w:pPr>
        <w:ind w:left="284" w:hanging="171"/>
      </w:pPr>
      <w:rPr>
        <w:rFonts w:ascii="Symbol" w:hAnsi="Symbol" w:hint="default"/>
        <w:color w:val="auto"/>
      </w:rPr>
    </w:lvl>
    <w:lvl w:ilvl="1">
      <w:start w:val="1"/>
      <w:numFmt w:val="bullet"/>
      <w:lvlText w:val="–"/>
      <w:lvlJc w:val="left"/>
      <w:pPr>
        <w:ind w:left="454" w:hanging="170"/>
      </w:pPr>
      <w:rPr>
        <w:rFonts w:ascii="Georgia" w:hAnsi="Georgia" w:hint="default"/>
        <w:color w:val="auto"/>
      </w:rPr>
    </w:lvl>
    <w:lvl w:ilvl="2">
      <w:start w:val="1"/>
      <w:numFmt w:val="bullet"/>
      <w:lvlText w:val="o"/>
      <w:lvlJc w:val="left"/>
      <w:pPr>
        <w:tabs>
          <w:tab w:val="num" w:pos="454"/>
        </w:tabs>
        <w:ind w:left="624" w:hanging="170"/>
      </w:pPr>
      <w:rPr>
        <w:rFonts w:ascii="Courier New" w:hAnsi="Courier New"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6" w15:restartNumberingAfterBreak="0">
    <w:nsid w:val="0EB329D1"/>
    <w:multiLevelType w:val="multilevel"/>
    <w:tmpl w:val="C180E414"/>
    <w:name w:val="Bullets3"/>
    <w:lvl w:ilvl="0">
      <w:start w:val="1"/>
      <w:numFmt w:val="bullet"/>
      <w:lvlText w:val=""/>
      <w:lvlJc w:val="left"/>
      <w:pPr>
        <w:ind w:left="340" w:hanging="340"/>
      </w:pPr>
      <w:rPr>
        <w:rFonts w:ascii="Wingdings 2" w:hAnsi="Wingdings 2" w:hint="default"/>
        <w:b/>
        <w:i w:val="0"/>
        <w:sz w:val="20"/>
      </w:rPr>
    </w:lvl>
    <w:lvl w:ilvl="1">
      <w:start w:val="1"/>
      <w:numFmt w:val="bullet"/>
      <w:lvlText w:val="o"/>
      <w:lvlJc w:val="left"/>
      <w:pPr>
        <w:ind w:left="340" w:hanging="340"/>
      </w:pPr>
      <w:rPr>
        <w:rFonts w:ascii="Courier New" w:hAnsi="Courier New" w:cs="Courier New" w:hint="default"/>
      </w:rPr>
    </w:lvl>
    <w:lvl w:ilvl="2">
      <w:start w:val="1"/>
      <w:numFmt w:val="bullet"/>
      <w:lvlText w:val=""/>
      <w:lvlJc w:val="left"/>
      <w:pPr>
        <w:ind w:left="340" w:hanging="340"/>
      </w:pPr>
      <w:rPr>
        <w:rFonts w:ascii="Wingdings" w:hAnsi="Wingdings" w:hint="default"/>
      </w:rPr>
    </w:lvl>
    <w:lvl w:ilvl="3">
      <w:start w:val="1"/>
      <w:numFmt w:val="bullet"/>
      <w:lvlText w:val=""/>
      <w:lvlJc w:val="left"/>
      <w:pPr>
        <w:ind w:left="340" w:hanging="340"/>
      </w:pPr>
      <w:rPr>
        <w:rFonts w:ascii="Symbol" w:hAnsi="Symbol" w:hint="default"/>
      </w:rPr>
    </w:lvl>
    <w:lvl w:ilvl="4">
      <w:start w:val="1"/>
      <w:numFmt w:val="bullet"/>
      <w:lvlText w:val="o"/>
      <w:lvlJc w:val="left"/>
      <w:pPr>
        <w:ind w:left="340" w:hanging="340"/>
      </w:pPr>
      <w:rPr>
        <w:rFonts w:ascii="Courier New" w:hAnsi="Courier New" w:cs="Courier New" w:hint="default"/>
      </w:rPr>
    </w:lvl>
    <w:lvl w:ilvl="5">
      <w:start w:val="1"/>
      <w:numFmt w:val="bullet"/>
      <w:lvlText w:val=""/>
      <w:lvlJc w:val="left"/>
      <w:pPr>
        <w:ind w:left="340" w:hanging="340"/>
      </w:pPr>
      <w:rPr>
        <w:rFonts w:ascii="Wingdings" w:hAnsi="Wingdings" w:hint="default"/>
      </w:rPr>
    </w:lvl>
    <w:lvl w:ilvl="6">
      <w:start w:val="1"/>
      <w:numFmt w:val="bullet"/>
      <w:lvlText w:val=""/>
      <w:lvlJc w:val="left"/>
      <w:pPr>
        <w:ind w:left="340" w:hanging="340"/>
      </w:pPr>
      <w:rPr>
        <w:rFonts w:ascii="Symbol" w:hAnsi="Symbol" w:hint="default"/>
      </w:rPr>
    </w:lvl>
    <w:lvl w:ilvl="7">
      <w:start w:val="1"/>
      <w:numFmt w:val="bullet"/>
      <w:lvlText w:val="o"/>
      <w:lvlJc w:val="left"/>
      <w:pPr>
        <w:ind w:left="340" w:hanging="340"/>
      </w:pPr>
      <w:rPr>
        <w:rFonts w:ascii="Courier New" w:hAnsi="Courier New" w:cs="Courier New" w:hint="default"/>
      </w:rPr>
    </w:lvl>
    <w:lvl w:ilvl="8">
      <w:start w:val="1"/>
      <w:numFmt w:val="bullet"/>
      <w:lvlText w:val=""/>
      <w:lvlJc w:val="left"/>
      <w:pPr>
        <w:ind w:left="340" w:hanging="340"/>
      </w:pPr>
      <w:rPr>
        <w:rFonts w:ascii="Wingdings" w:hAnsi="Wingdings" w:hint="default"/>
      </w:rPr>
    </w:lvl>
  </w:abstractNum>
  <w:abstractNum w:abstractNumId="7" w15:restartNumberingAfterBreak="0">
    <w:nsid w:val="10350277"/>
    <w:multiLevelType w:val="multilevel"/>
    <w:tmpl w:val="0FEC3B56"/>
    <w:name w:val="HeadingsNumbered"/>
    <w:lvl w:ilvl="0">
      <w:start w:val="1"/>
      <w:numFmt w:val="decimal"/>
      <w:lvlRestart w:val="0"/>
      <w:suff w:val="space"/>
      <w:lvlText w:val="%1."/>
      <w:lvlJc w:val="left"/>
      <w:pPr>
        <w:ind w:left="9640" w:firstLine="0"/>
      </w:pPr>
      <w:rPr>
        <w:rFonts w:hint="default"/>
        <w:spacing w:val="0"/>
        <w:sz w:val="40"/>
        <w:szCs w:val="40"/>
      </w:rPr>
    </w:lvl>
    <w:lvl w:ilvl="1">
      <w:start w:val="1"/>
      <w:numFmt w:val="decimal"/>
      <w:suff w:val="space"/>
      <w:lvlText w:val="%1.%2"/>
      <w:lvlJc w:val="left"/>
      <w:pPr>
        <w:ind w:left="0" w:firstLine="0"/>
      </w:pPr>
      <w:rPr>
        <w:rFonts w:hint="default"/>
        <w:spacing w:val="0"/>
        <w:sz w:val="32"/>
      </w:rPr>
    </w:lvl>
    <w:lvl w:ilvl="2">
      <w:start w:val="1"/>
      <w:numFmt w:val="decimal"/>
      <w:suff w:val="space"/>
      <w:lvlText w:val="%1.%2.%3"/>
      <w:lvlJc w:val="left"/>
      <w:pPr>
        <w:ind w:left="0" w:firstLine="0"/>
      </w:pPr>
      <w:rPr>
        <w:rFonts w:hint="default"/>
        <w:spacing w:val="0"/>
        <w:sz w:val="28"/>
      </w:rPr>
    </w:lvl>
    <w:lvl w:ilvl="3">
      <w:start w:val="1"/>
      <w:numFmt w:val="decimal"/>
      <w:suff w:val="space"/>
      <w:lvlText w:val="%1.%2.%3.%4"/>
      <w:lvlJc w:val="left"/>
      <w:pPr>
        <w:tabs>
          <w:tab w:val="num" w:pos="0"/>
        </w:tabs>
        <w:ind w:left="0" w:firstLine="0"/>
      </w:pPr>
      <w:rPr>
        <w:rFonts w:hint="default"/>
        <w:spacing w:val="0"/>
        <w:sz w:val="24"/>
      </w:rPr>
    </w:lvl>
    <w:lvl w:ilvl="4">
      <w:start w:val="1"/>
      <w:numFmt w:val="none"/>
      <w:suff w:val="nothing"/>
      <w:lvlText w:val=""/>
      <w:lvlJc w:val="left"/>
      <w:pPr>
        <w:ind w:left="0" w:firstLine="0"/>
      </w:pPr>
      <w:rPr>
        <w:rFonts w:hint="default"/>
        <w:spacing w:val="-6"/>
        <w:sz w:val="21"/>
      </w:rPr>
    </w:lvl>
    <w:lvl w:ilvl="5">
      <w:start w:val="1"/>
      <w:numFmt w:val="lowerRoman"/>
      <w:lvlText w:val="(%6)"/>
      <w:lvlJc w:val="left"/>
      <w:pPr>
        <w:ind w:left="1191" w:hanging="1191"/>
      </w:pPr>
      <w:rPr>
        <w:rFonts w:hint="default"/>
      </w:rPr>
    </w:lvl>
    <w:lvl w:ilvl="6">
      <w:start w:val="1"/>
      <w:numFmt w:val="decimal"/>
      <w:lvlText w:val="%7."/>
      <w:lvlJc w:val="left"/>
      <w:pPr>
        <w:ind w:left="1191" w:hanging="1191"/>
      </w:pPr>
      <w:rPr>
        <w:rFonts w:hint="default"/>
      </w:rPr>
    </w:lvl>
    <w:lvl w:ilvl="7">
      <w:start w:val="1"/>
      <w:numFmt w:val="lowerLetter"/>
      <w:lvlText w:val="%8."/>
      <w:lvlJc w:val="left"/>
      <w:pPr>
        <w:ind w:left="1191" w:hanging="1191"/>
      </w:pPr>
      <w:rPr>
        <w:rFonts w:hint="default"/>
      </w:rPr>
    </w:lvl>
    <w:lvl w:ilvl="8">
      <w:start w:val="1"/>
      <w:numFmt w:val="lowerRoman"/>
      <w:lvlText w:val="%9."/>
      <w:lvlJc w:val="left"/>
      <w:pPr>
        <w:ind w:left="1191" w:hanging="1191"/>
      </w:pPr>
      <w:rPr>
        <w:rFonts w:hint="default"/>
      </w:rPr>
    </w:lvl>
  </w:abstractNum>
  <w:abstractNum w:abstractNumId="8" w15:restartNumberingAfterBreak="0">
    <w:nsid w:val="11436562"/>
    <w:multiLevelType w:val="hybridMultilevel"/>
    <w:tmpl w:val="1BE20E08"/>
    <w:name w:val="HeadingsNumbered222"/>
    <w:lvl w:ilvl="0" w:tplc="BC70C8BA">
      <w:start w:val="1"/>
      <w:numFmt w:val="lowerLetter"/>
      <w:pStyle w:val="AlphaHeading4"/>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15:restartNumberingAfterBreak="0">
    <w:nsid w:val="194A695C"/>
    <w:multiLevelType w:val="hybridMultilevel"/>
    <w:tmpl w:val="75CA4D72"/>
    <w:name w:val="DEPITableBullets"/>
    <w:lvl w:ilvl="0" w:tplc="72743C38">
      <w:start w:val="1"/>
      <w:numFmt w:val="bullet"/>
      <w:lvlText w:val="•"/>
      <w:lvlJc w:val="left"/>
      <w:pPr>
        <w:tabs>
          <w:tab w:val="num" w:pos="284"/>
        </w:tabs>
        <w:ind w:left="284" w:hanging="171"/>
      </w:pPr>
      <w:rPr>
        <w:rFonts w:ascii="Calibri" w:hAnsi="Calibri" w:hint="default"/>
        <w:b w:val="0"/>
        <w:i w:val="0"/>
        <w:color w:val="232222" w:themeColor="text1"/>
        <w:position w:val="0"/>
        <w:sz w:val="20"/>
        <w:szCs w:val="12"/>
      </w:rPr>
    </w:lvl>
    <w:lvl w:ilvl="1" w:tplc="A618521E">
      <w:start w:val="1"/>
      <w:numFmt w:val="bullet"/>
      <w:lvlText w:val="–"/>
      <w:lvlJc w:val="left"/>
      <w:pPr>
        <w:tabs>
          <w:tab w:val="num" w:pos="454"/>
        </w:tabs>
        <w:ind w:left="454" w:hanging="170"/>
      </w:pPr>
      <w:rPr>
        <w:rFonts w:ascii="Calibri" w:hAnsi="Calibri" w:hint="default"/>
        <w:b w:val="0"/>
        <w:i w:val="0"/>
        <w:color w:val="auto"/>
        <w:position w:val="2"/>
        <w:sz w:val="20"/>
        <w:szCs w:val="18"/>
      </w:rPr>
    </w:lvl>
    <w:lvl w:ilvl="2" w:tplc="CA2ECDDC">
      <w:start w:val="1"/>
      <w:numFmt w:val="bullet"/>
      <w:lvlText w:val=""/>
      <w:lvlJc w:val="left"/>
      <w:pPr>
        <w:tabs>
          <w:tab w:val="num" w:pos="624"/>
        </w:tabs>
        <w:ind w:left="624" w:hanging="170"/>
      </w:pPr>
      <w:rPr>
        <w:rFonts w:ascii="Symbol" w:hAnsi="Symbol" w:hint="default"/>
        <w:position w:val="3"/>
        <w:sz w:val="18"/>
      </w:rPr>
    </w:lvl>
    <w:lvl w:ilvl="3" w:tplc="1CE87B94">
      <w:start w:val="1"/>
      <w:numFmt w:val="none"/>
      <w:lvlText w:val=""/>
      <w:lvlJc w:val="left"/>
      <w:pPr>
        <w:ind w:left="2767" w:hanging="360"/>
      </w:pPr>
      <w:rPr>
        <w:rFonts w:hint="default"/>
      </w:rPr>
    </w:lvl>
    <w:lvl w:ilvl="4" w:tplc="5824B5BE">
      <w:start w:val="1"/>
      <w:numFmt w:val="none"/>
      <w:lvlText w:val=""/>
      <w:lvlJc w:val="left"/>
      <w:pPr>
        <w:ind w:left="3487" w:hanging="360"/>
      </w:pPr>
      <w:rPr>
        <w:rFonts w:hint="default"/>
      </w:rPr>
    </w:lvl>
    <w:lvl w:ilvl="5" w:tplc="B7D62836">
      <w:start w:val="1"/>
      <w:numFmt w:val="none"/>
      <w:lvlText w:val=""/>
      <w:lvlJc w:val="left"/>
      <w:pPr>
        <w:ind w:left="4207" w:hanging="360"/>
      </w:pPr>
      <w:rPr>
        <w:rFonts w:hint="default"/>
      </w:rPr>
    </w:lvl>
    <w:lvl w:ilvl="6" w:tplc="093CA24C">
      <w:start w:val="1"/>
      <w:numFmt w:val="none"/>
      <w:lvlText w:val=""/>
      <w:lvlJc w:val="left"/>
      <w:pPr>
        <w:ind w:left="4927" w:hanging="360"/>
      </w:pPr>
      <w:rPr>
        <w:rFonts w:hint="default"/>
      </w:rPr>
    </w:lvl>
    <w:lvl w:ilvl="7" w:tplc="E45A05BE">
      <w:start w:val="1"/>
      <w:numFmt w:val="none"/>
      <w:lvlText w:val=""/>
      <w:lvlJc w:val="left"/>
      <w:pPr>
        <w:ind w:left="5647" w:hanging="360"/>
      </w:pPr>
      <w:rPr>
        <w:rFonts w:hint="default"/>
      </w:rPr>
    </w:lvl>
    <w:lvl w:ilvl="8" w:tplc="884EA346">
      <w:start w:val="1"/>
      <w:numFmt w:val="none"/>
      <w:lvlText w:val=""/>
      <w:lvlJc w:val="left"/>
      <w:pPr>
        <w:ind w:left="6367" w:hanging="360"/>
      </w:pPr>
      <w:rPr>
        <w:rFonts w:hint="default"/>
      </w:rPr>
    </w:lvl>
  </w:abstractNum>
  <w:abstractNum w:abstractNumId="10" w15:restartNumberingAfterBreak="0">
    <w:nsid w:val="1A2C3AC6"/>
    <w:multiLevelType w:val="multilevel"/>
    <w:tmpl w:val="CD9ECA9A"/>
    <w:name w:val="List Alpha"/>
    <w:lvl w:ilvl="0">
      <w:start w:val="1"/>
      <w:numFmt w:val="lowerLetter"/>
      <w:lvlText w:val="%1."/>
      <w:lvlJc w:val="left"/>
      <w:pPr>
        <w:tabs>
          <w:tab w:val="num" w:pos="397"/>
        </w:tabs>
        <w:ind w:left="794" w:hanging="397"/>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201547" w:themeColor="text2"/>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5"/>
      <w:numFmt w:val="bullet"/>
      <w:lvlText w:val="–"/>
      <w:lvlJc w:val="left"/>
      <w:pPr>
        <w:tabs>
          <w:tab w:val="num" w:pos="680"/>
        </w:tabs>
        <w:ind w:left="680" w:hanging="340"/>
      </w:pPr>
      <w:rPr>
        <w:rFonts w:ascii="Arial" w:hAnsi="Arial" w:hint="default"/>
        <w:b w:val="0"/>
        <w:i w:val="0"/>
        <w:color w:val="201547" w:themeColor="text2"/>
        <w:position w:val="2"/>
        <w:sz w:val="20"/>
      </w:rPr>
    </w:lvl>
    <w:lvl w:ilvl="2">
      <w:start w:val="1"/>
      <w:numFmt w:val="bullet"/>
      <w:lvlText w:val="–"/>
      <w:lvlJc w:val="left"/>
      <w:pPr>
        <w:tabs>
          <w:tab w:val="num" w:pos="1361"/>
        </w:tabs>
        <w:ind w:left="1361" w:hanging="340"/>
      </w:pPr>
      <w:rPr>
        <w:rFonts w:ascii="Arial" w:hAnsi="Arial" w:hint="default"/>
        <w:color w:val="201547" w:themeColor="text2"/>
        <w:position w:val="3"/>
        <w:sz w:val="20"/>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1" w15:restartNumberingAfterBreak="0">
    <w:nsid w:val="1CD37006"/>
    <w:multiLevelType w:val="multilevel"/>
    <w:tmpl w:val="74008CE2"/>
    <w:styleLink w:val="Headings"/>
    <w:lvl w:ilvl="0">
      <w:start w:val="1"/>
      <w:numFmt w:val="decimal"/>
      <w:lvlText w:val="%1."/>
      <w:lvlJc w:val="left"/>
      <w:pPr>
        <w:ind w:left="709" w:hanging="709"/>
      </w:pPr>
      <w:rPr>
        <w:rFonts w:hint="default"/>
      </w:rPr>
    </w:lvl>
    <w:lvl w:ilvl="1">
      <w:start w:val="1"/>
      <w:numFmt w:val="decimal"/>
      <w:lvlText w:val="%1.%2"/>
      <w:lvlJc w:val="left"/>
      <w:pPr>
        <w:ind w:left="709" w:hanging="709"/>
      </w:pPr>
      <w:rPr>
        <w:rFonts w:hint="default"/>
      </w:rPr>
    </w:lvl>
    <w:lvl w:ilvl="2">
      <w:start w:val="1"/>
      <w:numFmt w:val="decimal"/>
      <w:lvlText w:val="%1.%2.%3"/>
      <w:lvlJc w:val="left"/>
      <w:pPr>
        <w:ind w:left="709" w:hanging="709"/>
      </w:pPr>
      <w:rPr>
        <w:rFonts w:hint="default"/>
      </w:rPr>
    </w:lvl>
    <w:lvl w:ilvl="3">
      <w:start w:val="1"/>
      <w:numFmt w:val="none"/>
      <w:lvlText w:val=""/>
      <w:lvlJc w:val="left"/>
      <w:pPr>
        <w:ind w:left="709" w:hanging="709"/>
      </w:pPr>
      <w:rPr>
        <w:rFonts w:hint="default"/>
      </w:rPr>
    </w:lvl>
    <w:lvl w:ilvl="4">
      <w:start w:val="1"/>
      <w:numFmt w:val="none"/>
      <w:lvlText w:val=""/>
      <w:lvlJc w:val="left"/>
      <w:pPr>
        <w:ind w:left="709" w:hanging="709"/>
      </w:pPr>
      <w:rPr>
        <w:rFonts w:hint="default"/>
      </w:rPr>
    </w:lvl>
    <w:lvl w:ilvl="5">
      <w:start w:val="1"/>
      <w:numFmt w:val="none"/>
      <w:lvlText w:val=""/>
      <w:lvlJc w:val="left"/>
      <w:pPr>
        <w:ind w:left="709" w:hanging="709"/>
      </w:pPr>
      <w:rPr>
        <w:rFonts w:hint="default"/>
      </w:rPr>
    </w:lvl>
    <w:lvl w:ilvl="6">
      <w:start w:val="1"/>
      <w:numFmt w:val="decimal"/>
      <w:lvlRestart w:val="0"/>
      <w:suff w:val="space"/>
      <w:lvlText w:val="Appendix %7"/>
      <w:lvlJc w:val="left"/>
      <w:pPr>
        <w:ind w:left="0" w:firstLine="0"/>
      </w:pPr>
      <w:rPr>
        <w:rFonts w:hint="default"/>
      </w:rPr>
    </w:lvl>
    <w:lvl w:ilvl="7">
      <w:start w:val="1"/>
      <w:numFmt w:val="none"/>
      <w:lvlText w:val=""/>
      <w:lvlJc w:val="left"/>
      <w:pPr>
        <w:ind w:left="709" w:hanging="709"/>
      </w:pPr>
      <w:rPr>
        <w:rFonts w:hint="default"/>
      </w:rPr>
    </w:lvl>
    <w:lvl w:ilvl="8">
      <w:start w:val="1"/>
      <w:numFmt w:val="none"/>
      <w:lvlText w:val=""/>
      <w:lvlJc w:val="left"/>
      <w:pPr>
        <w:ind w:left="709" w:hanging="709"/>
      </w:pPr>
      <w:rPr>
        <w:rFonts w:hint="default"/>
      </w:rPr>
    </w:lvl>
  </w:abstractNum>
  <w:abstractNum w:abstractNumId="12" w15:restartNumberingAfterBreak="0">
    <w:nsid w:val="1EF97AE3"/>
    <w:multiLevelType w:val="multilevel"/>
    <w:tmpl w:val="004846FC"/>
    <w:styleLink w:val="BulletLevel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Theme="minorHAnsi" w:hAnsiTheme="minorHAnsi"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1F275C51"/>
    <w:multiLevelType w:val="hybridMultilevel"/>
    <w:tmpl w:val="14E88F38"/>
    <w:name w:val="DEPIListAlpha"/>
    <w:lvl w:ilvl="0" w:tplc="68CE204C">
      <w:start w:val="1"/>
      <w:numFmt w:val="lowerLetter"/>
      <w:lvlText w:val="%1."/>
      <w:lvlJc w:val="left"/>
      <w:pPr>
        <w:ind w:left="340" w:hanging="340"/>
      </w:pPr>
      <w:rPr>
        <w:rFonts w:hint="default"/>
      </w:rPr>
    </w:lvl>
    <w:lvl w:ilvl="1" w:tplc="63669456">
      <w:start w:val="1"/>
      <w:numFmt w:val="lowerRoman"/>
      <w:lvlText w:val="%2."/>
      <w:lvlJc w:val="left"/>
      <w:pPr>
        <w:ind w:left="709" w:hanging="369"/>
      </w:pPr>
      <w:rPr>
        <w:rFonts w:hint="default"/>
      </w:rPr>
    </w:lvl>
    <w:lvl w:ilvl="2" w:tplc="223A6ADA">
      <w:start w:val="1"/>
      <w:numFmt w:val="bullet"/>
      <w:lvlText w:val="–"/>
      <w:lvlJc w:val="left"/>
      <w:pPr>
        <w:ind w:left="1049" w:hanging="340"/>
      </w:pPr>
      <w:rPr>
        <w:rFonts w:ascii="Arial" w:hAnsi="Arial" w:hint="default"/>
        <w:color w:val="auto"/>
      </w:rPr>
    </w:lvl>
    <w:lvl w:ilvl="3" w:tplc="BF50EB26">
      <w:start w:val="1"/>
      <w:numFmt w:val="decimal"/>
      <w:lvlText w:val="%4."/>
      <w:lvlJc w:val="left"/>
      <w:pPr>
        <w:ind w:left="1816" w:hanging="454"/>
      </w:pPr>
      <w:rPr>
        <w:rFonts w:hint="default"/>
      </w:rPr>
    </w:lvl>
    <w:lvl w:ilvl="4" w:tplc="AAE0FB8A">
      <w:start w:val="1"/>
      <w:numFmt w:val="lowerLetter"/>
      <w:lvlText w:val="%5."/>
      <w:lvlJc w:val="left"/>
      <w:pPr>
        <w:ind w:left="2270" w:hanging="454"/>
      </w:pPr>
      <w:rPr>
        <w:rFonts w:hint="default"/>
      </w:rPr>
    </w:lvl>
    <w:lvl w:ilvl="5" w:tplc="79C27906">
      <w:start w:val="1"/>
      <w:numFmt w:val="lowerRoman"/>
      <w:lvlText w:val="%6."/>
      <w:lvlJc w:val="right"/>
      <w:pPr>
        <w:ind w:left="2724" w:hanging="454"/>
      </w:pPr>
      <w:rPr>
        <w:rFonts w:hint="default"/>
      </w:rPr>
    </w:lvl>
    <w:lvl w:ilvl="6" w:tplc="44445D5C">
      <w:start w:val="1"/>
      <w:numFmt w:val="decimal"/>
      <w:lvlText w:val="%7."/>
      <w:lvlJc w:val="left"/>
      <w:pPr>
        <w:ind w:left="3178" w:hanging="454"/>
      </w:pPr>
      <w:rPr>
        <w:rFonts w:hint="default"/>
      </w:rPr>
    </w:lvl>
    <w:lvl w:ilvl="7" w:tplc="E6D6434C">
      <w:start w:val="1"/>
      <w:numFmt w:val="lowerLetter"/>
      <w:lvlText w:val="%8."/>
      <w:lvlJc w:val="left"/>
      <w:pPr>
        <w:ind w:left="3632" w:hanging="454"/>
      </w:pPr>
      <w:rPr>
        <w:rFonts w:hint="default"/>
      </w:rPr>
    </w:lvl>
    <w:lvl w:ilvl="8" w:tplc="49FEEAD8">
      <w:start w:val="1"/>
      <w:numFmt w:val="lowerRoman"/>
      <w:lvlText w:val="%9."/>
      <w:lvlJc w:val="right"/>
      <w:pPr>
        <w:ind w:left="4086" w:hanging="454"/>
      </w:pPr>
      <w:rPr>
        <w:rFonts w:hint="default"/>
      </w:rPr>
    </w:lvl>
  </w:abstractNum>
  <w:abstractNum w:abstractNumId="14" w15:restartNumberingAfterBreak="0">
    <w:nsid w:val="27C445F5"/>
    <w:multiLevelType w:val="multilevel"/>
    <w:tmpl w:val="0EDEA0D8"/>
    <w:styleLink w:val="HangingList"/>
    <w:lvl w:ilvl="0">
      <w:start w:val="1"/>
      <w:numFmt w:val="none"/>
      <w:suff w:val="nothing"/>
      <w:lvlText w:val=""/>
      <w:lvlJc w:val="left"/>
      <w:pPr>
        <w:ind w:left="992" w:hanging="992"/>
      </w:pPr>
      <w:rPr>
        <w:rFonts w:hint="default"/>
      </w:rPr>
    </w:lvl>
    <w:lvl w:ilvl="1">
      <w:start w:val="1"/>
      <w:numFmt w:val="none"/>
      <w:suff w:val="nothing"/>
      <w:lvlText w:val=""/>
      <w:lvlJc w:val="left"/>
      <w:pPr>
        <w:ind w:left="1701" w:hanging="709"/>
      </w:pPr>
      <w:rPr>
        <w:rFonts w:hint="default"/>
      </w:rPr>
    </w:lvl>
    <w:lvl w:ilvl="2">
      <w:start w:val="1"/>
      <w:numFmt w:val="none"/>
      <w:suff w:val="nothing"/>
      <w:lvlText w:val=""/>
      <w:lvlJc w:val="left"/>
      <w:pPr>
        <w:ind w:left="2410" w:hanging="709"/>
      </w:pPr>
      <w:rPr>
        <w:rFonts w:hint="default"/>
      </w:rPr>
    </w:lvl>
    <w:lvl w:ilvl="3">
      <w:start w:val="1"/>
      <w:numFmt w:val="none"/>
      <w:suff w:val="nothing"/>
      <w:lvlText w:val=""/>
      <w:lvlJc w:val="left"/>
      <w:pPr>
        <w:ind w:left="3119" w:hanging="709"/>
      </w:pPr>
      <w:rPr>
        <w:rFonts w:hint="default"/>
      </w:rPr>
    </w:lvl>
    <w:lvl w:ilvl="4">
      <w:start w:val="1"/>
      <w:numFmt w:val="none"/>
      <w:suff w:val="nothing"/>
      <w:lvlText w:val=""/>
      <w:lvlJc w:val="left"/>
      <w:pPr>
        <w:ind w:left="3828" w:hanging="709"/>
      </w:pPr>
      <w:rPr>
        <w:rFonts w:hint="default"/>
      </w:rPr>
    </w:lvl>
    <w:lvl w:ilvl="5">
      <w:start w:val="1"/>
      <w:numFmt w:val="none"/>
      <w:suff w:val="nothing"/>
      <w:lvlText w:val=""/>
      <w:lvlJc w:val="left"/>
      <w:pPr>
        <w:ind w:left="4537" w:hanging="710"/>
      </w:pPr>
      <w:rPr>
        <w:rFonts w:hint="default"/>
      </w:rPr>
    </w:lvl>
    <w:lvl w:ilvl="6">
      <w:start w:val="1"/>
      <w:numFmt w:val="none"/>
      <w:suff w:val="nothing"/>
      <w:lvlText w:val=""/>
      <w:lvlJc w:val="left"/>
      <w:pPr>
        <w:ind w:left="5246" w:hanging="710"/>
      </w:pPr>
      <w:rPr>
        <w:rFonts w:hint="default"/>
      </w:rPr>
    </w:lvl>
    <w:lvl w:ilvl="7">
      <w:start w:val="1"/>
      <w:numFmt w:val="none"/>
      <w:suff w:val="nothing"/>
      <w:lvlText w:val=""/>
      <w:lvlJc w:val="left"/>
      <w:pPr>
        <w:ind w:left="5955" w:hanging="992"/>
      </w:pPr>
      <w:rPr>
        <w:rFonts w:hint="default"/>
      </w:rPr>
    </w:lvl>
    <w:lvl w:ilvl="8">
      <w:start w:val="1"/>
      <w:numFmt w:val="none"/>
      <w:suff w:val="nothing"/>
      <w:lvlText w:val=""/>
      <w:lvlJc w:val="left"/>
      <w:pPr>
        <w:ind w:left="6664" w:hanging="992"/>
      </w:pPr>
      <w:rPr>
        <w:rFonts w:hint="default"/>
      </w:rPr>
    </w:lvl>
  </w:abstractNum>
  <w:abstractNum w:abstractNumId="15" w15:restartNumberingAfterBreak="0">
    <w:nsid w:val="29A018EB"/>
    <w:multiLevelType w:val="multilevel"/>
    <w:tmpl w:val="75D88154"/>
    <w:lvl w:ilvl="0">
      <w:start w:val="1"/>
      <w:numFmt w:val="lowerLetter"/>
      <w:pStyle w:val="ListAlpha"/>
      <w:lvlText w:val="%1."/>
      <w:lvlJc w:val="left"/>
      <w:pPr>
        <w:ind w:left="1020" w:hanging="340"/>
      </w:pPr>
      <w:rPr>
        <w:rFonts w:asciiTheme="minorHAnsi" w:hAnsiTheme="minorHAnsi" w:hint="default"/>
        <w:color w:val="auto"/>
        <w:position w:val="0"/>
        <w:sz w:val="20"/>
      </w:rPr>
    </w:lvl>
    <w:lvl w:ilvl="1">
      <w:start w:val="1"/>
      <w:numFmt w:val="lowerRoman"/>
      <w:pStyle w:val="ListAlpha2"/>
      <w:lvlText w:val="%2."/>
      <w:lvlJc w:val="left"/>
      <w:pPr>
        <w:ind w:left="1360" w:hanging="340"/>
      </w:pPr>
      <w:rPr>
        <w:rFonts w:hint="default"/>
        <w:b w:val="0"/>
        <w:i w:val="0"/>
        <w:color w:val="auto"/>
        <w:position w:val="2"/>
        <w:sz w:val="20"/>
      </w:rPr>
    </w:lvl>
    <w:lvl w:ilvl="2">
      <w:start w:val="1"/>
      <w:numFmt w:val="bullet"/>
      <w:pStyle w:val="ListAlpha3"/>
      <w:lvlText w:val="–"/>
      <w:lvlJc w:val="left"/>
      <w:pPr>
        <w:ind w:left="1700" w:hanging="340"/>
      </w:pPr>
      <w:rPr>
        <w:rFonts w:ascii="Arial" w:hAnsi="Arial" w:hint="default"/>
        <w:color w:val="auto"/>
        <w:position w:val="3"/>
        <w:sz w:val="20"/>
      </w:rPr>
    </w:lvl>
    <w:lvl w:ilvl="3">
      <w:start w:val="1"/>
      <w:numFmt w:val="none"/>
      <w:lvlText w:val=""/>
      <w:lvlJc w:val="left"/>
      <w:pPr>
        <w:ind w:left="2040" w:hanging="340"/>
      </w:pPr>
      <w:rPr>
        <w:rFonts w:hint="default"/>
      </w:rPr>
    </w:lvl>
    <w:lvl w:ilvl="4">
      <w:start w:val="1"/>
      <w:numFmt w:val="none"/>
      <w:lvlText w:val=""/>
      <w:lvlJc w:val="left"/>
      <w:pPr>
        <w:ind w:left="2380" w:hanging="340"/>
      </w:pPr>
      <w:rPr>
        <w:rFonts w:hint="default"/>
      </w:rPr>
    </w:lvl>
    <w:lvl w:ilvl="5">
      <w:start w:val="1"/>
      <w:numFmt w:val="none"/>
      <w:lvlText w:val=""/>
      <w:lvlJc w:val="left"/>
      <w:pPr>
        <w:ind w:left="2720" w:hanging="340"/>
      </w:pPr>
      <w:rPr>
        <w:rFonts w:hint="default"/>
      </w:rPr>
    </w:lvl>
    <w:lvl w:ilvl="6">
      <w:start w:val="1"/>
      <w:numFmt w:val="none"/>
      <w:lvlText w:val=""/>
      <w:lvlJc w:val="left"/>
      <w:pPr>
        <w:ind w:left="3060" w:hanging="340"/>
      </w:pPr>
      <w:rPr>
        <w:rFonts w:hint="default"/>
      </w:rPr>
    </w:lvl>
    <w:lvl w:ilvl="7">
      <w:start w:val="1"/>
      <w:numFmt w:val="none"/>
      <w:lvlText w:val=""/>
      <w:lvlJc w:val="left"/>
      <w:pPr>
        <w:ind w:left="3400" w:hanging="340"/>
      </w:pPr>
      <w:rPr>
        <w:rFonts w:hint="default"/>
      </w:rPr>
    </w:lvl>
    <w:lvl w:ilvl="8">
      <w:start w:val="1"/>
      <w:numFmt w:val="none"/>
      <w:lvlText w:val=""/>
      <w:lvlJc w:val="left"/>
      <w:pPr>
        <w:ind w:left="3740" w:hanging="340"/>
      </w:pPr>
      <w:rPr>
        <w:rFonts w:hint="default"/>
      </w:rPr>
    </w:lvl>
  </w:abstractNum>
  <w:abstractNum w:abstractNumId="16" w15:restartNumberingAfterBreak="0">
    <w:nsid w:val="315672CA"/>
    <w:multiLevelType w:val="multilevel"/>
    <w:tmpl w:val="E4A2E138"/>
    <w:name w:val="Table Numbering"/>
    <w:lvl w:ilvl="0">
      <w:start w:val="1"/>
      <w:numFmt w:val="decimal"/>
      <w:lvlText w:val="%1."/>
      <w:lvlJc w:val="left"/>
      <w:pPr>
        <w:tabs>
          <w:tab w:val="num" w:pos="340"/>
        </w:tabs>
        <w:ind w:left="340" w:hanging="283"/>
      </w:pPr>
      <w:rPr>
        <w:rFonts w:hint="default"/>
        <w:color w:val="252420"/>
      </w:rPr>
    </w:lvl>
    <w:lvl w:ilvl="1">
      <w:start w:val="1"/>
      <w:numFmt w:val="lowerLetter"/>
      <w:lvlText w:val="%2."/>
      <w:lvlJc w:val="left"/>
      <w:pPr>
        <w:tabs>
          <w:tab w:val="num" w:pos="624"/>
        </w:tabs>
        <w:ind w:left="624" w:hanging="284"/>
      </w:pPr>
      <w:rPr>
        <w:rFonts w:hint="default"/>
        <w:color w:val="252420"/>
      </w:rPr>
    </w:lvl>
    <w:lvl w:ilvl="2">
      <w:start w:val="1"/>
      <w:numFmt w:val="lowerRoman"/>
      <w:suff w:val="space"/>
      <w:lvlText w:val="%3."/>
      <w:lvlJc w:val="left"/>
      <w:pPr>
        <w:ind w:left="794" w:hanging="170"/>
      </w:pPr>
      <w:rPr>
        <w:rFonts w:hint="default"/>
        <w:color w:val="252420"/>
        <w:sz w:val="18"/>
      </w:rPr>
    </w:lvl>
    <w:lvl w:ilvl="3">
      <w:start w:val="1"/>
      <w:numFmt w:val="none"/>
      <w:lvlText w:val=""/>
      <w:lvlJc w:val="left"/>
      <w:pPr>
        <w:ind w:left="1682" w:hanging="906"/>
      </w:pPr>
      <w:rPr>
        <w:rFonts w:hint="default"/>
      </w:rPr>
    </w:lvl>
    <w:lvl w:ilvl="4">
      <w:start w:val="1"/>
      <w:numFmt w:val="none"/>
      <w:lvlText w:val=""/>
      <w:lvlJc w:val="left"/>
      <w:pPr>
        <w:ind w:left="1795" w:hanging="1019"/>
      </w:pPr>
      <w:rPr>
        <w:rFonts w:hint="default"/>
      </w:rPr>
    </w:lvl>
    <w:lvl w:ilvl="5">
      <w:start w:val="1"/>
      <w:numFmt w:val="none"/>
      <w:lvlText w:val=""/>
      <w:lvlJc w:val="left"/>
      <w:pPr>
        <w:ind w:left="1908" w:hanging="1132"/>
      </w:pPr>
      <w:rPr>
        <w:rFonts w:hint="default"/>
      </w:rPr>
    </w:lvl>
    <w:lvl w:ilvl="6">
      <w:start w:val="1"/>
      <w:numFmt w:val="none"/>
      <w:lvlText w:val=""/>
      <w:lvlJc w:val="left"/>
      <w:pPr>
        <w:ind w:left="2021" w:hanging="1245"/>
      </w:pPr>
      <w:rPr>
        <w:rFonts w:hint="default"/>
      </w:rPr>
    </w:lvl>
    <w:lvl w:ilvl="7">
      <w:start w:val="1"/>
      <w:numFmt w:val="none"/>
      <w:lvlText w:val=""/>
      <w:lvlJc w:val="left"/>
      <w:pPr>
        <w:tabs>
          <w:tab w:val="num" w:pos="5766"/>
        </w:tabs>
        <w:ind w:left="2134" w:hanging="1358"/>
      </w:pPr>
      <w:rPr>
        <w:rFonts w:hint="default"/>
      </w:rPr>
    </w:lvl>
    <w:lvl w:ilvl="8">
      <w:start w:val="1"/>
      <w:numFmt w:val="none"/>
      <w:lvlText w:val=""/>
      <w:lvlJc w:val="left"/>
      <w:pPr>
        <w:ind w:left="2247" w:hanging="1471"/>
      </w:pPr>
      <w:rPr>
        <w:rFonts w:hint="default"/>
      </w:rPr>
    </w:lvl>
  </w:abstractNum>
  <w:abstractNum w:abstractNumId="17" w15:restartNumberingAfterBreak="0">
    <w:nsid w:val="33963998"/>
    <w:multiLevelType w:val="multilevel"/>
    <w:tmpl w:val="0C090023"/>
    <w:name w:val="NumberedHeadings2"/>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8" w15:restartNumberingAfterBreak="0">
    <w:nsid w:val="34D8130C"/>
    <w:multiLevelType w:val="multilevel"/>
    <w:tmpl w:val="B9104634"/>
    <w:lvl w:ilvl="0">
      <w:start w:val="1"/>
      <w:numFmt w:val="decimal"/>
      <w:pStyle w:val="TableTextNumbered1"/>
      <w:lvlText w:val="%1."/>
      <w:lvlJc w:val="left"/>
      <w:pPr>
        <w:ind w:left="284" w:hanging="284"/>
      </w:pPr>
      <w:rPr>
        <w:rFonts w:hint="default"/>
      </w:rPr>
    </w:lvl>
    <w:lvl w:ilvl="1">
      <w:start w:val="1"/>
      <w:numFmt w:val="lowerLetter"/>
      <w:pStyle w:val="TableTextNumbered2"/>
      <w:lvlText w:val="%2."/>
      <w:lvlJc w:val="left"/>
      <w:pPr>
        <w:ind w:left="568" w:hanging="284"/>
      </w:pPr>
      <w:rPr>
        <w:rFonts w:hint="default"/>
      </w:rPr>
    </w:lvl>
    <w:lvl w:ilvl="2">
      <w:start w:val="1"/>
      <w:numFmt w:val="lowerRoman"/>
      <w:pStyle w:val="TableTextNumbered3"/>
      <w:lvlText w:val="%3."/>
      <w:lvlJc w:val="righ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19" w15:restartNumberingAfterBreak="0">
    <w:nsid w:val="36855328"/>
    <w:multiLevelType w:val="multilevel"/>
    <w:tmpl w:val="AF26DFFE"/>
    <w:name w:val="Numbered Headings"/>
    <w:lvl w:ilvl="0">
      <w:start w:val="1"/>
      <w:numFmt w:val="decimal"/>
      <w:lvlText w:val="%1."/>
      <w:lvlJc w:val="left"/>
      <w:pPr>
        <w:ind w:left="567" w:hanging="567"/>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567" w:hanging="567"/>
      </w:pPr>
      <w:rPr>
        <w:rFonts w:hint="default"/>
      </w:rPr>
    </w:lvl>
    <w:lvl w:ilvl="3">
      <w:start w:val="1"/>
      <w:numFmt w:val="decimal"/>
      <w:lvlText w:val="%4."/>
      <w:lvlJc w:val="left"/>
      <w:pPr>
        <w:tabs>
          <w:tab w:val="num" w:pos="340"/>
        </w:tabs>
        <w:ind w:left="567" w:hanging="567"/>
      </w:pPr>
      <w:rPr>
        <w:rFonts w:hint="default"/>
      </w:rPr>
    </w:lvl>
    <w:lvl w:ilvl="4">
      <w:start w:val="1"/>
      <w:numFmt w:val="lowerLetter"/>
      <w:lvlText w:val="%5."/>
      <w:lvlJc w:val="left"/>
      <w:pPr>
        <w:tabs>
          <w:tab w:val="num" w:pos="340"/>
        </w:tabs>
        <w:ind w:left="567" w:hanging="567"/>
      </w:pPr>
      <w:rPr>
        <w:rFonts w:hint="default"/>
      </w:rPr>
    </w:lvl>
    <w:lvl w:ilvl="5">
      <w:start w:val="1"/>
      <w:numFmt w:val="lowerRoman"/>
      <w:lvlText w:val="%6."/>
      <w:lvlJc w:val="right"/>
      <w:pPr>
        <w:tabs>
          <w:tab w:val="num" w:pos="340"/>
        </w:tabs>
        <w:ind w:left="567" w:hanging="567"/>
      </w:pPr>
      <w:rPr>
        <w:rFonts w:hint="default"/>
      </w:rPr>
    </w:lvl>
    <w:lvl w:ilvl="6">
      <w:start w:val="1"/>
      <w:numFmt w:val="decimal"/>
      <w:lvlText w:val="%7."/>
      <w:lvlJc w:val="left"/>
      <w:pPr>
        <w:tabs>
          <w:tab w:val="num" w:pos="340"/>
        </w:tabs>
        <w:ind w:left="567" w:hanging="567"/>
      </w:pPr>
      <w:rPr>
        <w:rFonts w:hint="default"/>
      </w:rPr>
    </w:lvl>
    <w:lvl w:ilvl="7">
      <w:start w:val="1"/>
      <w:numFmt w:val="lowerLetter"/>
      <w:lvlText w:val="%8."/>
      <w:lvlJc w:val="left"/>
      <w:pPr>
        <w:tabs>
          <w:tab w:val="num" w:pos="340"/>
        </w:tabs>
        <w:ind w:left="567" w:hanging="567"/>
      </w:pPr>
      <w:rPr>
        <w:rFonts w:hint="default"/>
      </w:rPr>
    </w:lvl>
    <w:lvl w:ilvl="8">
      <w:start w:val="1"/>
      <w:numFmt w:val="lowerRoman"/>
      <w:lvlText w:val="%9."/>
      <w:lvlJc w:val="right"/>
      <w:pPr>
        <w:tabs>
          <w:tab w:val="num" w:pos="340"/>
        </w:tabs>
        <w:ind w:left="567" w:hanging="567"/>
      </w:pPr>
      <w:rPr>
        <w:rFonts w:hint="default"/>
      </w:rPr>
    </w:lvl>
  </w:abstractNum>
  <w:abstractNum w:abstractNumId="20" w15:restartNumberingAfterBreak="0">
    <w:nsid w:val="376275AA"/>
    <w:multiLevelType w:val="hybridMultilevel"/>
    <w:tmpl w:val="B538BFDC"/>
    <w:name w:val="HeadingsNumbered22"/>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83D390B"/>
    <w:multiLevelType w:val="multilevel"/>
    <w:tmpl w:val="8CE81736"/>
    <w:name w:val="ListNumbering22"/>
    <w:lvl w:ilvl="0">
      <w:start w:val="1"/>
      <w:numFmt w:val="upperLetter"/>
      <w:lvlText w:val="Appendix %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38723AD4"/>
    <w:multiLevelType w:val="multilevel"/>
    <w:tmpl w:val="5762A29A"/>
    <w:name w:val="JemenaPullOutList"/>
    <w:lvl w:ilvl="0">
      <w:start w:val="1"/>
      <w:numFmt w:val="bullet"/>
      <w:lvlText w:val=""/>
      <w:lvlJc w:val="left"/>
      <w:pPr>
        <w:tabs>
          <w:tab w:val="num" w:pos="624"/>
        </w:tabs>
        <w:ind w:left="624" w:hanging="340"/>
      </w:pPr>
      <w:rPr>
        <w:rFonts w:ascii="Wingdings" w:hAnsi="Wingdings" w:hint="default"/>
        <w:color w:val="auto"/>
        <w:sz w:val="18"/>
      </w:rPr>
    </w:lvl>
    <w:lvl w:ilvl="1">
      <w:start w:val="1"/>
      <w:numFmt w:val="bullet"/>
      <w:lvlText w:val="–"/>
      <w:lvlJc w:val="left"/>
      <w:pPr>
        <w:tabs>
          <w:tab w:val="num" w:pos="964"/>
        </w:tabs>
        <w:ind w:left="964" w:hanging="340"/>
      </w:pPr>
      <w:rPr>
        <w:rFonts w:ascii="Arial" w:hAnsi="Arial" w:hint="default"/>
        <w:color w:val="auto"/>
      </w:rPr>
    </w:lvl>
    <w:lvl w:ilvl="2">
      <w:start w:val="1"/>
      <w:numFmt w:val="bullet"/>
      <w:lvlText w:val=""/>
      <w:lvlJc w:val="left"/>
      <w:pPr>
        <w:tabs>
          <w:tab w:val="num" w:pos="1304"/>
        </w:tabs>
        <w:ind w:left="1304" w:hanging="340"/>
      </w:pPr>
      <w:rPr>
        <w:rFonts w:ascii="Symbol" w:hAnsi="Symbol" w:hint="default"/>
        <w:color w:val="auto"/>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3" w15:restartNumberingAfterBreak="0">
    <w:nsid w:val="39C747CD"/>
    <w:multiLevelType w:val="multilevel"/>
    <w:tmpl w:val="FBD4A2EC"/>
    <w:name w:val="MyNumbering"/>
    <w:lvl w:ilvl="0">
      <w:start w:val="1"/>
      <w:numFmt w:val="none"/>
      <w:suff w:val="nothing"/>
      <w:lvlText w:val=""/>
      <w:lvlJc w:val="left"/>
      <w:pPr>
        <w:ind w:left="0" w:firstLine="0"/>
      </w:pPr>
      <w:rPr>
        <w:rFonts w:hint="default"/>
        <w:b w:val="0"/>
        <w:i w:val="0"/>
        <w:color w:val="201547" w:themeColor="text2"/>
        <w:sz w:val="36"/>
      </w:rPr>
    </w:lvl>
    <w:lvl w:ilvl="1">
      <w:start w:val="1"/>
      <w:numFmt w:val="decimal"/>
      <w:lvlText w:val="%2."/>
      <w:lvlJc w:val="left"/>
      <w:pPr>
        <w:tabs>
          <w:tab w:val="num" w:pos="992"/>
        </w:tabs>
        <w:ind w:left="992" w:hanging="992"/>
      </w:pPr>
      <w:rPr>
        <w:rFonts w:hint="default"/>
        <w:b/>
        <w:i w:val="0"/>
        <w:color w:val="034A97"/>
        <w:sz w:val="32"/>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24" w15:restartNumberingAfterBreak="0">
    <w:nsid w:val="39D8429F"/>
    <w:multiLevelType w:val="multilevel"/>
    <w:tmpl w:val="AC9A2892"/>
    <w:name w:val="MyNumbering"/>
    <w:lvl w:ilvl="0">
      <w:start w:val="1"/>
      <w:numFmt w:val="none"/>
      <w:suff w:val="nothing"/>
      <w:lvlText w:val="%1."/>
      <w:lvlJc w:val="left"/>
      <w:pPr>
        <w:ind w:left="0" w:firstLine="0"/>
      </w:pPr>
      <w:rPr>
        <w:rFonts w:hint="default"/>
        <w:b w:val="0"/>
        <w:i w:val="0"/>
        <w:color w:val="201547" w:themeColor="text2"/>
        <w:sz w:val="36"/>
      </w:rPr>
    </w:lvl>
    <w:lvl w:ilvl="1">
      <w:start w:val="1"/>
      <w:numFmt w:val="decimal"/>
      <w:lvlText w:val="%2."/>
      <w:lvlJc w:val="left"/>
      <w:pPr>
        <w:tabs>
          <w:tab w:val="num" w:pos="567"/>
        </w:tabs>
        <w:ind w:left="567" w:hanging="567"/>
      </w:pPr>
      <w:rPr>
        <w:rFonts w:hint="default"/>
        <w:b/>
        <w:i w:val="0"/>
        <w:color w:val="034A97"/>
        <w:sz w:val="32"/>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25" w15:restartNumberingAfterBreak="0">
    <w:nsid w:val="40501174"/>
    <w:multiLevelType w:val="multilevel"/>
    <w:tmpl w:val="7A70875A"/>
    <w:name w:val="HeadingsNumbered2"/>
    <w:lvl w:ilvl="0">
      <w:start w:val="1"/>
      <w:numFmt w:val="decimal"/>
      <w:lvlRestart w:val="0"/>
      <w:pStyle w:val="Heading1"/>
      <w:suff w:val="space"/>
      <w:lvlText w:val="%1."/>
      <w:lvlJc w:val="left"/>
      <w:pPr>
        <w:ind w:left="9640" w:firstLine="0"/>
      </w:pPr>
      <w:rPr>
        <w:rFonts w:hint="default"/>
        <w:spacing w:val="0"/>
        <w:sz w:val="40"/>
        <w:szCs w:val="40"/>
      </w:rPr>
    </w:lvl>
    <w:lvl w:ilvl="1">
      <w:start w:val="1"/>
      <w:numFmt w:val="decimal"/>
      <w:pStyle w:val="Heading2"/>
      <w:suff w:val="space"/>
      <w:lvlText w:val="%1.%2"/>
      <w:lvlJc w:val="left"/>
      <w:pPr>
        <w:ind w:left="0" w:firstLine="0"/>
      </w:pPr>
      <w:rPr>
        <w:rFonts w:hint="default"/>
        <w:spacing w:val="0"/>
        <w:sz w:val="32"/>
      </w:rPr>
    </w:lvl>
    <w:lvl w:ilvl="2">
      <w:start w:val="1"/>
      <w:numFmt w:val="decimal"/>
      <w:pStyle w:val="Heading3"/>
      <w:suff w:val="space"/>
      <w:lvlText w:val="%1.%2.%3"/>
      <w:lvlJc w:val="left"/>
      <w:pPr>
        <w:ind w:left="0" w:firstLine="0"/>
      </w:pPr>
      <w:rPr>
        <w:rFonts w:hint="default"/>
        <w:spacing w:val="0"/>
        <w:sz w:val="28"/>
      </w:rPr>
    </w:lvl>
    <w:lvl w:ilvl="3">
      <w:start w:val="1"/>
      <w:numFmt w:val="decimal"/>
      <w:pStyle w:val="Heading4"/>
      <w:suff w:val="space"/>
      <w:lvlText w:val="%1.%2.%3.%4"/>
      <w:lvlJc w:val="left"/>
      <w:pPr>
        <w:ind w:left="0" w:firstLine="0"/>
      </w:pPr>
      <w:rPr>
        <w:rFonts w:hint="default"/>
        <w:spacing w:val="0"/>
        <w:sz w:val="24"/>
      </w:rPr>
    </w:lvl>
    <w:lvl w:ilvl="4">
      <w:start w:val="1"/>
      <w:numFmt w:val="none"/>
      <w:suff w:val="nothing"/>
      <w:lvlText w:val=""/>
      <w:lvlJc w:val="left"/>
      <w:pPr>
        <w:ind w:left="0" w:firstLine="0"/>
      </w:pPr>
      <w:rPr>
        <w:rFonts w:hint="default"/>
        <w:spacing w:val="-6"/>
        <w:sz w:val="21"/>
      </w:rPr>
    </w:lvl>
    <w:lvl w:ilvl="5">
      <w:start w:val="1"/>
      <w:numFmt w:val="lowerRoman"/>
      <w:lvlText w:val="(%6)"/>
      <w:lvlJc w:val="left"/>
      <w:pPr>
        <w:ind w:left="1191" w:hanging="1191"/>
      </w:pPr>
      <w:rPr>
        <w:rFonts w:hint="default"/>
      </w:rPr>
    </w:lvl>
    <w:lvl w:ilvl="6">
      <w:start w:val="1"/>
      <w:numFmt w:val="decimal"/>
      <w:lvlText w:val="%7."/>
      <w:lvlJc w:val="left"/>
      <w:pPr>
        <w:ind w:left="1191" w:hanging="1191"/>
      </w:pPr>
      <w:rPr>
        <w:rFonts w:hint="default"/>
      </w:rPr>
    </w:lvl>
    <w:lvl w:ilvl="7">
      <w:start w:val="1"/>
      <w:numFmt w:val="lowerLetter"/>
      <w:lvlText w:val="%8."/>
      <w:lvlJc w:val="left"/>
      <w:pPr>
        <w:ind w:left="1191" w:hanging="1191"/>
      </w:pPr>
      <w:rPr>
        <w:rFonts w:hint="default"/>
      </w:rPr>
    </w:lvl>
    <w:lvl w:ilvl="8">
      <w:start w:val="1"/>
      <w:numFmt w:val="lowerRoman"/>
      <w:lvlText w:val="%9."/>
      <w:lvlJc w:val="left"/>
      <w:pPr>
        <w:ind w:left="1191" w:hanging="1191"/>
      </w:pPr>
      <w:rPr>
        <w:rFonts w:hint="default"/>
      </w:rPr>
    </w:lvl>
  </w:abstractNum>
  <w:abstractNum w:abstractNumId="26" w15:restartNumberingAfterBreak="0">
    <w:nsid w:val="41E40E75"/>
    <w:multiLevelType w:val="multilevel"/>
    <w:tmpl w:val="A0E2A1BC"/>
    <w:name w:val="MyNumbering2"/>
    <w:lvl w:ilvl="0">
      <w:start w:val="1"/>
      <w:numFmt w:val="decimal"/>
      <w:lvlText w:val="%1."/>
      <w:lvlJc w:val="left"/>
      <w:pPr>
        <w:tabs>
          <w:tab w:val="num" w:pos="0"/>
        </w:tabs>
        <w:ind w:left="0" w:hanging="680"/>
      </w:pPr>
      <w:rPr>
        <w:rFonts w:hint="default"/>
        <w:b w:val="0"/>
        <w:i w:val="0"/>
        <w:color w:val="201547" w:themeColor="text2"/>
        <w:sz w:val="36"/>
      </w:rPr>
    </w:lvl>
    <w:lvl w:ilvl="1">
      <w:start w:val="1"/>
      <w:numFmt w:val="lowerLetter"/>
      <w:lvlText w:val="%2."/>
      <w:lvlJc w:val="left"/>
      <w:pPr>
        <w:tabs>
          <w:tab w:val="num" w:pos="737"/>
        </w:tabs>
        <w:ind w:left="737" w:hanging="368"/>
      </w:pPr>
      <w:rPr>
        <w:rFonts w:hint="default"/>
        <w:color w:val="auto"/>
        <w:sz w:val="20"/>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27" w15:restartNumberingAfterBreak="0">
    <w:nsid w:val="43014766"/>
    <w:multiLevelType w:val="multilevel"/>
    <w:tmpl w:val="3642D7F2"/>
    <w:styleLink w:val="MyHeadings"/>
    <w:lvl w:ilvl="0">
      <w:start w:val="1"/>
      <w:numFmt w:val="decimal"/>
      <w:suff w:val="space"/>
      <w:lvlText w:val="Schedule %1"/>
      <w:lvlJc w:val="left"/>
      <w:pPr>
        <w:ind w:left="0" w:firstLine="0"/>
      </w:pPr>
      <w:rPr>
        <w:rFonts w:hint="default"/>
      </w:rPr>
    </w:lvl>
    <w:lvl w:ilvl="1">
      <w:start w:val="1"/>
      <w:numFmt w:val="decimal"/>
      <w:lvlText w:val="%2."/>
      <w:lvlJc w:val="left"/>
      <w:pPr>
        <w:ind w:left="992" w:hanging="992"/>
      </w:pPr>
      <w:rPr>
        <w:rFonts w:hint="default"/>
      </w:rPr>
    </w:lvl>
    <w:lvl w:ilvl="2">
      <w:start w:val="1"/>
      <w:numFmt w:val="decimal"/>
      <w:lvlText w:val="%2.%3"/>
      <w:lvlJc w:val="left"/>
      <w:pPr>
        <w:ind w:left="992" w:hanging="992"/>
      </w:pPr>
      <w:rPr>
        <w:rFonts w:hint="default"/>
      </w:rPr>
    </w:lvl>
    <w:lvl w:ilvl="3">
      <w:start w:val="1"/>
      <w:numFmt w:val="decimal"/>
      <w:lvlText w:val="%2.%3.%4"/>
      <w:lvlJc w:val="left"/>
      <w:pPr>
        <w:ind w:left="992" w:hanging="992"/>
      </w:pPr>
      <w:rPr>
        <w:rFonts w:hint="default"/>
      </w:rPr>
    </w:lvl>
    <w:lvl w:ilvl="4">
      <w:start w:val="1"/>
      <w:numFmt w:val="decimal"/>
      <w:lvlText w:val="%2.%3.%4.%5"/>
      <w:lvlJc w:val="left"/>
      <w:pPr>
        <w:ind w:left="992" w:hanging="992"/>
      </w:pPr>
      <w:rPr>
        <w:rFonts w:hint="default"/>
      </w:rPr>
    </w:lvl>
    <w:lvl w:ilvl="5">
      <w:start w:val="1"/>
      <w:numFmt w:val="none"/>
      <w:lvlText w:val=""/>
      <w:lvlJc w:val="lef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left"/>
      <w:pPr>
        <w:ind w:left="992" w:hanging="992"/>
      </w:pPr>
      <w:rPr>
        <w:rFonts w:hint="default"/>
      </w:rPr>
    </w:lvl>
  </w:abstractNum>
  <w:abstractNum w:abstractNumId="28" w15:restartNumberingAfterBreak="0">
    <w:nsid w:val="4339331A"/>
    <w:multiLevelType w:val="hybridMultilevel"/>
    <w:tmpl w:val="F75A0056"/>
    <w:lvl w:ilvl="0" w:tplc="62D058F8">
      <w:start w:val="1"/>
      <w:numFmt w:val="lowerRoman"/>
      <w:pStyle w:val="AlphaHeading5"/>
      <w:lvlText w:val="%1."/>
      <w:lvlJc w:val="left"/>
      <w:pPr>
        <w:ind w:left="340" w:hanging="340"/>
      </w:pPr>
      <w:rPr>
        <w:rFonts w:ascii="Arial" w:hAnsi="Arial" w:hint="default"/>
        <w:color w:val="201547" w:themeColor="text2"/>
      </w:rPr>
    </w:lvl>
    <w:lvl w:ilvl="1" w:tplc="08090019" w:tentative="1">
      <w:start w:val="1"/>
      <w:numFmt w:val="lowerLetter"/>
      <w:lvlText w:val="%2."/>
      <w:lvlJc w:val="left"/>
      <w:pPr>
        <w:ind w:left="1440" w:hanging="360"/>
      </w:pPr>
    </w:lvl>
    <w:lvl w:ilvl="2" w:tplc="85D814FC">
      <w:start w:val="1"/>
      <w:numFmt w:val="lowerRoman"/>
      <w:lvlText w:val="%3."/>
      <w:lvlJc w:val="right"/>
      <w:pPr>
        <w:ind w:left="720" w:hanging="360"/>
      </w:pPr>
      <w:rPr>
        <w:b/>
        <w:bCs/>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4A310643"/>
    <w:multiLevelType w:val="multilevel"/>
    <w:tmpl w:val="0E96087C"/>
    <w:lvl w:ilvl="0">
      <w:start w:val="1"/>
      <w:numFmt w:val="none"/>
      <w:pStyle w:val="Source"/>
      <w:lvlText w:val="Source:"/>
      <w:lvlJc w:val="left"/>
      <w:pPr>
        <w:ind w:left="680" w:hanging="68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0" w15:restartNumberingAfterBreak="0">
    <w:nsid w:val="4AA27F2E"/>
    <w:multiLevelType w:val="multilevel"/>
    <w:tmpl w:val="E79AB64C"/>
    <w:name w:val="Bullets"/>
    <w:lvl w:ilvl="0">
      <w:start w:val="1"/>
      <w:numFmt w:val="bullet"/>
      <w:pStyle w:val="ListBullet"/>
      <w:lvlText w:val=""/>
      <w:lvlJc w:val="left"/>
      <w:pPr>
        <w:ind w:left="340" w:hanging="227"/>
      </w:pPr>
      <w:rPr>
        <w:rFonts w:ascii="Wingdings" w:hAnsi="Wingdings" w:hint="default"/>
        <w:color w:val="auto"/>
      </w:rPr>
    </w:lvl>
    <w:lvl w:ilvl="1">
      <w:start w:val="1"/>
      <w:numFmt w:val="bullet"/>
      <w:pStyle w:val="ListBullet2"/>
      <w:lvlText w:val="–"/>
      <w:lvlJc w:val="left"/>
      <w:pPr>
        <w:ind w:left="567" w:hanging="227"/>
      </w:pPr>
      <w:rPr>
        <w:rFonts w:ascii="Arial" w:hAnsi="Arial" w:hint="default"/>
        <w:color w:val="auto"/>
      </w:rPr>
    </w:lvl>
    <w:lvl w:ilvl="2">
      <w:start w:val="1"/>
      <w:numFmt w:val="bullet"/>
      <w:pStyle w:val="ListBullet3"/>
      <w:lvlText w:val=""/>
      <w:lvlJc w:val="left"/>
      <w:pPr>
        <w:ind w:left="794" w:hanging="227"/>
      </w:pPr>
      <w:rPr>
        <w:rFonts w:ascii="Symbol" w:hAnsi="Symbol" w:hint="default"/>
        <w:color w:val="auto"/>
        <w:position w:val="0"/>
      </w:rPr>
    </w:lvl>
    <w:lvl w:ilvl="3">
      <w:start w:val="1"/>
      <w:numFmt w:val="none"/>
      <w:lvlText w:val=""/>
      <w:lvlJc w:val="left"/>
      <w:pPr>
        <w:ind w:left="1021" w:hanging="227"/>
      </w:pPr>
      <w:rPr>
        <w:rFonts w:hint="default"/>
        <w:b/>
        <w:i w:val="0"/>
        <w:sz w:val="20"/>
      </w:rPr>
    </w:lvl>
    <w:lvl w:ilvl="4">
      <w:start w:val="1"/>
      <w:numFmt w:val="none"/>
      <w:lvlText w:val=""/>
      <w:lvlJc w:val="left"/>
      <w:pPr>
        <w:ind w:left="1248" w:hanging="227"/>
      </w:pPr>
      <w:rPr>
        <w:rFonts w:hint="default"/>
        <w:position w:val="2"/>
        <w:sz w:val="16"/>
      </w:rPr>
    </w:lvl>
    <w:lvl w:ilvl="5">
      <w:start w:val="1"/>
      <w:numFmt w:val="bullet"/>
      <w:lvlText w:val=""/>
      <w:lvlJc w:val="left"/>
      <w:pPr>
        <w:tabs>
          <w:tab w:val="num" w:pos="1927"/>
        </w:tabs>
        <w:ind w:left="1475" w:hanging="227"/>
      </w:pPr>
      <w:rPr>
        <w:rFonts w:ascii="Wingdings" w:hAnsi="Wingdings" w:hint="default"/>
      </w:rPr>
    </w:lvl>
    <w:lvl w:ilvl="6">
      <w:start w:val="1"/>
      <w:numFmt w:val="bullet"/>
      <w:lvlText w:val=""/>
      <w:lvlJc w:val="left"/>
      <w:pPr>
        <w:tabs>
          <w:tab w:val="num" w:pos="2267"/>
        </w:tabs>
        <w:ind w:left="1702" w:hanging="227"/>
      </w:pPr>
      <w:rPr>
        <w:rFonts w:ascii="Symbol" w:hAnsi="Symbol" w:hint="default"/>
      </w:rPr>
    </w:lvl>
    <w:lvl w:ilvl="7">
      <w:start w:val="1"/>
      <w:numFmt w:val="bullet"/>
      <w:lvlText w:val="o"/>
      <w:lvlJc w:val="left"/>
      <w:pPr>
        <w:tabs>
          <w:tab w:val="num" w:pos="2607"/>
        </w:tabs>
        <w:ind w:left="1929" w:hanging="227"/>
      </w:pPr>
      <w:rPr>
        <w:rFonts w:ascii="Courier New" w:hAnsi="Courier New" w:cs="Courier New" w:hint="default"/>
      </w:rPr>
    </w:lvl>
    <w:lvl w:ilvl="8">
      <w:start w:val="1"/>
      <w:numFmt w:val="bullet"/>
      <w:lvlText w:val=""/>
      <w:lvlJc w:val="left"/>
      <w:pPr>
        <w:tabs>
          <w:tab w:val="num" w:pos="2947"/>
        </w:tabs>
        <w:ind w:left="2156" w:hanging="227"/>
      </w:pPr>
      <w:rPr>
        <w:rFonts w:ascii="Wingdings" w:hAnsi="Wingdings" w:hint="default"/>
      </w:rPr>
    </w:lvl>
  </w:abstractNum>
  <w:abstractNum w:abstractNumId="31" w15:restartNumberingAfterBreak="0">
    <w:nsid w:val="4CA75856"/>
    <w:multiLevelType w:val="multilevel"/>
    <w:tmpl w:val="5A6C4500"/>
    <w:name w:val="Table Bullets List"/>
    <w:lvl w:ilvl="0">
      <w:start w:val="1"/>
      <w:numFmt w:val="bullet"/>
      <w:pStyle w:val="TableTextBullet"/>
      <w:lvlText w:val="•"/>
      <w:lvlJc w:val="left"/>
      <w:pPr>
        <w:ind w:left="198" w:hanging="198"/>
      </w:pPr>
      <w:rPr>
        <w:rFonts w:ascii="Calibri" w:hAnsi="Calibri" w:hint="default"/>
      </w:rPr>
    </w:lvl>
    <w:lvl w:ilvl="1">
      <w:start w:val="1"/>
      <w:numFmt w:val="bullet"/>
      <w:pStyle w:val="TableTextBullet2"/>
      <w:lvlText w:val="–"/>
      <w:lvlJc w:val="left"/>
      <w:pPr>
        <w:ind w:left="396" w:hanging="198"/>
      </w:pPr>
      <w:rPr>
        <w:rFonts w:ascii="Calibri" w:hAnsi="Calibri" w:hint="default"/>
      </w:rPr>
    </w:lvl>
    <w:lvl w:ilvl="2">
      <w:start w:val="1"/>
      <w:numFmt w:val="bullet"/>
      <w:pStyle w:val="TableTextBullet3"/>
      <w:lvlText w:val=""/>
      <w:lvlJc w:val="left"/>
      <w:pPr>
        <w:ind w:left="594" w:hanging="198"/>
      </w:pPr>
      <w:rPr>
        <w:rFonts w:ascii="Symbol" w:hAnsi="Symbol" w:hint="default"/>
        <w:position w:val="-3"/>
      </w:rPr>
    </w:lvl>
    <w:lvl w:ilvl="3">
      <w:start w:val="1"/>
      <w:numFmt w:val="bullet"/>
      <w:lvlText w:val=""/>
      <w:lvlJc w:val="left"/>
      <w:pPr>
        <w:ind w:left="792" w:hanging="198"/>
      </w:pPr>
      <w:rPr>
        <w:rFonts w:ascii="Symbol" w:hAnsi="Symbol" w:hint="default"/>
      </w:rPr>
    </w:lvl>
    <w:lvl w:ilvl="4">
      <w:start w:val="1"/>
      <w:numFmt w:val="bullet"/>
      <w:lvlText w:val="o"/>
      <w:lvlJc w:val="left"/>
      <w:pPr>
        <w:ind w:left="990" w:hanging="198"/>
      </w:pPr>
      <w:rPr>
        <w:rFonts w:ascii="Courier New" w:hAnsi="Courier New" w:cs="Courier New" w:hint="default"/>
      </w:rPr>
    </w:lvl>
    <w:lvl w:ilvl="5">
      <w:start w:val="1"/>
      <w:numFmt w:val="bullet"/>
      <w:lvlText w:val=""/>
      <w:lvlJc w:val="left"/>
      <w:pPr>
        <w:ind w:left="1188" w:hanging="198"/>
      </w:pPr>
      <w:rPr>
        <w:rFonts w:ascii="Wingdings" w:hAnsi="Wingdings" w:hint="default"/>
      </w:rPr>
    </w:lvl>
    <w:lvl w:ilvl="6">
      <w:start w:val="1"/>
      <w:numFmt w:val="bullet"/>
      <w:lvlText w:val=""/>
      <w:lvlJc w:val="left"/>
      <w:pPr>
        <w:ind w:left="1386" w:hanging="198"/>
      </w:pPr>
      <w:rPr>
        <w:rFonts w:ascii="Symbol" w:hAnsi="Symbol" w:hint="default"/>
      </w:rPr>
    </w:lvl>
    <w:lvl w:ilvl="7">
      <w:start w:val="1"/>
      <w:numFmt w:val="bullet"/>
      <w:lvlText w:val="o"/>
      <w:lvlJc w:val="left"/>
      <w:pPr>
        <w:ind w:left="1584" w:hanging="198"/>
      </w:pPr>
      <w:rPr>
        <w:rFonts w:ascii="Courier New" w:hAnsi="Courier New" w:cs="Courier New" w:hint="default"/>
      </w:rPr>
    </w:lvl>
    <w:lvl w:ilvl="8">
      <w:start w:val="1"/>
      <w:numFmt w:val="bullet"/>
      <w:lvlText w:val=""/>
      <w:lvlJc w:val="left"/>
      <w:pPr>
        <w:ind w:left="1782" w:hanging="198"/>
      </w:pPr>
      <w:rPr>
        <w:rFonts w:ascii="Wingdings" w:hAnsi="Wingdings" w:hint="default"/>
      </w:rPr>
    </w:lvl>
  </w:abstractNum>
  <w:abstractNum w:abstractNumId="32" w15:restartNumberingAfterBreak="0">
    <w:nsid w:val="4D545EC4"/>
    <w:multiLevelType w:val="hybridMultilevel"/>
    <w:tmpl w:val="13725A52"/>
    <w:name w:val="HighlightBoxBullet"/>
    <w:lvl w:ilvl="0" w:tplc="E8A22B82">
      <w:start w:val="1"/>
      <w:numFmt w:val="bullet"/>
      <w:lvlRestart w:val="0"/>
      <w:lvlText w:val="•"/>
      <w:lvlJc w:val="left"/>
      <w:pPr>
        <w:ind w:left="454" w:hanging="227"/>
      </w:pPr>
      <w:rPr>
        <w:rFonts w:ascii="Arial" w:hAnsi="Arial" w:cs="Arial" w:hint="default"/>
        <w:color w:val="FFFFFF"/>
        <w:sz w:val="24"/>
      </w:rPr>
    </w:lvl>
    <w:lvl w:ilvl="1" w:tplc="744CF09A">
      <w:start w:val="1"/>
      <w:numFmt w:val="bullet"/>
      <w:lvlText w:val="o"/>
      <w:lvlJc w:val="left"/>
      <w:pPr>
        <w:ind w:left="1667" w:hanging="360"/>
      </w:pPr>
      <w:rPr>
        <w:rFonts w:ascii="Courier New" w:hAnsi="Courier New" w:cs="Courier New" w:hint="default"/>
      </w:rPr>
    </w:lvl>
    <w:lvl w:ilvl="2" w:tplc="EC028EAA">
      <w:start w:val="1"/>
      <w:numFmt w:val="bullet"/>
      <w:lvlText w:val=""/>
      <w:lvlJc w:val="left"/>
      <w:pPr>
        <w:ind w:left="2387" w:hanging="360"/>
      </w:pPr>
      <w:rPr>
        <w:rFonts w:ascii="Wingdings" w:hAnsi="Wingdings" w:hint="default"/>
      </w:rPr>
    </w:lvl>
    <w:lvl w:ilvl="3" w:tplc="908A6CC6">
      <w:start w:val="1"/>
      <w:numFmt w:val="bullet"/>
      <w:lvlText w:val=""/>
      <w:lvlJc w:val="left"/>
      <w:pPr>
        <w:ind w:left="3107" w:hanging="360"/>
      </w:pPr>
      <w:rPr>
        <w:rFonts w:ascii="Symbol" w:hAnsi="Symbol" w:hint="default"/>
      </w:rPr>
    </w:lvl>
    <w:lvl w:ilvl="4" w:tplc="5B88F910">
      <w:start w:val="1"/>
      <w:numFmt w:val="bullet"/>
      <w:lvlText w:val="o"/>
      <w:lvlJc w:val="left"/>
      <w:pPr>
        <w:ind w:left="3827" w:hanging="360"/>
      </w:pPr>
      <w:rPr>
        <w:rFonts w:ascii="Courier New" w:hAnsi="Courier New" w:cs="Courier New" w:hint="default"/>
      </w:rPr>
    </w:lvl>
    <w:lvl w:ilvl="5" w:tplc="94E8F23E">
      <w:start w:val="1"/>
      <w:numFmt w:val="bullet"/>
      <w:lvlText w:val=""/>
      <w:lvlJc w:val="left"/>
      <w:pPr>
        <w:ind w:left="4547" w:hanging="360"/>
      </w:pPr>
      <w:rPr>
        <w:rFonts w:ascii="Wingdings" w:hAnsi="Wingdings" w:hint="default"/>
      </w:rPr>
    </w:lvl>
    <w:lvl w:ilvl="6" w:tplc="DE20FCB2">
      <w:start w:val="1"/>
      <w:numFmt w:val="bullet"/>
      <w:lvlText w:val=""/>
      <w:lvlJc w:val="left"/>
      <w:pPr>
        <w:ind w:left="5267" w:hanging="360"/>
      </w:pPr>
      <w:rPr>
        <w:rFonts w:ascii="Symbol" w:hAnsi="Symbol" w:hint="default"/>
      </w:rPr>
    </w:lvl>
    <w:lvl w:ilvl="7" w:tplc="DEE4605C">
      <w:start w:val="1"/>
      <w:numFmt w:val="bullet"/>
      <w:lvlText w:val="o"/>
      <w:lvlJc w:val="left"/>
      <w:pPr>
        <w:ind w:left="5987" w:hanging="360"/>
      </w:pPr>
      <w:rPr>
        <w:rFonts w:ascii="Courier New" w:hAnsi="Courier New" w:cs="Courier New" w:hint="default"/>
      </w:rPr>
    </w:lvl>
    <w:lvl w:ilvl="8" w:tplc="0ED4174C">
      <w:start w:val="1"/>
      <w:numFmt w:val="bullet"/>
      <w:lvlText w:val=""/>
      <w:lvlJc w:val="left"/>
      <w:pPr>
        <w:ind w:left="6707" w:hanging="360"/>
      </w:pPr>
      <w:rPr>
        <w:rFonts w:ascii="Wingdings" w:hAnsi="Wingdings" w:hint="default"/>
      </w:rPr>
    </w:lvl>
  </w:abstractNum>
  <w:abstractNum w:abstractNumId="33" w15:restartNumberingAfterBreak="0">
    <w:nsid w:val="4EF01645"/>
    <w:multiLevelType w:val="multilevel"/>
    <w:tmpl w:val="2C9CD76A"/>
    <w:name w:val="Bullets2"/>
    <w:lvl w:ilvl="0">
      <w:start w:val="1"/>
      <w:numFmt w:val="decimal"/>
      <w:pStyle w:val="ListNumber"/>
      <w:lvlText w:val="%1."/>
      <w:lvlJc w:val="left"/>
      <w:pPr>
        <w:ind w:left="680" w:hanging="340"/>
      </w:pPr>
      <w:rPr>
        <w:rFonts w:hint="default"/>
      </w:rPr>
    </w:lvl>
    <w:lvl w:ilvl="1">
      <w:start w:val="1"/>
      <w:numFmt w:val="lowerLetter"/>
      <w:pStyle w:val="ListNumber2"/>
      <w:lvlText w:val="%2."/>
      <w:lvlJc w:val="left"/>
      <w:pPr>
        <w:ind w:left="1020" w:hanging="340"/>
      </w:pPr>
      <w:rPr>
        <w:rFonts w:hint="default"/>
      </w:rPr>
    </w:lvl>
    <w:lvl w:ilvl="2">
      <w:start w:val="1"/>
      <w:numFmt w:val="lowerRoman"/>
      <w:pStyle w:val="ListNumber3"/>
      <w:lvlText w:val="%3."/>
      <w:lvlJc w:val="left"/>
      <w:pPr>
        <w:ind w:left="1360" w:hanging="340"/>
      </w:pPr>
      <w:rPr>
        <w:rFonts w:hint="default"/>
      </w:rPr>
    </w:lvl>
    <w:lvl w:ilvl="3">
      <w:start w:val="1"/>
      <w:numFmt w:val="upperLetter"/>
      <w:pStyle w:val="ListNumber4"/>
      <w:lvlText w:val="%4."/>
      <w:lvlJc w:val="left"/>
      <w:pPr>
        <w:ind w:left="1700" w:hanging="340"/>
      </w:pPr>
      <w:rPr>
        <w:rFonts w:hint="default"/>
      </w:rPr>
    </w:lvl>
    <w:lvl w:ilvl="4">
      <w:start w:val="1"/>
      <w:numFmt w:val="upperRoman"/>
      <w:pStyle w:val="ListNumber5"/>
      <w:lvlText w:val="%5."/>
      <w:lvlJc w:val="left"/>
      <w:pPr>
        <w:ind w:left="2040" w:hanging="340"/>
      </w:pPr>
      <w:rPr>
        <w:rFonts w:hint="default"/>
      </w:rPr>
    </w:lvl>
    <w:lvl w:ilvl="5">
      <w:start w:val="1"/>
      <w:numFmt w:val="lowerRoman"/>
      <w:lvlText w:val="%6."/>
      <w:lvlJc w:val="right"/>
      <w:pPr>
        <w:ind w:left="2380" w:hanging="340"/>
      </w:pPr>
      <w:rPr>
        <w:rFonts w:hint="default"/>
      </w:rPr>
    </w:lvl>
    <w:lvl w:ilvl="6">
      <w:start w:val="1"/>
      <w:numFmt w:val="decimal"/>
      <w:lvlText w:val="%7."/>
      <w:lvlJc w:val="left"/>
      <w:pPr>
        <w:ind w:left="2720" w:hanging="340"/>
      </w:pPr>
      <w:rPr>
        <w:rFonts w:hint="default"/>
      </w:rPr>
    </w:lvl>
    <w:lvl w:ilvl="7">
      <w:start w:val="1"/>
      <w:numFmt w:val="lowerLetter"/>
      <w:lvlText w:val="%8."/>
      <w:lvlJc w:val="left"/>
      <w:pPr>
        <w:ind w:left="3060" w:hanging="340"/>
      </w:pPr>
      <w:rPr>
        <w:rFonts w:hint="default"/>
      </w:rPr>
    </w:lvl>
    <w:lvl w:ilvl="8">
      <w:start w:val="1"/>
      <w:numFmt w:val="lowerRoman"/>
      <w:lvlText w:val="%9."/>
      <w:lvlJc w:val="right"/>
      <w:pPr>
        <w:ind w:left="3400" w:hanging="340"/>
      </w:pPr>
      <w:rPr>
        <w:rFonts w:hint="default"/>
      </w:rPr>
    </w:lvl>
  </w:abstractNum>
  <w:abstractNum w:abstractNumId="34" w15:restartNumberingAfterBreak="0">
    <w:nsid w:val="4F4F50B3"/>
    <w:multiLevelType w:val="multilevel"/>
    <w:tmpl w:val="9B266664"/>
    <w:lvl w:ilvl="0">
      <w:start w:val="3"/>
      <w:numFmt w:val="decimal"/>
      <w:lvlText w:val="%1."/>
      <w:lvlJc w:val="left"/>
      <w:pPr>
        <w:ind w:left="652" w:hanging="510"/>
      </w:pPr>
      <w:rPr>
        <w:rFonts w:hint="default"/>
      </w:rPr>
    </w:lvl>
    <w:lvl w:ilvl="1">
      <w:start w:val="1"/>
      <w:numFmt w:val="decimal"/>
      <w:lvlText w:val="%1.%2."/>
      <w:lvlJc w:val="left"/>
      <w:pPr>
        <w:ind w:left="510" w:hanging="51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52456C28"/>
    <w:multiLevelType w:val="multilevel"/>
    <w:tmpl w:val="472A8ED0"/>
    <w:name w:val="U1_Legal Numbering"/>
    <w:lvl w:ilvl="0">
      <w:start w:val="1"/>
      <w:numFmt w:val="decimal"/>
      <w:lvlText w:val="%1."/>
      <w:lvlJc w:val="left"/>
      <w:pPr>
        <w:ind w:left="567" w:hanging="567"/>
      </w:pPr>
      <w:rPr>
        <w:rFonts w:hint="default"/>
      </w:rPr>
    </w:lvl>
    <w:lvl w:ilvl="1">
      <w:start w:val="1"/>
      <w:numFmt w:val="decimal"/>
      <w:lvlText w:val="%1.%2"/>
      <w:lvlJc w:val="left"/>
      <w:pPr>
        <w:ind w:left="1134" w:hanging="567"/>
      </w:pPr>
      <w:rPr>
        <w:rFonts w:hint="default"/>
      </w:rPr>
    </w:lvl>
    <w:lvl w:ilvl="2">
      <w:start w:val="1"/>
      <w:numFmt w:val="decimal"/>
      <w:lvlText w:val="%1.%2.%3"/>
      <w:lvlJc w:val="left"/>
      <w:pPr>
        <w:tabs>
          <w:tab w:val="num" w:pos="1134"/>
        </w:tabs>
        <w:ind w:left="1814" w:hanging="680"/>
      </w:pPr>
      <w:rPr>
        <w:rFonts w:hint="default"/>
      </w:rPr>
    </w:lvl>
    <w:lvl w:ilvl="3">
      <w:start w:val="1"/>
      <w:numFmt w:val="decimal"/>
      <w:suff w:val="space"/>
      <w:lvlText w:val="%1.%2.%3.%4  "/>
      <w:lvlJc w:val="left"/>
      <w:pPr>
        <w:ind w:left="2268" w:hanging="454"/>
      </w:pPr>
      <w:rPr>
        <w:rFonts w:hint="default"/>
      </w:rPr>
    </w:lvl>
    <w:lvl w:ilvl="4">
      <w:start w:val="1"/>
      <w:numFmt w:val="none"/>
      <w:suff w:val="space"/>
      <w:lvlText w:val=""/>
      <w:lvlJc w:val="left"/>
      <w:pPr>
        <w:ind w:left="2835" w:hanging="567"/>
      </w:pPr>
      <w:rPr>
        <w:rFonts w:hint="default"/>
      </w:rPr>
    </w:lvl>
    <w:lvl w:ilvl="5">
      <w:start w:val="1"/>
      <w:numFmt w:val="none"/>
      <w:suff w:val="space"/>
      <w:lvlText w:val=""/>
      <w:lvlJc w:val="left"/>
      <w:pPr>
        <w:ind w:left="3402" w:hanging="567"/>
      </w:pPr>
      <w:rPr>
        <w:rFonts w:hint="default"/>
      </w:rPr>
    </w:lvl>
    <w:lvl w:ilvl="6">
      <w:start w:val="1"/>
      <w:numFmt w:val="none"/>
      <w:suff w:val="space"/>
      <w:lvlText w:val=""/>
      <w:lvlJc w:val="left"/>
      <w:pPr>
        <w:ind w:left="3969" w:hanging="567"/>
      </w:pPr>
      <w:rPr>
        <w:rFonts w:hint="default"/>
      </w:rPr>
    </w:lvl>
    <w:lvl w:ilvl="7">
      <w:start w:val="1"/>
      <w:numFmt w:val="none"/>
      <w:suff w:val="space"/>
      <w:lvlText w:val=""/>
      <w:lvlJc w:val="left"/>
      <w:pPr>
        <w:ind w:left="4536" w:hanging="567"/>
      </w:pPr>
      <w:rPr>
        <w:rFonts w:hint="default"/>
      </w:rPr>
    </w:lvl>
    <w:lvl w:ilvl="8">
      <w:start w:val="1"/>
      <w:numFmt w:val="none"/>
      <w:suff w:val="space"/>
      <w:lvlText w:val=""/>
      <w:lvlJc w:val="left"/>
      <w:pPr>
        <w:ind w:left="5103" w:hanging="567"/>
      </w:pPr>
      <w:rPr>
        <w:rFonts w:hint="default"/>
      </w:rPr>
    </w:lvl>
  </w:abstractNum>
  <w:abstractNum w:abstractNumId="36" w15:restartNumberingAfterBreak="0">
    <w:nsid w:val="533157A3"/>
    <w:multiLevelType w:val="multilevel"/>
    <w:tmpl w:val="F056CAF2"/>
    <w:name w:val="NumberedHeadings"/>
    <w:lvl w:ilvl="0">
      <w:start w:val="1"/>
      <w:numFmt w:val="none"/>
      <w:lvlText w:val=""/>
      <w:lvlJc w:val="left"/>
      <w:pPr>
        <w:ind w:left="0" w:firstLine="0"/>
      </w:pPr>
      <w:rPr>
        <w:rFonts w:hint="default"/>
      </w:rPr>
    </w:lvl>
    <w:lvl w:ilvl="1">
      <w:start w:val="1"/>
      <w:numFmt w:val="none"/>
      <w:lvlText w:val=""/>
      <w:lvlJc w:val="left"/>
      <w:pPr>
        <w:ind w:left="0" w:firstLine="0"/>
      </w:pPr>
      <w:rPr>
        <w:rFonts w:hint="default"/>
      </w:rPr>
    </w:lvl>
    <w:lvl w:ilvl="2">
      <w:start w:val="1"/>
      <w:numFmt w:val="none"/>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37" w15:restartNumberingAfterBreak="0">
    <w:nsid w:val="593A436F"/>
    <w:multiLevelType w:val="multilevel"/>
    <w:tmpl w:val="10107B4A"/>
    <w:name w:val="TableNumbering"/>
    <w:lvl w:ilvl="0">
      <w:start w:val="1"/>
      <w:numFmt w:val="none"/>
      <w:suff w:val="nothing"/>
      <w:lvlText w:val=""/>
      <w:lvlJc w:val="left"/>
      <w:pPr>
        <w:ind w:left="0" w:firstLine="0"/>
      </w:pPr>
      <w:rPr>
        <w:rFonts w:hint="default"/>
      </w:rPr>
    </w:lvl>
    <w:lvl w:ilvl="1">
      <w:start w:val="1"/>
      <w:numFmt w:val="decimal"/>
      <w:lvlText w:val="(%2)"/>
      <w:lvlJc w:val="left"/>
      <w:pPr>
        <w:ind w:left="340" w:hanging="340"/>
      </w:pPr>
      <w:rPr>
        <w:rFonts w:hint="default"/>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38" w15:restartNumberingAfterBreak="0">
    <w:nsid w:val="599D3754"/>
    <w:multiLevelType w:val="multilevel"/>
    <w:tmpl w:val="4B14CC02"/>
    <w:name w:val="AppendixTableListNumber"/>
    <w:lvl w:ilvl="0">
      <w:start w:val="1"/>
      <w:numFmt w:val="decimal"/>
      <w:suff w:val="space"/>
      <w:lvlText w:val="%1."/>
      <w:lvlJc w:val="left"/>
      <w:pPr>
        <w:ind w:left="284" w:hanging="227"/>
      </w:pPr>
      <w:rPr>
        <w:rFonts w:hint="default"/>
        <w:sz w:val="18"/>
      </w:rPr>
    </w:lvl>
    <w:lvl w:ilvl="1">
      <w:start w:val="1"/>
      <w:numFmt w:val="decimal"/>
      <w:lvlText w:val="%1.%2"/>
      <w:lvlJc w:val="left"/>
      <w:pPr>
        <w:ind w:left="794" w:hanging="794"/>
      </w:pPr>
      <w:rPr>
        <w:rFonts w:hint="default"/>
      </w:rPr>
    </w:lvl>
    <w:lvl w:ilvl="2">
      <w:start w:val="1"/>
      <w:numFmt w:val="none"/>
      <w:suff w:val="nothing"/>
      <w:lvlText w:val=""/>
      <w:lvlJc w:val="left"/>
      <w:pPr>
        <w:ind w:left="0" w:firstLine="0"/>
      </w:pPr>
      <w:rPr>
        <w:rFonts w:hint="default"/>
      </w:rPr>
    </w:lvl>
    <w:lvl w:ilvl="3">
      <w:start w:val="1"/>
      <w:numFmt w:val="upperLetter"/>
      <w:lvlText w:val="%4)"/>
      <w:lvlJc w:val="left"/>
      <w:pPr>
        <w:ind w:left="794" w:hanging="454"/>
      </w:pPr>
      <w:rPr>
        <w:rFonts w:hint="default"/>
      </w:rPr>
    </w:lvl>
    <w:lvl w:ilvl="4">
      <w:start w:val="1"/>
      <w:numFmt w:val="none"/>
      <w:lvlText w:val=""/>
      <w:lvlJc w:val="left"/>
      <w:pPr>
        <w:ind w:left="992" w:hanging="992"/>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39" w15:restartNumberingAfterBreak="0">
    <w:nsid w:val="5AE6625A"/>
    <w:multiLevelType w:val="multilevel"/>
    <w:tmpl w:val="5FDABB82"/>
    <w:name w:val="MyHeadings"/>
    <w:lvl w:ilvl="0">
      <w:start w:val="1"/>
      <w:numFmt w:val="decimal"/>
      <w:lvlText w:val="%1 "/>
      <w:lvlJc w:val="left"/>
      <w:pPr>
        <w:tabs>
          <w:tab w:val="num" w:pos="567"/>
        </w:tabs>
        <w:ind w:left="567" w:hanging="567"/>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suff w:val="space"/>
      <w:lvlText w:val="%1.%2.%3.%4  "/>
      <w:lvlJc w:val="left"/>
      <w:pPr>
        <w:ind w:left="864" w:hanging="864"/>
      </w:pPr>
      <w:rPr>
        <w:rFonts w:hint="default"/>
      </w:rPr>
    </w:lvl>
    <w:lvl w:ilvl="4">
      <w:start w:val="1"/>
      <w:numFmt w:val="decimal"/>
      <w:suff w:val="space"/>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0" w15:restartNumberingAfterBreak="0">
    <w:nsid w:val="5B26040B"/>
    <w:multiLevelType w:val="multilevel"/>
    <w:tmpl w:val="0F3E3D4E"/>
    <w:name w:val="Lst_Notes"/>
    <w:lvl w:ilvl="0">
      <w:start w:val="1"/>
      <w:numFmt w:val="lowerLetter"/>
      <w:pStyle w:val="NoteNumbered"/>
      <w:lvlText w:val="%1."/>
      <w:lvlJc w:val="left"/>
      <w:pPr>
        <w:ind w:left="284" w:hanging="284"/>
      </w:pPr>
      <w:rPr>
        <w:rFonts w:hint="default"/>
      </w:rPr>
    </w:lvl>
    <w:lvl w:ilvl="1">
      <w:start w:val="1"/>
      <w:numFmt w:val="lowerRoman"/>
      <w:pStyle w:val="NoteNumbered2"/>
      <w:lvlText w:val="%2."/>
      <w:lvlJc w:val="left"/>
      <w:pPr>
        <w:ind w:left="568" w:hanging="284"/>
      </w:pPr>
      <w:rPr>
        <w:rFonts w:hint="default"/>
      </w:rPr>
    </w:lvl>
    <w:lvl w:ilvl="2">
      <w:start w:val="1"/>
      <w:numFmt w:val="upperLetter"/>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41" w15:restartNumberingAfterBreak="0">
    <w:nsid w:val="5B2C71EC"/>
    <w:multiLevelType w:val="hybridMultilevel"/>
    <w:tmpl w:val="79B200BA"/>
    <w:name w:val="Bullets4"/>
    <w:lvl w:ilvl="0" w:tplc="D8AAA350">
      <w:start w:val="1"/>
      <w:numFmt w:val="bullet"/>
      <w:lvlText w:val=""/>
      <w:lvlJc w:val="left"/>
      <w:pPr>
        <w:ind w:left="947" w:hanging="360"/>
      </w:pPr>
      <w:rPr>
        <w:rFonts w:ascii="Wingdings" w:hAnsi="Wingdings"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42" w15:restartNumberingAfterBreak="0">
    <w:nsid w:val="5D0540A9"/>
    <w:multiLevelType w:val="multilevel"/>
    <w:tmpl w:val="A0824D3A"/>
    <w:lvl w:ilvl="0">
      <w:start w:val="1"/>
      <w:numFmt w:val="upperLetter"/>
      <w:pStyle w:val="Heading8"/>
      <w:suff w:val="nothing"/>
      <w:lvlText w:val="Attachment %1"/>
      <w:lvlJc w:val="left"/>
      <w:pPr>
        <w:ind w:left="0" w:firstLine="0"/>
      </w:pPr>
      <w:rPr>
        <w:rFonts w:asciiTheme="majorHAnsi" w:hAnsiTheme="majorHAnsi" w:hint="default"/>
        <w:b w:val="0"/>
        <w:i w:val="0"/>
        <w:sz w:val="36"/>
      </w:rPr>
    </w:lvl>
    <w:lvl w:ilvl="1">
      <w:start w:val="1"/>
      <w:numFmt w:val="decimal"/>
      <w:suff w:val="space"/>
      <w:lvlText w:val="%1%2. "/>
      <w:lvlJc w:val="left"/>
      <w:pPr>
        <w:ind w:left="0" w:firstLine="0"/>
      </w:pPr>
      <w:rPr>
        <w:rFonts w:hint="default"/>
        <w:sz w:val="24"/>
      </w:rPr>
    </w:lvl>
    <w:lvl w:ilvl="2">
      <w:start w:val="1"/>
      <w:numFmt w:val="decimal"/>
      <w:suff w:val="space"/>
      <w:lvlText w:val="%1%2.%3 "/>
      <w:lvlJc w:val="left"/>
      <w:pPr>
        <w:ind w:left="0" w:firstLine="0"/>
      </w:pPr>
      <w:rPr>
        <w:rFonts w:hint="default"/>
      </w:rPr>
    </w:lvl>
    <w:lvl w:ilvl="3">
      <w:start w:val="1"/>
      <w:numFmt w:val="decimal"/>
      <w:suff w:val="space"/>
      <w:lvlText w:val="%1%2.%3.%4 "/>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43" w15:restartNumberingAfterBreak="0">
    <w:nsid w:val="635C0D07"/>
    <w:multiLevelType w:val="multilevel"/>
    <w:tmpl w:val="019052F2"/>
    <w:name w:val="Table Bullets"/>
    <w:lvl w:ilvl="0">
      <w:start w:val="1"/>
      <w:numFmt w:val="bullet"/>
      <w:lvlText w:val="·"/>
      <w:lvlJc w:val="left"/>
      <w:pPr>
        <w:ind w:left="312" w:hanging="227"/>
      </w:pPr>
      <w:rPr>
        <w:rFonts w:ascii="Symbol" w:hAnsi="Symbol" w:hint="default"/>
        <w:color w:val="201547" w:themeColor="text2"/>
      </w:rPr>
    </w:lvl>
    <w:lvl w:ilvl="1">
      <w:start w:val="1"/>
      <w:numFmt w:val="bullet"/>
      <w:lvlText w:val="–"/>
      <w:lvlJc w:val="left"/>
      <w:pPr>
        <w:ind w:left="539" w:hanging="227"/>
      </w:pPr>
      <w:rPr>
        <w:rFonts w:ascii="Arial" w:hAnsi="Arial" w:hint="default"/>
        <w:color w:val="201547" w:themeColor="text2"/>
      </w:rPr>
    </w:lvl>
    <w:lvl w:ilvl="2">
      <w:start w:val="1"/>
      <w:numFmt w:val="bullet"/>
      <w:lvlText w:val=""/>
      <w:lvlJc w:val="left"/>
      <w:pPr>
        <w:ind w:left="766" w:hanging="227"/>
      </w:pPr>
      <w:rPr>
        <w:rFonts w:ascii="Wingdings" w:hAnsi="Wingdings" w:hint="default"/>
      </w:rPr>
    </w:lvl>
    <w:lvl w:ilvl="3">
      <w:start w:val="1"/>
      <w:numFmt w:val="bullet"/>
      <w:lvlText w:val=""/>
      <w:lvlJc w:val="left"/>
      <w:pPr>
        <w:ind w:left="993" w:hanging="227"/>
      </w:pPr>
      <w:rPr>
        <w:rFonts w:ascii="Symbol" w:hAnsi="Symbol" w:hint="default"/>
      </w:rPr>
    </w:lvl>
    <w:lvl w:ilvl="4">
      <w:start w:val="1"/>
      <w:numFmt w:val="bullet"/>
      <w:lvlText w:val="o"/>
      <w:lvlJc w:val="left"/>
      <w:pPr>
        <w:ind w:left="1220" w:hanging="227"/>
      </w:pPr>
      <w:rPr>
        <w:rFonts w:ascii="Courier New" w:hAnsi="Courier New" w:cs="Courier New" w:hint="default"/>
      </w:rPr>
    </w:lvl>
    <w:lvl w:ilvl="5">
      <w:start w:val="1"/>
      <w:numFmt w:val="bullet"/>
      <w:lvlText w:val=""/>
      <w:lvlJc w:val="left"/>
      <w:pPr>
        <w:ind w:left="1447" w:hanging="227"/>
      </w:pPr>
      <w:rPr>
        <w:rFonts w:ascii="Wingdings" w:hAnsi="Wingdings" w:hint="default"/>
      </w:rPr>
    </w:lvl>
    <w:lvl w:ilvl="6">
      <w:start w:val="1"/>
      <w:numFmt w:val="bullet"/>
      <w:lvlText w:val=""/>
      <w:lvlJc w:val="left"/>
      <w:pPr>
        <w:ind w:left="1674" w:hanging="227"/>
      </w:pPr>
      <w:rPr>
        <w:rFonts w:ascii="Symbol" w:hAnsi="Symbol" w:hint="default"/>
      </w:rPr>
    </w:lvl>
    <w:lvl w:ilvl="7">
      <w:start w:val="1"/>
      <w:numFmt w:val="bullet"/>
      <w:lvlText w:val="o"/>
      <w:lvlJc w:val="left"/>
      <w:pPr>
        <w:ind w:left="1901" w:hanging="227"/>
      </w:pPr>
      <w:rPr>
        <w:rFonts w:ascii="Courier New" w:hAnsi="Courier New" w:cs="Courier New" w:hint="default"/>
      </w:rPr>
    </w:lvl>
    <w:lvl w:ilvl="8">
      <w:start w:val="1"/>
      <w:numFmt w:val="bullet"/>
      <w:lvlText w:val=""/>
      <w:lvlJc w:val="left"/>
      <w:pPr>
        <w:ind w:left="2128" w:hanging="227"/>
      </w:pPr>
      <w:rPr>
        <w:rFonts w:ascii="Wingdings" w:hAnsi="Wingdings" w:hint="default"/>
      </w:rPr>
    </w:lvl>
  </w:abstractNum>
  <w:abstractNum w:abstractNumId="44" w15:restartNumberingAfterBreak="0">
    <w:nsid w:val="64D21F10"/>
    <w:multiLevelType w:val="multilevel"/>
    <w:tmpl w:val="18ACFB38"/>
    <w:name w:val="HeadingsNumbered"/>
    <w:lvl w:ilvl="0">
      <w:start w:val="1"/>
      <w:numFmt w:val="decimal"/>
      <w:lvlText w:val="%1"/>
      <w:lvlJc w:val="left"/>
      <w:pPr>
        <w:ind w:left="227" w:hanging="227"/>
      </w:pPr>
      <w:rPr>
        <w:rFonts w:hint="default"/>
      </w:rPr>
    </w:lvl>
    <w:lvl w:ilvl="1">
      <w:start w:val="1"/>
      <w:numFmt w:val="lowerLetter"/>
      <w:lvlText w:val="(%2)"/>
      <w:lvlJc w:val="left"/>
      <w:pPr>
        <w:ind w:left="454" w:hanging="227"/>
      </w:pPr>
      <w:rPr>
        <w:rFonts w:hint="default"/>
      </w:rPr>
    </w:lvl>
    <w:lvl w:ilvl="2">
      <w:start w:val="1"/>
      <w:numFmt w:val="lowerRoman"/>
      <w:lvlText w:val="%3)"/>
      <w:lvlJc w:val="left"/>
      <w:pPr>
        <w:ind w:left="681" w:hanging="227"/>
      </w:pPr>
      <w:rPr>
        <w:rFonts w:hint="default"/>
      </w:rPr>
    </w:lvl>
    <w:lvl w:ilvl="3">
      <w:start w:val="1"/>
      <w:numFmt w:val="decimal"/>
      <w:lvlText w:val="(%4)"/>
      <w:lvlJc w:val="left"/>
      <w:pPr>
        <w:ind w:left="908" w:hanging="227"/>
      </w:pPr>
      <w:rPr>
        <w:rFonts w:hint="default"/>
      </w:rPr>
    </w:lvl>
    <w:lvl w:ilvl="4">
      <w:start w:val="1"/>
      <w:numFmt w:val="lowerLetter"/>
      <w:lvlText w:val="(%5)"/>
      <w:lvlJc w:val="left"/>
      <w:pPr>
        <w:ind w:left="1135" w:hanging="227"/>
      </w:pPr>
      <w:rPr>
        <w:rFonts w:hint="default"/>
      </w:rPr>
    </w:lvl>
    <w:lvl w:ilvl="5">
      <w:start w:val="1"/>
      <w:numFmt w:val="lowerRoman"/>
      <w:lvlText w:val="(%6)"/>
      <w:lvlJc w:val="left"/>
      <w:pPr>
        <w:ind w:left="1362" w:hanging="227"/>
      </w:pPr>
      <w:rPr>
        <w:rFonts w:hint="default"/>
      </w:rPr>
    </w:lvl>
    <w:lvl w:ilvl="6">
      <w:start w:val="1"/>
      <w:numFmt w:val="decimal"/>
      <w:lvlText w:val="%7."/>
      <w:lvlJc w:val="left"/>
      <w:pPr>
        <w:ind w:left="1589" w:hanging="227"/>
      </w:pPr>
      <w:rPr>
        <w:rFonts w:hint="default"/>
      </w:rPr>
    </w:lvl>
    <w:lvl w:ilvl="7">
      <w:start w:val="1"/>
      <w:numFmt w:val="lowerLetter"/>
      <w:lvlText w:val="%8."/>
      <w:lvlJc w:val="left"/>
      <w:pPr>
        <w:ind w:left="1816" w:hanging="227"/>
      </w:pPr>
      <w:rPr>
        <w:rFonts w:hint="default"/>
      </w:rPr>
    </w:lvl>
    <w:lvl w:ilvl="8">
      <w:start w:val="1"/>
      <w:numFmt w:val="lowerRoman"/>
      <w:lvlText w:val="%9."/>
      <w:lvlJc w:val="left"/>
      <w:pPr>
        <w:ind w:left="2043" w:hanging="227"/>
      </w:pPr>
      <w:rPr>
        <w:rFonts w:hint="default"/>
      </w:rPr>
    </w:lvl>
  </w:abstractNum>
  <w:abstractNum w:abstractNumId="45" w15:restartNumberingAfterBreak="0">
    <w:nsid w:val="65570CA3"/>
    <w:multiLevelType w:val="multilevel"/>
    <w:tmpl w:val="12E8C1A0"/>
    <w:name w:val="Headings"/>
    <w:lvl w:ilvl="0">
      <w:start w:val="1"/>
      <w:numFmt w:val="decimal"/>
      <w:lvlText w:val="Schedule %1."/>
      <w:lvlJc w:val="left"/>
      <w:pPr>
        <w:tabs>
          <w:tab w:val="num" w:pos="992"/>
        </w:tabs>
        <w:ind w:left="992" w:hanging="992"/>
      </w:pPr>
      <w:rPr>
        <w:rFonts w:hint="default"/>
        <w:b/>
        <w:i w:val="0"/>
        <w:color w:val="201547" w:themeColor="text2"/>
        <w:sz w:val="32"/>
      </w:rPr>
    </w:lvl>
    <w:lvl w:ilvl="1">
      <w:start w:val="1"/>
      <w:numFmt w:val="decimal"/>
      <w:lvlText w:val="%2."/>
      <w:lvlJc w:val="left"/>
      <w:pPr>
        <w:tabs>
          <w:tab w:val="num" w:pos="992"/>
        </w:tabs>
        <w:ind w:left="992" w:hanging="992"/>
      </w:pPr>
      <w:rPr>
        <w:rFonts w:hint="default"/>
        <w:b w:val="0"/>
        <w:i w:val="0"/>
        <w:color w:val="201547" w:themeColor="text2"/>
        <w:sz w:val="24"/>
      </w:rPr>
    </w:lvl>
    <w:lvl w:ilvl="2">
      <w:start w:val="1"/>
      <w:numFmt w:val="decimal"/>
      <w:lvlText w:val="%2.%3"/>
      <w:lvlJc w:val="left"/>
      <w:pPr>
        <w:tabs>
          <w:tab w:val="num" w:pos="992"/>
        </w:tabs>
        <w:ind w:left="992" w:hanging="992"/>
      </w:pPr>
      <w:rPr>
        <w:rFonts w:hint="default"/>
        <w:b/>
        <w:i w:val="0"/>
        <w:color w:val="232222" w:themeColor="text1"/>
        <w:sz w:val="24"/>
      </w:rPr>
    </w:lvl>
    <w:lvl w:ilvl="3">
      <w:start w:val="1"/>
      <w:numFmt w:val="decimal"/>
      <w:lvlText w:val="%2.%3.%4"/>
      <w:lvlJc w:val="left"/>
      <w:pPr>
        <w:tabs>
          <w:tab w:val="num" w:pos="992"/>
        </w:tabs>
        <w:ind w:left="992" w:hanging="992"/>
      </w:pPr>
      <w:rPr>
        <w:rFonts w:hint="default"/>
        <w:b w:val="0"/>
        <w:i w:val="0"/>
        <w:color w:val="232222" w:themeColor="text1"/>
        <w:sz w:val="24"/>
      </w:rPr>
    </w:lvl>
    <w:lvl w:ilvl="4">
      <w:start w:val="1"/>
      <w:numFmt w:val="decimal"/>
      <w:lvlText w:val="%2.%3.%4.%5"/>
      <w:lvlJc w:val="left"/>
      <w:pPr>
        <w:tabs>
          <w:tab w:val="num" w:pos="992"/>
        </w:tabs>
        <w:ind w:left="992" w:hanging="992"/>
      </w:pPr>
      <w:rPr>
        <w:rFonts w:hint="default"/>
        <w:color w:val="232222" w:themeColor="text1"/>
        <w:sz w:val="24"/>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46" w15:restartNumberingAfterBreak="0">
    <w:nsid w:val="668D0E4F"/>
    <w:multiLevelType w:val="multilevel"/>
    <w:tmpl w:val="5958E1D6"/>
    <w:styleLink w:val="CurrentList2"/>
    <w:lvl w:ilvl="0">
      <w:start w:val="1"/>
      <w:numFmt w:val="decimal"/>
      <w:lvlRestart w:val="0"/>
      <w:suff w:val="space"/>
      <w:lvlText w:val="%1."/>
      <w:lvlJc w:val="left"/>
      <w:pPr>
        <w:ind w:left="9640" w:firstLine="0"/>
      </w:pPr>
      <w:rPr>
        <w:rFonts w:hint="default"/>
        <w:spacing w:val="0"/>
        <w:sz w:val="40"/>
        <w:szCs w:val="40"/>
      </w:rPr>
    </w:lvl>
    <w:lvl w:ilvl="1">
      <w:start w:val="1"/>
      <w:numFmt w:val="decimal"/>
      <w:suff w:val="space"/>
      <w:lvlText w:val="%1.%2"/>
      <w:lvlJc w:val="left"/>
      <w:pPr>
        <w:ind w:left="0" w:firstLine="0"/>
      </w:pPr>
      <w:rPr>
        <w:rFonts w:hint="default"/>
        <w:spacing w:val="0"/>
        <w:sz w:val="32"/>
      </w:rPr>
    </w:lvl>
    <w:lvl w:ilvl="2">
      <w:start w:val="1"/>
      <w:numFmt w:val="decimal"/>
      <w:suff w:val="space"/>
      <w:lvlText w:val="%1.%2.%3"/>
      <w:lvlJc w:val="left"/>
      <w:pPr>
        <w:ind w:left="0" w:firstLine="0"/>
      </w:pPr>
      <w:rPr>
        <w:rFonts w:hint="default"/>
        <w:spacing w:val="0"/>
        <w:sz w:val="28"/>
      </w:rPr>
    </w:lvl>
    <w:lvl w:ilvl="3">
      <w:start w:val="1"/>
      <w:numFmt w:val="decimal"/>
      <w:suff w:val="space"/>
      <w:lvlText w:val="%1.%2.%3.%4"/>
      <w:lvlJc w:val="left"/>
      <w:pPr>
        <w:tabs>
          <w:tab w:val="num" w:pos="0"/>
        </w:tabs>
        <w:ind w:left="0" w:firstLine="0"/>
      </w:pPr>
      <w:rPr>
        <w:rFonts w:hint="default"/>
        <w:spacing w:val="0"/>
        <w:sz w:val="24"/>
      </w:rPr>
    </w:lvl>
    <w:lvl w:ilvl="4">
      <w:start w:val="1"/>
      <w:numFmt w:val="none"/>
      <w:suff w:val="nothing"/>
      <w:lvlText w:val=""/>
      <w:lvlJc w:val="left"/>
      <w:pPr>
        <w:ind w:left="0" w:firstLine="0"/>
      </w:pPr>
      <w:rPr>
        <w:rFonts w:hint="default"/>
        <w:spacing w:val="-6"/>
        <w:sz w:val="21"/>
      </w:rPr>
    </w:lvl>
    <w:lvl w:ilvl="5">
      <w:start w:val="1"/>
      <w:numFmt w:val="lowerRoman"/>
      <w:lvlText w:val="(%6)"/>
      <w:lvlJc w:val="left"/>
      <w:pPr>
        <w:ind w:left="1191" w:hanging="1191"/>
      </w:pPr>
      <w:rPr>
        <w:rFonts w:hint="default"/>
      </w:rPr>
    </w:lvl>
    <w:lvl w:ilvl="6">
      <w:start w:val="1"/>
      <w:numFmt w:val="decimal"/>
      <w:lvlText w:val="%7."/>
      <w:lvlJc w:val="left"/>
      <w:pPr>
        <w:ind w:left="1191" w:hanging="1191"/>
      </w:pPr>
      <w:rPr>
        <w:rFonts w:hint="default"/>
      </w:rPr>
    </w:lvl>
    <w:lvl w:ilvl="7">
      <w:start w:val="1"/>
      <w:numFmt w:val="lowerLetter"/>
      <w:lvlText w:val="%8."/>
      <w:lvlJc w:val="left"/>
      <w:pPr>
        <w:ind w:left="1191" w:hanging="1191"/>
      </w:pPr>
      <w:rPr>
        <w:rFonts w:hint="default"/>
      </w:rPr>
    </w:lvl>
    <w:lvl w:ilvl="8">
      <w:start w:val="1"/>
      <w:numFmt w:val="lowerRoman"/>
      <w:lvlText w:val="%9."/>
      <w:lvlJc w:val="left"/>
      <w:pPr>
        <w:ind w:left="1191" w:hanging="1191"/>
      </w:pPr>
      <w:rPr>
        <w:rFonts w:hint="default"/>
      </w:rPr>
    </w:lvl>
  </w:abstractNum>
  <w:abstractNum w:abstractNumId="47" w15:restartNumberingAfterBreak="0">
    <w:nsid w:val="6A063291"/>
    <w:multiLevelType w:val="multilevel"/>
    <w:tmpl w:val="C0AC327A"/>
    <w:lvl w:ilvl="0">
      <w:start w:val="1"/>
      <w:numFmt w:val="bullet"/>
      <w:lvlText w:val=""/>
      <w:lvlJc w:val="left"/>
      <w:pPr>
        <w:ind w:left="340" w:hanging="227"/>
      </w:pPr>
      <w:rPr>
        <w:rFonts w:ascii="Wingdings" w:hAnsi="Wingdings" w:hint="default"/>
        <w:color w:val="auto"/>
      </w:rPr>
    </w:lvl>
    <w:lvl w:ilvl="1">
      <w:start w:val="1"/>
      <w:numFmt w:val="lowerLetter"/>
      <w:lvlText w:val="%2)"/>
      <w:lvlJc w:val="left"/>
      <w:pPr>
        <w:ind w:left="700" w:hanging="360"/>
      </w:pPr>
    </w:lvl>
    <w:lvl w:ilvl="2">
      <w:start w:val="1"/>
      <w:numFmt w:val="bullet"/>
      <w:lvlText w:val=""/>
      <w:lvlJc w:val="left"/>
      <w:pPr>
        <w:ind w:left="794" w:hanging="227"/>
      </w:pPr>
      <w:rPr>
        <w:rFonts w:ascii="Symbol" w:hAnsi="Symbol" w:hint="default"/>
        <w:color w:val="auto"/>
        <w:position w:val="0"/>
      </w:rPr>
    </w:lvl>
    <w:lvl w:ilvl="3">
      <w:start w:val="1"/>
      <w:numFmt w:val="none"/>
      <w:lvlText w:val=""/>
      <w:lvlJc w:val="left"/>
      <w:pPr>
        <w:ind w:left="1021" w:hanging="227"/>
      </w:pPr>
      <w:rPr>
        <w:rFonts w:hint="default"/>
        <w:b/>
        <w:i w:val="0"/>
        <w:sz w:val="20"/>
      </w:rPr>
    </w:lvl>
    <w:lvl w:ilvl="4">
      <w:start w:val="1"/>
      <w:numFmt w:val="none"/>
      <w:lvlText w:val=""/>
      <w:lvlJc w:val="left"/>
      <w:pPr>
        <w:ind w:left="1248" w:hanging="227"/>
      </w:pPr>
      <w:rPr>
        <w:rFonts w:hint="default"/>
        <w:position w:val="2"/>
        <w:sz w:val="16"/>
      </w:rPr>
    </w:lvl>
    <w:lvl w:ilvl="5">
      <w:start w:val="1"/>
      <w:numFmt w:val="bullet"/>
      <w:lvlText w:val=""/>
      <w:lvlJc w:val="left"/>
      <w:pPr>
        <w:tabs>
          <w:tab w:val="num" w:pos="1927"/>
        </w:tabs>
        <w:ind w:left="1475" w:hanging="227"/>
      </w:pPr>
      <w:rPr>
        <w:rFonts w:ascii="Wingdings" w:hAnsi="Wingdings" w:hint="default"/>
      </w:rPr>
    </w:lvl>
    <w:lvl w:ilvl="6">
      <w:start w:val="1"/>
      <w:numFmt w:val="bullet"/>
      <w:lvlText w:val=""/>
      <w:lvlJc w:val="left"/>
      <w:pPr>
        <w:tabs>
          <w:tab w:val="num" w:pos="2267"/>
        </w:tabs>
        <w:ind w:left="1702" w:hanging="227"/>
      </w:pPr>
      <w:rPr>
        <w:rFonts w:ascii="Symbol" w:hAnsi="Symbol" w:hint="default"/>
      </w:rPr>
    </w:lvl>
    <w:lvl w:ilvl="7">
      <w:start w:val="1"/>
      <w:numFmt w:val="bullet"/>
      <w:lvlText w:val="o"/>
      <w:lvlJc w:val="left"/>
      <w:pPr>
        <w:tabs>
          <w:tab w:val="num" w:pos="2607"/>
        </w:tabs>
        <w:ind w:left="1929" w:hanging="227"/>
      </w:pPr>
      <w:rPr>
        <w:rFonts w:ascii="Courier New" w:hAnsi="Courier New" w:cs="Courier New" w:hint="default"/>
      </w:rPr>
    </w:lvl>
    <w:lvl w:ilvl="8">
      <w:start w:val="1"/>
      <w:numFmt w:val="bullet"/>
      <w:lvlText w:val=""/>
      <w:lvlJc w:val="left"/>
      <w:pPr>
        <w:tabs>
          <w:tab w:val="num" w:pos="2947"/>
        </w:tabs>
        <w:ind w:left="2156" w:hanging="227"/>
      </w:pPr>
      <w:rPr>
        <w:rFonts w:ascii="Wingdings" w:hAnsi="Wingdings" w:hint="default"/>
      </w:rPr>
    </w:lvl>
  </w:abstractNum>
  <w:abstractNum w:abstractNumId="48" w15:restartNumberingAfterBreak="0">
    <w:nsid w:val="6D4A0038"/>
    <w:multiLevelType w:val="hybridMultilevel"/>
    <w:tmpl w:val="8BC8DC4E"/>
    <w:lvl w:ilvl="0" w:tplc="53C87A0C">
      <w:start w:val="1"/>
      <w:numFmt w:val="lowerRoman"/>
      <w:pStyle w:val="ListParagraph"/>
      <w:lvlText w:val="%1."/>
      <w:lvlJc w:val="right"/>
      <w:pPr>
        <w:ind w:left="360" w:hanging="360"/>
      </w:pPr>
      <w:rPr>
        <w:rFonts w:hint="default"/>
        <w:b/>
        <w:color w:val="111111" w:themeColor="text1" w:themeShade="80"/>
        <w:u w:val="none"/>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9" w15:restartNumberingAfterBreak="0">
    <w:nsid w:val="6E464DAA"/>
    <w:multiLevelType w:val="multilevel"/>
    <w:tmpl w:val="AB881C60"/>
    <w:styleLink w:val="CurrentList1"/>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70250B03"/>
    <w:multiLevelType w:val="multilevel"/>
    <w:tmpl w:val="F3EA2326"/>
    <w:name w:val="DEPIQuoteBullets"/>
    <w:lvl w:ilvl="0">
      <w:start w:val="1"/>
      <w:numFmt w:val="bullet"/>
      <w:pStyle w:val="QuoteBullet"/>
      <w:lvlText w:val=""/>
      <w:lvlJc w:val="left"/>
      <w:pPr>
        <w:tabs>
          <w:tab w:val="num" w:pos="454"/>
        </w:tabs>
        <w:ind w:left="454" w:hanging="170"/>
      </w:pPr>
      <w:rPr>
        <w:rFonts w:ascii="Symbol" w:hAnsi="Symbol" w:hint="default"/>
        <w:b w:val="0"/>
        <w:i w:val="0"/>
        <w:color w:val="232222" w:themeColor="text1"/>
        <w:position w:val="2"/>
        <w:sz w:val="18"/>
      </w:rPr>
    </w:lvl>
    <w:lvl w:ilvl="1">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201547"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51" w15:restartNumberingAfterBreak="0">
    <w:nsid w:val="74B87AA0"/>
    <w:multiLevelType w:val="multilevel"/>
    <w:tmpl w:val="DAE644F6"/>
    <w:name w:val="PullOutBoxBullets"/>
    <w:lvl w:ilvl="0">
      <w:start w:val="1"/>
      <w:numFmt w:val="bullet"/>
      <w:lvlText w:val="•"/>
      <w:lvlJc w:val="left"/>
      <w:pPr>
        <w:ind w:left="567" w:hanging="340"/>
      </w:pPr>
      <w:rPr>
        <w:rFonts w:ascii="Arial" w:hAnsi="Arial" w:hint="default"/>
        <w:color w:val="232222" w:themeColor="text1"/>
        <w:sz w:val="28"/>
      </w:rPr>
    </w:lvl>
    <w:lvl w:ilvl="1">
      <w:start w:val="1"/>
      <w:numFmt w:val="decimal"/>
      <w:lvlText w:val="%1.%2"/>
      <w:lvlJc w:val="left"/>
      <w:pPr>
        <w:ind w:left="794" w:hanging="794"/>
      </w:pPr>
      <w:rPr>
        <w:rFonts w:hint="default"/>
      </w:rPr>
    </w:lvl>
    <w:lvl w:ilvl="2">
      <w:start w:val="1"/>
      <w:numFmt w:val="none"/>
      <w:suff w:val="nothing"/>
      <w:lvlText w:val=""/>
      <w:lvlJc w:val="left"/>
      <w:pPr>
        <w:ind w:left="0" w:firstLine="0"/>
      </w:pPr>
      <w:rPr>
        <w:rFonts w:hint="default"/>
      </w:rPr>
    </w:lvl>
    <w:lvl w:ilvl="3">
      <w:start w:val="1"/>
      <w:numFmt w:val="upperLetter"/>
      <w:lvlText w:val="%4)"/>
      <w:lvlJc w:val="left"/>
      <w:pPr>
        <w:ind w:left="794" w:hanging="454"/>
      </w:pPr>
      <w:rPr>
        <w:rFonts w:hint="default"/>
      </w:rPr>
    </w:lvl>
    <w:lvl w:ilvl="4">
      <w:start w:val="1"/>
      <w:numFmt w:val="none"/>
      <w:lvlText w:val=""/>
      <w:lvlJc w:val="left"/>
      <w:pPr>
        <w:ind w:left="992" w:hanging="992"/>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52" w15:restartNumberingAfterBreak="0">
    <w:nsid w:val="75B62B5E"/>
    <w:multiLevelType w:val="multilevel"/>
    <w:tmpl w:val="F2E8571A"/>
    <w:name w:val="List Alpha2"/>
    <w:lvl w:ilvl="0">
      <w:start w:val="1"/>
      <w:numFmt w:val="lowerLetter"/>
      <w:lvlText w:val="%1."/>
      <w:lvlJc w:val="left"/>
      <w:pPr>
        <w:tabs>
          <w:tab w:val="num" w:pos="397"/>
        </w:tabs>
        <w:ind w:left="794" w:hanging="397"/>
      </w:pPr>
      <w:rPr>
        <w:rFonts w:ascii="Times New Roman" w:hAnsi="Times New Roman" w:cs="Times New Roman" w:hint="default"/>
        <w:b w:val="0"/>
        <w:bCs w:val="0"/>
        <w:i w:val="0"/>
        <w:iCs w:val="0"/>
        <w:caps w:val="0"/>
        <w:smallCaps w:val="0"/>
        <w:strike w:val="0"/>
        <w:dstrike w:val="0"/>
        <w:outline w:val="0"/>
        <w:shadow w:val="0"/>
        <w:emboss w:val="0"/>
        <w:imprint w:val="0"/>
        <w:snapToGrid w:val="0"/>
        <w:vanish w:val="0"/>
        <w:color w:val="201547" w:themeColor="text2"/>
        <w:spacing w:val="0"/>
        <w:w w:val="0"/>
        <w:kern w:val="0"/>
        <w:position w:val="0"/>
        <w:sz w:val="0"/>
        <w:szCs w:val="0"/>
        <w:u w:val="none" w:color="000000"/>
        <w:effect w:val="none"/>
        <w:vertAlign w:val="baseline"/>
        <w:em w:val="none"/>
        <w14:ligatures w14:val="none"/>
        <w14:numForm w14:val="default"/>
        <w14:numSpacing w14:val="default"/>
        <w14:stylisticSets/>
        <w14:cntxtAlts w14:val="0"/>
      </w:rPr>
    </w:lvl>
    <w:lvl w:ilvl="1">
      <w:start w:val="1"/>
      <w:numFmt w:val="lowerLetter"/>
      <w:lvlText w:val="%2."/>
      <w:lvlJc w:val="left"/>
      <w:pPr>
        <w:tabs>
          <w:tab w:val="num" w:pos="680"/>
        </w:tabs>
        <w:ind w:left="680" w:hanging="340"/>
      </w:pPr>
      <w:rPr>
        <w:rFonts w:hint="default"/>
        <w:b w:val="0"/>
        <w:i w:val="0"/>
        <w:color w:val="201547" w:themeColor="text2"/>
        <w:position w:val="2"/>
        <w:sz w:val="20"/>
      </w:rPr>
    </w:lvl>
    <w:lvl w:ilvl="2">
      <w:start w:val="1"/>
      <w:numFmt w:val="bullet"/>
      <w:lvlText w:val="–"/>
      <w:lvlJc w:val="left"/>
      <w:pPr>
        <w:tabs>
          <w:tab w:val="num" w:pos="1361"/>
        </w:tabs>
        <w:ind w:left="1361" w:hanging="340"/>
      </w:pPr>
      <w:rPr>
        <w:rFonts w:ascii="Arial" w:hAnsi="Arial" w:hint="default"/>
        <w:color w:val="201547" w:themeColor="text2"/>
        <w:position w:val="3"/>
        <w:sz w:val="20"/>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53" w15:restartNumberingAfterBreak="0">
    <w:nsid w:val="7839021E"/>
    <w:multiLevelType w:val="hybridMultilevel"/>
    <w:tmpl w:val="E0E09B5E"/>
    <w:name w:val="DEPIListNumbering"/>
    <w:lvl w:ilvl="0" w:tplc="7B5C0B46">
      <w:start w:val="1"/>
      <w:numFmt w:val="decimal"/>
      <w:lvlText w:val="%1."/>
      <w:lvlJc w:val="left"/>
      <w:pPr>
        <w:tabs>
          <w:tab w:val="num" w:pos="340"/>
        </w:tabs>
        <w:ind w:left="340" w:hanging="340"/>
      </w:pPr>
      <w:rPr>
        <w:rFonts w:hint="default"/>
        <w:color w:val="232222" w:themeColor="text1"/>
        <w:spacing w:val="0"/>
        <w:sz w:val="20"/>
      </w:rPr>
    </w:lvl>
    <w:lvl w:ilvl="1" w:tplc="ED30D8E8">
      <w:start w:val="1"/>
      <w:numFmt w:val="lowerLetter"/>
      <w:lvlText w:val="%2."/>
      <w:lvlJc w:val="left"/>
      <w:pPr>
        <w:tabs>
          <w:tab w:val="num" w:pos="680"/>
        </w:tabs>
        <w:ind w:left="680" w:hanging="340"/>
      </w:pPr>
      <w:rPr>
        <w:rFonts w:hint="default"/>
        <w:color w:val="232222" w:themeColor="text1"/>
        <w:spacing w:val="0"/>
        <w:sz w:val="20"/>
      </w:rPr>
    </w:lvl>
    <w:lvl w:ilvl="2" w:tplc="B3C0523E">
      <w:start w:val="1"/>
      <w:numFmt w:val="lowerRoman"/>
      <w:lvlText w:val="%3."/>
      <w:lvlJc w:val="left"/>
      <w:pPr>
        <w:tabs>
          <w:tab w:val="num" w:pos="1049"/>
        </w:tabs>
        <w:ind w:left="1049" w:hanging="369"/>
      </w:pPr>
      <w:rPr>
        <w:rFonts w:hint="default"/>
        <w:color w:val="232222" w:themeColor="text1"/>
        <w:spacing w:val="0"/>
        <w:position w:val="0"/>
        <w:sz w:val="20"/>
        <w:szCs w:val="16"/>
      </w:rPr>
    </w:lvl>
    <w:lvl w:ilvl="3" w:tplc="9188B3FE">
      <w:start w:val="1"/>
      <w:numFmt w:val="none"/>
      <w:lvlText w:val=""/>
      <w:lvlJc w:val="left"/>
      <w:pPr>
        <w:tabs>
          <w:tab w:val="num" w:pos="-31680"/>
        </w:tabs>
        <w:ind w:left="-32767" w:firstLine="0"/>
      </w:pPr>
      <w:rPr>
        <w:rFonts w:hint="default"/>
      </w:rPr>
    </w:lvl>
    <w:lvl w:ilvl="4" w:tplc="C7D611CC">
      <w:start w:val="1"/>
      <w:numFmt w:val="none"/>
      <w:lvlText w:val=""/>
      <w:lvlJc w:val="left"/>
      <w:pPr>
        <w:tabs>
          <w:tab w:val="num" w:pos="-31680"/>
        </w:tabs>
        <w:ind w:left="-32767" w:firstLine="0"/>
      </w:pPr>
      <w:rPr>
        <w:rFonts w:hint="default"/>
      </w:rPr>
    </w:lvl>
    <w:lvl w:ilvl="5" w:tplc="0122CBBA">
      <w:start w:val="1"/>
      <w:numFmt w:val="none"/>
      <w:lvlText w:val=""/>
      <w:lvlJc w:val="left"/>
      <w:pPr>
        <w:tabs>
          <w:tab w:val="num" w:pos="-31680"/>
        </w:tabs>
        <w:ind w:left="-32767" w:firstLine="0"/>
      </w:pPr>
      <w:rPr>
        <w:rFonts w:hint="default"/>
      </w:rPr>
    </w:lvl>
    <w:lvl w:ilvl="6" w:tplc="2C5AEC74">
      <w:start w:val="1"/>
      <w:numFmt w:val="none"/>
      <w:lvlText w:val=""/>
      <w:lvlJc w:val="left"/>
      <w:pPr>
        <w:tabs>
          <w:tab w:val="num" w:pos="-31680"/>
        </w:tabs>
        <w:ind w:left="-32767" w:firstLine="0"/>
      </w:pPr>
      <w:rPr>
        <w:rFonts w:hint="default"/>
      </w:rPr>
    </w:lvl>
    <w:lvl w:ilvl="7" w:tplc="B7FAA980">
      <w:start w:val="1"/>
      <w:numFmt w:val="none"/>
      <w:lvlText w:val=""/>
      <w:lvlJc w:val="left"/>
      <w:pPr>
        <w:tabs>
          <w:tab w:val="num" w:pos="-31680"/>
        </w:tabs>
        <w:ind w:left="-32767" w:firstLine="0"/>
      </w:pPr>
      <w:rPr>
        <w:rFonts w:hint="default"/>
      </w:rPr>
    </w:lvl>
    <w:lvl w:ilvl="8" w:tplc="4790DC10">
      <w:start w:val="1"/>
      <w:numFmt w:val="none"/>
      <w:lvlText w:val=""/>
      <w:lvlJc w:val="left"/>
      <w:pPr>
        <w:tabs>
          <w:tab w:val="num" w:pos="-31680"/>
        </w:tabs>
        <w:ind w:left="-32767" w:firstLine="0"/>
      </w:pPr>
      <w:rPr>
        <w:rFonts w:hint="default"/>
      </w:rPr>
    </w:lvl>
  </w:abstractNum>
  <w:abstractNum w:abstractNumId="54" w15:restartNumberingAfterBreak="0">
    <w:nsid w:val="7A3879FC"/>
    <w:multiLevelType w:val="multilevel"/>
    <w:tmpl w:val="22B6EB42"/>
    <w:styleLink w:val="CurrentList3"/>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7D284207"/>
    <w:multiLevelType w:val="multilevel"/>
    <w:tmpl w:val="9D460A52"/>
    <w:name w:val="Lst_HighlightBullets"/>
    <w:lvl w:ilvl="0">
      <w:start w:val="1"/>
      <w:numFmt w:val="bullet"/>
      <w:lvlRestart w:val="0"/>
      <w:pStyle w:val="HighlightBoxBullet"/>
      <w:lvlText w:val=""/>
      <w:lvlJc w:val="left"/>
      <w:pPr>
        <w:ind w:left="454" w:hanging="227"/>
      </w:pPr>
      <w:rPr>
        <w:rFonts w:ascii="Wingdings" w:hAnsi="Wingdings" w:hint="default"/>
        <w:color w:val="FFFFFF"/>
        <w:sz w:val="24"/>
      </w:rPr>
    </w:lvl>
    <w:lvl w:ilvl="1">
      <w:start w:val="1"/>
      <w:numFmt w:val="bullet"/>
      <w:lvlText w:val="o"/>
      <w:lvlJc w:val="left"/>
      <w:pPr>
        <w:ind w:left="1667" w:hanging="360"/>
      </w:pPr>
      <w:rPr>
        <w:rFonts w:ascii="Courier New" w:hAnsi="Courier New" w:cs="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56" w15:restartNumberingAfterBreak="0">
    <w:nsid w:val="7E030DAE"/>
    <w:multiLevelType w:val="multilevel"/>
    <w:tmpl w:val="30C0C6AC"/>
    <w:name w:val="MyNumbering"/>
    <w:lvl w:ilvl="0">
      <w:start w:val="1"/>
      <w:numFmt w:val="lowerRoman"/>
      <w:lvlText w:val="%1."/>
      <w:lvlJc w:val="left"/>
      <w:pPr>
        <w:ind w:left="794" w:hanging="397"/>
      </w:pPr>
      <w:rPr>
        <w:rFonts w:hint="default"/>
        <w:b w:val="0"/>
        <w:i w:val="0"/>
        <w:color w:val="201547" w:themeColor="text2"/>
        <w:sz w:val="22"/>
      </w:rPr>
    </w:lvl>
    <w:lvl w:ilvl="1">
      <w:start w:val="1"/>
      <w:numFmt w:val="lowerLetter"/>
      <w:lvlText w:val="%2."/>
      <w:lvlJc w:val="left"/>
      <w:pPr>
        <w:tabs>
          <w:tab w:val="num" w:pos="737"/>
        </w:tabs>
        <w:ind w:left="737" w:hanging="368"/>
      </w:pPr>
      <w:rPr>
        <w:rFonts w:hint="default"/>
        <w:color w:val="auto"/>
        <w:sz w:val="20"/>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num w:numId="1" w16cid:durableId="1128745877">
    <w:abstractNumId w:val="14"/>
  </w:num>
  <w:num w:numId="2" w16cid:durableId="170411264">
    <w:abstractNumId w:val="42"/>
  </w:num>
  <w:num w:numId="3" w16cid:durableId="985085104">
    <w:abstractNumId w:val="11"/>
  </w:num>
  <w:num w:numId="4" w16cid:durableId="1872112631">
    <w:abstractNumId w:val="15"/>
  </w:num>
  <w:num w:numId="5" w16cid:durableId="336812815">
    <w:abstractNumId w:val="27"/>
  </w:num>
  <w:num w:numId="6" w16cid:durableId="155153463">
    <w:abstractNumId w:val="0"/>
  </w:num>
  <w:num w:numId="7" w16cid:durableId="1428236886">
    <w:abstractNumId w:val="30"/>
  </w:num>
  <w:num w:numId="8" w16cid:durableId="103154041">
    <w:abstractNumId w:val="33"/>
  </w:num>
  <w:num w:numId="9" w16cid:durableId="1308436166">
    <w:abstractNumId w:val="29"/>
  </w:num>
  <w:num w:numId="10" w16cid:durableId="1335643199">
    <w:abstractNumId w:val="40"/>
  </w:num>
  <w:num w:numId="11" w16cid:durableId="1160577431">
    <w:abstractNumId w:val="31"/>
  </w:num>
  <w:num w:numId="12" w16cid:durableId="1673139647">
    <w:abstractNumId w:val="18"/>
  </w:num>
  <w:num w:numId="13" w16cid:durableId="1742215375">
    <w:abstractNumId w:val="55"/>
  </w:num>
  <w:num w:numId="14" w16cid:durableId="664823544">
    <w:abstractNumId w:val="50"/>
  </w:num>
  <w:num w:numId="15" w16cid:durableId="103705147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78916323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34277923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200766007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83391038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9196690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601499762">
    <w:abstractNumId w:val="47"/>
  </w:num>
  <w:num w:numId="22" w16cid:durableId="1384477417">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0789094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52267372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98543046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77136140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944576239">
    <w:abstractNumId w:val="2"/>
  </w:num>
  <w:num w:numId="28" w16cid:durableId="2119636553">
    <w:abstractNumId w:val="48"/>
  </w:num>
  <w:num w:numId="29" w16cid:durableId="1361785276">
    <w:abstractNumId w:val="34"/>
  </w:num>
  <w:num w:numId="30" w16cid:durableId="140995646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64318918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74530438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971180656">
    <w:abstractNumId w:val="49"/>
  </w:num>
  <w:num w:numId="34" w16cid:durableId="2073189443">
    <w:abstractNumId w:val="28"/>
  </w:num>
  <w:num w:numId="35" w16cid:durableId="1838298987">
    <w:abstractNumId w:val="28"/>
    <w:lvlOverride w:ilvl="0">
      <w:startOverride w:val="1"/>
    </w:lvlOverride>
  </w:num>
  <w:num w:numId="36" w16cid:durableId="69824126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37100651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501968096">
    <w:abstractNumId w:val="46"/>
  </w:num>
  <w:num w:numId="39" w16cid:durableId="1451588010">
    <w:abstractNumId w:val="25"/>
  </w:num>
  <w:num w:numId="40" w16cid:durableId="91810036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460221299">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41517180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29286089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50810379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64404675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451439640">
    <w:abstractNumId w:val="28"/>
    <w:lvlOverride w:ilvl="0">
      <w:startOverride w:val="1"/>
    </w:lvlOverride>
  </w:num>
  <w:num w:numId="47" w16cid:durableId="40715087">
    <w:abstractNumId w:val="12"/>
  </w:num>
  <w:num w:numId="48" w16cid:durableId="1638031663">
    <w:abstractNumId w:val="28"/>
    <w:lvlOverride w:ilvl="0">
      <w:startOverride w:val="1"/>
    </w:lvlOverride>
  </w:num>
  <w:num w:numId="49" w16cid:durableId="411464541">
    <w:abstractNumId w:val="8"/>
  </w:num>
  <w:num w:numId="50" w16cid:durableId="1760323521">
    <w:abstractNumId w:val="28"/>
    <w:lvlOverride w:ilvl="0">
      <w:startOverride w:val="1"/>
    </w:lvlOverride>
  </w:num>
  <w:num w:numId="51" w16cid:durableId="270863468">
    <w:abstractNumId w:val="54"/>
  </w:num>
  <w:num w:numId="52" w16cid:durableId="357318508">
    <w:abstractNumId w:val="8"/>
    <w:lvlOverride w:ilvl="0">
      <w:startOverride w:val="1"/>
    </w:lvlOverride>
  </w:num>
  <w:num w:numId="53" w16cid:durableId="91323921">
    <w:abstractNumId w:val="8"/>
    <w:lvlOverride w:ilvl="0">
      <w:startOverride w:val="1"/>
    </w:lvlOverride>
  </w:num>
  <w:num w:numId="54" w16cid:durableId="81925132">
    <w:abstractNumId w:val="8"/>
    <w:lvlOverride w:ilvl="0">
      <w:startOverride w:val="1"/>
    </w:lvlOverride>
  </w:num>
  <w:num w:numId="55" w16cid:durableId="1759522415">
    <w:abstractNumId w:val="8"/>
    <w:lvlOverride w:ilvl="0">
      <w:startOverride w:val="1"/>
    </w:lvlOverride>
  </w:num>
  <w:num w:numId="56" w16cid:durableId="1743942341">
    <w:abstractNumId w:val="8"/>
    <w:lvlOverride w:ilvl="0">
      <w:startOverride w:val="1"/>
    </w:lvlOverride>
  </w:num>
  <w:num w:numId="57" w16cid:durableId="1609386823">
    <w:abstractNumId w:val="8"/>
    <w:lvlOverride w:ilvl="0">
      <w:startOverride w:val="1"/>
    </w:lvlOverride>
  </w:num>
  <w:num w:numId="58" w16cid:durableId="1792356101">
    <w:abstractNumId w:val="8"/>
    <w:lvlOverride w:ilvl="0">
      <w:startOverride w:val="1"/>
    </w:lvlOverride>
  </w:num>
  <w:num w:numId="59" w16cid:durableId="1099761537">
    <w:abstractNumId w:val="8"/>
    <w:lvlOverride w:ilvl="0">
      <w:startOverride w:val="1"/>
    </w:lvlOverride>
  </w:num>
  <w:num w:numId="60" w16cid:durableId="1979411915">
    <w:abstractNumId w:val="8"/>
    <w:lvlOverride w:ilvl="0">
      <w:startOverride w:val="1"/>
    </w:lvlOverride>
  </w:num>
  <w:num w:numId="61" w16cid:durableId="662313995">
    <w:abstractNumId w:val="8"/>
    <w:lvlOverride w:ilvl="0">
      <w:startOverride w:val="1"/>
    </w:lvlOverride>
  </w:num>
  <w:num w:numId="62" w16cid:durableId="212473488">
    <w:abstractNumId w:val="8"/>
    <w:lvlOverride w:ilvl="0">
      <w:startOverride w:val="1"/>
    </w:lvlOverride>
  </w:num>
  <w:num w:numId="63" w16cid:durableId="1761295924">
    <w:abstractNumId w:val="8"/>
    <w:lvlOverride w:ilvl="0">
      <w:startOverride w:val="1"/>
    </w:lvlOverride>
  </w:num>
  <w:num w:numId="64" w16cid:durableId="1475413194">
    <w:abstractNumId w:val="8"/>
    <w:lvlOverride w:ilvl="0">
      <w:startOverride w:val="1"/>
    </w:lvlOverride>
  </w:num>
  <w:num w:numId="65" w16cid:durableId="2030836969">
    <w:abstractNumId w:val="8"/>
    <w:lvlOverride w:ilvl="0">
      <w:startOverride w:val="1"/>
    </w:lvlOverride>
  </w:num>
  <w:num w:numId="66" w16cid:durableId="1713651587">
    <w:abstractNumId w:val="8"/>
    <w:lvlOverride w:ilvl="0">
      <w:startOverride w:val="1"/>
    </w:lvlOverride>
  </w:num>
  <w:num w:numId="67" w16cid:durableId="1558206640">
    <w:abstractNumId w:val="8"/>
    <w:lvlOverride w:ilvl="0">
      <w:startOverride w:val="1"/>
    </w:lvlOverride>
  </w:num>
  <w:num w:numId="68" w16cid:durableId="1096705321">
    <w:abstractNumId w:val="8"/>
    <w:lvlOverride w:ilvl="0">
      <w:startOverride w:val="1"/>
    </w:lvlOverride>
  </w:num>
  <w:num w:numId="69" w16cid:durableId="773134658">
    <w:abstractNumId w:val="28"/>
    <w:lvlOverride w:ilvl="0">
      <w:startOverride w:val="1"/>
    </w:lvlOverride>
  </w:num>
  <w:num w:numId="70" w16cid:durableId="1335181975">
    <w:abstractNumId w:val="41"/>
  </w:num>
  <w:num w:numId="71" w16cid:durableId="317802956">
    <w:abstractNumId w:val="8"/>
    <w:lvlOverride w:ilvl="0">
      <w:startOverride w:val="1"/>
    </w:lvlOverride>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displayBackgroundShape/>
  <w:embedSystemFonts/>
  <w:proofState w:spelling="clean" w:grammar="clean"/>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evenAndOddHeaders/>
  <w:drawingGridHorizontalSpacing w:val="110"/>
  <w:displayHorizontalDrawingGridEvery w:val="2"/>
  <w:characterSpacingControl w:val="doNotCompress"/>
  <w:hdrShapeDefaults>
    <o:shapedefaults v:ext="edit" spidmax="2050"/>
  </w:hdrShapeDefaults>
  <w:footnotePr>
    <w:footnote w:id="-1"/>
    <w:footnote w:id="0"/>
    <w:footnote w:id="1"/>
  </w:footnotePr>
  <w:endnotePr>
    <w:pos w:val="sectEnd"/>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4Landscape" w:val="False"/>
    <w:docVar w:name="A4Portrait" w:val="True"/>
    <w:docVar w:name="Abbreviations" w:val="False"/>
    <w:docVar w:name="Audience" w:val="External"/>
    <w:docVar w:name="CoBrandNumber" w:val="0"/>
    <w:docVar w:name="ColourTheme" w:val="Colourful"/>
    <w:docVar w:name="ContentiousSubject" w:val="False"/>
    <w:docVar w:name="CoverCoBranded" w:val="False"/>
    <w:docVar w:name="CoverLayout" w:val="One"/>
    <w:docVar w:name="CoverProjectBar" w:val="False"/>
    <w:docVar w:name="CoverWebAddress" w:val="False"/>
    <w:docVar w:name="DCP" w:val="False"/>
    <w:docVar w:name="Endnote" w:val="False"/>
    <w:docVar w:name="Endnotes" w:val="True"/>
    <w:docVar w:name="Engevity-CustomTemplates" w:val="True"/>
    <w:docVar w:name="ESCaption" w:val="ES"/>
    <w:docVar w:name="FooterTextAuto" w:val="True"/>
    <w:docVar w:name="Glossary" w:val="False"/>
    <w:docVar w:name="Heading1Numbered" w:val="True"/>
    <w:docVar w:name="Heading2Numbered" w:val="True"/>
    <w:docVar w:name="Heading3Numbered" w:val="True"/>
    <w:docVar w:name="Heading4Numbered" w:val="True"/>
    <w:docVar w:name="Heading5Numbered" w:val="False"/>
    <w:docVar w:name="MasterDoc" w:val="True"/>
    <w:docVar w:name="NumberedCaptions" w:val="False"/>
    <w:docVar w:name="Overview" w:val="False"/>
    <w:docVar w:name="PageSetup" w:val="Single"/>
    <w:docVar w:name="Para" w:val="_x000d_"/>
    <w:docVar w:name="Theme Color" w:val="Corporate"/>
    <w:docVar w:name="TOC" w:val="True"/>
    <w:docVar w:name="TOCNew" w:val="True"/>
    <w:docVar w:name="TOCType" w:val="Normal"/>
    <w:docVar w:name="UpdateTheme" w:val="False"/>
    <w:docVar w:name="Watermark" w:val=" "/>
    <w:docVar w:name="xAppendixName" w:val="Appendix"/>
    <w:docVar w:name="xHeadingsNumbered" w:val="True"/>
    <w:docVar w:name="xTOCApp" w:val="S"/>
    <w:docVar w:name="xTOCFigure" w:val="H"/>
    <w:docVar w:name="xTOCH2" w:val="Y"/>
    <w:docVar w:name="xTOCH3" w:val="Y"/>
    <w:docVar w:name="xTOCH4" w:val="Y"/>
    <w:docVar w:name="xTOCTable" w:val="H"/>
  </w:docVars>
  <w:rsids>
    <w:rsidRoot w:val="00F51D1A"/>
    <w:rsid w:val="00000194"/>
    <w:rsid w:val="00000812"/>
    <w:rsid w:val="00000901"/>
    <w:rsid w:val="00001D81"/>
    <w:rsid w:val="00002691"/>
    <w:rsid w:val="00003260"/>
    <w:rsid w:val="000035CB"/>
    <w:rsid w:val="000035F6"/>
    <w:rsid w:val="00004327"/>
    <w:rsid w:val="00004810"/>
    <w:rsid w:val="00004A68"/>
    <w:rsid w:val="00004EEE"/>
    <w:rsid w:val="000058A9"/>
    <w:rsid w:val="00005CCD"/>
    <w:rsid w:val="00006884"/>
    <w:rsid w:val="000068CA"/>
    <w:rsid w:val="0000736B"/>
    <w:rsid w:val="00007A11"/>
    <w:rsid w:val="000105A9"/>
    <w:rsid w:val="000112BF"/>
    <w:rsid w:val="00011C29"/>
    <w:rsid w:val="00011F46"/>
    <w:rsid w:val="0001216C"/>
    <w:rsid w:val="000125A5"/>
    <w:rsid w:val="000128AB"/>
    <w:rsid w:val="0001294B"/>
    <w:rsid w:val="00012BCD"/>
    <w:rsid w:val="00012D6E"/>
    <w:rsid w:val="00012FAF"/>
    <w:rsid w:val="0001307F"/>
    <w:rsid w:val="00013173"/>
    <w:rsid w:val="000133B3"/>
    <w:rsid w:val="000139F9"/>
    <w:rsid w:val="00013C91"/>
    <w:rsid w:val="000147D8"/>
    <w:rsid w:val="00014AD2"/>
    <w:rsid w:val="000152AC"/>
    <w:rsid w:val="00015655"/>
    <w:rsid w:val="000160DB"/>
    <w:rsid w:val="0001645A"/>
    <w:rsid w:val="00016927"/>
    <w:rsid w:val="00016F11"/>
    <w:rsid w:val="00017A37"/>
    <w:rsid w:val="00017E78"/>
    <w:rsid w:val="000200A9"/>
    <w:rsid w:val="00020166"/>
    <w:rsid w:val="00020224"/>
    <w:rsid w:val="00020425"/>
    <w:rsid w:val="0002048A"/>
    <w:rsid w:val="00020A83"/>
    <w:rsid w:val="00020D21"/>
    <w:rsid w:val="00022FC9"/>
    <w:rsid w:val="0002313E"/>
    <w:rsid w:val="00023619"/>
    <w:rsid w:val="00024DE5"/>
    <w:rsid w:val="00024F9A"/>
    <w:rsid w:val="0002586C"/>
    <w:rsid w:val="000265EA"/>
    <w:rsid w:val="00026DA1"/>
    <w:rsid w:val="00026DC2"/>
    <w:rsid w:val="00026F6C"/>
    <w:rsid w:val="000273C5"/>
    <w:rsid w:val="00027BB4"/>
    <w:rsid w:val="00030105"/>
    <w:rsid w:val="00030A38"/>
    <w:rsid w:val="0003160B"/>
    <w:rsid w:val="0003300C"/>
    <w:rsid w:val="000332EC"/>
    <w:rsid w:val="000337A3"/>
    <w:rsid w:val="00033B66"/>
    <w:rsid w:val="000343D3"/>
    <w:rsid w:val="000346D1"/>
    <w:rsid w:val="00034E7A"/>
    <w:rsid w:val="0003565D"/>
    <w:rsid w:val="00036064"/>
    <w:rsid w:val="000360F2"/>
    <w:rsid w:val="00036D45"/>
    <w:rsid w:val="00037321"/>
    <w:rsid w:val="000374E9"/>
    <w:rsid w:val="00037830"/>
    <w:rsid w:val="00037F96"/>
    <w:rsid w:val="000401C1"/>
    <w:rsid w:val="0004081F"/>
    <w:rsid w:val="000408B7"/>
    <w:rsid w:val="00040E63"/>
    <w:rsid w:val="00040EB4"/>
    <w:rsid w:val="000411A2"/>
    <w:rsid w:val="00041613"/>
    <w:rsid w:val="00041B06"/>
    <w:rsid w:val="0004232F"/>
    <w:rsid w:val="00042903"/>
    <w:rsid w:val="00043F27"/>
    <w:rsid w:val="00043FEB"/>
    <w:rsid w:val="00044607"/>
    <w:rsid w:val="00044A5B"/>
    <w:rsid w:val="00044D92"/>
    <w:rsid w:val="0004603D"/>
    <w:rsid w:val="0004675A"/>
    <w:rsid w:val="00046C2E"/>
    <w:rsid w:val="00046F44"/>
    <w:rsid w:val="000473F4"/>
    <w:rsid w:val="00050713"/>
    <w:rsid w:val="00050F0B"/>
    <w:rsid w:val="00051BFC"/>
    <w:rsid w:val="00051D5C"/>
    <w:rsid w:val="00052454"/>
    <w:rsid w:val="0005252A"/>
    <w:rsid w:val="000528CB"/>
    <w:rsid w:val="00052A09"/>
    <w:rsid w:val="00053104"/>
    <w:rsid w:val="000531C8"/>
    <w:rsid w:val="00053C58"/>
    <w:rsid w:val="00053CC3"/>
    <w:rsid w:val="0005457E"/>
    <w:rsid w:val="00054A64"/>
    <w:rsid w:val="0005578D"/>
    <w:rsid w:val="00055A62"/>
    <w:rsid w:val="00056024"/>
    <w:rsid w:val="000574CC"/>
    <w:rsid w:val="000574DD"/>
    <w:rsid w:val="00057EB4"/>
    <w:rsid w:val="00060B9F"/>
    <w:rsid w:val="000610DD"/>
    <w:rsid w:val="0006141F"/>
    <w:rsid w:val="000634B5"/>
    <w:rsid w:val="000636FD"/>
    <w:rsid w:val="00063A7B"/>
    <w:rsid w:val="00064148"/>
    <w:rsid w:val="000645D3"/>
    <w:rsid w:val="00064813"/>
    <w:rsid w:val="0006651D"/>
    <w:rsid w:val="00066A4B"/>
    <w:rsid w:val="00066BD0"/>
    <w:rsid w:val="00066D49"/>
    <w:rsid w:val="0006707D"/>
    <w:rsid w:val="000672C6"/>
    <w:rsid w:val="00067A55"/>
    <w:rsid w:val="00067B0C"/>
    <w:rsid w:val="00067EEC"/>
    <w:rsid w:val="00070773"/>
    <w:rsid w:val="0007095A"/>
    <w:rsid w:val="00070B05"/>
    <w:rsid w:val="00071191"/>
    <w:rsid w:val="0007166A"/>
    <w:rsid w:val="00071FC0"/>
    <w:rsid w:val="00072080"/>
    <w:rsid w:val="0007232D"/>
    <w:rsid w:val="0007247D"/>
    <w:rsid w:val="00072E7B"/>
    <w:rsid w:val="00073EF4"/>
    <w:rsid w:val="00073FC4"/>
    <w:rsid w:val="00074537"/>
    <w:rsid w:val="00074EF6"/>
    <w:rsid w:val="000751D5"/>
    <w:rsid w:val="00075748"/>
    <w:rsid w:val="000759A7"/>
    <w:rsid w:val="00075B1E"/>
    <w:rsid w:val="00075E0B"/>
    <w:rsid w:val="000764DD"/>
    <w:rsid w:val="00076662"/>
    <w:rsid w:val="00076B5B"/>
    <w:rsid w:val="00076CEC"/>
    <w:rsid w:val="000770EF"/>
    <w:rsid w:val="000775DF"/>
    <w:rsid w:val="00077BDB"/>
    <w:rsid w:val="00077D57"/>
    <w:rsid w:val="00080082"/>
    <w:rsid w:val="000809F5"/>
    <w:rsid w:val="00080B70"/>
    <w:rsid w:val="0008257E"/>
    <w:rsid w:val="00082701"/>
    <w:rsid w:val="00082CAC"/>
    <w:rsid w:val="00082EEC"/>
    <w:rsid w:val="00082F2B"/>
    <w:rsid w:val="00083038"/>
    <w:rsid w:val="00083241"/>
    <w:rsid w:val="000838F2"/>
    <w:rsid w:val="00084244"/>
    <w:rsid w:val="0008438B"/>
    <w:rsid w:val="000843B4"/>
    <w:rsid w:val="00084998"/>
    <w:rsid w:val="00084E5E"/>
    <w:rsid w:val="00085767"/>
    <w:rsid w:val="00085B6D"/>
    <w:rsid w:val="00086400"/>
    <w:rsid w:val="000865B4"/>
    <w:rsid w:val="0008678B"/>
    <w:rsid w:val="00086C5B"/>
    <w:rsid w:val="00087019"/>
    <w:rsid w:val="00087157"/>
    <w:rsid w:val="0008765C"/>
    <w:rsid w:val="00087AA2"/>
    <w:rsid w:val="00087CE5"/>
    <w:rsid w:val="00087DBC"/>
    <w:rsid w:val="0009026C"/>
    <w:rsid w:val="00090C31"/>
    <w:rsid w:val="00090CB5"/>
    <w:rsid w:val="00090D68"/>
    <w:rsid w:val="0009129D"/>
    <w:rsid w:val="000913B9"/>
    <w:rsid w:val="00091C6D"/>
    <w:rsid w:val="00091E67"/>
    <w:rsid w:val="000922A4"/>
    <w:rsid w:val="00092C13"/>
    <w:rsid w:val="00093AB0"/>
    <w:rsid w:val="00093DB2"/>
    <w:rsid w:val="00094357"/>
    <w:rsid w:val="00094652"/>
    <w:rsid w:val="00094887"/>
    <w:rsid w:val="00094C04"/>
    <w:rsid w:val="00095774"/>
    <w:rsid w:val="000957C3"/>
    <w:rsid w:val="00095B03"/>
    <w:rsid w:val="00095BF8"/>
    <w:rsid w:val="00095E93"/>
    <w:rsid w:val="0009618E"/>
    <w:rsid w:val="0009636C"/>
    <w:rsid w:val="00097178"/>
    <w:rsid w:val="000971A5"/>
    <w:rsid w:val="000A0157"/>
    <w:rsid w:val="000A01E2"/>
    <w:rsid w:val="000A043A"/>
    <w:rsid w:val="000A06F1"/>
    <w:rsid w:val="000A0740"/>
    <w:rsid w:val="000A0772"/>
    <w:rsid w:val="000A07D4"/>
    <w:rsid w:val="000A0853"/>
    <w:rsid w:val="000A0D39"/>
    <w:rsid w:val="000A0ECF"/>
    <w:rsid w:val="000A10AE"/>
    <w:rsid w:val="000A13C1"/>
    <w:rsid w:val="000A1A10"/>
    <w:rsid w:val="000A25A3"/>
    <w:rsid w:val="000A2646"/>
    <w:rsid w:val="000A2A5F"/>
    <w:rsid w:val="000A3203"/>
    <w:rsid w:val="000A3E5B"/>
    <w:rsid w:val="000A43C4"/>
    <w:rsid w:val="000A4DD8"/>
    <w:rsid w:val="000A513C"/>
    <w:rsid w:val="000A5285"/>
    <w:rsid w:val="000A55E9"/>
    <w:rsid w:val="000A56AA"/>
    <w:rsid w:val="000A6056"/>
    <w:rsid w:val="000A64D2"/>
    <w:rsid w:val="000A64DF"/>
    <w:rsid w:val="000A65C4"/>
    <w:rsid w:val="000A6AD7"/>
    <w:rsid w:val="000A70AB"/>
    <w:rsid w:val="000B010B"/>
    <w:rsid w:val="000B02C8"/>
    <w:rsid w:val="000B07C0"/>
    <w:rsid w:val="000B101F"/>
    <w:rsid w:val="000B1783"/>
    <w:rsid w:val="000B2770"/>
    <w:rsid w:val="000B2B40"/>
    <w:rsid w:val="000B36D8"/>
    <w:rsid w:val="000B497E"/>
    <w:rsid w:val="000B51BB"/>
    <w:rsid w:val="000B5385"/>
    <w:rsid w:val="000B575E"/>
    <w:rsid w:val="000B59CB"/>
    <w:rsid w:val="000B5AC1"/>
    <w:rsid w:val="000B5B6D"/>
    <w:rsid w:val="000B6301"/>
    <w:rsid w:val="000B65EE"/>
    <w:rsid w:val="000B6910"/>
    <w:rsid w:val="000B6A5F"/>
    <w:rsid w:val="000B6E1A"/>
    <w:rsid w:val="000B74D9"/>
    <w:rsid w:val="000C02EC"/>
    <w:rsid w:val="000C036C"/>
    <w:rsid w:val="000C043D"/>
    <w:rsid w:val="000C1F21"/>
    <w:rsid w:val="000C23D8"/>
    <w:rsid w:val="000C254D"/>
    <w:rsid w:val="000C269E"/>
    <w:rsid w:val="000C2D7C"/>
    <w:rsid w:val="000C3365"/>
    <w:rsid w:val="000C3390"/>
    <w:rsid w:val="000C3827"/>
    <w:rsid w:val="000C3BCA"/>
    <w:rsid w:val="000C4032"/>
    <w:rsid w:val="000C410E"/>
    <w:rsid w:val="000C4237"/>
    <w:rsid w:val="000C440C"/>
    <w:rsid w:val="000C4598"/>
    <w:rsid w:val="000C46FD"/>
    <w:rsid w:val="000C4A68"/>
    <w:rsid w:val="000C4AFB"/>
    <w:rsid w:val="000C58C6"/>
    <w:rsid w:val="000C5C01"/>
    <w:rsid w:val="000C620E"/>
    <w:rsid w:val="000C782D"/>
    <w:rsid w:val="000C7BB4"/>
    <w:rsid w:val="000D01DB"/>
    <w:rsid w:val="000D02C6"/>
    <w:rsid w:val="000D038D"/>
    <w:rsid w:val="000D0471"/>
    <w:rsid w:val="000D04B1"/>
    <w:rsid w:val="000D04F8"/>
    <w:rsid w:val="000D057E"/>
    <w:rsid w:val="000D0DDA"/>
    <w:rsid w:val="000D0FA2"/>
    <w:rsid w:val="000D1C49"/>
    <w:rsid w:val="000D1CCC"/>
    <w:rsid w:val="000D1DA0"/>
    <w:rsid w:val="000D2B3D"/>
    <w:rsid w:val="000D319F"/>
    <w:rsid w:val="000D36F9"/>
    <w:rsid w:val="000D3881"/>
    <w:rsid w:val="000D3CAE"/>
    <w:rsid w:val="000D487A"/>
    <w:rsid w:val="000D4AC1"/>
    <w:rsid w:val="000D5000"/>
    <w:rsid w:val="000D5967"/>
    <w:rsid w:val="000D5CE1"/>
    <w:rsid w:val="000D6309"/>
    <w:rsid w:val="000D6417"/>
    <w:rsid w:val="000D6482"/>
    <w:rsid w:val="000D66AF"/>
    <w:rsid w:val="000D7227"/>
    <w:rsid w:val="000D73BF"/>
    <w:rsid w:val="000D73C9"/>
    <w:rsid w:val="000D7514"/>
    <w:rsid w:val="000D752F"/>
    <w:rsid w:val="000D7AF3"/>
    <w:rsid w:val="000D7F5B"/>
    <w:rsid w:val="000E0068"/>
    <w:rsid w:val="000E1777"/>
    <w:rsid w:val="000E2BFA"/>
    <w:rsid w:val="000E2E35"/>
    <w:rsid w:val="000E2F22"/>
    <w:rsid w:val="000E2F7C"/>
    <w:rsid w:val="000E3433"/>
    <w:rsid w:val="000E35EE"/>
    <w:rsid w:val="000E38AA"/>
    <w:rsid w:val="000E3C36"/>
    <w:rsid w:val="000E4946"/>
    <w:rsid w:val="000E4BDE"/>
    <w:rsid w:val="000E4D36"/>
    <w:rsid w:val="000E5431"/>
    <w:rsid w:val="000E57A7"/>
    <w:rsid w:val="000E60B6"/>
    <w:rsid w:val="000E60F1"/>
    <w:rsid w:val="000E61F8"/>
    <w:rsid w:val="000E6D73"/>
    <w:rsid w:val="000E7420"/>
    <w:rsid w:val="000E79F7"/>
    <w:rsid w:val="000E7E4A"/>
    <w:rsid w:val="000E7F29"/>
    <w:rsid w:val="000F040F"/>
    <w:rsid w:val="000F0977"/>
    <w:rsid w:val="000F0AB0"/>
    <w:rsid w:val="000F1017"/>
    <w:rsid w:val="000F1954"/>
    <w:rsid w:val="000F1B2C"/>
    <w:rsid w:val="000F1E52"/>
    <w:rsid w:val="000F26D5"/>
    <w:rsid w:val="000F2AE7"/>
    <w:rsid w:val="000F2BEC"/>
    <w:rsid w:val="000F2FCE"/>
    <w:rsid w:val="000F3362"/>
    <w:rsid w:val="000F39C2"/>
    <w:rsid w:val="000F436A"/>
    <w:rsid w:val="000F47F5"/>
    <w:rsid w:val="000F4BAE"/>
    <w:rsid w:val="000F4D26"/>
    <w:rsid w:val="000F515F"/>
    <w:rsid w:val="000F59FB"/>
    <w:rsid w:val="000F5E55"/>
    <w:rsid w:val="000F5FFD"/>
    <w:rsid w:val="000F6093"/>
    <w:rsid w:val="000F661E"/>
    <w:rsid w:val="000F66F3"/>
    <w:rsid w:val="000F696C"/>
    <w:rsid w:val="000F72AB"/>
    <w:rsid w:val="000F7466"/>
    <w:rsid w:val="000F7BB5"/>
    <w:rsid w:val="000F7C2D"/>
    <w:rsid w:val="0010018C"/>
    <w:rsid w:val="00101154"/>
    <w:rsid w:val="00101215"/>
    <w:rsid w:val="00101A91"/>
    <w:rsid w:val="00101FF8"/>
    <w:rsid w:val="001023F4"/>
    <w:rsid w:val="00102D94"/>
    <w:rsid w:val="00103C12"/>
    <w:rsid w:val="001042E1"/>
    <w:rsid w:val="0010455D"/>
    <w:rsid w:val="00104C22"/>
    <w:rsid w:val="0010532E"/>
    <w:rsid w:val="00105C15"/>
    <w:rsid w:val="00105FBE"/>
    <w:rsid w:val="00106BF0"/>
    <w:rsid w:val="001074CC"/>
    <w:rsid w:val="00107C8F"/>
    <w:rsid w:val="0011038E"/>
    <w:rsid w:val="0011045B"/>
    <w:rsid w:val="00110623"/>
    <w:rsid w:val="00110760"/>
    <w:rsid w:val="0011087C"/>
    <w:rsid w:val="0011132C"/>
    <w:rsid w:val="001114CB"/>
    <w:rsid w:val="0011235E"/>
    <w:rsid w:val="001129F9"/>
    <w:rsid w:val="00112A56"/>
    <w:rsid w:val="00112EDB"/>
    <w:rsid w:val="00112FC9"/>
    <w:rsid w:val="00113496"/>
    <w:rsid w:val="0011371C"/>
    <w:rsid w:val="00113A48"/>
    <w:rsid w:val="00113D4F"/>
    <w:rsid w:val="00113EE7"/>
    <w:rsid w:val="0011429D"/>
    <w:rsid w:val="00114377"/>
    <w:rsid w:val="0011480F"/>
    <w:rsid w:val="0011501B"/>
    <w:rsid w:val="001153CE"/>
    <w:rsid w:val="001156B1"/>
    <w:rsid w:val="0011585A"/>
    <w:rsid w:val="00115B93"/>
    <w:rsid w:val="00116264"/>
    <w:rsid w:val="00116413"/>
    <w:rsid w:val="001167C6"/>
    <w:rsid w:val="001169AD"/>
    <w:rsid w:val="001176AC"/>
    <w:rsid w:val="001177D2"/>
    <w:rsid w:val="00117809"/>
    <w:rsid w:val="00120092"/>
    <w:rsid w:val="0012010E"/>
    <w:rsid w:val="0012041B"/>
    <w:rsid w:val="00120D59"/>
    <w:rsid w:val="001218C4"/>
    <w:rsid w:val="0012246B"/>
    <w:rsid w:val="001228AC"/>
    <w:rsid w:val="001230A0"/>
    <w:rsid w:val="00123111"/>
    <w:rsid w:val="00123633"/>
    <w:rsid w:val="001242E9"/>
    <w:rsid w:val="001244D8"/>
    <w:rsid w:val="00124782"/>
    <w:rsid w:val="0012486F"/>
    <w:rsid w:val="00124BC5"/>
    <w:rsid w:val="0012511D"/>
    <w:rsid w:val="001252B3"/>
    <w:rsid w:val="00125676"/>
    <w:rsid w:val="0012652C"/>
    <w:rsid w:val="001267C9"/>
    <w:rsid w:val="001268C6"/>
    <w:rsid w:val="00126943"/>
    <w:rsid w:val="00127337"/>
    <w:rsid w:val="001274AA"/>
    <w:rsid w:val="001278BC"/>
    <w:rsid w:val="001302AB"/>
    <w:rsid w:val="0013044E"/>
    <w:rsid w:val="00130471"/>
    <w:rsid w:val="00130735"/>
    <w:rsid w:val="00130B14"/>
    <w:rsid w:val="0013134A"/>
    <w:rsid w:val="00131E40"/>
    <w:rsid w:val="001320DB"/>
    <w:rsid w:val="00132534"/>
    <w:rsid w:val="00132ECF"/>
    <w:rsid w:val="00133CEB"/>
    <w:rsid w:val="00133DA1"/>
    <w:rsid w:val="00133EF1"/>
    <w:rsid w:val="00133FBF"/>
    <w:rsid w:val="00134222"/>
    <w:rsid w:val="00134985"/>
    <w:rsid w:val="001359FC"/>
    <w:rsid w:val="00135A21"/>
    <w:rsid w:val="0013609B"/>
    <w:rsid w:val="001369F7"/>
    <w:rsid w:val="00136DBE"/>
    <w:rsid w:val="001378AA"/>
    <w:rsid w:val="00137A24"/>
    <w:rsid w:val="00137E68"/>
    <w:rsid w:val="001406CA"/>
    <w:rsid w:val="001417FF"/>
    <w:rsid w:val="00141FDF"/>
    <w:rsid w:val="00142793"/>
    <w:rsid w:val="00142974"/>
    <w:rsid w:val="00142DF2"/>
    <w:rsid w:val="0014423E"/>
    <w:rsid w:val="00144787"/>
    <w:rsid w:val="00145F74"/>
    <w:rsid w:val="0014604E"/>
    <w:rsid w:val="00146947"/>
    <w:rsid w:val="00147141"/>
    <w:rsid w:val="0014722D"/>
    <w:rsid w:val="00147B60"/>
    <w:rsid w:val="00150746"/>
    <w:rsid w:val="001508A3"/>
    <w:rsid w:val="00151331"/>
    <w:rsid w:val="00151BF0"/>
    <w:rsid w:val="00152B0E"/>
    <w:rsid w:val="00152DC6"/>
    <w:rsid w:val="00152E41"/>
    <w:rsid w:val="001536B2"/>
    <w:rsid w:val="001538EE"/>
    <w:rsid w:val="0015405B"/>
    <w:rsid w:val="00155192"/>
    <w:rsid w:val="00155B41"/>
    <w:rsid w:val="00155B79"/>
    <w:rsid w:val="00156344"/>
    <w:rsid w:val="00156406"/>
    <w:rsid w:val="001565D2"/>
    <w:rsid w:val="0015669A"/>
    <w:rsid w:val="00156BC1"/>
    <w:rsid w:val="001571C1"/>
    <w:rsid w:val="001573C7"/>
    <w:rsid w:val="001574B6"/>
    <w:rsid w:val="00157F04"/>
    <w:rsid w:val="00160C09"/>
    <w:rsid w:val="00160EA5"/>
    <w:rsid w:val="00161183"/>
    <w:rsid w:val="00161450"/>
    <w:rsid w:val="00161A18"/>
    <w:rsid w:val="00161DFE"/>
    <w:rsid w:val="00162508"/>
    <w:rsid w:val="0016271B"/>
    <w:rsid w:val="00162EBC"/>
    <w:rsid w:val="0016336A"/>
    <w:rsid w:val="00163A5B"/>
    <w:rsid w:val="00163A88"/>
    <w:rsid w:val="00164012"/>
    <w:rsid w:val="001640D2"/>
    <w:rsid w:val="001644C7"/>
    <w:rsid w:val="00164716"/>
    <w:rsid w:val="00164A05"/>
    <w:rsid w:val="001651B6"/>
    <w:rsid w:val="00165E60"/>
    <w:rsid w:val="00166097"/>
    <w:rsid w:val="0016613C"/>
    <w:rsid w:val="00166DAD"/>
    <w:rsid w:val="00166E6D"/>
    <w:rsid w:val="00166FB5"/>
    <w:rsid w:val="00167022"/>
    <w:rsid w:val="0016718E"/>
    <w:rsid w:val="0017060B"/>
    <w:rsid w:val="00170701"/>
    <w:rsid w:val="00171B71"/>
    <w:rsid w:val="00171C7C"/>
    <w:rsid w:val="00172637"/>
    <w:rsid w:val="001726D4"/>
    <w:rsid w:val="001728B5"/>
    <w:rsid w:val="00172E6A"/>
    <w:rsid w:val="0017336D"/>
    <w:rsid w:val="001733E5"/>
    <w:rsid w:val="00173F1A"/>
    <w:rsid w:val="00174052"/>
    <w:rsid w:val="001745CE"/>
    <w:rsid w:val="00174E84"/>
    <w:rsid w:val="001750A0"/>
    <w:rsid w:val="00175DCC"/>
    <w:rsid w:val="001762F3"/>
    <w:rsid w:val="001766D2"/>
    <w:rsid w:val="001768FA"/>
    <w:rsid w:val="001769A8"/>
    <w:rsid w:val="00177179"/>
    <w:rsid w:val="0017749D"/>
    <w:rsid w:val="001778A7"/>
    <w:rsid w:val="00177F02"/>
    <w:rsid w:val="001806B5"/>
    <w:rsid w:val="00180E8D"/>
    <w:rsid w:val="00180FF8"/>
    <w:rsid w:val="001813B0"/>
    <w:rsid w:val="001818D8"/>
    <w:rsid w:val="0018239D"/>
    <w:rsid w:val="001827CC"/>
    <w:rsid w:val="00183096"/>
    <w:rsid w:val="001835D2"/>
    <w:rsid w:val="0018426D"/>
    <w:rsid w:val="00184490"/>
    <w:rsid w:val="001844C6"/>
    <w:rsid w:val="001845EF"/>
    <w:rsid w:val="00184B03"/>
    <w:rsid w:val="00185BF1"/>
    <w:rsid w:val="00186186"/>
    <w:rsid w:val="0018625D"/>
    <w:rsid w:val="00186A77"/>
    <w:rsid w:val="001874D7"/>
    <w:rsid w:val="00187662"/>
    <w:rsid w:val="00187B9E"/>
    <w:rsid w:val="001900C7"/>
    <w:rsid w:val="001903F5"/>
    <w:rsid w:val="001910A2"/>
    <w:rsid w:val="00191188"/>
    <w:rsid w:val="001911BB"/>
    <w:rsid w:val="00191308"/>
    <w:rsid w:val="00191D42"/>
    <w:rsid w:val="00192D60"/>
    <w:rsid w:val="00192DC6"/>
    <w:rsid w:val="00192F5C"/>
    <w:rsid w:val="00193C8F"/>
    <w:rsid w:val="00193EE5"/>
    <w:rsid w:val="00194013"/>
    <w:rsid w:val="001942E7"/>
    <w:rsid w:val="001945C8"/>
    <w:rsid w:val="00194A76"/>
    <w:rsid w:val="00194AAE"/>
    <w:rsid w:val="00194B60"/>
    <w:rsid w:val="00195D19"/>
    <w:rsid w:val="00195DF5"/>
    <w:rsid w:val="00195F0C"/>
    <w:rsid w:val="00196A24"/>
    <w:rsid w:val="00196E13"/>
    <w:rsid w:val="0019756C"/>
    <w:rsid w:val="00197D54"/>
    <w:rsid w:val="001A0FC3"/>
    <w:rsid w:val="001A1B29"/>
    <w:rsid w:val="001A1E8A"/>
    <w:rsid w:val="001A26B9"/>
    <w:rsid w:val="001A3352"/>
    <w:rsid w:val="001A3695"/>
    <w:rsid w:val="001A4052"/>
    <w:rsid w:val="001A44AA"/>
    <w:rsid w:val="001A4A74"/>
    <w:rsid w:val="001A59BB"/>
    <w:rsid w:val="001A5A0F"/>
    <w:rsid w:val="001A5B24"/>
    <w:rsid w:val="001A5B3F"/>
    <w:rsid w:val="001A5C62"/>
    <w:rsid w:val="001A63B0"/>
    <w:rsid w:val="001A6B09"/>
    <w:rsid w:val="001B017B"/>
    <w:rsid w:val="001B08FF"/>
    <w:rsid w:val="001B1992"/>
    <w:rsid w:val="001B1B2B"/>
    <w:rsid w:val="001B1CD9"/>
    <w:rsid w:val="001B204A"/>
    <w:rsid w:val="001B2370"/>
    <w:rsid w:val="001B2AD7"/>
    <w:rsid w:val="001B2D49"/>
    <w:rsid w:val="001B2EC3"/>
    <w:rsid w:val="001B2ED0"/>
    <w:rsid w:val="001B32D1"/>
    <w:rsid w:val="001B330C"/>
    <w:rsid w:val="001B332D"/>
    <w:rsid w:val="001B387D"/>
    <w:rsid w:val="001B45A7"/>
    <w:rsid w:val="001B5158"/>
    <w:rsid w:val="001B57E8"/>
    <w:rsid w:val="001B6D41"/>
    <w:rsid w:val="001B6E7E"/>
    <w:rsid w:val="001B7C04"/>
    <w:rsid w:val="001B7E65"/>
    <w:rsid w:val="001C045F"/>
    <w:rsid w:val="001C047F"/>
    <w:rsid w:val="001C145F"/>
    <w:rsid w:val="001C158E"/>
    <w:rsid w:val="001C2103"/>
    <w:rsid w:val="001C2198"/>
    <w:rsid w:val="001C2489"/>
    <w:rsid w:val="001C2510"/>
    <w:rsid w:val="001C2788"/>
    <w:rsid w:val="001C2CCA"/>
    <w:rsid w:val="001C31C0"/>
    <w:rsid w:val="001C35C1"/>
    <w:rsid w:val="001C3788"/>
    <w:rsid w:val="001C40E3"/>
    <w:rsid w:val="001C4657"/>
    <w:rsid w:val="001C5162"/>
    <w:rsid w:val="001C5290"/>
    <w:rsid w:val="001C5E6E"/>
    <w:rsid w:val="001C71FB"/>
    <w:rsid w:val="001C72A9"/>
    <w:rsid w:val="001C73A0"/>
    <w:rsid w:val="001C78A3"/>
    <w:rsid w:val="001D064C"/>
    <w:rsid w:val="001D0889"/>
    <w:rsid w:val="001D11E7"/>
    <w:rsid w:val="001D134B"/>
    <w:rsid w:val="001D15F7"/>
    <w:rsid w:val="001D223D"/>
    <w:rsid w:val="001D2B66"/>
    <w:rsid w:val="001D2D53"/>
    <w:rsid w:val="001D34EA"/>
    <w:rsid w:val="001D39F8"/>
    <w:rsid w:val="001D3B02"/>
    <w:rsid w:val="001D46AE"/>
    <w:rsid w:val="001D47F4"/>
    <w:rsid w:val="001D5D1A"/>
    <w:rsid w:val="001D5FC7"/>
    <w:rsid w:val="001D6139"/>
    <w:rsid w:val="001D6167"/>
    <w:rsid w:val="001D63D0"/>
    <w:rsid w:val="001D6714"/>
    <w:rsid w:val="001D74A8"/>
    <w:rsid w:val="001D76AB"/>
    <w:rsid w:val="001D78C3"/>
    <w:rsid w:val="001E04BC"/>
    <w:rsid w:val="001E04F9"/>
    <w:rsid w:val="001E0766"/>
    <w:rsid w:val="001E093C"/>
    <w:rsid w:val="001E174B"/>
    <w:rsid w:val="001E1D0E"/>
    <w:rsid w:val="001E1DB7"/>
    <w:rsid w:val="001E1E00"/>
    <w:rsid w:val="001E2412"/>
    <w:rsid w:val="001E261C"/>
    <w:rsid w:val="001E28B4"/>
    <w:rsid w:val="001E3601"/>
    <w:rsid w:val="001E3629"/>
    <w:rsid w:val="001E3BB5"/>
    <w:rsid w:val="001E3E6C"/>
    <w:rsid w:val="001E43CC"/>
    <w:rsid w:val="001E48EA"/>
    <w:rsid w:val="001E51A2"/>
    <w:rsid w:val="001E57CA"/>
    <w:rsid w:val="001E59A1"/>
    <w:rsid w:val="001E5CD5"/>
    <w:rsid w:val="001E6421"/>
    <w:rsid w:val="001E6674"/>
    <w:rsid w:val="001E67C2"/>
    <w:rsid w:val="001E6F78"/>
    <w:rsid w:val="001E70EA"/>
    <w:rsid w:val="001E7483"/>
    <w:rsid w:val="001E7FE0"/>
    <w:rsid w:val="001F0748"/>
    <w:rsid w:val="001F0A72"/>
    <w:rsid w:val="001F2252"/>
    <w:rsid w:val="001F2C32"/>
    <w:rsid w:val="001F302E"/>
    <w:rsid w:val="001F3545"/>
    <w:rsid w:val="001F35A0"/>
    <w:rsid w:val="001F44D3"/>
    <w:rsid w:val="001F4765"/>
    <w:rsid w:val="001F4EF4"/>
    <w:rsid w:val="001F5040"/>
    <w:rsid w:val="001F5BF9"/>
    <w:rsid w:val="001F618A"/>
    <w:rsid w:val="001F61BB"/>
    <w:rsid w:val="001F6460"/>
    <w:rsid w:val="001F6826"/>
    <w:rsid w:val="001F6E03"/>
    <w:rsid w:val="001F7585"/>
    <w:rsid w:val="001F75D2"/>
    <w:rsid w:val="001F75DA"/>
    <w:rsid w:val="001F797E"/>
    <w:rsid w:val="001F79DC"/>
    <w:rsid w:val="001F7BC3"/>
    <w:rsid w:val="00201CDB"/>
    <w:rsid w:val="0020269C"/>
    <w:rsid w:val="0020272B"/>
    <w:rsid w:val="00202D57"/>
    <w:rsid w:val="00202F7A"/>
    <w:rsid w:val="0020352B"/>
    <w:rsid w:val="002042D5"/>
    <w:rsid w:val="002047FF"/>
    <w:rsid w:val="002048EC"/>
    <w:rsid w:val="0020496E"/>
    <w:rsid w:val="00204B9C"/>
    <w:rsid w:val="00204C72"/>
    <w:rsid w:val="00204E23"/>
    <w:rsid w:val="00205B11"/>
    <w:rsid w:val="00205F19"/>
    <w:rsid w:val="002062AB"/>
    <w:rsid w:val="00206424"/>
    <w:rsid w:val="002067B9"/>
    <w:rsid w:val="00206D77"/>
    <w:rsid w:val="00206E8D"/>
    <w:rsid w:val="002071C2"/>
    <w:rsid w:val="00207596"/>
    <w:rsid w:val="00207E74"/>
    <w:rsid w:val="00210137"/>
    <w:rsid w:val="00210B5C"/>
    <w:rsid w:val="00210C96"/>
    <w:rsid w:val="00210D2E"/>
    <w:rsid w:val="00211075"/>
    <w:rsid w:val="00211747"/>
    <w:rsid w:val="002117DD"/>
    <w:rsid w:val="00211AC7"/>
    <w:rsid w:val="00212101"/>
    <w:rsid w:val="00213177"/>
    <w:rsid w:val="00213867"/>
    <w:rsid w:val="002139DC"/>
    <w:rsid w:val="00213B2D"/>
    <w:rsid w:val="00214138"/>
    <w:rsid w:val="002146AD"/>
    <w:rsid w:val="002146FB"/>
    <w:rsid w:val="00214B49"/>
    <w:rsid w:val="00214B83"/>
    <w:rsid w:val="002152A5"/>
    <w:rsid w:val="00215A33"/>
    <w:rsid w:val="00215E28"/>
    <w:rsid w:val="00215E95"/>
    <w:rsid w:val="002167E2"/>
    <w:rsid w:val="00216940"/>
    <w:rsid w:val="00216F32"/>
    <w:rsid w:val="002174E7"/>
    <w:rsid w:val="00217836"/>
    <w:rsid w:val="002204F3"/>
    <w:rsid w:val="00221061"/>
    <w:rsid w:val="00221E74"/>
    <w:rsid w:val="00222825"/>
    <w:rsid w:val="00222F2D"/>
    <w:rsid w:val="0022327F"/>
    <w:rsid w:val="0022339A"/>
    <w:rsid w:val="002239F4"/>
    <w:rsid w:val="002247B9"/>
    <w:rsid w:val="0022483C"/>
    <w:rsid w:val="002255AF"/>
    <w:rsid w:val="00226225"/>
    <w:rsid w:val="0022661F"/>
    <w:rsid w:val="00226A73"/>
    <w:rsid w:val="00226BF6"/>
    <w:rsid w:val="00227018"/>
    <w:rsid w:val="00227C06"/>
    <w:rsid w:val="00230259"/>
    <w:rsid w:val="002310A3"/>
    <w:rsid w:val="00231477"/>
    <w:rsid w:val="002319D8"/>
    <w:rsid w:val="00231B63"/>
    <w:rsid w:val="002323B0"/>
    <w:rsid w:val="0023294F"/>
    <w:rsid w:val="00232D3E"/>
    <w:rsid w:val="002335AF"/>
    <w:rsid w:val="002339EF"/>
    <w:rsid w:val="00233B50"/>
    <w:rsid w:val="00233D6B"/>
    <w:rsid w:val="0023491A"/>
    <w:rsid w:val="00235122"/>
    <w:rsid w:val="002353F9"/>
    <w:rsid w:val="00235711"/>
    <w:rsid w:val="00235C2B"/>
    <w:rsid w:val="002361E7"/>
    <w:rsid w:val="0023624D"/>
    <w:rsid w:val="00236F82"/>
    <w:rsid w:val="002373DE"/>
    <w:rsid w:val="00240884"/>
    <w:rsid w:val="002408CA"/>
    <w:rsid w:val="00240E80"/>
    <w:rsid w:val="0024178C"/>
    <w:rsid w:val="002421DA"/>
    <w:rsid w:val="00242490"/>
    <w:rsid w:val="00242651"/>
    <w:rsid w:val="00242821"/>
    <w:rsid w:val="002429C2"/>
    <w:rsid w:val="00242BBE"/>
    <w:rsid w:val="00242DCD"/>
    <w:rsid w:val="00243090"/>
    <w:rsid w:val="00243399"/>
    <w:rsid w:val="00243A45"/>
    <w:rsid w:val="00244272"/>
    <w:rsid w:val="002443A2"/>
    <w:rsid w:val="002445E5"/>
    <w:rsid w:val="002448CB"/>
    <w:rsid w:val="00244D89"/>
    <w:rsid w:val="0024522B"/>
    <w:rsid w:val="00245460"/>
    <w:rsid w:val="00245EE0"/>
    <w:rsid w:val="002469E9"/>
    <w:rsid w:val="00246B20"/>
    <w:rsid w:val="00246FF0"/>
    <w:rsid w:val="00247A71"/>
    <w:rsid w:val="00247B03"/>
    <w:rsid w:val="00247DAF"/>
    <w:rsid w:val="00247FFA"/>
    <w:rsid w:val="002505EC"/>
    <w:rsid w:val="002507F1"/>
    <w:rsid w:val="002508AB"/>
    <w:rsid w:val="00251326"/>
    <w:rsid w:val="00251AD4"/>
    <w:rsid w:val="00252DEC"/>
    <w:rsid w:val="002533C2"/>
    <w:rsid w:val="002536AC"/>
    <w:rsid w:val="0025376B"/>
    <w:rsid w:val="00253C6D"/>
    <w:rsid w:val="0025402C"/>
    <w:rsid w:val="00254F12"/>
    <w:rsid w:val="0025562D"/>
    <w:rsid w:val="00255632"/>
    <w:rsid w:val="0025626D"/>
    <w:rsid w:val="00256560"/>
    <w:rsid w:val="00256624"/>
    <w:rsid w:val="002573E4"/>
    <w:rsid w:val="00257F30"/>
    <w:rsid w:val="00257FED"/>
    <w:rsid w:val="002600A1"/>
    <w:rsid w:val="0026099A"/>
    <w:rsid w:val="00260CB3"/>
    <w:rsid w:val="0026181D"/>
    <w:rsid w:val="00261B1F"/>
    <w:rsid w:val="00261BCC"/>
    <w:rsid w:val="00261BE8"/>
    <w:rsid w:val="00261C7F"/>
    <w:rsid w:val="00262168"/>
    <w:rsid w:val="002622B0"/>
    <w:rsid w:val="0026258F"/>
    <w:rsid w:val="002629DD"/>
    <w:rsid w:val="00262ACE"/>
    <w:rsid w:val="00262B31"/>
    <w:rsid w:val="002633AF"/>
    <w:rsid w:val="002635FC"/>
    <w:rsid w:val="00263A79"/>
    <w:rsid w:val="00264C6B"/>
    <w:rsid w:val="00264C82"/>
    <w:rsid w:val="00264FD6"/>
    <w:rsid w:val="0026557C"/>
    <w:rsid w:val="00265C0D"/>
    <w:rsid w:val="00265DE2"/>
    <w:rsid w:val="0026655E"/>
    <w:rsid w:val="002671CE"/>
    <w:rsid w:val="0026756C"/>
    <w:rsid w:val="002676DE"/>
    <w:rsid w:val="00270081"/>
    <w:rsid w:val="0027011C"/>
    <w:rsid w:val="00270243"/>
    <w:rsid w:val="00270817"/>
    <w:rsid w:val="00270869"/>
    <w:rsid w:val="0027086E"/>
    <w:rsid w:val="002715E9"/>
    <w:rsid w:val="0027194F"/>
    <w:rsid w:val="0027240B"/>
    <w:rsid w:val="00272580"/>
    <w:rsid w:val="002725C1"/>
    <w:rsid w:val="002726AA"/>
    <w:rsid w:val="00272792"/>
    <w:rsid w:val="00272A50"/>
    <w:rsid w:val="0027305A"/>
    <w:rsid w:val="002737F3"/>
    <w:rsid w:val="0027394E"/>
    <w:rsid w:val="00273AC0"/>
    <w:rsid w:val="00273C00"/>
    <w:rsid w:val="002743CC"/>
    <w:rsid w:val="00274C38"/>
    <w:rsid w:val="00274DED"/>
    <w:rsid w:val="00274DEE"/>
    <w:rsid w:val="002753CD"/>
    <w:rsid w:val="00275582"/>
    <w:rsid w:val="002755F3"/>
    <w:rsid w:val="00276A9F"/>
    <w:rsid w:val="0027709F"/>
    <w:rsid w:val="0027759D"/>
    <w:rsid w:val="00277CC4"/>
    <w:rsid w:val="00277D48"/>
    <w:rsid w:val="002800EC"/>
    <w:rsid w:val="00280AB9"/>
    <w:rsid w:val="002810E7"/>
    <w:rsid w:val="00281C53"/>
    <w:rsid w:val="0028253E"/>
    <w:rsid w:val="002826B7"/>
    <w:rsid w:val="002829A0"/>
    <w:rsid w:val="002829B5"/>
    <w:rsid w:val="00282B59"/>
    <w:rsid w:val="00283AC7"/>
    <w:rsid w:val="00283C02"/>
    <w:rsid w:val="00283EA9"/>
    <w:rsid w:val="00283F74"/>
    <w:rsid w:val="00284456"/>
    <w:rsid w:val="00284B9E"/>
    <w:rsid w:val="002857D1"/>
    <w:rsid w:val="002859F3"/>
    <w:rsid w:val="00286CD4"/>
    <w:rsid w:val="00287757"/>
    <w:rsid w:val="00287881"/>
    <w:rsid w:val="00287E0B"/>
    <w:rsid w:val="002901CD"/>
    <w:rsid w:val="002902D6"/>
    <w:rsid w:val="002908BA"/>
    <w:rsid w:val="00290A59"/>
    <w:rsid w:val="00290C29"/>
    <w:rsid w:val="00290CBC"/>
    <w:rsid w:val="00291105"/>
    <w:rsid w:val="00291AB8"/>
    <w:rsid w:val="00291CB7"/>
    <w:rsid w:val="00292299"/>
    <w:rsid w:val="00292442"/>
    <w:rsid w:val="00292951"/>
    <w:rsid w:val="002932B2"/>
    <w:rsid w:val="00294B76"/>
    <w:rsid w:val="00294BD5"/>
    <w:rsid w:val="0029507F"/>
    <w:rsid w:val="002953E2"/>
    <w:rsid w:val="002956B8"/>
    <w:rsid w:val="0029579B"/>
    <w:rsid w:val="002957E3"/>
    <w:rsid w:val="00295CE4"/>
    <w:rsid w:val="00295F38"/>
    <w:rsid w:val="00295FA2"/>
    <w:rsid w:val="00296ABF"/>
    <w:rsid w:val="00296C8A"/>
    <w:rsid w:val="002975D7"/>
    <w:rsid w:val="002977C9"/>
    <w:rsid w:val="00297960"/>
    <w:rsid w:val="00297C2D"/>
    <w:rsid w:val="002A0097"/>
    <w:rsid w:val="002A012A"/>
    <w:rsid w:val="002A0A44"/>
    <w:rsid w:val="002A1002"/>
    <w:rsid w:val="002A11B8"/>
    <w:rsid w:val="002A120A"/>
    <w:rsid w:val="002A168C"/>
    <w:rsid w:val="002A16B3"/>
    <w:rsid w:val="002A175E"/>
    <w:rsid w:val="002A1929"/>
    <w:rsid w:val="002A1ACC"/>
    <w:rsid w:val="002A26A8"/>
    <w:rsid w:val="002A2ECF"/>
    <w:rsid w:val="002A3436"/>
    <w:rsid w:val="002A344D"/>
    <w:rsid w:val="002A38CE"/>
    <w:rsid w:val="002A3D3F"/>
    <w:rsid w:val="002A44FE"/>
    <w:rsid w:val="002A4E2C"/>
    <w:rsid w:val="002A4F2A"/>
    <w:rsid w:val="002A5F7A"/>
    <w:rsid w:val="002A73A1"/>
    <w:rsid w:val="002A7ACA"/>
    <w:rsid w:val="002A7D81"/>
    <w:rsid w:val="002B0874"/>
    <w:rsid w:val="002B0881"/>
    <w:rsid w:val="002B0D60"/>
    <w:rsid w:val="002B118F"/>
    <w:rsid w:val="002B1D36"/>
    <w:rsid w:val="002B23F8"/>
    <w:rsid w:val="002B270E"/>
    <w:rsid w:val="002B2BFA"/>
    <w:rsid w:val="002B3F94"/>
    <w:rsid w:val="002B4A7C"/>
    <w:rsid w:val="002B5C9D"/>
    <w:rsid w:val="002B60CC"/>
    <w:rsid w:val="002B63C6"/>
    <w:rsid w:val="002B6B22"/>
    <w:rsid w:val="002B7185"/>
    <w:rsid w:val="002B742D"/>
    <w:rsid w:val="002B78A9"/>
    <w:rsid w:val="002B78E8"/>
    <w:rsid w:val="002B790E"/>
    <w:rsid w:val="002B793B"/>
    <w:rsid w:val="002B79D7"/>
    <w:rsid w:val="002B7B5A"/>
    <w:rsid w:val="002B7D64"/>
    <w:rsid w:val="002C02B3"/>
    <w:rsid w:val="002C03AB"/>
    <w:rsid w:val="002C0569"/>
    <w:rsid w:val="002C1035"/>
    <w:rsid w:val="002C13AE"/>
    <w:rsid w:val="002C13E8"/>
    <w:rsid w:val="002C19FC"/>
    <w:rsid w:val="002C1A34"/>
    <w:rsid w:val="002C1FE4"/>
    <w:rsid w:val="002C273C"/>
    <w:rsid w:val="002C2A75"/>
    <w:rsid w:val="002C35FF"/>
    <w:rsid w:val="002C37A5"/>
    <w:rsid w:val="002C446F"/>
    <w:rsid w:val="002C55A7"/>
    <w:rsid w:val="002C5D9A"/>
    <w:rsid w:val="002C67BA"/>
    <w:rsid w:val="002C6858"/>
    <w:rsid w:val="002C687F"/>
    <w:rsid w:val="002C6BBF"/>
    <w:rsid w:val="002C7140"/>
    <w:rsid w:val="002C73D1"/>
    <w:rsid w:val="002C76FE"/>
    <w:rsid w:val="002D078E"/>
    <w:rsid w:val="002D09DA"/>
    <w:rsid w:val="002D10C1"/>
    <w:rsid w:val="002D11F9"/>
    <w:rsid w:val="002D1BB5"/>
    <w:rsid w:val="002D21C9"/>
    <w:rsid w:val="002D2577"/>
    <w:rsid w:val="002D2917"/>
    <w:rsid w:val="002D2A80"/>
    <w:rsid w:val="002D2AB4"/>
    <w:rsid w:val="002D2D1D"/>
    <w:rsid w:val="002D4441"/>
    <w:rsid w:val="002D48D3"/>
    <w:rsid w:val="002D4B23"/>
    <w:rsid w:val="002D7AA5"/>
    <w:rsid w:val="002E03B0"/>
    <w:rsid w:val="002E081C"/>
    <w:rsid w:val="002E0BD2"/>
    <w:rsid w:val="002E0ED2"/>
    <w:rsid w:val="002E1116"/>
    <w:rsid w:val="002E1F33"/>
    <w:rsid w:val="002E22BE"/>
    <w:rsid w:val="002E2436"/>
    <w:rsid w:val="002E3000"/>
    <w:rsid w:val="002E34C5"/>
    <w:rsid w:val="002E3829"/>
    <w:rsid w:val="002E3B71"/>
    <w:rsid w:val="002E4E4D"/>
    <w:rsid w:val="002E5553"/>
    <w:rsid w:val="002E585E"/>
    <w:rsid w:val="002E5D2F"/>
    <w:rsid w:val="002E5D33"/>
    <w:rsid w:val="002E5E0C"/>
    <w:rsid w:val="002E6414"/>
    <w:rsid w:val="002E6528"/>
    <w:rsid w:val="002E681F"/>
    <w:rsid w:val="002E7557"/>
    <w:rsid w:val="002E7BB7"/>
    <w:rsid w:val="002F0183"/>
    <w:rsid w:val="002F07A6"/>
    <w:rsid w:val="002F0FDE"/>
    <w:rsid w:val="002F13C5"/>
    <w:rsid w:val="002F15F9"/>
    <w:rsid w:val="002F198D"/>
    <w:rsid w:val="002F1E3D"/>
    <w:rsid w:val="002F1E60"/>
    <w:rsid w:val="002F2402"/>
    <w:rsid w:val="002F2A86"/>
    <w:rsid w:val="002F2DC3"/>
    <w:rsid w:val="002F3731"/>
    <w:rsid w:val="002F41ED"/>
    <w:rsid w:val="002F43BF"/>
    <w:rsid w:val="002F4C0A"/>
    <w:rsid w:val="002F5105"/>
    <w:rsid w:val="002F5718"/>
    <w:rsid w:val="002F647B"/>
    <w:rsid w:val="002F7854"/>
    <w:rsid w:val="002F7E61"/>
    <w:rsid w:val="00300A07"/>
    <w:rsid w:val="00300DB5"/>
    <w:rsid w:val="0030113D"/>
    <w:rsid w:val="00301647"/>
    <w:rsid w:val="0030192B"/>
    <w:rsid w:val="0030259D"/>
    <w:rsid w:val="00302822"/>
    <w:rsid w:val="00302A0C"/>
    <w:rsid w:val="00302ACE"/>
    <w:rsid w:val="00302B66"/>
    <w:rsid w:val="00303508"/>
    <w:rsid w:val="0030427C"/>
    <w:rsid w:val="00304397"/>
    <w:rsid w:val="00304AC1"/>
    <w:rsid w:val="00305095"/>
    <w:rsid w:val="003055C4"/>
    <w:rsid w:val="00305B2B"/>
    <w:rsid w:val="003060A8"/>
    <w:rsid w:val="00306252"/>
    <w:rsid w:val="00306727"/>
    <w:rsid w:val="00307DFA"/>
    <w:rsid w:val="0031041C"/>
    <w:rsid w:val="0031053E"/>
    <w:rsid w:val="003119B0"/>
    <w:rsid w:val="0031211F"/>
    <w:rsid w:val="0031266F"/>
    <w:rsid w:val="00312A7C"/>
    <w:rsid w:val="003134AD"/>
    <w:rsid w:val="00313761"/>
    <w:rsid w:val="003137F4"/>
    <w:rsid w:val="00313F3C"/>
    <w:rsid w:val="00314B3B"/>
    <w:rsid w:val="00315198"/>
    <w:rsid w:val="003153A1"/>
    <w:rsid w:val="00315B21"/>
    <w:rsid w:val="00315DC5"/>
    <w:rsid w:val="00316561"/>
    <w:rsid w:val="00316DFD"/>
    <w:rsid w:val="00316E1E"/>
    <w:rsid w:val="00316EE4"/>
    <w:rsid w:val="003172A7"/>
    <w:rsid w:val="003178C3"/>
    <w:rsid w:val="00317D2D"/>
    <w:rsid w:val="00317F17"/>
    <w:rsid w:val="00320BBE"/>
    <w:rsid w:val="00321095"/>
    <w:rsid w:val="003214C0"/>
    <w:rsid w:val="00321517"/>
    <w:rsid w:val="00321A79"/>
    <w:rsid w:val="00324524"/>
    <w:rsid w:val="003246B9"/>
    <w:rsid w:val="003246ED"/>
    <w:rsid w:val="0032487E"/>
    <w:rsid w:val="00324FC5"/>
    <w:rsid w:val="00325018"/>
    <w:rsid w:val="00325069"/>
    <w:rsid w:val="00325A9E"/>
    <w:rsid w:val="00325BB2"/>
    <w:rsid w:val="00325E0A"/>
    <w:rsid w:val="0032622C"/>
    <w:rsid w:val="00326A25"/>
    <w:rsid w:val="00326E64"/>
    <w:rsid w:val="003278BA"/>
    <w:rsid w:val="00327AC2"/>
    <w:rsid w:val="00330598"/>
    <w:rsid w:val="003306A2"/>
    <w:rsid w:val="00330D46"/>
    <w:rsid w:val="003311EA"/>
    <w:rsid w:val="00331625"/>
    <w:rsid w:val="00331931"/>
    <w:rsid w:val="00331C3A"/>
    <w:rsid w:val="00332F2C"/>
    <w:rsid w:val="00333033"/>
    <w:rsid w:val="0033314C"/>
    <w:rsid w:val="00333179"/>
    <w:rsid w:val="003337C6"/>
    <w:rsid w:val="00333D25"/>
    <w:rsid w:val="003340B8"/>
    <w:rsid w:val="0033440F"/>
    <w:rsid w:val="003347F7"/>
    <w:rsid w:val="00334875"/>
    <w:rsid w:val="0033628F"/>
    <w:rsid w:val="0033686F"/>
    <w:rsid w:val="0033688B"/>
    <w:rsid w:val="00337111"/>
    <w:rsid w:val="00337408"/>
    <w:rsid w:val="00337868"/>
    <w:rsid w:val="0033797E"/>
    <w:rsid w:val="003408F0"/>
    <w:rsid w:val="00340F88"/>
    <w:rsid w:val="0034114D"/>
    <w:rsid w:val="003411FE"/>
    <w:rsid w:val="00341974"/>
    <w:rsid w:val="00341D4C"/>
    <w:rsid w:val="00341F59"/>
    <w:rsid w:val="0034207F"/>
    <w:rsid w:val="00342297"/>
    <w:rsid w:val="00342316"/>
    <w:rsid w:val="0034248C"/>
    <w:rsid w:val="003425C3"/>
    <w:rsid w:val="003425DD"/>
    <w:rsid w:val="00343100"/>
    <w:rsid w:val="0034312E"/>
    <w:rsid w:val="00343AA5"/>
    <w:rsid w:val="00343DDD"/>
    <w:rsid w:val="00343F93"/>
    <w:rsid w:val="00344669"/>
    <w:rsid w:val="0034494D"/>
    <w:rsid w:val="00344AB7"/>
    <w:rsid w:val="00344D6E"/>
    <w:rsid w:val="003456FF"/>
    <w:rsid w:val="003457F1"/>
    <w:rsid w:val="00345FCD"/>
    <w:rsid w:val="003466F7"/>
    <w:rsid w:val="00346ADF"/>
    <w:rsid w:val="00347812"/>
    <w:rsid w:val="00347C3F"/>
    <w:rsid w:val="0035068B"/>
    <w:rsid w:val="00350AC5"/>
    <w:rsid w:val="00351996"/>
    <w:rsid w:val="00351B0C"/>
    <w:rsid w:val="00351C28"/>
    <w:rsid w:val="0035206E"/>
    <w:rsid w:val="003521D1"/>
    <w:rsid w:val="00352E5F"/>
    <w:rsid w:val="0035396B"/>
    <w:rsid w:val="00353F59"/>
    <w:rsid w:val="003541B7"/>
    <w:rsid w:val="00354A7F"/>
    <w:rsid w:val="00355335"/>
    <w:rsid w:val="00355826"/>
    <w:rsid w:val="00355864"/>
    <w:rsid w:val="003558F6"/>
    <w:rsid w:val="00355FA7"/>
    <w:rsid w:val="00356026"/>
    <w:rsid w:val="003563B4"/>
    <w:rsid w:val="00356A79"/>
    <w:rsid w:val="003609C1"/>
    <w:rsid w:val="00360DDD"/>
    <w:rsid w:val="00360DE0"/>
    <w:rsid w:val="0036126C"/>
    <w:rsid w:val="00361ECA"/>
    <w:rsid w:val="0036200D"/>
    <w:rsid w:val="0036258B"/>
    <w:rsid w:val="00362602"/>
    <w:rsid w:val="00362729"/>
    <w:rsid w:val="00362A66"/>
    <w:rsid w:val="00362A68"/>
    <w:rsid w:val="003632AC"/>
    <w:rsid w:val="003636D0"/>
    <w:rsid w:val="003636D4"/>
    <w:rsid w:val="00363F02"/>
    <w:rsid w:val="00364559"/>
    <w:rsid w:val="00365FE5"/>
    <w:rsid w:val="0036600D"/>
    <w:rsid w:val="00366B4B"/>
    <w:rsid w:val="00366E1B"/>
    <w:rsid w:val="0036739A"/>
    <w:rsid w:val="0036747C"/>
    <w:rsid w:val="0036747E"/>
    <w:rsid w:val="00370000"/>
    <w:rsid w:val="00370C5B"/>
    <w:rsid w:val="003718C3"/>
    <w:rsid w:val="00371A0A"/>
    <w:rsid w:val="00371E29"/>
    <w:rsid w:val="003727CD"/>
    <w:rsid w:val="003731E8"/>
    <w:rsid w:val="00373597"/>
    <w:rsid w:val="003753F7"/>
    <w:rsid w:val="003756A1"/>
    <w:rsid w:val="00375A62"/>
    <w:rsid w:val="00375A74"/>
    <w:rsid w:val="00375DE3"/>
    <w:rsid w:val="003763C4"/>
    <w:rsid w:val="00376EF3"/>
    <w:rsid w:val="00376FAE"/>
    <w:rsid w:val="00376FEE"/>
    <w:rsid w:val="0037727C"/>
    <w:rsid w:val="00377A63"/>
    <w:rsid w:val="003803CA"/>
    <w:rsid w:val="00380438"/>
    <w:rsid w:val="0038051D"/>
    <w:rsid w:val="00380BE2"/>
    <w:rsid w:val="003817EC"/>
    <w:rsid w:val="003820EB"/>
    <w:rsid w:val="003824AA"/>
    <w:rsid w:val="00382AA9"/>
    <w:rsid w:val="003837A0"/>
    <w:rsid w:val="00383FF6"/>
    <w:rsid w:val="0038400F"/>
    <w:rsid w:val="00384122"/>
    <w:rsid w:val="00384ADF"/>
    <w:rsid w:val="00384E94"/>
    <w:rsid w:val="00384FF4"/>
    <w:rsid w:val="0038559E"/>
    <w:rsid w:val="00386B09"/>
    <w:rsid w:val="00386D61"/>
    <w:rsid w:val="00387193"/>
    <w:rsid w:val="003911E0"/>
    <w:rsid w:val="003912A1"/>
    <w:rsid w:val="0039131F"/>
    <w:rsid w:val="00392593"/>
    <w:rsid w:val="00392B47"/>
    <w:rsid w:val="00392F4B"/>
    <w:rsid w:val="003936F7"/>
    <w:rsid w:val="00393F4C"/>
    <w:rsid w:val="00393FAA"/>
    <w:rsid w:val="0039415F"/>
    <w:rsid w:val="00394307"/>
    <w:rsid w:val="0039477E"/>
    <w:rsid w:val="00394873"/>
    <w:rsid w:val="003948BD"/>
    <w:rsid w:val="00395144"/>
    <w:rsid w:val="003954A4"/>
    <w:rsid w:val="00396C39"/>
    <w:rsid w:val="00396D03"/>
    <w:rsid w:val="003970D2"/>
    <w:rsid w:val="003972D7"/>
    <w:rsid w:val="003972DF"/>
    <w:rsid w:val="003975FB"/>
    <w:rsid w:val="003978F8"/>
    <w:rsid w:val="003A040B"/>
    <w:rsid w:val="003A1206"/>
    <w:rsid w:val="003A2BFF"/>
    <w:rsid w:val="003A2FE3"/>
    <w:rsid w:val="003A3301"/>
    <w:rsid w:val="003A373B"/>
    <w:rsid w:val="003A3ACA"/>
    <w:rsid w:val="003A3D15"/>
    <w:rsid w:val="003A3D8A"/>
    <w:rsid w:val="003A3E19"/>
    <w:rsid w:val="003A3E80"/>
    <w:rsid w:val="003A3F2F"/>
    <w:rsid w:val="003A414F"/>
    <w:rsid w:val="003A4666"/>
    <w:rsid w:val="003A4C25"/>
    <w:rsid w:val="003A4E80"/>
    <w:rsid w:val="003A52C2"/>
    <w:rsid w:val="003A538F"/>
    <w:rsid w:val="003A5792"/>
    <w:rsid w:val="003A5DC8"/>
    <w:rsid w:val="003A5E0B"/>
    <w:rsid w:val="003A607D"/>
    <w:rsid w:val="003A7302"/>
    <w:rsid w:val="003A73B6"/>
    <w:rsid w:val="003A75E6"/>
    <w:rsid w:val="003A7AFC"/>
    <w:rsid w:val="003A7D99"/>
    <w:rsid w:val="003A7E54"/>
    <w:rsid w:val="003A7E6D"/>
    <w:rsid w:val="003B0139"/>
    <w:rsid w:val="003B0AC8"/>
    <w:rsid w:val="003B0FCB"/>
    <w:rsid w:val="003B1499"/>
    <w:rsid w:val="003B1604"/>
    <w:rsid w:val="003B1A16"/>
    <w:rsid w:val="003B1D62"/>
    <w:rsid w:val="003B1F7B"/>
    <w:rsid w:val="003B21FD"/>
    <w:rsid w:val="003B2810"/>
    <w:rsid w:val="003B2C2B"/>
    <w:rsid w:val="003B2E0D"/>
    <w:rsid w:val="003B2F4B"/>
    <w:rsid w:val="003B3A12"/>
    <w:rsid w:val="003B3D40"/>
    <w:rsid w:val="003B443D"/>
    <w:rsid w:val="003B4750"/>
    <w:rsid w:val="003B47C3"/>
    <w:rsid w:val="003B53BD"/>
    <w:rsid w:val="003B5600"/>
    <w:rsid w:val="003B57ED"/>
    <w:rsid w:val="003B5908"/>
    <w:rsid w:val="003B6600"/>
    <w:rsid w:val="003B68B1"/>
    <w:rsid w:val="003B6C97"/>
    <w:rsid w:val="003B71A1"/>
    <w:rsid w:val="003B7265"/>
    <w:rsid w:val="003B7362"/>
    <w:rsid w:val="003B74BE"/>
    <w:rsid w:val="003B75ED"/>
    <w:rsid w:val="003B7771"/>
    <w:rsid w:val="003B781C"/>
    <w:rsid w:val="003C0011"/>
    <w:rsid w:val="003C0A6C"/>
    <w:rsid w:val="003C1F69"/>
    <w:rsid w:val="003C25F9"/>
    <w:rsid w:val="003C2BDA"/>
    <w:rsid w:val="003C2C0D"/>
    <w:rsid w:val="003C2C66"/>
    <w:rsid w:val="003C300B"/>
    <w:rsid w:val="003C30EC"/>
    <w:rsid w:val="003C390B"/>
    <w:rsid w:val="003C3B57"/>
    <w:rsid w:val="003C4431"/>
    <w:rsid w:val="003C5140"/>
    <w:rsid w:val="003C5269"/>
    <w:rsid w:val="003C6914"/>
    <w:rsid w:val="003C6ECF"/>
    <w:rsid w:val="003C75D1"/>
    <w:rsid w:val="003C7903"/>
    <w:rsid w:val="003C7D07"/>
    <w:rsid w:val="003D0D3F"/>
    <w:rsid w:val="003D1B95"/>
    <w:rsid w:val="003D2616"/>
    <w:rsid w:val="003D2A34"/>
    <w:rsid w:val="003D2FC3"/>
    <w:rsid w:val="003D3028"/>
    <w:rsid w:val="003D3FBD"/>
    <w:rsid w:val="003D4029"/>
    <w:rsid w:val="003D432D"/>
    <w:rsid w:val="003D4383"/>
    <w:rsid w:val="003D44EC"/>
    <w:rsid w:val="003D4E8A"/>
    <w:rsid w:val="003D4F8B"/>
    <w:rsid w:val="003D5307"/>
    <w:rsid w:val="003D5B2E"/>
    <w:rsid w:val="003D6672"/>
    <w:rsid w:val="003D66C9"/>
    <w:rsid w:val="003D70B4"/>
    <w:rsid w:val="003D70C8"/>
    <w:rsid w:val="003E00FF"/>
    <w:rsid w:val="003E07D5"/>
    <w:rsid w:val="003E0F81"/>
    <w:rsid w:val="003E11F5"/>
    <w:rsid w:val="003E1457"/>
    <w:rsid w:val="003E1BAD"/>
    <w:rsid w:val="003E240E"/>
    <w:rsid w:val="003E26E7"/>
    <w:rsid w:val="003E2FEB"/>
    <w:rsid w:val="003E329B"/>
    <w:rsid w:val="003E3AD8"/>
    <w:rsid w:val="003E4645"/>
    <w:rsid w:val="003E47FB"/>
    <w:rsid w:val="003E4809"/>
    <w:rsid w:val="003E482A"/>
    <w:rsid w:val="003E48F1"/>
    <w:rsid w:val="003E5011"/>
    <w:rsid w:val="003E55A4"/>
    <w:rsid w:val="003E63BD"/>
    <w:rsid w:val="003E6915"/>
    <w:rsid w:val="003E7083"/>
    <w:rsid w:val="003E7163"/>
    <w:rsid w:val="003E7911"/>
    <w:rsid w:val="003E7DAE"/>
    <w:rsid w:val="003F009A"/>
    <w:rsid w:val="003F065A"/>
    <w:rsid w:val="003F0C2C"/>
    <w:rsid w:val="003F0C6C"/>
    <w:rsid w:val="003F1A32"/>
    <w:rsid w:val="003F1A90"/>
    <w:rsid w:val="003F1C36"/>
    <w:rsid w:val="003F1C5B"/>
    <w:rsid w:val="003F1DFD"/>
    <w:rsid w:val="003F1ED4"/>
    <w:rsid w:val="003F3164"/>
    <w:rsid w:val="003F3345"/>
    <w:rsid w:val="003F3506"/>
    <w:rsid w:val="003F38A2"/>
    <w:rsid w:val="003F3A15"/>
    <w:rsid w:val="003F3E86"/>
    <w:rsid w:val="003F3FCF"/>
    <w:rsid w:val="003F43E9"/>
    <w:rsid w:val="003F449D"/>
    <w:rsid w:val="003F493C"/>
    <w:rsid w:val="003F5080"/>
    <w:rsid w:val="003F5238"/>
    <w:rsid w:val="003F596E"/>
    <w:rsid w:val="003F5A35"/>
    <w:rsid w:val="003F5B7D"/>
    <w:rsid w:val="003F5E44"/>
    <w:rsid w:val="003F5F59"/>
    <w:rsid w:val="003F6637"/>
    <w:rsid w:val="003F6BDD"/>
    <w:rsid w:val="003F71AF"/>
    <w:rsid w:val="003F774D"/>
    <w:rsid w:val="003F782D"/>
    <w:rsid w:val="003F7C1A"/>
    <w:rsid w:val="003F7EFB"/>
    <w:rsid w:val="00400258"/>
    <w:rsid w:val="00400F59"/>
    <w:rsid w:val="004012A4"/>
    <w:rsid w:val="00401BF0"/>
    <w:rsid w:val="0040216D"/>
    <w:rsid w:val="004024A9"/>
    <w:rsid w:val="004028A1"/>
    <w:rsid w:val="004028D1"/>
    <w:rsid w:val="0040292D"/>
    <w:rsid w:val="00402A47"/>
    <w:rsid w:val="00402CE5"/>
    <w:rsid w:val="004030D9"/>
    <w:rsid w:val="0040337A"/>
    <w:rsid w:val="00403413"/>
    <w:rsid w:val="004034E3"/>
    <w:rsid w:val="00403B47"/>
    <w:rsid w:val="00403C26"/>
    <w:rsid w:val="00403D9C"/>
    <w:rsid w:val="00404524"/>
    <w:rsid w:val="00404DEE"/>
    <w:rsid w:val="00405A58"/>
    <w:rsid w:val="0040698A"/>
    <w:rsid w:val="0040743E"/>
    <w:rsid w:val="004075D4"/>
    <w:rsid w:val="0040777B"/>
    <w:rsid w:val="00407885"/>
    <w:rsid w:val="00407FEA"/>
    <w:rsid w:val="004100F3"/>
    <w:rsid w:val="00410659"/>
    <w:rsid w:val="00411642"/>
    <w:rsid w:val="00412A85"/>
    <w:rsid w:val="00413AAE"/>
    <w:rsid w:val="0041436F"/>
    <w:rsid w:val="00414C7D"/>
    <w:rsid w:val="00414F4F"/>
    <w:rsid w:val="00415B2D"/>
    <w:rsid w:val="00415D09"/>
    <w:rsid w:val="00416026"/>
    <w:rsid w:val="00416180"/>
    <w:rsid w:val="00416661"/>
    <w:rsid w:val="00416B32"/>
    <w:rsid w:val="00416FC0"/>
    <w:rsid w:val="00417039"/>
    <w:rsid w:val="00417333"/>
    <w:rsid w:val="004178B0"/>
    <w:rsid w:val="00417BBD"/>
    <w:rsid w:val="00417EBE"/>
    <w:rsid w:val="00420484"/>
    <w:rsid w:val="00420898"/>
    <w:rsid w:val="004222DD"/>
    <w:rsid w:val="0042392C"/>
    <w:rsid w:val="00423BC4"/>
    <w:rsid w:val="00423F1F"/>
    <w:rsid w:val="0042404A"/>
    <w:rsid w:val="00424085"/>
    <w:rsid w:val="004247A7"/>
    <w:rsid w:val="004250D8"/>
    <w:rsid w:val="00425114"/>
    <w:rsid w:val="00425260"/>
    <w:rsid w:val="004253CE"/>
    <w:rsid w:val="004255B5"/>
    <w:rsid w:val="0042583F"/>
    <w:rsid w:val="004258F2"/>
    <w:rsid w:val="0042596B"/>
    <w:rsid w:val="00425A28"/>
    <w:rsid w:val="00425FE5"/>
    <w:rsid w:val="00426153"/>
    <w:rsid w:val="00426526"/>
    <w:rsid w:val="00426B93"/>
    <w:rsid w:val="00426C8A"/>
    <w:rsid w:val="00427279"/>
    <w:rsid w:val="00427555"/>
    <w:rsid w:val="004302B1"/>
    <w:rsid w:val="00430302"/>
    <w:rsid w:val="0043079E"/>
    <w:rsid w:val="00430D33"/>
    <w:rsid w:val="0043117D"/>
    <w:rsid w:val="00431825"/>
    <w:rsid w:val="00431AF5"/>
    <w:rsid w:val="00431B86"/>
    <w:rsid w:val="00431EF3"/>
    <w:rsid w:val="0043270B"/>
    <w:rsid w:val="004328CE"/>
    <w:rsid w:val="0043293F"/>
    <w:rsid w:val="00432E2E"/>
    <w:rsid w:val="004335DB"/>
    <w:rsid w:val="00433666"/>
    <w:rsid w:val="00433BC1"/>
    <w:rsid w:val="00433BD5"/>
    <w:rsid w:val="00433F43"/>
    <w:rsid w:val="004342DF"/>
    <w:rsid w:val="004343B1"/>
    <w:rsid w:val="0043446C"/>
    <w:rsid w:val="00434A81"/>
    <w:rsid w:val="0043506B"/>
    <w:rsid w:val="00435372"/>
    <w:rsid w:val="00435F95"/>
    <w:rsid w:val="00436175"/>
    <w:rsid w:val="00436860"/>
    <w:rsid w:val="00437075"/>
    <w:rsid w:val="004371A0"/>
    <w:rsid w:val="00437284"/>
    <w:rsid w:val="00437842"/>
    <w:rsid w:val="00437C9B"/>
    <w:rsid w:val="00437F3B"/>
    <w:rsid w:val="00440146"/>
    <w:rsid w:val="0044145F"/>
    <w:rsid w:val="0044148B"/>
    <w:rsid w:val="004415AD"/>
    <w:rsid w:val="00441D94"/>
    <w:rsid w:val="0044218D"/>
    <w:rsid w:val="00442B8D"/>
    <w:rsid w:val="004435BE"/>
    <w:rsid w:val="004439FC"/>
    <w:rsid w:val="00443F49"/>
    <w:rsid w:val="00444235"/>
    <w:rsid w:val="00444286"/>
    <w:rsid w:val="00444B64"/>
    <w:rsid w:val="00444D80"/>
    <w:rsid w:val="00445724"/>
    <w:rsid w:val="00445A23"/>
    <w:rsid w:val="00445B0B"/>
    <w:rsid w:val="004460DB"/>
    <w:rsid w:val="0044611A"/>
    <w:rsid w:val="00446B9A"/>
    <w:rsid w:val="00447172"/>
    <w:rsid w:val="004502DD"/>
    <w:rsid w:val="00450439"/>
    <w:rsid w:val="0045185B"/>
    <w:rsid w:val="00451D86"/>
    <w:rsid w:val="004521BF"/>
    <w:rsid w:val="00452294"/>
    <w:rsid w:val="00452568"/>
    <w:rsid w:val="00452797"/>
    <w:rsid w:val="00452C67"/>
    <w:rsid w:val="00453216"/>
    <w:rsid w:val="00453399"/>
    <w:rsid w:val="004536F4"/>
    <w:rsid w:val="0045376B"/>
    <w:rsid w:val="00453B3B"/>
    <w:rsid w:val="00453DED"/>
    <w:rsid w:val="00454104"/>
    <w:rsid w:val="004546C8"/>
    <w:rsid w:val="004547DD"/>
    <w:rsid w:val="00454D17"/>
    <w:rsid w:val="00454E6C"/>
    <w:rsid w:val="004551B7"/>
    <w:rsid w:val="00455994"/>
    <w:rsid w:val="00455E8D"/>
    <w:rsid w:val="00455FB7"/>
    <w:rsid w:val="004565E0"/>
    <w:rsid w:val="00456F3C"/>
    <w:rsid w:val="0045706A"/>
    <w:rsid w:val="00457877"/>
    <w:rsid w:val="00457963"/>
    <w:rsid w:val="0045796F"/>
    <w:rsid w:val="00460B70"/>
    <w:rsid w:val="00460EB8"/>
    <w:rsid w:val="00461991"/>
    <w:rsid w:val="004620C7"/>
    <w:rsid w:val="00462258"/>
    <w:rsid w:val="00462C55"/>
    <w:rsid w:val="00463436"/>
    <w:rsid w:val="00463E1E"/>
    <w:rsid w:val="0046413C"/>
    <w:rsid w:val="004646F8"/>
    <w:rsid w:val="00464A44"/>
    <w:rsid w:val="0046505F"/>
    <w:rsid w:val="00465844"/>
    <w:rsid w:val="004658A0"/>
    <w:rsid w:val="00465F13"/>
    <w:rsid w:val="00466199"/>
    <w:rsid w:val="004664F8"/>
    <w:rsid w:val="00467141"/>
    <w:rsid w:val="004673DE"/>
    <w:rsid w:val="00467742"/>
    <w:rsid w:val="00467BF7"/>
    <w:rsid w:val="00467E43"/>
    <w:rsid w:val="004704E2"/>
    <w:rsid w:val="004706EB"/>
    <w:rsid w:val="00470869"/>
    <w:rsid w:val="00471446"/>
    <w:rsid w:val="0047175B"/>
    <w:rsid w:val="0047196B"/>
    <w:rsid w:val="00472451"/>
    <w:rsid w:val="004727C4"/>
    <w:rsid w:val="00472EC8"/>
    <w:rsid w:val="00472F53"/>
    <w:rsid w:val="00473074"/>
    <w:rsid w:val="00473E66"/>
    <w:rsid w:val="004741F2"/>
    <w:rsid w:val="00474212"/>
    <w:rsid w:val="004744DC"/>
    <w:rsid w:val="00475145"/>
    <w:rsid w:val="00475624"/>
    <w:rsid w:val="00475C60"/>
    <w:rsid w:val="00475CBB"/>
    <w:rsid w:val="00475F2F"/>
    <w:rsid w:val="00476141"/>
    <w:rsid w:val="00476168"/>
    <w:rsid w:val="00477040"/>
    <w:rsid w:val="004777FB"/>
    <w:rsid w:val="0048059B"/>
    <w:rsid w:val="00480DC6"/>
    <w:rsid w:val="00481674"/>
    <w:rsid w:val="00481819"/>
    <w:rsid w:val="00481A08"/>
    <w:rsid w:val="00481DB8"/>
    <w:rsid w:val="00481EB7"/>
    <w:rsid w:val="00482114"/>
    <w:rsid w:val="004822B8"/>
    <w:rsid w:val="0048263F"/>
    <w:rsid w:val="00482677"/>
    <w:rsid w:val="004826B3"/>
    <w:rsid w:val="00482D14"/>
    <w:rsid w:val="00482E90"/>
    <w:rsid w:val="004831EE"/>
    <w:rsid w:val="0048370C"/>
    <w:rsid w:val="00483D33"/>
    <w:rsid w:val="00483D8C"/>
    <w:rsid w:val="00484CDC"/>
    <w:rsid w:val="00484D6B"/>
    <w:rsid w:val="00484F7A"/>
    <w:rsid w:val="00485885"/>
    <w:rsid w:val="00486301"/>
    <w:rsid w:val="0048667B"/>
    <w:rsid w:val="00486FC3"/>
    <w:rsid w:val="004874B9"/>
    <w:rsid w:val="00487817"/>
    <w:rsid w:val="00487A04"/>
    <w:rsid w:val="00487AC3"/>
    <w:rsid w:val="00487B4F"/>
    <w:rsid w:val="00487C2C"/>
    <w:rsid w:val="004902CA"/>
    <w:rsid w:val="00490510"/>
    <w:rsid w:val="00490907"/>
    <w:rsid w:val="00490C15"/>
    <w:rsid w:val="00490C8A"/>
    <w:rsid w:val="004918EE"/>
    <w:rsid w:val="00492DE1"/>
    <w:rsid w:val="00493124"/>
    <w:rsid w:val="0049351D"/>
    <w:rsid w:val="00493F24"/>
    <w:rsid w:val="00494252"/>
    <w:rsid w:val="004944B4"/>
    <w:rsid w:val="00494963"/>
    <w:rsid w:val="00494D37"/>
    <w:rsid w:val="00494F94"/>
    <w:rsid w:val="0049582F"/>
    <w:rsid w:val="00495C62"/>
    <w:rsid w:val="004968A0"/>
    <w:rsid w:val="00496AAB"/>
    <w:rsid w:val="004970E9"/>
    <w:rsid w:val="0049762C"/>
    <w:rsid w:val="00497A43"/>
    <w:rsid w:val="00497A91"/>
    <w:rsid w:val="00497F76"/>
    <w:rsid w:val="004A0129"/>
    <w:rsid w:val="004A0190"/>
    <w:rsid w:val="004A0DF7"/>
    <w:rsid w:val="004A0EB5"/>
    <w:rsid w:val="004A0EBB"/>
    <w:rsid w:val="004A1389"/>
    <w:rsid w:val="004A167F"/>
    <w:rsid w:val="004A1C1F"/>
    <w:rsid w:val="004A226C"/>
    <w:rsid w:val="004A246B"/>
    <w:rsid w:val="004A2AD0"/>
    <w:rsid w:val="004A33A3"/>
    <w:rsid w:val="004A3AE5"/>
    <w:rsid w:val="004A3B23"/>
    <w:rsid w:val="004A4D43"/>
    <w:rsid w:val="004A54A4"/>
    <w:rsid w:val="004A5BD7"/>
    <w:rsid w:val="004A6286"/>
    <w:rsid w:val="004A641C"/>
    <w:rsid w:val="004A6F63"/>
    <w:rsid w:val="004A731E"/>
    <w:rsid w:val="004A7370"/>
    <w:rsid w:val="004A7BBD"/>
    <w:rsid w:val="004B125D"/>
    <w:rsid w:val="004B1B8B"/>
    <w:rsid w:val="004B1E98"/>
    <w:rsid w:val="004B244E"/>
    <w:rsid w:val="004B26FF"/>
    <w:rsid w:val="004B2721"/>
    <w:rsid w:val="004B2751"/>
    <w:rsid w:val="004B314F"/>
    <w:rsid w:val="004B40AB"/>
    <w:rsid w:val="004B444C"/>
    <w:rsid w:val="004B4954"/>
    <w:rsid w:val="004B4CE1"/>
    <w:rsid w:val="004B4F63"/>
    <w:rsid w:val="004B5154"/>
    <w:rsid w:val="004B5875"/>
    <w:rsid w:val="004B66AE"/>
    <w:rsid w:val="004B6A60"/>
    <w:rsid w:val="004B72CE"/>
    <w:rsid w:val="004B7D09"/>
    <w:rsid w:val="004B7ED6"/>
    <w:rsid w:val="004C04E3"/>
    <w:rsid w:val="004C0BDF"/>
    <w:rsid w:val="004C1056"/>
    <w:rsid w:val="004C118A"/>
    <w:rsid w:val="004C1624"/>
    <w:rsid w:val="004C1729"/>
    <w:rsid w:val="004C1BAC"/>
    <w:rsid w:val="004C1F02"/>
    <w:rsid w:val="004C2263"/>
    <w:rsid w:val="004C2381"/>
    <w:rsid w:val="004C2DF8"/>
    <w:rsid w:val="004C2EC4"/>
    <w:rsid w:val="004C300E"/>
    <w:rsid w:val="004C3CF6"/>
    <w:rsid w:val="004C4381"/>
    <w:rsid w:val="004C47E5"/>
    <w:rsid w:val="004C4882"/>
    <w:rsid w:val="004C5059"/>
    <w:rsid w:val="004C5672"/>
    <w:rsid w:val="004C57AD"/>
    <w:rsid w:val="004C5A82"/>
    <w:rsid w:val="004C60F5"/>
    <w:rsid w:val="004C630B"/>
    <w:rsid w:val="004C6494"/>
    <w:rsid w:val="004C66CE"/>
    <w:rsid w:val="004C66EB"/>
    <w:rsid w:val="004C6BD5"/>
    <w:rsid w:val="004C6E0D"/>
    <w:rsid w:val="004C72DA"/>
    <w:rsid w:val="004C734B"/>
    <w:rsid w:val="004C77C7"/>
    <w:rsid w:val="004C79C1"/>
    <w:rsid w:val="004D085E"/>
    <w:rsid w:val="004D09C4"/>
    <w:rsid w:val="004D0D2A"/>
    <w:rsid w:val="004D0E09"/>
    <w:rsid w:val="004D17F8"/>
    <w:rsid w:val="004D266E"/>
    <w:rsid w:val="004D3AA5"/>
    <w:rsid w:val="004D3ACE"/>
    <w:rsid w:val="004D3FC0"/>
    <w:rsid w:val="004D4288"/>
    <w:rsid w:val="004D4AE2"/>
    <w:rsid w:val="004D4E1A"/>
    <w:rsid w:val="004D4E40"/>
    <w:rsid w:val="004D4FBD"/>
    <w:rsid w:val="004D5561"/>
    <w:rsid w:val="004D5882"/>
    <w:rsid w:val="004D6821"/>
    <w:rsid w:val="004D752C"/>
    <w:rsid w:val="004D7626"/>
    <w:rsid w:val="004D76BB"/>
    <w:rsid w:val="004D7A0D"/>
    <w:rsid w:val="004E0399"/>
    <w:rsid w:val="004E062C"/>
    <w:rsid w:val="004E08E2"/>
    <w:rsid w:val="004E0E3E"/>
    <w:rsid w:val="004E1CE0"/>
    <w:rsid w:val="004E22A8"/>
    <w:rsid w:val="004E236D"/>
    <w:rsid w:val="004E283A"/>
    <w:rsid w:val="004E2E7E"/>
    <w:rsid w:val="004E3F1F"/>
    <w:rsid w:val="004E5182"/>
    <w:rsid w:val="004E51DB"/>
    <w:rsid w:val="004E60F4"/>
    <w:rsid w:val="004E6C3A"/>
    <w:rsid w:val="004E6D2C"/>
    <w:rsid w:val="004E6DDB"/>
    <w:rsid w:val="004E6EDB"/>
    <w:rsid w:val="004E7000"/>
    <w:rsid w:val="004E78B5"/>
    <w:rsid w:val="004E7A32"/>
    <w:rsid w:val="004E7A6C"/>
    <w:rsid w:val="004E7FB0"/>
    <w:rsid w:val="004F03F3"/>
    <w:rsid w:val="004F0E0D"/>
    <w:rsid w:val="004F0FB3"/>
    <w:rsid w:val="004F12E7"/>
    <w:rsid w:val="004F1561"/>
    <w:rsid w:val="004F1C43"/>
    <w:rsid w:val="004F22E4"/>
    <w:rsid w:val="004F28B3"/>
    <w:rsid w:val="004F2B70"/>
    <w:rsid w:val="004F42AA"/>
    <w:rsid w:val="004F44A9"/>
    <w:rsid w:val="004F5359"/>
    <w:rsid w:val="004F5DB0"/>
    <w:rsid w:val="004F5FD5"/>
    <w:rsid w:val="004F6047"/>
    <w:rsid w:val="004F6959"/>
    <w:rsid w:val="004F698C"/>
    <w:rsid w:val="004F6B8D"/>
    <w:rsid w:val="004F7BAE"/>
    <w:rsid w:val="00500401"/>
    <w:rsid w:val="0050070A"/>
    <w:rsid w:val="00500C6B"/>
    <w:rsid w:val="00501177"/>
    <w:rsid w:val="005014F2"/>
    <w:rsid w:val="00501901"/>
    <w:rsid w:val="0050214D"/>
    <w:rsid w:val="005021BD"/>
    <w:rsid w:val="00502F92"/>
    <w:rsid w:val="00502F94"/>
    <w:rsid w:val="005038D0"/>
    <w:rsid w:val="00503CC8"/>
    <w:rsid w:val="00503D95"/>
    <w:rsid w:val="00503F05"/>
    <w:rsid w:val="00504037"/>
    <w:rsid w:val="005040D3"/>
    <w:rsid w:val="005047D7"/>
    <w:rsid w:val="00505D82"/>
    <w:rsid w:val="00505E4F"/>
    <w:rsid w:val="00506B38"/>
    <w:rsid w:val="00507419"/>
    <w:rsid w:val="00507541"/>
    <w:rsid w:val="00507966"/>
    <w:rsid w:val="00507B7B"/>
    <w:rsid w:val="00507F8E"/>
    <w:rsid w:val="00510836"/>
    <w:rsid w:val="00510E09"/>
    <w:rsid w:val="00510EB4"/>
    <w:rsid w:val="0051166C"/>
    <w:rsid w:val="00511DD3"/>
    <w:rsid w:val="0051335C"/>
    <w:rsid w:val="00513D22"/>
    <w:rsid w:val="00514C53"/>
    <w:rsid w:val="00515F6F"/>
    <w:rsid w:val="00516437"/>
    <w:rsid w:val="00517156"/>
    <w:rsid w:val="00517176"/>
    <w:rsid w:val="005172CF"/>
    <w:rsid w:val="00520152"/>
    <w:rsid w:val="00520DD8"/>
    <w:rsid w:val="00521461"/>
    <w:rsid w:val="005217FD"/>
    <w:rsid w:val="00521E80"/>
    <w:rsid w:val="00522745"/>
    <w:rsid w:val="00522CAE"/>
    <w:rsid w:val="00522D70"/>
    <w:rsid w:val="00522FB7"/>
    <w:rsid w:val="00523430"/>
    <w:rsid w:val="00523560"/>
    <w:rsid w:val="0052383B"/>
    <w:rsid w:val="005238DE"/>
    <w:rsid w:val="00524213"/>
    <w:rsid w:val="00524EFB"/>
    <w:rsid w:val="00525264"/>
    <w:rsid w:val="005254C7"/>
    <w:rsid w:val="00525739"/>
    <w:rsid w:val="0052662E"/>
    <w:rsid w:val="00526635"/>
    <w:rsid w:val="005269A1"/>
    <w:rsid w:val="00526FB4"/>
    <w:rsid w:val="00527469"/>
    <w:rsid w:val="00527C7F"/>
    <w:rsid w:val="00531095"/>
    <w:rsid w:val="005310D1"/>
    <w:rsid w:val="0053113A"/>
    <w:rsid w:val="00531788"/>
    <w:rsid w:val="00531B38"/>
    <w:rsid w:val="00531BE4"/>
    <w:rsid w:val="00531C6F"/>
    <w:rsid w:val="00532360"/>
    <w:rsid w:val="00532747"/>
    <w:rsid w:val="0053274D"/>
    <w:rsid w:val="005327B9"/>
    <w:rsid w:val="005339C4"/>
    <w:rsid w:val="00533F48"/>
    <w:rsid w:val="00533FF6"/>
    <w:rsid w:val="00534131"/>
    <w:rsid w:val="00534899"/>
    <w:rsid w:val="00534DA9"/>
    <w:rsid w:val="0053503C"/>
    <w:rsid w:val="0053519F"/>
    <w:rsid w:val="00535382"/>
    <w:rsid w:val="005356D1"/>
    <w:rsid w:val="0053596A"/>
    <w:rsid w:val="005359DB"/>
    <w:rsid w:val="00537034"/>
    <w:rsid w:val="0053703D"/>
    <w:rsid w:val="005370D3"/>
    <w:rsid w:val="00537114"/>
    <w:rsid w:val="00537C89"/>
    <w:rsid w:val="00537CBB"/>
    <w:rsid w:val="00537ED0"/>
    <w:rsid w:val="00541204"/>
    <w:rsid w:val="00541713"/>
    <w:rsid w:val="005418EF"/>
    <w:rsid w:val="00541BB2"/>
    <w:rsid w:val="00542301"/>
    <w:rsid w:val="00542303"/>
    <w:rsid w:val="005423F5"/>
    <w:rsid w:val="00542498"/>
    <w:rsid w:val="00542D41"/>
    <w:rsid w:val="00543087"/>
    <w:rsid w:val="00543155"/>
    <w:rsid w:val="005431F9"/>
    <w:rsid w:val="005438C9"/>
    <w:rsid w:val="00543DF9"/>
    <w:rsid w:val="00544D97"/>
    <w:rsid w:val="00544E32"/>
    <w:rsid w:val="00546234"/>
    <w:rsid w:val="00546313"/>
    <w:rsid w:val="005464A9"/>
    <w:rsid w:val="00546BB4"/>
    <w:rsid w:val="005471ED"/>
    <w:rsid w:val="00547D4F"/>
    <w:rsid w:val="00547D9B"/>
    <w:rsid w:val="0055029B"/>
    <w:rsid w:val="00550377"/>
    <w:rsid w:val="00550E9F"/>
    <w:rsid w:val="00551248"/>
    <w:rsid w:val="005516A4"/>
    <w:rsid w:val="0055171E"/>
    <w:rsid w:val="005517F9"/>
    <w:rsid w:val="00551DF1"/>
    <w:rsid w:val="00552505"/>
    <w:rsid w:val="00552921"/>
    <w:rsid w:val="005542F9"/>
    <w:rsid w:val="00554A12"/>
    <w:rsid w:val="00554EA2"/>
    <w:rsid w:val="00555230"/>
    <w:rsid w:val="00555814"/>
    <w:rsid w:val="00555BDA"/>
    <w:rsid w:val="00556110"/>
    <w:rsid w:val="00556165"/>
    <w:rsid w:val="005567D1"/>
    <w:rsid w:val="00556938"/>
    <w:rsid w:val="00556BA9"/>
    <w:rsid w:val="00556EBA"/>
    <w:rsid w:val="00557176"/>
    <w:rsid w:val="00557CF6"/>
    <w:rsid w:val="00557E19"/>
    <w:rsid w:val="005601B8"/>
    <w:rsid w:val="005602D3"/>
    <w:rsid w:val="0056073C"/>
    <w:rsid w:val="00560B95"/>
    <w:rsid w:val="00561AE9"/>
    <w:rsid w:val="00561B79"/>
    <w:rsid w:val="00562641"/>
    <w:rsid w:val="00562823"/>
    <w:rsid w:val="00562927"/>
    <w:rsid w:val="00562BEE"/>
    <w:rsid w:val="00562C57"/>
    <w:rsid w:val="00564630"/>
    <w:rsid w:val="00564637"/>
    <w:rsid w:val="0056463E"/>
    <w:rsid w:val="00564D74"/>
    <w:rsid w:val="00565168"/>
    <w:rsid w:val="005654D3"/>
    <w:rsid w:val="005656E0"/>
    <w:rsid w:val="00565B78"/>
    <w:rsid w:val="005664B7"/>
    <w:rsid w:val="00566D07"/>
    <w:rsid w:val="00566D20"/>
    <w:rsid w:val="00566E04"/>
    <w:rsid w:val="00567685"/>
    <w:rsid w:val="0057019D"/>
    <w:rsid w:val="0057036C"/>
    <w:rsid w:val="005714D1"/>
    <w:rsid w:val="0057262E"/>
    <w:rsid w:val="00572853"/>
    <w:rsid w:val="00572D49"/>
    <w:rsid w:val="0057392D"/>
    <w:rsid w:val="00573E71"/>
    <w:rsid w:val="005743C2"/>
    <w:rsid w:val="00574B82"/>
    <w:rsid w:val="00574EF0"/>
    <w:rsid w:val="00574FB4"/>
    <w:rsid w:val="0057545A"/>
    <w:rsid w:val="0057571F"/>
    <w:rsid w:val="005758B4"/>
    <w:rsid w:val="00575DAA"/>
    <w:rsid w:val="0057639F"/>
    <w:rsid w:val="00576577"/>
    <w:rsid w:val="005775E8"/>
    <w:rsid w:val="0057774E"/>
    <w:rsid w:val="00577A46"/>
    <w:rsid w:val="005808C1"/>
    <w:rsid w:val="00580D1B"/>
    <w:rsid w:val="005819E4"/>
    <w:rsid w:val="005822D3"/>
    <w:rsid w:val="00582406"/>
    <w:rsid w:val="005824BF"/>
    <w:rsid w:val="00582ADA"/>
    <w:rsid w:val="00582B69"/>
    <w:rsid w:val="00582F97"/>
    <w:rsid w:val="00583B3D"/>
    <w:rsid w:val="00583C33"/>
    <w:rsid w:val="005841FC"/>
    <w:rsid w:val="005843D3"/>
    <w:rsid w:val="005849AB"/>
    <w:rsid w:val="00584BB2"/>
    <w:rsid w:val="00584C06"/>
    <w:rsid w:val="0058538A"/>
    <w:rsid w:val="00585A38"/>
    <w:rsid w:val="005860DD"/>
    <w:rsid w:val="005860EA"/>
    <w:rsid w:val="00586134"/>
    <w:rsid w:val="0058629F"/>
    <w:rsid w:val="005870E3"/>
    <w:rsid w:val="005872F9"/>
    <w:rsid w:val="00587DAA"/>
    <w:rsid w:val="00590AEE"/>
    <w:rsid w:val="00591195"/>
    <w:rsid w:val="005914CB"/>
    <w:rsid w:val="005916FB"/>
    <w:rsid w:val="00591BB6"/>
    <w:rsid w:val="00591BC1"/>
    <w:rsid w:val="00592C65"/>
    <w:rsid w:val="00593334"/>
    <w:rsid w:val="0059378B"/>
    <w:rsid w:val="00593EF8"/>
    <w:rsid w:val="00594B88"/>
    <w:rsid w:val="0059548C"/>
    <w:rsid w:val="005956F6"/>
    <w:rsid w:val="0059591D"/>
    <w:rsid w:val="00595A22"/>
    <w:rsid w:val="00595C78"/>
    <w:rsid w:val="00595D1D"/>
    <w:rsid w:val="00596A6E"/>
    <w:rsid w:val="00596B04"/>
    <w:rsid w:val="00596CF7"/>
    <w:rsid w:val="00596F6F"/>
    <w:rsid w:val="0059706F"/>
    <w:rsid w:val="005972DB"/>
    <w:rsid w:val="00597959"/>
    <w:rsid w:val="00597C60"/>
    <w:rsid w:val="005A018A"/>
    <w:rsid w:val="005A09FD"/>
    <w:rsid w:val="005A0F77"/>
    <w:rsid w:val="005A135A"/>
    <w:rsid w:val="005A187B"/>
    <w:rsid w:val="005A2B11"/>
    <w:rsid w:val="005A2FCF"/>
    <w:rsid w:val="005A3440"/>
    <w:rsid w:val="005A38D8"/>
    <w:rsid w:val="005A46E2"/>
    <w:rsid w:val="005A5C3A"/>
    <w:rsid w:val="005A5F5F"/>
    <w:rsid w:val="005A62C9"/>
    <w:rsid w:val="005A65A1"/>
    <w:rsid w:val="005A67D7"/>
    <w:rsid w:val="005A6B62"/>
    <w:rsid w:val="005A6CE9"/>
    <w:rsid w:val="005A73B1"/>
    <w:rsid w:val="005A758E"/>
    <w:rsid w:val="005A7A95"/>
    <w:rsid w:val="005B0545"/>
    <w:rsid w:val="005B10AD"/>
    <w:rsid w:val="005B12FA"/>
    <w:rsid w:val="005B280F"/>
    <w:rsid w:val="005B3936"/>
    <w:rsid w:val="005B4923"/>
    <w:rsid w:val="005B587B"/>
    <w:rsid w:val="005B5DA0"/>
    <w:rsid w:val="005B6842"/>
    <w:rsid w:val="005B6B22"/>
    <w:rsid w:val="005B6DB4"/>
    <w:rsid w:val="005B7FE2"/>
    <w:rsid w:val="005C0341"/>
    <w:rsid w:val="005C04AB"/>
    <w:rsid w:val="005C07DF"/>
    <w:rsid w:val="005C0B2E"/>
    <w:rsid w:val="005C0D03"/>
    <w:rsid w:val="005C0D4B"/>
    <w:rsid w:val="005C0DAF"/>
    <w:rsid w:val="005C0ED0"/>
    <w:rsid w:val="005C0FE4"/>
    <w:rsid w:val="005C1711"/>
    <w:rsid w:val="005C19D6"/>
    <w:rsid w:val="005C1E38"/>
    <w:rsid w:val="005C2245"/>
    <w:rsid w:val="005C2844"/>
    <w:rsid w:val="005C284B"/>
    <w:rsid w:val="005C3285"/>
    <w:rsid w:val="005C370C"/>
    <w:rsid w:val="005C3AFE"/>
    <w:rsid w:val="005C3EF5"/>
    <w:rsid w:val="005C3EFB"/>
    <w:rsid w:val="005C414A"/>
    <w:rsid w:val="005C48BC"/>
    <w:rsid w:val="005C4A6F"/>
    <w:rsid w:val="005C4B1A"/>
    <w:rsid w:val="005C4B58"/>
    <w:rsid w:val="005C565E"/>
    <w:rsid w:val="005C5889"/>
    <w:rsid w:val="005C5950"/>
    <w:rsid w:val="005C5B78"/>
    <w:rsid w:val="005C5F79"/>
    <w:rsid w:val="005C62F6"/>
    <w:rsid w:val="005C6C73"/>
    <w:rsid w:val="005C7C99"/>
    <w:rsid w:val="005D010C"/>
    <w:rsid w:val="005D0130"/>
    <w:rsid w:val="005D0BE9"/>
    <w:rsid w:val="005D0C4E"/>
    <w:rsid w:val="005D1AC1"/>
    <w:rsid w:val="005D21B8"/>
    <w:rsid w:val="005D2752"/>
    <w:rsid w:val="005D2A6E"/>
    <w:rsid w:val="005D2F7E"/>
    <w:rsid w:val="005D302E"/>
    <w:rsid w:val="005D304E"/>
    <w:rsid w:val="005D3344"/>
    <w:rsid w:val="005D3479"/>
    <w:rsid w:val="005D3BC3"/>
    <w:rsid w:val="005D3BD5"/>
    <w:rsid w:val="005D4710"/>
    <w:rsid w:val="005D5F39"/>
    <w:rsid w:val="005D65AD"/>
    <w:rsid w:val="005D6763"/>
    <w:rsid w:val="005D72DA"/>
    <w:rsid w:val="005D73FF"/>
    <w:rsid w:val="005D764F"/>
    <w:rsid w:val="005D7F05"/>
    <w:rsid w:val="005E00F4"/>
    <w:rsid w:val="005E0EAB"/>
    <w:rsid w:val="005E2165"/>
    <w:rsid w:val="005E22F3"/>
    <w:rsid w:val="005E2C28"/>
    <w:rsid w:val="005E2EA5"/>
    <w:rsid w:val="005E380B"/>
    <w:rsid w:val="005E3C28"/>
    <w:rsid w:val="005E3F3A"/>
    <w:rsid w:val="005E4EEA"/>
    <w:rsid w:val="005E5411"/>
    <w:rsid w:val="005E569B"/>
    <w:rsid w:val="005E6040"/>
    <w:rsid w:val="005E69D4"/>
    <w:rsid w:val="005E7A2A"/>
    <w:rsid w:val="005E7E31"/>
    <w:rsid w:val="005F0A4C"/>
    <w:rsid w:val="005F15E0"/>
    <w:rsid w:val="005F1870"/>
    <w:rsid w:val="005F187E"/>
    <w:rsid w:val="005F2728"/>
    <w:rsid w:val="005F272A"/>
    <w:rsid w:val="005F277D"/>
    <w:rsid w:val="005F2CA7"/>
    <w:rsid w:val="005F2FD2"/>
    <w:rsid w:val="005F38F7"/>
    <w:rsid w:val="005F3ACF"/>
    <w:rsid w:val="005F3BFD"/>
    <w:rsid w:val="005F422E"/>
    <w:rsid w:val="005F4F76"/>
    <w:rsid w:val="005F514F"/>
    <w:rsid w:val="005F5198"/>
    <w:rsid w:val="005F586B"/>
    <w:rsid w:val="005F5B06"/>
    <w:rsid w:val="005F6D30"/>
    <w:rsid w:val="005F70A7"/>
    <w:rsid w:val="005F73AD"/>
    <w:rsid w:val="0060022F"/>
    <w:rsid w:val="00600DB4"/>
    <w:rsid w:val="0060101B"/>
    <w:rsid w:val="00601341"/>
    <w:rsid w:val="00601C2F"/>
    <w:rsid w:val="00602425"/>
    <w:rsid w:val="006035AB"/>
    <w:rsid w:val="0060377B"/>
    <w:rsid w:val="006039DD"/>
    <w:rsid w:val="00603AFA"/>
    <w:rsid w:val="00603CD3"/>
    <w:rsid w:val="00603CE8"/>
    <w:rsid w:val="0060442D"/>
    <w:rsid w:val="00604680"/>
    <w:rsid w:val="00604854"/>
    <w:rsid w:val="00604B4C"/>
    <w:rsid w:val="00605ECF"/>
    <w:rsid w:val="0060612B"/>
    <w:rsid w:val="0060647D"/>
    <w:rsid w:val="0060668A"/>
    <w:rsid w:val="00607178"/>
    <w:rsid w:val="0061014C"/>
    <w:rsid w:val="00610636"/>
    <w:rsid w:val="00610957"/>
    <w:rsid w:val="00610BF4"/>
    <w:rsid w:val="0061110C"/>
    <w:rsid w:val="0061117E"/>
    <w:rsid w:val="0061158B"/>
    <w:rsid w:val="006116F7"/>
    <w:rsid w:val="00612169"/>
    <w:rsid w:val="00612A47"/>
    <w:rsid w:val="006131BC"/>
    <w:rsid w:val="0061394B"/>
    <w:rsid w:val="00613C84"/>
    <w:rsid w:val="00613FA7"/>
    <w:rsid w:val="0061535D"/>
    <w:rsid w:val="00615673"/>
    <w:rsid w:val="00615BBF"/>
    <w:rsid w:val="006161E5"/>
    <w:rsid w:val="00616561"/>
    <w:rsid w:val="006167EF"/>
    <w:rsid w:val="00616D97"/>
    <w:rsid w:val="00617898"/>
    <w:rsid w:val="00620776"/>
    <w:rsid w:val="006207FD"/>
    <w:rsid w:val="00620CEE"/>
    <w:rsid w:val="00622CE8"/>
    <w:rsid w:val="00622D8F"/>
    <w:rsid w:val="00622E29"/>
    <w:rsid w:val="00623492"/>
    <w:rsid w:val="00623786"/>
    <w:rsid w:val="0062430B"/>
    <w:rsid w:val="00624360"/>
    <w:rsid w:val="0062488E"/>
    <w:rsid w:val="0062553A"/>
    <w:rsid w:val="0062575A"/>
    <w:rsid w:val="00625EF4"/>
    <w:rsid w:val="00626215"/>
    <w:rsid w:val="00627C9D"/>
    <w:rsid w:val="00627DAE"/>
    <w:rsid w:val="00630C13"/>
    <w:rsid w:val="006310C1"/>
    <w:rsid w:val="00631E3B"/>
    <w:rsid w:val="00631F4C"/>
    <w:rsid w:val="00631FAF"/>
    <w:rsid w:val="00632211"/>
    <w:rsid w:val="00632574"/>
    <w:rsid w:val="00632F36"/>
    <w:rsid w:val="00633405"/>
    <w:rsid w:val="006335A3"/>
    <w:rsid w:val="00633FDC"/>
    <w:rsid w:val="00634701"/>
    <w:rsid w:val="00634A06"/>
    <w:rsid w:val="00634A69"/>
    <w:rsid w:val="00634DC0"/>
    <w:rsid w:val="00635DCD"/>
    <w:rsid w:val="006364F7"/>
    <w:rsid w:val="00636E15"/>
    <w:rsid w:val="00636EBB"/>
    <w:rsid w:val="00636EE0"/>
    <w:rsid w:val="0063747A"/>
    <w:rsid w:val="0063799B"/>
    <w:rsid w:val="00637C68"/>
    <w:rsid w:val="00637E93"/>
    <w:rsid w:val="00637F16"/>
    <w:rsid w:val="006404EF"/>
    <w:rsid w:val="00640F20"/>
    <w:rsid w:val="00641ED0"/>
    <w:rsid w:val="00641F15"/>
    <w:rsid w:val="0064251E"/>
    <w:rsid w:val="00642A82"/>
    <w:rsid w:val="00642C8C"/>
    <w:rsid w:val="00642FE5"/>
    <w:rsid w:val="00644A84"/>
    <w:rsid w:val="00644C01"/>
    <w:rsid w:val="00644F09"/>
    <w:rsid w:val="006451D0"/>
    <w:rsid w:val="006452A9"/>
    <w:rsid w:val="006453EB"/>
    <w:rsid w:val="00647093"/>
    <w:rsid w:val="00647149"/>
    <w:rsid w:val="006471EC"/>
    <w:rsid w:val="006473C2"/>
    <w:rsid w:val="00647F32"/>
    <w:rsid w:val="006502C2"/>
    <w:rsid w:val="00650535"/>
    <w:rsid w:val="00650AEC"/>
    <w:rsid w:val="00650F8A"/>
    <w:rsid w:val="006510A4"/>
    <w:rsid w:val="006510E4"/>
    <w:rsid w:val="00651B19"/>
    <w:rsid w:val="0065203B"/>
    <w:rsid w:val="00652B82"/>
    <w:rsid w:val="006534E7"/>
    <w:rsid w:val="00654108"/>
    <w:rsid w:val="0065410B"/>
    <w:rsid w:val="006549E1"/>
    <w:rsid w:val="00654BFF"/>
    <w:rsid w:val="00654C22"/>
    <w:rsid w:val="00654F3E"/>
    <w:rsid w:val="00655130"/>
    <w:rsid w:val="006551A8"/>
    <w:rsid w:val="00655928"/>
    <w:rsid w:val="00656918"/>
    <w:rsid w:val="006572F0"/>
    <w:rsid w:val="0065751D"/>
    <w:rsid w:val="006576A7"/>
    <w:rsid w:val="006579BD"/>
    <w:rsid w:val="00657D21"/>
    <w:rsid w:val="00657DAA"/>
    <w:rsid w:val="0066034F"/>
    <w:rsid w:val="0066072A"/>
    <w:rsid w:val="006614E4"/>
    <w:rsid w:val="006616EF"/>
    <w:rsid w:val="00661A78"/>
    <w:rsid w:val="00661E1D"/>
    <w:rsid w:val="00661F65"/>
    <w:rsid w:val="006620E7"/>
    <w:rsid w:val="00662170"/>
    <w:rsid w:val="00662E03"/>
    <w:rsid w:val="00663005"/>
    <w:rsid w:val="00663073"/>
    <w:rsid w:val="00663CDF"/>
    <w:rsid w:val="00663F50"/>
    <w:rsid w:val="00663FD9"/>
    <w:rsid w:val="00664075"/>
    <w:rsid w:val="00664787"/>
    <w:rsid w:val="00664AA6"/>
    <w:rsid w:val="00664B8C"/>
    <w:rsid w:val="00665967"/>
    <w:rsid w:val="00665B44"/>
    <w:rsid w:val="00666207"/>
    <w:rsid w:val="006666E4"/>
    <w:rsid w:val="00666947"/>
    <w:rsid w:val="00666A21"/>
    <w:rsid w:val="00666B9E"/>
    <w:rsid w:val="00666F87"/>
    <w:rsid w:val="00667922"/>
    <w:rsid w:val="00670F4A"/>
    <w:rsid w:val="00671029"/>
    <w:rsid w:val="00671194"/>
    <w:rsid w:val="00671BB1"/>
    <w:rsid w:val="006726FB"/>
    <w:rsid w:val="00672D5E"/>
    <w:rsid w:val="00672F1B"/>
    <w:rsid w:val="006730D3"/>
    <w:rsid w:val="00673EB7"/>
    <w:rsid w:val="0067478C"/>
    <w:rsid w:val="006749AC"/>
    <w:rsid w:val="006754A7"/>
    <w:rsid w:val="00675763"/>
    <w:rsid w:val="006757AD"/>
    <w:rsid w:val="00675970"/>
    <w:rsid w:val="00675B76"/>
    <w:rsid w:val="00675FCA"/>
    <w:rsid w:val="00676101"/>
    <w:rsid w:val="00676131"/>
    <w:rsid w:val="0067635F"/>
    <w:rsid w:val="00676908"/>
    <w:rsid w:val="00677476"/>
    <w:rsid w:val="00677CF9"/>
    <w:rsid w:val="006816E7"/>
    <w:rsid w:val="006828B9"/>
    <w:rsid w:val="00682AC9"/>
    <w:rsid w:val="00682B18"/>
    <w:rsid w:val="0068356F"/>
    <w:rsid w:val="006838F2"/>
    <w:rsid w:val="006846EA"/>
    <w:rsid w:val="00684FD1"/>
    <w:rsid w:val="00685CEE"/>
    <w:rsid w:val="00685D88"/>
    <w:rsid w:val="00686113"/>
    <w:rsid w:val="006868DF"/>
    <w:rsid w:val="006869AA"/>
    <w:rsid w:val="00686F5B"/>
    <w:rsid w:val="00686F9E"/>
    <w:rsid w:val="0068724D"/>
    <w:rsid w:val="006905D1"/>
    <w:rsid w:val="006907DD"/>
    <w:rsid w:val="00690971"/>
    <w:rsid w:val="006912DF"/>
    <w:rsid w:val="00691348"/>
    <w:rsid w:val="00691E31"/>
    <w:rsid w:val="00691F19"/>
    <w:rsid w:val="00691F77"/>
    <w:rsid w:val="00691FCC"/>
    <w:rsid w:val="006920A9"/>
    <w:rsid w:val="006926C9"/>
    <w:rsid w:val="006933DC"/>
    <w:rsid w:val="00693729"/>
    <w:rsid w:val="00694268"/>
    <w:rsid w:val="0069439A"/>
    <w:rsid w:val="006945D3"/>
    <w:rsid w:val="00694C72"/>
    <w:rsid w:val="00694D4B"/>
    <w:rsid w:val="00694F35"/>
    <w:rsid w:val="006953A7"/>
    <w:rsid w:val="00695A70"/>
    <w:rsid w:val="006A09EE"/>
    <w:rsid w:val="006A0A3B"/>
    <w:rsid w:val="006A0EE1"/>
    <w:rsid w:val="006A1B45"/>
    <w:rsid w:val="006A1D29"/>
    <w:rsid w:val="006A2255"/>
    <w:rsid w:val="006A2FDA"/>
    <w:rsid w:val="006A30ED"/>
    <w:rsid w:val="006A381E"/>
    <w:rsid w:val="006A384C"/>
    <w:rsid w:val="006A39C7"/>
    <w:rsid w:val="006A3CBF"/>
    <w:rsid w:val="006A3D28"/>
    <w:rsid w:val="006A480A"/>
    <w:rsid w:val="006A4BB3"/>
    <w:rsid w:val="006A5BE5"/>
    <w:rsid w:val="006A60EE"/>
    <w:rsid w:val="006A60F2"/>
    <w:rsid w:val="006A69CB"/>
    <w:rsid w:val="006A71FE"/>
    <w:rsid w:val="006A741E"/>
    <w:rsid w:val="006A7F85"/>
    <w:rsid w:val="006B00D9"/>
    <w:rsid w:val="006B021A"/>
    <w:rsid w:val="006B0408"/>
    <w:rsid w:val="006B05D1"/>
    <w:rsid w:val="006B0971"/>
    <w:rsid w:val="006B0B27"/>
    <w:rsid w:val="006B17C7"/>
    <w:rsid w:val="006B1823"/>
    <w:rsid w:val="006B190F"/>
    <w:rsid w:val="006B286A"/>
    <w:rsid w:val="006B36BE"/>
    <w:rsid w:val="006B40B8"/>
    <w:rsid w:val="006B45FC"/>
    <w:rsid w:val="006B45FE"/>
    <w:rsid w:val="006B4761"/>
    <w:rsid w:val="006B49C5"/>
    <w:rsid w:val="006B4C1C"/>
    <w:rsid w:val="006B4CED"/>
    <w:rsid w:val="006B4CF1"/>
    <w:rsid w:val="006B511E"/>
    <w:rsid w:val="006B5643"/>
    <w:rsid w:val="006B5E32"/>
    <w:rsid w:val="006B5E90"/>
    <w:rsid w:val="006B6A6F"/>
    <w:rsid w:val="006B6B90"/>
    <w:rsid w:val="006B734A"/>
    <w:rsid w:val="006B76E9"/>
    <w:rsid w:val="006B772C"/>
    <w:rsid w:val="006C1639"/>
    <w:rsid w:val="006C1693"/>
    <w:rsid w:val="006C16F4"/>
    <w:rsid w:val="006C1C0A"/>
    <w:rsid w:val="006C2714"/>
    <w:rsid w:val="006C287F"/>
    <w:rsid w:val="006C3139"/>
    <w:rsid w:val="006C34D1"/>
    <w:rsid w:val="006C384B"/>
    <w:rsid w:val="006C3AF1"/>
    <w:rsid w:val="006C3BC5"/>
    <w:rsid w:val="006C441F"/>
    <w:rsid w:val="006C44D4"/>
    <w:rsid w:val="006C4E89"/>
    <w:rsid w:val="006C520D"/>
    <w:rsid w:val="006C5481"/>
    <w:rsid w:val="006C5FC0"/>
    <w:rsid w:val="006C60BE"/>
    <w:rsid w:val="006C67B9"/>
    <w:rsid w:val="006C6A9B"/>
    <w:rsid w:val="006C6F24"/>
    <w:rsid w:val="006C7559"/>
    <w:rsid w:val="006C778A"/>
    <w:rsid w:val="006C7D04"/>
    <w:rsid w:val="006C7F3C"/>
    <w:rsid w:val="006D08FE"/>
    <w:rsid w:val="006D0C0F"/>
    <w:rsid w:val="006D1319"/>
    <w:rsid w:val="006D147C"/>
    <w:rsid w:val="006D1D76"/>
    <w:rsid w:val="006D1D98"/>
    <w:rsid w:val="006D1FB4"/>
    <w:rsid w:val="006D2896"/>
    <w:rsid w:val="006D2DED"/>
    <w:rsid w:val="006D35DB"/>
    <w:rsid w:val="006D36D8"/>
    <w:rsid w:val="006D4826"/>
    <w:rsid w:val="006D5110"/>
    <w:rsid w:val="006D51BE"/>
    <w:rsid w:val="006D5A90"/>
    <w:rsid w:val="006D682B"/>
    <w:rsid w:val="006D6D16"/>
    <w:rsid w:val="006D6EA3"/>
    <w:rsid w:val="006D788B"/>
    <w:rsid w:val="006D7ABD"/>
    <w:rsid w:val="006D7B69"/>
    <w:rsid w:val="006E00BF"/>
    <w:rsid w:val="006E0F4E"/>
    <w:rsid w:val="006E0FAB"/>
    <w:rsid w:val="006E10F1"/>
    <w:rsid w:val="006E21AC"/>
    <w:rsid w:val="006E2399"/>
    <w:rsid w:val="006E23C3"/>
    <w:rsid w:val="006E2883"/>
    <w:rsid w:val="006E3CB1"/>
    <w:rsid w:val="006E3D17"/>
    <w:rsid w:val="006E3D3C"/>
    <w:rsid w:val="006E3DDA"/>
    <w:rsid w:val="006E3E8F"/>
    <w:rsid w:val="006E479E"/>
    <w:rsid w:val="006E4EE8"/>
    <w:rsid w:val="006E57B4"/>
    <w:rsid w:val="006E6303"/>
    <w:rsid w:val="006E6D63"/>
    <w:rsid w:val="006E6DD9"/>
    <w:rsid w:val="006F04BD"/>
    <w:rsid w:val="006F1C0F"/>
    <w:rsid w:val="006F1DED"/>
    <w:rsid w:val="006F2759"/>
    <w:rsid w:val="006F2A91"/>
    <w:rsid w:val="006F2D33"/>
    <w:rsid w:val="006F2D7A"/>
    <w:rsid w:val="006F2FF5"/>
    <w:rsid w:val="006F379C"/>
    <w:rsid w:val="006F3BC4"/>
    <w:rsid w:val="006F4220"/>
    <w:rsid w:val="006F4DA6"/>
    <w:rsid w:val="006F69F6"/>
    <w:rsid w:val="006F6BCB"/>
    <w:rsid w:val="006F7104"/>
    <w:rsid w:val="006F73FC"/>
    <w:rsid w:val="006F778D"/>
    <w:rsid w:val="00701020"/>
    <w:rsid w:val="007011CA"/>
    <w:rsid w:val="00701265"/>
    <w:rsid w:val="00701AFC"/>
    <w:rsid w:val="00701E0A"/>
    <w:rsid w:val="007022EC"/>
    <w:rsid w:val="007028F0"/>
    <w:rsid w:val="00703563"/>
    <w:rsid w:val="007039E6"/>
    <w:rsid w:val="00703CB5"/>
    <w:rsid w:val="00703CE8"/>
    <w:rsid w:val="00704737"/>
    <w:rsid w:val="00704C1B"/>
    <w:rsid w:val="0070574D"/>
    <w:rsid w:val="007059EA"/>
    <w:rsid w:val="00705C2C"/>
    <w:rsid w:val="00705D34"/>
    <w:rsid w:val="00706311"/>
    <w:rsid w:val="00706362"/>
    <w:rsid w:val="0070638A"/>
    <w:rsid w:val="007066EA"/>
    <w:rsid w:val="00707038"/>
    <w:rsid w:val="0070708F"/>
    <w:rsid w:val="00707769"/>
    <w:rsid w:val="007077B6"/>
    <w:rsid w:val="0071015D"/>
    <w:rsid w:val="00710906"/>
    <w:rsid w:val="007113ED"/>
    <w:rsid w:val="00712157"/>
    <w:rsid w:val="00712433"/>
    <w:rsid w:val="00712590"/>
    <w:rsid w:val="00712C1D"/>
    <w:rsid w:val="00712E01"/>
    <w:rsid w:val="00712EA1"/>
    <w:rsid w:val="0071398B"/>
    <w:rsid w:val="00713AB4"/>
    <w:rsid w:val="00713AF0"/>
    <w:rsid w:val="00713E35"/>
    <w:rsid w:val="00714532"/>
    <w:rsid w:val="00714EAB"/>
    <w:rsid w:val="0071540E"/>
    <w:rsid w:val="00715639"/>
    <w:rsid w:val="0071564C"/>
    <w:rsid w:val="0071573F"/>
    <w:rsid w:val="00715A41"/>
    <w:rsid w:val="00716741"/>
    <w:rsid w:val="00717478"/>
    <w:rsid w:val="0071774E"/>
    <w:rsid w:val="007200F0"/>
    <w:rsid w:val="00720717"/>
    <w:rsid w:val="007209A3"/>
    <w:rsid w:val="007215EB"/>
    <w:rsid w:val="007216BB"/>
    <w:rsid w:val="00722049"/>
    <w:rsid w:val="00722328"/>
    <w:rsid w:val="007245FB"/>
    <w:rsid w:val="0072483E"/>
    <w:rsid w:val="00724CD7"/>
    <w:rsid w:val="00724E16"/>
    <w:rsid w:val="00724E6E"/>
    <w:rsid w:val="007257E3"/>
    <w:rsid w:val="00726003"/>
    <w:rsid w:val="00726E3E"/>
    <w:rsid w:val="007272EE"/>
    <w:rsid w:val="007272F6"/>
    <w:rsid w:val="0072740E"/>
    <w:rsid w:val="00727575"/>
    <w:rsid w:val="00727A07"/>
    <w:rsid w:val="00727D64"/>
    <w:rsid w:val="00727F09"/>
    <w:rsid w:val="0073108A"/>
    <w:rsid w:val="00731937"/>
    <w:rsid w:val="00732030"/>
    <w:rsid w:val="00732288"/>
    <w:rsid w:val="00732488"/>
    <w:rsid w:val="007325D6"/>
    <w:rsid w:val="00732AD8"/>
    <w:rsid w:val="00732CC4"/>
    <w:rsid w:val="007348BD"/>
    <w:rsid w:val="00734E3B"/>
    <w:rsid w:val="00735EAB"/>
    <w:rsid w:val="0073663C"/>
    <w:rsid w:val="0073689E"/>
    <w:rsid w:val="007375E5"/>
    <w:rsid w:val="00737F14"/>
    <w:rsid w:val="00740175"/>
    <w:rsid w:val="00740A8B"/>
    <w:rsid w:val="00740ECE"/>
    <w:rsid w:val="0074107F"/>
    <w:rsid w:val="0074158C"/>
    <w:rsid w:val="007415FE"/>
    <w:rsid w:val="00742EC9"/>
    <w:rsid w:val="00743542"/>
    <w:rsid w:val="00743DEC"/>
    <w:rsid w:val="00744138"/>
    <w:rsid w:val="0074435F"/>
    <w:rsid w:val="00744814"/>
    <w:rsid w:val="00744AB9"/>
    <w:rsid w:val="00744FAE"/>
    <w:rsid w:val="00745335"/>
    <w:rsid w:val="00745468"/>
    <w:rsid w:val="00745894"/>
    <w:rsid w:val="007461A5"/>
    <w:rsid w:val="007475B7"/>
    <w:rsid w:val="00747643"/>
    <w:rsid w:val="0074779E"/>
    <w:rsid w:val="007477CD"/>
    <w:rsid w:val="00750225"/>
    <w:rsid w:val="007503C3"/>
    <w:rsid w:val="00750C1C"/>
    <w:rsid w:val="0075101B"/>
    <w:rsid w:val="00751028"/>
    <w:rsid w:val="007510EB"/>
    <w:rsid w:val="007511DC"/>
    <w:rsid w:val="00751412"/>
    <w:rsid w:val="00751956"/>
    <w:rsid w:val="007519A9"/>
    <w:rsid w:val="007527C2"/>
    <w:rsid w:val="0075327D"/>
    <w:rsid w:val="0075368B"/>
    <w:rsid w:val="00753CBF"/>
    <w:rsid w:val="00753E3C"/>
    <w:rsid w:val="007547D9"/>
    <w:rsid w:val="00754973"/>
    <w:rsid w:val="00755AE5"/>
    <w:rsid w:val="00755C97"/>
    <w:rsid w:val="00756084"/>
    <w:rsid w:val="007560B1"/>
    <w:rsid w:val="00756302"/>
    <w:rsid w:val="0075649A"/>
    <w:rsid w:val="007565FE"/>
    <w:rsid w:val="00756864"/>
    <w:rsid w:val="00756F61"/>
    <w:rsid w:val="007570AD"/>
    <w:rsid w:val="007577B1"/>
    <w:rsid w:val="007606C7"/>
    <w:rsid w:val="00760C03"/>
    <w:rsid w:val="00760D0A"/>
    <w:rsid w:val="00760DB2"/>
    <w:rsid w:val="0076106D"/>
    <w:rsid w:val="00761F4F"/>
    <w:rsid w:val="00762184"/>
    <w:rsid w:val="0076251F"/>
    <w:rsid w:val="00762550"/>
    <w:rsid w:val="0076273B"/>
    <w:rsid w:val="007632F6"/>
    <w:rsid w:val="0076340E"/>
    <w:rsid w:val="007635D1"/>
    <w:rsid w:val="007639C1"/>
    <w:rsid w:val="00763CDF"/>
    <w:rsid w:val="007640BA"/>
    <w:rsid w:val="00764958"/>
    <w:rsid w:val="00764D97"/>
    <w:rsid w:val="00765219"/>
    <w:rsid w:val="0076543B"/>
    <w:rsid w:val="00765BED"/>
    <w:rsid w:val="007661B9"/>
    <w:rsid w:val="007663EC"/>
    <w:rsid w:val="007667BD"/>
    <w:rsid w:val="00766B7A"/>
    <w:rsid w:val="00766D74"/>
    <w:rsid w:val="00766F86"/>
    <w:rsid w:val="00767396"/>
    <w:rsid w:val="00767DB1"/>
    <w:rsid w:val="007706BC"/>
    <w:rsid w:val="00770C42"/>
    <w:rsid w:val="00770D3F"/>
    <w:rsid w:val="0077107F"/>
    <w:rsid w:val="007712F0"/>
    <w:rsid w:val="00771DBC"/>
    <w:rsid w:val="00772DF7"/>
    <w:rsid w:val="00772F18"/>
    <w:rsid w:val="007737AF"/>
    <w:rsid w:val="007737C1"/>
    <w:rsid w:val="00773D36"/>
    <w:rsid w:val="00773F32"/>
    <w:rsid w:val="007745A7"/>
    <w:rsid w:val="007753A9"/>
    <w:rsid w:val="00775B73"/>
    <w:rsid w:val="00775C47"/>
    <w:rsid w:val="00775F65"/>
    <w:rsid w:val="0077612A"/>
    <w:rsid w:val="00776142"/>
    <w:rsid w:val="00777355"/>
    <w:rsid w:val="007801AB"/>
    <w:rsid w:val="007803D7"/>
    <w:rsid w:val="007805E9"/>
    <w:rsid w:val="00780E83"/>
    <w:rsid w:val="0078127E"/>
    <w:rsid w:val="0078141E"/>
    <w:rsid w:val="00781783"/>
    <w:rsid w:val="0078194F"/>
    <w:rsid w:val="00781974"/>
    <w:rsid w:val="00781B63"/>
    <w:rsid w:val="0078255C"/>
    <w:rsid w:val="0078260C"/>
    <w:rsid w:val="00782A2E"/>
    <w:rsid w:val="00782E31"/>
    <w:rsid w:val="007837DE"/>
    <w:rsid w:val="007837E1"/>
    <w:rsid w:val="00783D00"/>
    <w:rsid w:val="00783FF2"/>
    <w:rsid w:val="00784C03"/>
    <w:rsid w:val="00785350"/>
    <w:rsid w:val="00786A3A"/>
    <w:rsid w:val="00786CB0"/>
    <w:rsid w:val="007870E2"/>
    <w:rsid w:val="00787561"/>
    <w:rsid w:val="00787BEB"/>
    <w:rsid w:val="00787D27"/>
    <w:rsid w:val="00790262"/>
    <w:rsid w:val="007904E8"/>
    <w:rsid w:val="007905D1"/>
    <w:rsid w:val="007909A5"/>
    <w:rsid w:val="00790AC4"/>
    <w:rsid w:val="00791833"/>
    <w:rsid w:val="00791E38"/>
    <w:rsid w:val="0079208F"/>
    <w:rsid w:val="007928DD"/>
    <w:rsid w:val="00792D28"/>
    <w:rsid w:val="00792D31"/>
    <w:rsid w:val="00792F4A"/>
    <w:rsid w:val="00793391"/>
    <w:rsid w:val="007934ED"/>
    <w:rsid w:val="00794E09"/>
    <w:rsid w:val="007950C9"/>
    <w:rsid w:val="007950E0"/>
    <w:rsid w:val="00795DB4"/>
    <w:rsid w:val="0079672A"/>
    <w:rsid w:val="0079673D"/>
    <w:rsid w:val="007967C5"/>
    <w:rsid w:val="00797573"/>
    <w:rsid w:val="00797622"/>
    <w:rsid w:val="00797CC4"/>
    <w:rsid w:val="00797CDB"/>
    <w:rsid w:val="007A1C6A"/>
    <w:rsid w:val="007A2523"/>
    <w:rsid w:val="007A2922"/>
    <w:rsid w:val="007A42F5"/>
    <w:rsid w:val="007A5309"/>
    <w:rsid w:val="007A5338"/>
    <w:rsid w:val="007A559C"/>
    <w:rsid w:val="007A55C4"/>
    <w:rsid w:val="007A56AC"/>
    <w:rsid w:val="007A6721"/>
    <w:rsid w:val="007A69E1"/>
    <w:rsid w:val="007A6F5D"/>
    <w:rsid w:val="007A74BE"/>
    <w:rsid w:val="007B02E3"/>
    <w:rsid w:val="007B0AAB"/>
    <w:rsid w:val="007B1032"/>
    <w:rsid w:val="007B2048"/>
    <w:rsid w:val="007B2850"/>
    <w:rsid w:val="007B2FCE"/>
    <w:rsid w:val="007B37D2"/>
    <w:rsid w:val="007B3CEB"/>
    <w:rsid w:val="007B3DAC"/>
    <w:rsid w:val="007B47D3"/>
    <w:rsid w:val="007B548F"/>
    <w:rsid w:val="007B5697"/>
    <w:rsid w:val="007B57F8"/>
    <w:rsid w:val="007B599B"/>
    <w:rsid w:val="007B5D38"/>
    <w:rsid w:val="007B6659"/>
    <w:rsid w:val="007B665A"/>
    <w:rsid w:val="007B6990"/>
    <w:rsid w:val="007B6BB3"/>
    <w:rsid w:val="007B6E5F"/>
    <w:rsid w:val="007B71B3"/>
    <w:rsid w:val="007B724E"/>
    <w:rsid w:val="007B727E"/>
    <w:rsid w:val="007B736E"/>
    <w:rsid w:val="007B73A1"/>
    <w:rsid w:val="007B748A"/>
    <w:rsid w:val="007B7A82"/>
    <w:rsid w:val="007C1560"/>
    <w:rsid w:val="007C208D"/>
    <w:rsid w:val="007C22E7"/>
    <w:rsid w:val="007C3198"/>
    <w:rsid w:val="007C3866"/>
    <w:rsid w:val="007C42C1"/>
    <w:rsid w:val="007C4DBF"/>
    <w:rsid w:val="007C5053"/>
    <w:rsid w:val="007C6651"/>
    <w:rsid w:val="007C6D10"/>
    <w:rsid w:val="007C71CA"/>
    <w:rsid w:val="007C7D6F"/>
    <w:rsid w:val="007D051A"/>
    <w:rsid w:val="007D0DEF"/>
    <w:rsid w:val="007D109C"/>
    <w:rsid w:val="007D2793"/>
    <w:rsid w:val="007D2A83"/>
    <w:rsid w:val="007D329A"/>
    <w:rsid w:val="007D3482"/>
    <w:rsid w:val="007D34FE"/>
    <w:rsid w:val="007D3BBD"/>
    <w:rsid w:val="007D3DE8"/>
    <w:rsid w:val="007D3E13"/>
    <w:rsid w:val="007D3F7E"/>
    <w:rsid w:val="007D3FBE"/>
    <w:rsid w:val="007D4891"/>
    <w:rsid w:val="007D48A5"/>
    <w:rsid w:val="007D521E"/>
    <w:rsid w:val="007D54F7"/>
    <w:rsid w:val="007D57D9"/>
    <w:rsid w:val="007D5911"/>
    <w:rsid w:val="007D5954"/>
    <w:rsid w:val="007D59C0"/>
    <w:rsid w:val="007D59C9"/>
    <w:rsid w:val="007D59F2"/>
    <w:rsid w:val="007D5CB4"/>
    <w:rsid w:val="007D68FC"/>
    <w:rsid w:val="007D6B92"/>
    <w:rsid w:val="007D7BA9"/>
    <w:rsid w:val="007D7D3C"/>
    <w:rsid w:val="007D7F5B"/>
    <w:rsid w:val="007E025F"/>
    <w:rsid w:val="007E051F"/>
    <w:rsid w:val="007E06EA"/>
    <w:rsid w:val="007E07DB"/>
    <w:rsid w:val="007E0CF1"/>
    <w:rsid w:val="007E16E5"/>
    <w:rsid w:val="007E19A6"/>
    <w:rsid w:val="007E19E9"/>
    <w:rsid w:val="007E2946"/>
    <w:rsid w:val="007E2AD0"/>
    <w:rsid w:val="007E2B5C"/>
    <w:rsid w:val="007E320F"/>
    <w:rsid w:val="007E33AE"/>
    <w:rsid w:val="007E375A"/>
    <w:rsid w:val="007E3D4B"/>
    <w:rsid w:val="007E3F57"/>
    <w:rsid w:val="007E40EE"/>
    <w:rsid w:val="007E4AF8"/>
    <w:rsid w:val="007E5126"/>
    <w:rsid w:val="007E5339"/>
    <w:rsid w:val="007E5872"/>
    <w:rsid w:val="007E5889"/>
    <w:rsid w:val="007E5B4E"/>
    <w:rsid w:val="007E694C"/>
    <w:rsid w:val="007E6AE1"/>
    <w:rsid w:val="007E7171"/>
    <w:rsid w:val="007F085C"/>
    <w:rsid w:val="007F0D3C"/>
    <w:rsid w:val="007F12FF"/>
    <w:rsid w:val="007F1347"/>
    <w:rsid w:val="007F1526"/>
    <w:rsid w:val="007F17D1"/>
    <w:rsid w:val="007F1A74"/>
    <w:rsid w:val="007F2A15"/>
    <w:rsid w:val="007F2AD9"/>
    <w:rsid w:val="007F30EA"/>
    <w:rsid w:val="007F3358"/>
    <w:rsid w:val="007F360E"/>
    <w:rsid w:val="007F3BE7"/>
    <w:rsid w:val="007F4196"/>
    <w:rsid w:val="007F4C8C"/>
    <w:rsid w:val="007F62CF"/>
    <w:rsid w:val="007F6922"/>
    <w:rsid w:val="007F6E06"/>
    <w:rsid w:val="007F750A"/>
    <w:rsid w:val="007F7562"/>
    <w:rsid w:val="007F7ACC"/>
    <w:rsid w:val="0080016F"/>
    <w:rsid w:val="00800469"/>
    <w:rsid w:val="00800A01"/>
    <w:rsid w:val="00801064"/>
    <w:rsid w:val="00801AD3"/>
    <w:rsid w:val="00801DBE"/>
    <w:rsid w:val="008026AB"/>
    <w:rsid w:val="00802788"/>
    <w:rsid w:val="0080306D"/>
    <w:rsid w:val="00803778"/>
    <w:rsid w:val="00803A54"/>
    <w:rsid w:val="00803CD7"/>
    <w:rsid w:val="008042DA"/>
    <w:rsid w:val="00804759"/>
    <w:rsid w:val="0080479F"/>
    <w:rsid w:val="008047F4"/>
    <w:rsid w:val="0080488F"/>
    <w:rsid w:val="00804E32"/>
    <w:rsid w:val="00805326"/>
    <w:rsid w:val="00805BCE"/>
    <w:rsid w:val="008060A1"/>
    <w:rsid w:val="0080645F"/>
    <w:rsid w:val="00806F9D"/>
    <w:rsid w:val="00807484"/>
    <w:rsid w:val="008078A9"/>
    <w:rsid w:val="00810747"/>
    <w:rsid w:val="0081135E"/>
    <w:rsid w:val="00811C69"/>
    <w:rsid w:val="00811EFC"/>
    <w:rsid w:val="00812114"/>
    <w:rsid w:val="008122A0"/>
    <w:rsid w:val="0081324A"/>
    <w:rsid w:val="008134B5"/>
    <w:rsid w:val="00814045"/>
    <w:rsid w:val="008141E1"/>
    <w:rsid w:val="00814349"/>
    <w:rsid w:val="00814461"/>
    <w:rsid w:val="008145A3"/>
    <w:rsid w:val="008145DD"/>
    <w:rsid w:val="00814BDD"/>
    <w:rsid w:val="0081508A"/>
    <w:rsid w:val="00815ADB"/>
    <w:rsid w:val="00815B41"/>
    <w:rsid w:val="00815BBE"/>
    <w:rsid w:val="00816257"/>
    <w:rsid w:val="008177C6"/>
    <w:rsid w:val="00817B01"/>
    <w:rsid w:val="0082015C"/>
    <w:rsid w:val="0082050D"/>
    <w:rsid w:val="0082099E"/>
    <w:rsid w:val="00821321"/>
    <w:rsid w:val="00821C4C"/>
    <w:rsid w:val="008224BE"/>
    <w:rsid w:val="0082304B"/>
    <w:rsid w:val="00823348"/>
    <w:rsid w:val="00823A4D"/>
    <w:rsid w:val="0082411F"/>
    <w:rsid w:val="00824B95"/>
    <w:rsid w:val="00824C66"/>
    <w:rsid w:val="00824E09"/>
    <w:rsid w:val="0082621E"/>
    <w:rsid w:val="00826288"/>
    <w:rsid w:val="008263F2"/>
    <w:rsid w:val="00826B73"/>
    <w:rsid w:val="0082784D"/>
    <w:rsid w:val="00827C33"/>
    <w:rsid w:val="008303F6"/>
    <w:rsid w:val="00830A76"/>
    <w:rsid w:val="008310EA"/>
    <w:rsid w:val="00831C65"/>
    <w:rsid w:val="00831CBA"/>
    <w:rsid w:val="00832059"/>
    <w:rsid w:val="0083215A"/>
    <w:rsid w:val="0083274E"/>
    <w:rsid w:val="0083275D"/>
    <w:rsid w:val="008338F1"/>
    <w:rsid w:val="00833F28"/>
    <w:rsid w:val="008343EF"/>
    <w:rsid w:val="008346EA"/>
    <w:rsid w:val="00834C64"/>
    <w:rsid w:val="00834EE1"/>
    <w:rsid w:val="00834F75"/>
    <w:rsid w:val="008351FE"/>
    <w:rsid w:val="00835590"/>
    <w:rsid w:val="00835C6A"/>
    <w:rsid w:val="00836163"/>
    <w:rsid w:val="0083675E"/>
    <w:rsid w:val="00836A4E"/>
    <w:rsid w:val="00837AA5"/>
    <w:rsid w:val="00837B8F"/>
    <w:rsid w:val="00837E61"/>
    <w:rsid w:val="00837E9A"/>
    <w:rsid w:val="00837F11"/>
    <w:rsid w:val="0084009E"/>
    <w:rsid w:val="00840C91"/>
    <w:rsid w:val="00840F2D"/>
    <w:rsid w:val="0084171D"/>
    <w:rsid w:val="00841981"/>
    <w:rsid w:val="00842222"/>
    <w:rsid w:val="00842607"/>
    <w:rsid w:val="00842D36"/>
    <w:rsid w:val="00842E33"/>
    <w:rsid w:val="008436A5"/>
    <w:rsid w:val="008440AA"/>
    <w:rsid w:val="00844805"/>
    <w:rsid w:val="0084597A"/>
    <w:rsid w:val="00845A1D"/>
    <w:rsid w:val="00846597"/>
    <w:rsid w:val="008468A5"/>
    <w:rsid w:val="008468B6"/>
    <w:rsid w:val="00846B00"/>
    <w:rsid w:val="00846D14"/>
    <w:rsid w:val="008473E4"/>
    <w:rsid w:val="0084799E"/>
    <w:rsid w:val="008501F6"/>
    <w:rsid w:val="008502F4"/>
    <w:rsid w:val="008505BB"/>
    <w:rsid w:val="008511B9"/>
    <w:rsid w:val="0085219D"/>
    <w:rsid w:val="00852497"/>
    <w:rsid w:val="00852D2C"/>
    <w:rsid w:val="00852DF1"/>
    <w:rsid w:val="008531CC"/>
    <w:rsid w:val="00853988"/>
    <w:rsid w:val="00853A46"/>
    <w:rsid w:val="00853F2C"/>
    <w:rsid w:val="00854A0F"/>
    <w:rsid w:val="00854B2A"/>
    <w:rsid w:val="0085648D"/>
    <w:rsid w:val="00856573"/>
    <w:rsid w:val="008565AA"/>
    <w:rsid w:val="00857361"/>
    <w:rsid w:val="008579CB"/>
    <w:rsid w:val="0086023E"/>
    <w:rsid w:val="00860296"/>
    <w:rsid w:val="00860DDF"/>
    <w:rsid w:val="0086172F"/>
    <w:rsid w:val="00861EA4"/>
    <w:rsid w:val="00862057"/>
    <w:rsid w:val="008624EC"/>
    <w:rsid w:val="008625C9"/>
    <w:rsid w:val="00863C85"/>
    <w:rsid w:val="00864874"/>
    <w:rsid w:val="0086499C"/>
    <w:rsid w:val="00864D16"/>
    <w:rsid w:val="00864EF0"/>
    <w:rsid w:val="0086570D"/>
    <w:rsid w:val="00865D0F"/>
    <w:rsid w:val="00866DAF"/>
    <w:rsid w:val="00866EA2"/>
    <w:rsid w:val="0086785A"/>
    <w:rsid w:val="00867BC6"/>
    <w:rsid w:val="00867CE4"/>
    <w:rsid w:val="00867D73"/>
    <w:rsid w:val="00867EFE"/>
    <w:rsid w:val="0087004D"/>
    <w:rsid w:val="00870214"/>
    <w:rsid w:val="008703CC"/>
    <w:rsid w:val="00870A00"/>
    <w:rsid w:val="008717E0"/>
    <w:rsid w:val="008719A5"/>
    <w:rsid w:val="00871E53"/>
    <w:rsid w:val="008725EE"/>
    <w:rsid w:val="00872D01"/>
    <w:rsid w:val="008731E6"/>
    <w:rsid w:val="00873815"/>
    <w:rsid w:val="00873FA6"/>
    <w:rsid w:val="00873FF8"/>
    <w:rsid w:val="008740BF"/>
    <w:rsid w:val="0087478C"/>
    <w:rsid w:val="00874932"/>
    <w:rsid w:val="008749EF"/>
    <w:rsid w:val="00874E11"/>
    <w:rsid w:val="008759D2"/>
    <w:rsid w:val="008763E8"/>
    <w:rsid w:val="0087650A"/>
    <w:rsid w:val="00876557"/>
    <w:rsid w:val="00877C5B"/>
    <w:rsid w:val="00877FD6"/>
    <w:rsid w:val="008802B7"/>
    <w:rsid w:val="00880C5F"/>
    <w:rsid w:val="00880E76"/>
    <w:rsid w:val="00881290"/>
    <w:rsid w:val="008818D2"/>
    <w:rsid w:val="00881B71"/>
    <w:rsid w:val="00881D78"/>
    <w:rsid w:val="0088292D"/>
    <w:rsid w:val="00882E2A"/>
    <w:rsid w:val="008835DB"/>
    <w:rsid w:val="00883E8B"/>
    <w:rsid w:val="00884822"/>
    <w:rsid w:val="008857B7"/>
    <w:rsid w:val="008862EE"/>
    <w:rsid w:val="00887033"/>
    <w:rsid w:val="0088791E"/>
    <w:rsid w:val="00887CAE"/>
    <w:rsid w:val="00890263"/>
    <w:rsid w:val="008906CF"/>
    <w:rsid w:val="00890781"/>
    <w:rsid w:val="008908C9"/>
    <w:rsid w:val="00890E56"/>
    <w:rsid w:val="008912A8"/>
    <w:rsid w:val="0089136F"/>
    <w:rsid w:val="008920BD"/>
    <w:rsid w:val="00892153"/>
    <w:rsid w:val="008923E6"/>
    <w:rsid w:val="00893404"/>
    <w:rsid w:val="00894097"/>
    <w:rsid w:val="00894DB9"/>
    <w:rsid w:val="008951E1"/>
    <w:rsid w:val="008957CE"/>
    <w:rsid w:val="0089594C"/>
    <w:rsid w:val="008963EF"/>
    <w:rsid w:val="00896F15"/>
    <w:rsid w:val="0089732D"/>
    <w:rsid w:val="0089760C"/>
    <w:rsid w:val="008A0667"/>
    <w:rsid w:val="008A0727"/>
    <w:rsid w:val="008A0940"/>
    <w:rsid w:val="008A17BE"/>
    <w:rsid w:val="008A17C5"/>
    <w:rsid w:val="008A19B9"/>
    <w:rsid w:val="008A27F2"/>
    <w:rsid w:val="008A2A93"/>
    <w:rsid w:val="008A2E7A"/>
    <w:rsid w:val="008A2FF2"/>
    <w:rsid w:val="008A3FCD"/>
    <w:rsid w:val="008A45F2"/>
    <w:rsid w:val="008A4B37"/>
    <w:rsid w:val="008A4E0D"/>
    <w:rsid w:val="008A56DB"/>
    <w:rsid w:val="008A6607"/>
    <w:rsid w:val="008A67A7"/>
    <w:rsid w:val="008A6B48"/>
    <w:rsid w:val="008A6B90"/>
    <w:rsid w:val="008A7EC1"/>
    <w:rsid w:val="008B0077"/>
    <w:rsid w:val="008B0A37"/>
    <w:rsid w:val="008B0B77"/>
    <w:rsid w:val="008B0F45"/>
    <w:rsid w:val="008B10A3"/>
    <w:rsid w:val="008B1109"/>
    <w:rsid w:val="008B1B06"/>
    <w:rsid w:val="008B2228"/>
    <w:rsid w:val="008B26A7"/>
    <w:rsid w:val="008B2799"/>
    <w:rsid w:val="008B29BE"/>
    <w:rsid w:val="008B2C26"/>
    <w:rsid w:val="008B3E1B"/>
    <w:rsid w:val="008B4899"/>
    <w:rsid w:val="008B4DF1"/>
    <w:rsid w:val="008B58AB"/>
    <w:rsid w:val="008B634B"/>
    <w:rsid w:val="008B6764"/>
    <w:rsid w:val="008B6856"/>
    <w:rsid w:val="008B769A"/>
    <w:rsid w:val="008C0758"/>
    <w:rsid w:val="008C0ADB"/>
    <w:rsid w:val="008C0E2E"/>
    <w:rsid w:val="008C19DB"/>
    <w:rsid w:val="008C1F19"/>
    <w:rsid w:val="008C1F4B"/>
    <w:rsid w:val="008C1F5F"/>
    <w:rsid w:val="008C2061"/>
    <w:rsid w:val="008C2509"/>
    <w:rsid w:val="008C2659"/>
    <w:rsid w:val="008C28A9"/>
    <w:rsid w:val="008C2929"/>
    <w:rsid w:val="008C29E4"/>
    <w:rsid w:val="008C2D57"/>
    <w:rsid w:val="008C35D3"/>
    <w:rsid w:val="008C38F6"/>
    <w:rsid w:val="008C49E2"/>
    <w:rsid w:val="008C4B34"/>
    <w:rsid w:val="008C4EDA"/>
    <w:rsid w:val="008C5356"/>
    <w:rsid w:val="008C55BC"/>
    <w:rsid w:val="008C5CAF"/>
    <w:rsid w:val="008C677A"/>
    <w:rsid w:val="008C686D"/>
    <w:rsid w:val="008C68FE"/>
    <w:rsid w:val="008C6D20"/>
    <w:rsid w:val="008C74A2"/>
    <w:rsid w:val="008C7A0D"/>
    <w:rsid w:val="008D047A"/>
    <w:rsid w:val="008D080C"/>
    <w:rsid w:val="008D0B5B"/>
    <w:rsid w:val="008D118E"/>
    <w:rsid w:val="008D12C7"/>
    <w:rsid w:val="008D1CF5"/>
    <w:rsid w:val="008D1E7F"/>
    <w:rsid w:val="008D29F7"/>
    <w:rsid w:val="008D2A7D"/>
    <w:rsid w:val="008D2B7D"/>
    <w:rsid w:val="008D2D24"/>
    <w:rsid w:val="008D348D"/>
    <w:rsid w:val="008D3806"/>
    <w:rsid w:val="008D3F70"/>
    <w:rsid w:val="008D4B4E"/>
    <w:rsid w:val="008D53CB"/>
    <w:rsid w:val="008D5739"/>
    <w:rsid w:val="008D5D50"/>
    <w:rsid w:val="008D6CEE"/>
    <w:rsid w:val="008E051A"/>
    <w:rsid w:val="008E05B3"/>
    <w:rsid w:val="008E0899"/>
    <w:rsid w:val="008E0AAD"/>
    <w:rsid w:val="008E14C9"/>
    <w:rsid w:val="008E1714"/>
    <w:rsid w:val="008E1A05"/>
    <w:rsid w:val="008E1A5F"/>
    <w:rsid w:val="008E2EFF"/>
    <w:rsid w:val="008E2F56"/>
    <w:rsid w:val="008E3B77"/>
    <w:rsid w:val="008E3C92"/>
    <w:rsid w:val="008E3CC9"/>
    <w:rsid w:val="008E4978"/>
    <w:rsid w:val="008E4B5F"/>
    <w:rsid w:val="008E4BCA"/>
    <w:rsid w:val="008E4DF5"/>
    <w:rsid w:val="008E4F7E"/>
    <w:rsid w:val="008E6512"/>
    <w:rsid w:val="008E6956"/>
    <w:rsid w:val="008E7175"/>
    <w:rsid w:val="008E7E66"/>
    <w:rsid w:val="008F01E8"/>
    <w:rsid w:val="008F02F8"/>
    <w:rsid w:val="008F0D99"/>
    <w:rsid w:val="008F15A1"/>
    <w:rsid w:val="008F1DDA"/>
    <w:rsid w:val="008F26B4"/>
    <w:rsid w:val="008F2B26"/>
    <w:rsid w:val="008F2C95"/>
    <w:rsid w:val="008F2D59"/>
    <w:rsid w:val="008F2E1D"/>
    <w:rsid w:val="008F2EF1"/>
    <w:rsid w:val="008F3169"/>
    <w:rsid w:val="008F350F"/>
    <w:rsid w:val="008F37F3"/>
    <w:rsid w:val="008F5082"/>
    <w:rsid w:val="008F50C1"/>
    <w:rsid w:val="008F52D8"/>
    <w:rsid w:val="008F58EA"/>
    <w:rsid w:val="008F5FA2"/>
    <w:rsid w:val="008F6075"/>
    <w:rsid w:val="008F6E4D"/>
    <w:rsid w:val="008F6F72"/>
    <w:rsid w:val="008F744E"/>
    <w:rsid w:val="008F7726"/>
    <w:rsid w:val="008F79B2"/>
    <w:rsid w:val="008F7DDE"/>
    <w:rsid w:val="008F7FD8"/>
    <w:rsid w:val="00900131"/>
    <w:rsid w:val="009006D6"/>
    <w:rsid w:val="00900C0C"/>
    <w:rsid w:val="00900E9A"/>
    <w:rsid w:val="00901562"/>
    <w:rsid w:val="009022C6"/>
    <w:rsid w:val="009024DD"/>
    <w:rsid w:val="0090250D"/>
    <w:rsid w:val="00902ABC"/>
    <w:rsid w:val="009042E1"/>
    <w:rsid w:val="00904B85"/>
    <w:rsid w:val="00905833"/>
    <w:rsid w:val="00906019"/>
    <w:rsid w:val="0090660F"/>
    <w:rsid w:val="00906DA2"/>
    <w:rsid w:val="009071FB"/>
    <w:rsid w:val="00907A00"/>
    <w:rsid w:val="00907F64"/>
    <w:rsid w:val="0091029D"/>
    <w:rsid w:val="0091073A"/>
    <w:rsid w:val="00910879"/>
    <w:rsid w:val="00911B91"/>
    <w:rsid w:val="00912025"/>
    <w:rsid w:val="00912521"/>
    <w:rsid w:val="009128A3"/>
    <w:rsid w:val="009129F2"/>
    <w:rsid w:val="0091314E"/>
    <w:rsid w:val="00913A86"/>
    <w:rsid w:val="00913EA4"/>
    <w:rsid w:val="00915910"/>
    <w:rsid w:val="009160C5"/>
    <w:rsid w:val="0091646A"/>
    <w:rsid w:val="00920056"/>
    <w:rsid w:val="009207FE"/>
    <w:rsid w:val="00920A31"/>
    <w:rsid w:val="00921438"/>
    <w:rsid w:val="00922232"/>
    <w:rsid w:val="009223A8"/>
    <w:rsid w:val="00922885"/>
    <w:rsid w:val="00922905"/>
    <w:rsid w:val="009232A6"/>
    <w:rsid w:val="0092346E"/>
    <w:rsid w:val="0092351F"/>
    <w:rsid w:val="00923FF1"/>
    <w:rsid w:val="009249A3"/>
    <w:rsid w:val="00924B4B"/>
    <w:rsid w:val="00924E7E"/>
    <w:rsid w:val="00925104"/>
    <w:rsid w:val="0092562A"/>
    <w:rsid w:val="009256E8"/>
    <w:rsid w:val="00926120"/>
    <w:rsid w:val="009264D2"/>
    <w:rsid w:val="00926B51"/>
    <w:rsid w:val="0092705D"/>
    <w:rsid w:val="009274EA"/>
    <w:rsid w:val="009276D2"/>
    <w:rsid w:val="00930BE0"/>
    <w:rsid w:val="0093101B"/>
    <w:rsid w:val="00931B7E"/>
    <w:rsid w:val="00932457"/>
    <w:rsid w:val="00932545"/>
    <w:rsid w:val="00932715"/>
    <w:rsid w:val="0093292E"/>
    <w:rsid w:val="009337AC"/>
    <w:rsid w:val="0093393D"/>
    <w:rsid w:val="00933DB9"/>
    <w:rsid w:val="00934249"/>
    <w:rsid w:val="00934EA1"/>
    <w:rsid w:val="00934F00"/>
    <w:rsid w:val="009356DE"/>
    <w:rsid w:val="00935A3E"/>
    <w:rsid w:val="00935C7B"/>
    <w:rsid w:val="00936145"/>
    <w:rsid w:val="00936AC0"/>
    <w:rsid w:val="00937ADF"/>
    <w:rsid w:val="00937BCF"/>
    <w:rsid w:val="00940A06"/>
    <w:rsid w:val="00940A90"/>
    <w:rsid w:val="0094150D"/>
    <w:rsid w:val="00941561"/>
    <w:rsid w:val="00941B5E"/>
    <w:rsid w:val="00941C49"/>
    <w:rsid w:val="00942134"/>
    <w:rsid w:val="00942168"/>
    <w:rsid w:val="009425B4"/>
    <w:rsid w:val="0094289B"/>
    <w:rsid w:val="0094313E"/>
    <w:rsid w:val="009435EC"/>
    <w:rsid w:val="00943D1A"/>
    <w:rsid w:val="00943D76"/>
    <w:rsid w:val="009445B6"/>
    <w:rsid w:val="00944611"/>
    <w:rsid w:val="009446B4"/>
    <w:rsid w:val="00944A28"/>
    <w:rsid w:val="00944A94"/>
    <w:rsid w:val="00945CD2"/>
    <w:rsid w:val="00945D93"/>
    <w:rsid w:val="00945EB7"/>
    <w:rsid w:val="00945FFE"/>
    <w:rsid w:val="00946416"/>
    <w:rsid w:val="0094658C"/>
    <w:rsid w:val="0094698A"/>
    <w:rsid w:val="00947363"/>
    <w:rsid w:val="0094798C"/>
    <w:rsid w:val="0095024D"/>
    <w:rsid w:val="00950442"/>
    <w:rsid w:val="009507FC"/>
    <w:rsid w:val="00951629"/>
    <w:rsid w:val="00951D00"/>
    <w:rsid w:val="00952061"/>
    <w:rsid w:val="0095209B"/>
    <w:rsid w:val="009525B1"/>
    <w:rsid w:val="0095276B"/>
    <w:rsid w:val="00952E11"/>
    <w:rsid w:val="00953333"/>
    <w:rsid w:val="00953555"/>
    <w:rsid w:val="0095361C"/>
    <w:rsid w:val="00953A35"/>
    <w:rsid w:val="00953FEF"/>
    <w:rsid w:val="00954A17"/>
    <w:rsid w:val="00955003"/>
    <w:rsid w:val="00955D2B"/>
    <w:rsid w:val="00955D69"/>
    <w:rsid w:val="00956500"/>
    <w:rsid w:val="00956965"/>
    <w:rsid w:val="009569CB"/>
    <w:rsid w:val="00956CB2"/>
    <w:rsid w:val="0095746D"/>
    <w:rsid w:val="009574BD"/>
    <w:rsid w:val="009578A3"/>
    <w:rsid w:val="00957E54"/>
    <w:rsid w:val="00957E5D"/>
    <w:rsid w:val="00960351"/>
    <w:rsid w:val="00960535"/>
    <w:rsid w:val="00961EB2"/>
    <w:rsid w:val="009620C5"/>
    <w:rsid w:val="00962A5A"/>
    <w:rsid w:val="00963D65"/>
    <w:rsid w:val="00963EF6"/>
    <w:rsid w:val="0096446E"/>
    <w:rsid w:val="009645C8"/>
    <w:rsid w:val="00964840"/>
    <w:rsid w:val="00964BBF"/>
    <w:rsid w:val="009650F3"/>
    <w:rsid w:val="00965136"/>
    <w:rsid w:val="0096530D"/>
    <w:rsid w:val="00965DE7"/>
    <w:rsid w:val="00965F68"/>
    <w:rsid w:val="009664E6"/>
    <w:rsid w:val="00966AF3"/>
    <w:rsid w:val="0096705F"/>
    <w:rsid w:val="00967367"/>
    <w:rsid w:val="00967408"/>
    <w:rsid w:val="0096790D"/>
    <w:rsid w:val="00967D7E"/>
    <w:rsid w:val="00967F08"/>
    <w:rsid w:val="00970009"/>
    <w:rsid w:val="0097012E"/>
    <w:rsid w:val="0097013B"/>
    <w:rsid w:val="0097027A"/>
    <w:rsid w:val="00970331"/>
    <w:rsid w:val="009705D5"/>
    <w:rsid w:val="0097097C"/>
    <w:rsid w:val="00971624"/>
    <w:rsid w:val="00971763"/>
    <w:rsid w:val="0097194C"/>
    <w:rsid w:val="009720CA"/>
    <w:rsid w:val="009722D9"/>
    <w:rsid w:val="0097248E"/>
    <w:rsid w:val="009737F6"/>
    <w:rsid w:val="00973919"/>
    <w:rsid w:val="00973EB7"/>
    <w:rsid w:val="0097651A"/>
    <w:rsid w:val="00976609"/>
    <w:rsid w:val="009766B5"/>
    <w:rsid w:val="00976C4F"/>
    <w:rsid w:val="00976FB8"/>
    <w:rsid w:val="009773C9"/>
    <w:rsid w:val="00977AB7"/>
    <w:rsid w:val="00977E78"/>
    <w:rsid w:val="00977F6D"/>
    <w:rsid w:val="00980069"/>
    <w:rsid w:val="009801CE"/>
    <w:rsid w:val="00980559"/>
    <w:rsid w:val="00980B72"/>
    <w:rsid w:val="00981999"/>
    <w:rsid w:val="00981CB3"/>
    <w:rsid w:val="00983248"/>
    <w:rsid w:val="009832DC"/>
    <w:rsid w:val="00983740"/>
    <w:rsid w:val="00983A78"/>
    <w:rsid w:val="009840C0"/>
    <w:rsid w:val="00984322"/>
    <w:rsid w:val="00984372"/>
    <w:rsid w:val="00984674"/>
    <w:rsid w:val="009848DE"/>
    <w:rsid w:val="00985DB8"/>
    <w:rsid w:val="00986098"/>
    <w:rsid w:val="00986BE0"/>
    <w:rsid w:val="00990D01"/>
    <w:rsid w:val="00990EE2"/>
    <w:rsid w:val="00991C1B"/>
    <w:rsid w:val="009921E9"/>
    <w:rsid w:val="0099276A"/>
    <w:rsid w:val="00992C1A"/>
    <w:rsid w:val="00993D33"/>
    <w:rsid w:val="00993E4A"/>
    <w:rsid w:val="00993EF6"/>
    <w:rsid w:val="0099409A"/>
    <w:rsid w:val="00994A7A"/>
    <w:rsid w:val="00994B23"/>
    <w:rsid w:val="00994E74"/>
    <w:rsid w:val="0099539D"/>
    <w:rsid w:val="009953CD"/>
    <w:rsid w:val="00995CC6"/>
    <w:rsid w:val="009966AB"/>
    <w:rsid w:val="009978B7"/>
    <w:rsid w:val="009979D5"/>
    <w:rsid w:val="009A083C"/>
    <w:rsid w:val="009A144F"/>
    <w:rsid w:val="009A1F4F"/>
    <w:rsid w:val="009A2C7E"/>
    <w:rsid w:val="009A2DA7"/>
    <w:rsid w:val="009A331D"/>
    <w:rsid w:val="009A370B"/>
    <w:rsid w:val="009A3D30"/>
    <w:rsid w:val="009A3D84"/>
    <w:rsid w:val="009A4449"/>
    <w:rsid w:val="009A4954"/>
    <w:rsid w:val="009A4B34"/>
    <w:rsid w:val="009A51CB"/>
    <w:rsid w:val="009A5206"/>
    <w:rsid w:val="009A5287"/>
    <w:rsid w:val="009A5A0E"/>
    <w:rsid w:val="009A5B03"/>
    <w:rsid w:val="009A670D"/>
    <w:rsid w:val="009A6A8D"/>
    <w:rsid w:val="009A6F0F"/>
    <w:rsid w:val="009A757C"/>
    <w:rsid w:val="009A76A0"/>
    <w:rsid w:val="009A7701"/>
    <w:rsid w:val="009A780F"/>
    <w:rsid w:val="009A78D4"/>
    <w:rsid w:val="009A7E24"/>
    <w:rsid w:val="009B0FBD"/>
    <w:rsid w:val="009B1066"/>
    <w:rsid w:val="009B1397"/>
    <w:rsid w:val="009B1430"/>
    <w:rsid w:val="009B1B24"/>
    <w:rsid w:val="009B1C6B"/>
    <w:rsid w:val="009B1D71"/>
    <w:rsid w:val="009B2046"/>
    <w:rsid w:val="009B225A"/>
    <w:rsid w:val="009B235C"/>
    <w:rsid w:val="009B25D0"/>
    <w:rsid w:val="009B264D"/>
    <w:rsid w:val="009B3540"/>
    <w:rsid w:val="009B370E"/>
    <w:rsid w:val="009B396F"/>
    <w:rsid w:val="009B3B6E"/>
    <w:rsid w:val="009B43B2"/>
    <w:rsid w:val="009B44AB"/>
    <w:rsid w:val="009B4BF9"/>
    <w:rsid w:val="009B4C39"/>
    <w:rsid w:val="009B53BE"/>
    <w:rsid w:val="009B6AD3"/>
    <w:rsid w:val="009B6C35"/>
    <w:rsid w:val="009B71CC"/>
    <w:rsid w:val="009C00D2"/>
    <w:rsid w:val="009C016A"/>
    <w:rsid w:val="009C01E9"/>
    <w:rsid w:val="009C0365"/>
    <w:rsid w:val="009C058E"/>
    <w:rsid w:val="009C09EA"/>
    <w:rsid w:val="009C0B48"/>
    <w:rsid w:val="009C1135"/>
    <w:rsid w:val="009C11D7"/>
    <w:rsid w:val="009C2352"/>
    <w:rsid w:val="009C27D3"/>
    <w:rsid w:val="009C2EED"/>
    <w:rsid w:val="009C3064"/>
    <w:rsid w:val="009C33A3"/>
    <w:rsid w:val="009C46F8"/>
    <w:rsid w:val="009C4885"/>
    <w:rsid w:val="009C5096"/>
    <w:rsid w:val="009C5D3E"/>
    <w:rsid w:val="009C6B5A"/>
    <w:rsid w:val="009C76BC"/>
    <w:rsid w:val="009C7877"/>
    <w:rsid w:val="009C795A"/>
    <w:rsid w:val="009C79FA"/>
    <w:rsid w:val="009C7BFA"/>
    <w:rsid w:val="009C7E16"/>
    <w:rsid w:val="009D01DD"/>
    <w:rsid w:val="009D06BD"/>
    <w:rsid w:val="009D11B3"/>
    <w:rsid w:val="009D16FC"/>
    <w:rsid w:val="009D1828"/>
    <w:rsid w:val="009D1BC9"/>
    <w:rsid w:val="009D1D76"/>
    <w:rsid w:val="009D21FE"/>
    <w:rsid w:val="009D246B"/>
    <w:rsid w:val="009D2787"/>
    <w:rsid w:val="009D2B29"/>
    <w:rsid w:val="009D2C41"/>
    <w:rsid w:val="009D3777"/>
    <w:rsid w:val="009D3CC7"/>
    <w:rsid w:val="009D4706"/>
    <w:rsid w:val="009D5092"/>
    <w:rsid w:val="009D5A20"/>
    <w:rsid w:val="009D65EF"/>
    <w:rsid w:val="009D7116"/>
    <w:rsid w:val="009D7596"/>
    <w:rsid w:val="009D7930"/>
    <w:rsid w:val="009D79C2"/>
    <w:rsid w:val="009E0460"/>
    <w:rsid w:val="009E0712"/>
    <w:rsid w:val="009E0D21"/>
    <w:rsid w:val="009E136D"/>
    <w:rsid w:val="009E1A8E"/>
    <w:rsid w:val="009E248A"/>
    <w:rsid w:val="009E24CA"/>
    <w:rsid w:val="009E2BC0"/>
    <w:rsid w:val="009E2C0A"/>
    <w:rsid w:val="009E2D0B"/>
    <w:rsid w:val="009E2EA2"/>
    <w:rsid w:val="009E3419"/>
    <w:rsid w:val="009E38E5"/>
    <w:rsid w:val="009E4719"/>
    <w:rsid w:val="009E487B"/>
    <w:rsid w:val="009E51E9"/>
    <w:rsid w:val="009E52B3"/>
    <w:rsid w:val="009E54D9"/>
    <w:rsid w:val="009E560A"/>
    <w:rsid w:val="009E5920"/>
    <w:rsid w:val="009E606F"/>
    <w:rsid w:val="009E6553"/>
    <w:rsid w:val="009E6F06"/>
    <w:rsid w:val="009E7348"/>
    <w:rsid w:val="009E783F"/>
    <w:rsid w:val="009E7A4A"/>
    <w:rsid w:val="009F090D"/>
    <w:rsid w:val="009F0C6B"/>
    <w:rsid w:val="009F139F"/>
    <w:rsid w:val="009F1886"/>
    <w:rsid w:val="009F190F"/>
    <w:rsid w:val="009F2537"/>
    <w:rsid w:val="009F28C7"/>
    <w:rsid w:val="009F3862"/>
    <w:rsid w:val="009F387A"/>
    <w:rsid w:val="009F3897"/>
    <w:rsid w:val="009F5E66"/>
    <w:rsid w:val="009F5FBA"/>
    <w:rsid w:val="009F6066"/>
    <w:rsid w:val="009F6867"/>
    <w:rsid w:val="009F6AA5"/>
    <w:rsid w:val="009F7A8D"/>
    <w:rsid w:val="009F7F58"/>
    <w:rsid w:val="00A00C65"/>
    <w:rsid w:val="00A010A7"/>
    <w:rsid w:val="00A016AF"/>
    <w:rsid w:val="00A029F4"/>
    <w:rsid w:val="00A037E2"/>
    <w:rsid w:val="00A059B5"/>
    <w:rsid w:val="00A05B0B"/>
    <w:rsid w:val="00A06056"/>
    <w:rsid w:val="00A0688C"/>
    <w:rsid w:val="00A07CED"/>
    <w:rsid w:val="00A10499"/>
    <w:rsid w:val="00A1198A"/>
    <w:rsid w:val="00A120F3"/>
    <w:rsid w:val="00A12E40"/>
    <w:rsid w:val="00A13BA1"/>
    <w:rsid w:val="00A1473C"/>
    <w:rsid w:val="00A14905"/>
    <w:rsid w:val="00A1573D"/>
    <w:rsid w:val="00A1582B"/>
    <w:rsid w:val="00A158EC"/>
    <w:rsid w:val="00A158FD"/>
    <w:rsid w:val="00A1606D"/>
    <w:rsid w:val="00A163FA"/>
    <w:rsid w:val="00A1773F"/>
    <w:rsid w:val="00A20824"/>
    <w:rsid w:val="00A20A17"/>
    <w:rsid w:val="00A20D7A"/>
    <w:rsid w:val="00A215CB"/>
    <w:rsid w:val="00A21D35"/>
    <w:rsid w:val="00A2226B"/>
    <w:rsid w:val="00A22281"/>
    <w:rsid w:val="00A22750"/>
    <w:rsid w:val="00A228C8"/>
    <w:rsid w:val="00A22B60"/>
    <w:rsid w:val="00A22D6F"/>
    <w:rsid w:val="00A22E78"/>
    <w:rsid w:val="00A237D9"/>
    <w:rsid w:val="00A2384D"/>
    <w:rsid w:val="00A23A5B"/>
    <w:rsid w:val="00A246B1"/>
    <w:rsid w:val="00A253AD"/>
    <w:rsid w:val="00A2568B"/>
    <w:rsid w:val="00A25ED7"/>
    <w:rsid w:val="00A26057"/>
    <w:rsid w:val="00A26585"/>
    <w:rsid w:val="00A27277"/>
    <w:rsid w:val="00A272A7"/>
    <w:rsid w:val="00A2745D"/>
    <w:rsid w:val="00A279CE"/>
    <w:rsid w:val="00A27E94"/>
    <w:rsid w:val="00A30342"/>
    <w:rsid w:val="00A30443"/>
    <w:rsid w:val="00A30C5B"/>
    <w:rsid w:val="00A30EE8"/>
    <w:rsid w:val="00A31CDD"/>
    <w:rsid w:val="00A31D90"/>
    <w:rsid w:val="00A32329"/>
    <w:rsid w:val="00A32440"/>
    <w:rsid w:val="00A3273D"/>
    <w:rsid w:val="00A32C09"/>
    <w:rsid w:val="00A33520"/>
    <w:rsid w:val="00A337AC"/>
    <w:rsid w:val="00A356B2"/>
    <w:rsid w:val="00A357C2"/>
    <w:rsid w:val="00A35D0A"/>
    <w:rsid w:val="00A3606E"/>
    <w:rsid w:val="00A368AC"/>
    <w:rsid w:val="00A3753E"/>
    <w:rsid w:val="00A37AE0"/>
    <w:rsid w:val="00A40903"/>
    <w:rsid w:val="00A40B61"/>
    <w:rsid w:val="00A40F3F"/>
    <w:rsid w:val="00A41381"/>
    <w:rsid w:val="00A414BF"/>
    <w:rsid w:val="00A415AE"/>
    <w:rsid w:val="00A41DC0"/>
    <w:rsid w:val="00A41DEB"/>
    <w:rsid w:val="00A4217E"/>
    <w:rsid w:val="00A42570"/>
    <w:rsid w:val="00A42977"/>
    <w:rsid w:val="00A42A19"/>
    <w:rsid w:val="00A42B29"/>
    <w:rsid w:val="00A42FD1"/>
    <w:rsid w:val="00A4386C"/>
    <w:rsid w:val="00A43997"/>
    <w:rsid w:val="00A43D2A"/>
    <w:rsid w:val="00A43D59"/>
    <w:rsid w:val="00A43DF2"/>
    <w:rsid w:val="00A443A8"/>
    <w:rsid w:val="00A443D0"/>
    <w:rsid w:val="00A44CBD"/>
    <w:rsid w:val="00A451A2"/>
    <w:rsid w:val="00A455D9"/>
    <w:rsid w:val="00A455E4"/>
    <w:rsid w:val="00A45760"/>
    <w:rsid w:val="00A457D1"/>
    <w:rsid w:val="00A459D5"/>
    <w:rsid w:val="00A45F52"/>
    <w:rsid w:val="00A46AD1"/>
    <w:rsid w:val="00A46F6D"/>
    <w:rsid w:val="00A46FFA"/>
    <w:rsid w:val="00A475EE"/>
    <w:rsid w:val="00A478CC"/>
    <w:rsid w:val="00A47B05"/>
    <w:rsid w:val="00A50AF4"/>
    <w:rsid w:val="00A51014"/>
    <w:rsid w:val="00A51573"/>
    <w:rsid w:val="00A516B8"/>
    <w:rsid w:val="00A51A13"/>
    <w:rsid w:val="00A51DA8"/>
    <w:rsid w:val="00A51DFB"/>
    <w:rsid w:val="00A51E51"/>
    <w:rsid w:val="00A51ECF"/>
    <w:rsid w:val="00A52913"/>
    <w:rsid w:val="00A52F9F"/>
    <w:rsid w:val="00A53539"/>
    <w:rsid w:val="00A536AF"/>
    <w:rsid w:val="00A547B3"/>
    <w:rsid w:val="00A54DE0"/>
    <w:rsid w:val="00A55AF8"/>
    <w:rsid w:val="00A55F06"/>
    <w:rsid w:val="00A608E7"/>
    <w:rsid w:val="00A60E14"/>
    <w:rsid w:val="00A61871"/>
    <w:rsid w:val="00A61A2B"/>
    <w:rsid w:val="00A61AA1"/>
    <w:rsid w:val="00A61C90"/>
    <w:rsid w:val="00A6211F"/>
    <w:rsid w:val="00A62989"/>
    <w:rsid w:val="00A62F23"/>
    <w:rsid w:val="00A63094"/>
    <w:rsid w:val="00A6309D"/>
    <w:rsid w:val="00A639E3"/>
    <w:rsid w:val="00A63D16"/>
    <w:rsid w:val="00A6462D"/>
    <w:rsid w:val="00A6474D"/>
    <w:rsid w:val="00A647E4"/>
    <w:rsid w:val="00A648A0"/>
    <w:rsid w:val="00A6554F"/>
    <w:rsid w:val="00A65B67"/>
    <w:rsid w:val="00A65C5B"/>
    <w:rsid w:val="00A677D1"/>
    <w:rsid w:val="00A67A2C"/>
    <w:rsid w:val="00A67D44"/>
    <w:rsid w:val="00A7015B"/>
    <w:rsid w:val="00A703D8"/>
    <w:rsid w:val="00A705C4"/>
    <w:rsid w:val="00A70AE6"/>
    <w:rsid w:val="00A70CE6"/>
    <w:rsid w:val="00A70F76"/>
    <w:rsid w:val="00A7100B"/>
    <w:rsid w:val="00A7116B"/>
    <w:rsid w:val="00A7176B"/>
    <w:rsid w:val="00A71D1D"/>
    <w:rsid w:val="00A7218E"/>
    <w:rsid w:val="00A7232D"/>
    <w:rsid w:val="00A7257B"/>
    <w:rsid w:val="00A72699"/>
    <w:rsid w:val="00A73A1B"/>
    <w:rsid w:val="00A73D14"/>
    <w:rsid w:val="00A73F7E"/>
    <w:rsid w:val="00A7514B"/>
    <w:rsid w:val="00A754E7"/>
    <w:rsid w:val="00A75703"/>
    <w:rsid w:val="00A7585A"/>
    <w:rsid w:val="00A7595C"/>
    <w:rsid w:val="00A75E13"/>
    <w:rsid w:val="00A7647C"/>
    <w:rsid w:val="00A76776"/>
    <w:rsid w:val="00A769E9"/>
    <w:rsid w:val="00A76D09"/>
    <w:rsid w:val="00A770F0"/>
    <w:rsid w:val="00A7714E"/>
    <w:rsid w:val="00A81609"/>
    <w:rsid w:val="00A817E5"/>
    <w:rsid w:val="00A81FBF"/>
    <w:rsid w:val="00A82130"/>
    <w:rsid w:val="00A82200"/>
    <w:rsid w:val="00A82495"/>
    <w:rsid w:val="00A82567"/>
    <w:rsid w:val="00A826AE"/>
    <w:rsid w:val="00A82DC0"/>
    <w:rsid w:val="00A8313C"/>
    <w:rsid w:val="00A84170"/>
    <w:rsid w:val="00A84FD0"/>
    <w:rsid w:val="00A85731"/>
    <w:rsid w:val="00A85E99"/>
    <w:rsid w:val="00A86607"/>
    <w:rsid w:val="00A8679F"/>
    <w:rsid w:val="00A86F0E"/>
    <w:rsid w:val="00A878F9"/>
    <w:rsid w:val="00A87D1B"/>
    <w:rsid w:val="00A90568"/>
    <w:rsid w:val="00A91763"/>
    <w:rsid w:val="00A9194C"/>
    <w:rsid w:val="00A91D05"/>
    <w:rsid w:val="00A93280"/>
    <w:rsid w:val="00A934FE"/>
    <w:rsid w:val="00A935BE"/>
    <w:rsid w:val="00A94064"/>
    <w:rsid w:val="00A94789"/>
    <w:rsid w:val="00A9596E"/>
    <w:rsid w:val="00A95EFD"/>
    <w:rsid w:val="00A95F86"/>
    <w:rsid w:val="00A96357"/>
    <w:rsid w:val="00A9679B"/>
    <w:rsid w:val="00A96887"/>
    <w:rsid w:val="00A978FE"/>
    <w:rsid w:val="00A97EF3"/>
    <w:rsid w:val="00AA0075"/>
    <w:rsid w:val="00AA0336"/>
    <w:rsid w:val="00AA057F"/>
    <w:rsid w:val="00AA0D5A"/>
    <w:rsid w:val="00AA0EF4"/>
    <w:rsid w:val="00AA10C7"/>
    <w:rsid w:val="00AA1AAD"/>
    <w:rsid w:val="00AA1F6F"/>
    <w:rsid w:val="00AA2106"/>
    <w:rsid w:val="00AA23A8"/>
    <w:rsid w:val="00AA252D"/>
    <w:rsid w:val="00AA2855"/>
    <w:rsid w:val="00AA2A9E"/>
    <w:rsid w:val="00AA2FB1"/>
    <w:rsid w:val="00AA318A"/>
    <w:rsid w:val="00AA3868"/>
    <w:rsid w:val="00AA3C73"/>
    <w:rsid w:val="00AA4724"/>
    <w:rsid w:val="00AA55DE"/>
    <w:rsid w:val="00AA60F4"/>
    <w:rsid w:val="00AA670E"/>
    <w:rsid w:val="00AA676A"/>
    <w:rsid w:val="00AA69E3"/>
    <w:rsid w:val="00AA7BCB"/>
    <w:rsid w:val="00AA7DC2"/>
    <w:rsid w:val="00AB0123"/>
    <w:rsid w:val="00AB0268"/>
    <w:rsid w:val="00AB08D7"/>
    <w:rsid w:val="00AB1553"/>
    <w:rsid w:val="00AB2548"/>
    <w:rsid w:val="00AB2A52"/>
    <w:rsid w:val="00AB2C9C"/>
    <w:rsid w:val="00AB2EA4"/>
    <w:rsid w:val="00AB36A1"/>
    <w:rsid w:val="00AB40B1"/>
    <w:rsid w:val="00AB4111"/>
    <w:rsid w:val="00AB46D0"/>
    <w:rsid w:val="00AB4D60"/>
    <w:rsid w:val="00AB6BBD"/>
    <w:rsid w:val="00AB73FF"/>
    <w:rsid w:val="00AB77A7"/>
    <w:rsid w:val="00AB7D1B"/>
    <w:rsid w:val="00AC001C"/>
    <w:rsid w:val="00AC02FA"/>
    <w:rsid w:val="00AC133E"/>
    <w:rsid w:val="00AC1415"/>
    <w:rsid w:val="00AC1C83"/>
    <w:rsid w:val="00AC1D9C"/>
    <w:rsid w:val="00AC1DB1"/>
    <w:rsid w:val="00AC2338"/>
    <w:rsid w:val="00AC277F"/>
    <w:rsid w:val="00AC2F85"/>
    <w:rsid w:val="00AC3B49"/>
    <w:rsid w:val="00AC3FA1"/>
    <w:rsid w:val="00AC4139"/>
    <w:rsid w:val="00AC4855"/>
    <w:rsid w:val="00AC4F24"/>
    <w:rsid w:val="00AC536B"/>
    <w:rsid w:val="00AC53F0"/>
    <w:rsid w:val="00AC5D35"/>
    <w:rsid w:val="00AC6A9B"/>
    <w:rsid w:val="00AC6AB8"/>
    <w:rsid w:val="00AC6ED0"/>
    <w:rsid w:val="00AC722A"/>
    <w:rsid w:val="00AC79FC"/>
    <w:rsid w:val="00AD00AF"/>
    <w:rsid w:val="00AD03B8"/>
    <w:rsid w:val="00AD04E2"/>
    <w:rsid w:val="00AD06D9"/>
    <w:rsid w:val="00AD0831"/>
    <w:rsid w:val="00AD1047"/>
    <w:rsid w:val="00AD1681"/>
    <w:rsid w:val="00AD1784"/>
    <w:rsid w:val="00AD1B5F"/>
    <w:rsid w:val="00AD1FD7"/>
    <w:rsid w:val="00AD2676"/>
    <w:rsid w:val="00AD28F7"/>
    <w:rsid w:val="00AD29A7"/>
    <w:rsid w:val="00AD2CD6"/>
    <w:rsid w:val="00AD2D7F"/>
    <w:rsid w:val="00AD3168"/>
    <w:rsid w:val="00AD3A94"/>
    <w:rsid w:val="00AD3CD9"/>
    <w:rsid w:val="00AD40F5"/>
    <w:rsid w:val="00AD4311"/>
    <w:rsid w:val="00AD4B66"/>
    <w:rsid w:val="00AD5316"/>
    <w:rsid w:val="00AD5576"/>
    <w:rsid w:val="00AD57A8"/>
    <w:rsid w:val="00AD5953"/>
    <w:rsid w:val="00AD5CC6"/>
    <w:rsid w:val="00AD5CEB"/>
    <w:rsid w:val="00AD5F11"/>
    <w:rsid w:val="00AD7026"/>
    <w:rsid w:val="00AD7182"/>
    <w:rsid w:val="00AD7B8D"/>
    <w:rsid w:val="00AE0775"/>
    <w:rsid w:val="00AE1158"/>
    <w:rsid w:val="00AE11D3"/>
    <w:rsid w:val="00AE11DB"/>
    <w:rsid w:val="00AE11FA"/>
    <w:rsid w:val="00AE1262"/>
    <w:rsid w:val="00AE1314"/>
    <w:rsid w:val="00AE14B1"/>
    <w:rsid w:val="00AE1838"/>
    <w:rsid w:val="00AE1DAD"/>
    <w:rsid w:val="00AE1EA0"/>
    <w:rsid w:val="00AE2D8E"/>
    <w:rsid w:val="00AE324B"/>
    <w:rsid w:val="00AE3D93"/>
    <w:rsid w:val="00AE4ABE"/>
    <w:rsid w:val="00AE4D23"/>
    <w:rsid w:val="00AE5749"/>
    <w:rsid w:val="00AE599C"/>
    <w:rsid w:val="00AE5BE7"/>
    <w:rsid w:val="00AE64AC"/>
    <w:rsid w:val="00AE6FD4"/>
    <w:rsid w:val="00AE6FDF"/>
    <w:rsid w:val="00AE70ED"/>
    <w:rsid w:val="00AE74DF"/>
    <w:rsid w:val="00AE752E"/>
    <w:rsid w:val="00AF139C"/>
    <w:rsid w:val="00AF1E3A"/>
    <w:rsid w:val="00AF1F43"/>
    <w:rsid w:val="00AF239D"/>
    <w:rsid w:val="00AF28CA"/>
    <w:rsid w:val="00AF3062"/>
    <w:rsid w:val="00AF3D25"/>
    <w:rsid w:val="00AF50FF"/>
    <w:rsid w:val="00AF533B"/>
    <w:rsid w:val="00AF5E22"/>
    <w:rsid w:val="00AF5F7A"/>
    <w:rsid w:val="00AF6A4A"/>
    <w:rsid w:val="00AF7AB9"/>
    <w:rsid w:val="00AF7FD7"/>
    <w:rsid w:val="00B00326"/>
    <w:rsid w:val="00B004A4"/>
    <w:rsid w:val="00B008AC"/>
    <w:rsid w:val="00B00DA6"/>
    <w:rsid w:val="00B01269"/>
    <w:rsid w:val="00B0144E"/>
    <w:rsid w:val="00B015E4"/>
    <w:rsid w:val="00B01604"/>
    <w:rsid w:val="00B01B58"/>
    <w:rsid w:val="00B0257E"/>
    <w:rsid w:val="00B02AEE"/>
    <w:rsid w:val="00B03701"/>
    <w:rsid w:val="00B0441A"/>
    <w:rsid w:val="00B04DFB"/>
    <w:rsid w:val="00B05017"/>
    <w:rsid w:val="00B05733"/>
    <w:rsid w:val="00B05998"/>
    <w:rsid w:val="00B05AB9"/>
    <w:rsid w:val="00B05B00"/>
    <w:rsid w:val="00B06036"/>
    <w:rsid w:val="00B06077"/>
    <w:rsid w:val="00B0680D"/>
    <w:rsid w:val="00B072DC"/>
    <w:rsid w:val="00B10A43"/>
    <w:rsid w:val="00B10FB5"/>
    <w:rsid w:val="00B11A35"/>
    <w:rsid w:val="00B11AFF"/>
    <w:rsid w:val="00B12E28"/>
    <w:rsid w:val="00B149D2"/>
    <w:rsid w:val="00B15095"/>
    <w:rsid w:val="00B15554"/>
    <w:rsid w:val="00B15BE8"/>
    <w:rsid w:val="00B15FB4"/>
    <w:rsid w:val="00B16199"/>
    <w:rsid w:val="00B16C3E"/>
    <w:rsid w:val="00B16D88"/>
    <w:rsid w:val="00B16E6E"/>
    <w:rsid w:val="00B1709C"/>
    <w:rsid w:val="00B17A38"/>
    <w:rsid w:val="00B17D0E"/>
    <w:rsid w:val="00B202A1"/>
    <w:rsid w:val="00B20374"/>
    <w:rsid w:val="00B206BF"/>
    <w:rsid w:val="00B21231"/>
    <w:rsid w:val="00B2135B"/>
    <w:rsid w:val="00B213F2"/>
    <w:rsid w:val="00B21785"/>
    <w:rsid w:val="00B21904"/>
    <w:rsid w:val="00B21935"/>
    <w:rsid w:val="00B21991"/>
    <w:rsid w:val="00B21AFE"/>
    <w:rsid w:val="00B21D08"/>
    <w:rsid w:val="00B22930"/>
    <w:rsid w:val="00B22A11"/>
    <w:rsid w:val="00B22A66"/>
    <w:rsid w:val="00B22C00"/>
    <w:rsid w:val="00B22F84"/>
    <w:rsid w:val="00B230B7"/>
    <w:rsid w:val="00B23C36"/>
    <w:rsid w:val="00B2433C"/>
    <w:rsid w:val="00B246D4"/>
    <w:rsid w:val="00B263B3"/>
    <w:rsid w:val="00B26540"/>
    <w:rsid w:val="00B269AD"/>
    <w:rsid w:val="00B26D2C"/>
    <w:rsid w:val="00B26F9C"/>
    <w:rsid w:val="00B27393"/>
    <w:rsid w:val="00B3051D"/>
    <w:rsid w:val="00B307C0"/>
    <w:rsid w:val="00B30C90"/>
    <w:rsid w:val="00B31095"/>
    <w:rsid w:val="00B316A1"/>
    <w:rsid w:val="00B3211B"/>
    <w:rsid w:val="00B34B4D"/>
    <w:rsid w:val="00B34F72"/>
    <w:rsid w:val="00B35B06"/>
    <w:rsid w:val="00B36966"/>
    <w:rsid w:val="00B37493"/>
    <w:rsid w:val="00B3776C"/>
    <w:rsid w:val="00B37969"/>
    <w:rsid w:val="00B379D0"/>
    <w:rsid w:val="00B401E4"/>
    <w:rsid w:val="00B40690"/>
    <w:rsid w:val="00B40FEB"/>
    <w:rsid w:val="00B41AF2"/>
    <w:rsid w:val="00B41D2A"/>
    <w:rsid w:val="00B41DA9"/>
    <w:rsid w:val="00B42034"/>
    <w:rsid w:val="00B4269D"/>
    <w:rsid w:val="00B4280D"/>
    <w:rsid w:val="00B42B0A"/>
    <w:rsid w:val="00B42CEE"/>
    <w:rsid w:val="00B43160"/>
    <w:rsid w:val="00B43659"/>
    <w:rsid w:val="00B4398B"/>
    <w:rsid w:val="00B439BF"/>
    <w:rsid w:val="00B43D8E"/>
    <w:rsid w:val="00B43FF7"/>
    <w:rsid w:val="00B4458D"/>
    <w:rsid w:val="00B44EB6"/>
    <w:rsid w:val="00B454DB"/>
    <w:rsid w:val="00B45695"/>
    <w:rsid w:val="00B45BB7"/>
    <w:rsid w:val="00B4601B"/>
    <w:rsid w:val="00B46913"/>
    <w:rsid w:val="00B46943"/>
    <w:rsid w:val="00B47309"/>
    <w:rsid w:val="00B47812"/>
    <w:rsid w:val="00B50B42"/>
    <w:rsid w:val="00B50E2F"/>
    <w:rsid w:val="00B517EA"/>
    <w:rsid w:val="00B51E7B"/>
    <w:rsid w:val="00B5220B"/>
    <w:rsid w:val="00B5279C"/>
    <w:rsid w:val="00B527AB"/>
    <w:rsid w:val="00B52A44"/>
    <w:rsid w:val="00B531EB"/>
    <w:rsid w:val="00B542E1"/>
    <w:rsid w:val="00B543C4"/>
    <w:rsid w:val="00B54560"/>
    <w:rsid w:val="00B548A1"/>
    <w:rsid w:val="00B54DEE"/>
    <w:rsid w:val="00B55451"/>
    <w:rsid w:val="00B557AC"/>
    <w:rsid w:val="00B55A2A"/>
    <w:rsid w:val="00B56476"/>
    <w:rsid w:val="00B56796"/>
    <w:rsid w:val="00B5752C"/>
    <w:rsid w:val="00B57880"/>
    <w:rsid w:val="00B57B9D"/>
    <w:rsid w:val="00B6009E"/>
    <w:rsid w:val="00B60235"/>
    <w:rsid w:val="00B603F1"/>
    <w:rsid w:val="00B60BD5"/>
    <w:rsid w:val="00B60C9E"/>
    <w:rsid w:val="00B612D2"/>
    <w:rsid w:val="00B61507"/>
    <w:rsid w:val="00B617FF"/>
    <w:rsid w:val="00B620F0"/>
    <w:rsid w:val="00B62287"/>
    <w:rsid w:val="00B6249F"/>
    <w:rsid w:val="00B629FA"/>
    <w:rsid w:val="00B62A99"/>
    <w:rsid w:val="00B62C78"/>
    <w:rsid w:val="00B6326C"/>
    <w:rsid w:val="00B633EF"/>
    <w:rsid w:val="00B6379A"/>
    <w:rsid w:val="00B63EF2"/>
    <w:rsid w:val="00B64019"/>
    <w:rsid w:val="00B649CC"/>
    <w:rsid w:val="00B64AC2"/>
    <w:rsid w:val="00B64F42"/>
    <w:rsid w:val="00B6515F"/>
    <w:rsid w:val="00B6570D"/>
    <w:rsid w:val="00B65AAD"/>
    <w:rsid w:val="00B65B86"/>
    <w:rsid w:val="00B66B79"/>
    <w:rsid w:val="00B66D5C"/>
    <w:rsid w:val="00B673B3"/>
    <w:rsid w:val="00B67462"/>
    <w:rsid w:val="00B67544"/>
    <w:rsid w:val="00B676D8"/>
    <w:rsid w:val="00B6778A"/>
    <w:rsid w:val="00B67D70"/>
    <w:rsid w:val="00B70B15"/>
    <w:rsid w:val="00B70CF9"/>
    <w:rsid w:val="00B71257"/>
    <w:rsid w:val="00B713CB"/>
    <w:rsid w:val="00B71976"/>
    <w:rsid w:val="00B71D0B"/>
    <w:rsid w:val="00B71DF9"/>
    <w:rsid w:val="00B71E13"/>
    <w:rsid w:val="00B71E54"/>
    <w:rsid w:val="00B71EC7"/>
    <w:rsid w:val="00B7215D"/>
    <w:rsid w:val="00B725E2"/>
    <w:rsid w:val="00B72773"/>
    <w:rsid w:val="00B7309F"/>
    <w:rsid w:val="00B73AE1"/>
    <w:rsid w:val="00B74438"/>
    <w:rsid w:val="00B747CF"/>
    <w:rsid w:val="00B74808"/>
    <w:rsid w:val="00B74958"/>
    <w:rsid w:val="00B74C7D"/>
    <w:rsid w:val="00B74D16"/>
    <w:rsid w:val="00B7519F"/>
    <w:rsid w:val="00B75205"/>
    <w:rsid w:val="00B753AB"/>
    <w:rsid w:val="00B753DE"/>
    <w:rsid w:val="00B75970"/>
    <w:rsid w:val="00B76566"/>
    <w:rsid w:val="00B77292"/>
    <w:rsid w:val="00B77A73"/>
    <w:rsid w:val="00B803CA"/>
    <w:rsid w:val="00B80833"/>
    <w:rsid w:val="00B80A33"/>
    <w:rsid w:val="00B80DBC"/>
    <w:rsid w:val="00B81329"/>
    <w:rsid w:val="00B81A75"/>
    <w:rsid w:val="00B82331"/>
    <w:rsid w:val="00B8373D"/>
    <w:rsid w:val="00B839BC"/>
    <w:rsid w:val="00B84C25"/>
    <w:rsid w:val="00B84D25"/>
    <w:rsid w:val="00B84D6E"/>
    <w:rsid w:val="00B84FDB"/>
    <w:rsid w:val="00B8541F"/>
    <w:rsid w:val="00B8564B"/>
    <w:rsid w:val="00B85CCA"/>
    <w:rsid w:val="00B85D6C"/>
    <w:rsid w:val="00B85E1F"/>
    <w:rsid w:val="00B868FE"/>
    <w:rsid w:val="00B86B7F"/>
    <w:rsid w:val="00B876E2"/>
    <w:rsid w:val="00B87951"/>
    <w:rsid w:val="00B9005B"/>
    <w:rsid w:val="00B90BD0"/>
    <w:rsid w:val="00B91320"/>
    <w:rsid w:val="00B91935"/>
    <w:rsid w:val="00B91AFF"/>
    <w:rsid w:val="00B9201D"/>
    <w:rsid w:val="00B92352"/>
    <w:rsid w:val="00B92973"/>
    <w:rsid w:val="00B93B66"/>
    <w:rsid w:val="00B93DAB"/>
    <w:rsid w:val="00B93EFE"/>
    <w:rsid w:val="00B9424E"/>
    <w:rsid w:val="00B9428F"/>
    <w:rsid w:val="00B943E8"/>
    <w:rsid w:val="00B94771"/>
    <w:rsid w:val="00B949C5"/>
    <w:rsid w:val="00B94B88"/>
    <w:rsid w:val="00B94E96"/>
    <w:rsid w:val="00B95411"/>
    <w:rsid w:val="00B954AC"/>
    <w:rsid w:val="00B959CC"/>
    <w:rsid w:val="00B96836"/>
    <w:rsid w:val="00B96973"/>
    <w:rsid w:val="00B96B79"/>
    <w:rsid w:val="00B97757"/>
    <w:rsid w:val="00B977DF"/>
    <w:rsid w:val="00B978E1"/>
    <w:rsid w:val="00BA104E"/>
    <w:rsid w:val="00BA1296"/>
    <w:rsid w:val="00BA1355"/>
    <w:rsid w:val="00BA1746"/>
    <w:rsid w:val="00BA179F"/>
    <w:rsid w:val="00BA17D0"/>
    <w:rsid w:val="00BA1F90"/>
    <w:rsid w:val="00BA2006"/>
    <w:rsid w:val="00BA21B4"/>
    <w:rsid w:val="00BA2314"/>
    <w:rsid w:val="00BA2466"/>
    <w:rsid w:val="00BA2645"/>
    <w:rsid w:val="00BA2708"/>
    <w:rsid w:val="00BA4ED5"/>
    <w:rsid w:val="00BA5B65"/>
    <w:rsid w:val="00BA5FDF"/>
    <w:rsid w:val="00BA64BE"/>
    <w:rsid w:val="00BA6E77"/>
    <w:rsid w:val="00BA7064"/>
    <w:rsid w:val="00BA77B4"/>
    <w:rsid w:val="00BB1B2F"/>
    <w:rsid w:val="00BB1F66"/>
    <w:rsid w:val="00BB2BE3"/>
    <w:rsid w:val="00BB30CA"/>
    <w:rsid w:val="00BB322B"/>
    <w:rsid w:val="00BB3A2F"/>
    <w:rsid w:val="00BB4FFE"/>
    <w:rsid w:val="00BB6C59"/>
    <w:rsid w:val="00BB6F0D"/>
    <w:rsid w:val="00BB71B8"/>
    <w:rsid w:val="00BB746F"/>
    <w:rsid w:val="00BB75D1"/>
    <w:rsid w:val="00BB7839"/>
    <w:rsid w:val="00BB7854"/>
    <w:rsid w:val="00BB78B1"/>
    <w:rsid w:val="00BB7917"/>
    <w:rsid w:val="00BB7E78"/>
    <w:rsid w:val="00BC02FD"/>
    <w:rsid w:val="00BC0F21"/>
    <w:rsid w:val="00BC133B"/>
    <w:rsid w:val="00BC17CA"/>
    <w:rsid w:val="00BC1B43"/>
    <w:rsid w:val="00BC2269"/>
    <w:rsid w:val="00BC230C"/>
    <w:rsid w:val="00BC272D"/>
    <w:rsid w:val="00BC2CDB"/>
    <w:rsid w:val="00BC3123"/>
    <w:rsid w:val="00BC34BB"/>
    <w:rsid w:val="00BC3A68"/>
    <w:rsid w:val="00BC434C"/>
    <w:rsid w:val="00BC5397"/>
    <w:rsid w:val="00BC53DE"/>
    <w:rsid w:val="00BC552E"/>
    <w:rsid w:val="00BC592D"/>
    <w:rsid w:val="00BC5D41"/>
    <w:rsid w:val="00BC62FE"/>
    <w:rsid w:val="00BC6622"/>
    <w:rsid w:val="00BC674F"/>
    <w:rsid w:val="00BC69FC"/>
    <w:rsid w:val="00BC6D91"/>
    <w:rsid w:val="00BC7085"/>
    <w:rsid w:val="00BC7924"/>
    <w:rsid w:val="00BC79F3"/>
    <w:rsid w:val="00BD054B"/>
    <w:rsid w:val="00BD165F"/>
    <w:rsid w:val="00BD17E8"/>
    <w:rsid w:val="00BD1E9F"/>
    <w:rsid w:val="00BD33CB"/>
    <w:rsid w:val="00BD3600"/>
    <w:rsid w:val="00BD388F"/>
    <w:rsid w:val="00BD47A8"/>
    <w:rsid w:val="00BD4E31"/>
    <w:rsid w:val="00BD53DA"/>
    <w:rsid w:val="00BD6B2F"/>
    <w:rsid w:val="00BD76DA"/>
    <w:rsid w:val="00BD79BE"/>
    <w:rsid w:val="00BD7D0F"/>
    <w:rsid w:val="00BE00B2"/>
    <w:rsid w:val="00BE056B"/>
    <w:rsid w:val="00BE0D93"/>
    <w:rsid w:val="00BE174A"/>
    <w:rsid w:val="00BE1FA1"/>
    <w:rsid w:val="00BE268B"/>
    <w:rsid w:val="00BE2975"/>
    <w:rsid w:val="00BE3035"/>
    <w:rsid w:val="00BE3D78"/>
    <w:rsid w:val="00BE3E9B"/>
    <w:rsid w:val="00BE489A"/>
    <w:rsid w:val="00BE584B"/>
    <w:rsid w:val="00BE5933"/>
    <w:rsid w:val="00BE5E33"/>
    <w:rsid w:val="00BE68A7"/>
    <w:rsid w:val="00BE7D49"/>
    <w:rsid w:val="00BF0652"/>
    <w:rsid w:val="00BF081E"/>
    <w:rsid w:val="00BF0B78"/>
    <w:rsid w:val="00BF0BFA"/>
    <w:rsid w:val="00BF0FE7"/>
    <w:rsid w:val="00BF1830"/>
    <w:rsid w:val="00BF2581"/>
    <w:rsid w:val="00BF3C8D"/>
    <w:rsid w:val="00BF405A"/>
    <w:rsid w:val="00BF4168"/>
    <w:rsid w:val="00BF424D"/>
    <w:rsid w:val="00BF5416"/>
    <w:rsid w:val="00BF55FE"/>
    <w:rsid w:val="00BF56F0"/>
    <w:rsid w:val="00BF5A0E"/>
    <w:rsid w:val="00BF5E3B"/>
    <w:rsid w:val="00BF63B2"/>
    <w:rsid w:val="00BF6B7F"/>
    <w:rsid w:val="00BF71F2"/>
    <w:rsid w:val="00BF7304"/>
    <w:rsid w:val="00BF7E14"/>
    <w:rsid w:val="00C00776"/>
    <w:rsid w:val="00C008A9"/>
    <w:rsid w:val="00C01BCA"/>
    <w:rsid w:val="00C023EF"/>
    <w:rsid w:val="00C02F28"/>
    <w:rsid w:val="00C03FCA"/>
    <w:rsid w:val="00C05C9F"/>
    <w:rsid w:val="00C05FA2"/>
    <w:rsid w:val="00C0612E"/>
    <w:rsid w:val="00C06464"/>
    <w:rsid w:val="00C067F3"/>
    <w:rsid w:val="00C06B22"/>
    <w:rsid w:val="00C06B3A"/>
    <w:rsid w:val="00C06BE8"/>
    <w:rsid w:val="00C06D90"/>
    <w:rsid w:val="00C07796"/>
    <w:rsid w:val="00C10CC0"/>
    <w:rsid w:val="00C114FB"/>
    <w:rsid w:val="00C11D18"/>
    <w:rsid w:val="00C1276D"/>
    <w:rsid w:val="00C12DF5"/>
    <w:rsid w:val="00C1326F"/>
    <w:rsid w:val="00C134A4"/>
    <w:rsid w:val="00C14CC8"/>
    <w:rsid w:val="00C15406"/>
    <w:rsid w:val="00C15C6A"/>
    <w:rsid w:val="00C15ECF"/>
    <w:rsid w:val="00C162DB"/>
    <w:rsid w:val="00C16487"/>
    <w:rsid w:val="00C16AAC"/>
    <w:rsid w:val="00C17013"/>
    <w:rsid w:val="00C2011F"/>
    <w:rsid w:val="00C20DFF"/>
    <w:rsid w:val="00C211A5"/>
    <w:rsid w:val="00C21383"/>
    <w:rsid w:val="00C2138A"/>
    <w:rsid w:val="00C213EE"/>
    <w:rsid w:val="00C21669"/>
    <w:rsid w:val="00C2275B"/>
    <w:rsid w:val="00C22C3C"/>
    <w:rsid w:val="00C2323D"/>
    <w:rsid w:val="00C238E7"/>
    <w:rsid w:val="00C23914"/>
    <w:rsid w:val="00C2398B"/>
    <w:rsid w:val="00C239AC"/>
    <w:rsid w:val="00C239E1"/>
    <w:rsid w:val="00C23E3A"/>
    <w:rsid w:val="00C24B0B"/>
    <w:rsid w:val="00C24F9C"/>
    <w:rsid w:val="00C25EC4"/>
    <w:rsid w:val="00C261D3"/>
    <w:rsid w:val="00C2623D"/>
    <w:rsid w:val="00C263F1"/>
    <w:rsid w:val="00C26F31"/>
    <w:rsid w:val="00C27679"/>
    <w:rsid w:val="00C27BE7"/>
    <w:rsid w:val="00C3034D"/>
    <w:rsid w:val="00C303C4"/>
    <w:rsid w:val="00C31760"/>
    <w:rsid w:val="00C31BCF"/>
    <w:rsid w:val="00C322C5"/>
    <w:rsid w:val="00C32994"/>
    <w:rsid w:val="00C32D32"/>
    <w:rsid w:val="00C339C7"/>
    <w:rsid w:val="00C33BEC"/>
    <w:rsid w:val="00C3435F"/>
    <w:rsid w:val="00C34819"/>
    <w:rsid w:val="00C353D3"/>
    <w:rsid w:val="00C353F4"/>
    <w:rsid w:val="00C35BA8"/>
    <w:rsid w:val="00C3647A"/>
    <w:rsid w:val="00C36D30"/>
    <w:rsid w:val="00C37DCF"/>
    <w:rsid w:val="00C41448"/>
    <w:rsid w:val="00C41C5D"/>
    <w:rsid w:val="00C41E93"/>
    <w:rsid w:val="00C44908"/>
    <w:rsid w:val="00C450B6"/>
    <w:rsid w:val="00C4541E"/>
    <w:rsid w:val="00C45696"/>
    <w:rsid w:val="00C456FE"/>
    <w:rsid w:val="00C45C7E"/>
    <w:rsid w:val="00C45E20"/>
    <w:rsid w:val="00C4695B"/>
    <w:rsid w:val="00C47369"/>
    <w:rsid w:val="00C4752A"/>
    <w:rsid w:val="00C4780E"/>
    <w:rsid w:val="00C47920"/>
    <w:rsid w:val="00C47E51"/>
    <w:rsid w:val="00C503CB"/>
    <w:rsid w:val="00C506AA"/>
    <w:rsid w:val="00C50789"/>
    <w:rsid w:val="00C50C02"/>
    <w:rsid w:val="00C5185F"/>
    <w:rsid w:val="00C51BF8"/>
    <w:rsid w:val="00C52EF1"/>
    <w:rsid w:val="00C535D4"/>
    <w:rsid w:val="00C53E10"/>
    <w:rsid w:val="00C5482D"/>
    <w:rsid w:val="00C54AF2"/>
    <w:rsid w:val="00C55189"/>
    <w:rsid w:val="00C55251"/>
    <w:rsid w:val="00C55389"/>
    <w:rsid w:val="00C554B5"/>
    <w:rsid w:val="00C555C0"/>
    <w:rsid w:val="00C5572F"/>
    <w:rsid w:val="00C5579F"/>
    <w:rsid w:val="00C5582B"/>
    <w:rsid w:val="00C55C65"/>
    <w:rsid w:val="00C55E9B"/>
    <w:rsid w:val="00C56143"/>
    <w:rsid w:val="00C56377"/>
    <w:rsid w:val="00C566AF"/>
    <w:rsid w:val="00C56A00"/>
    <w:rsid w:val="00C56C4F"/>
    <w:rsid w:val="00C57817"/>
    <w:rsid w:val="00C57A78"/>
    <w:rsid w:val="00C6084A"/>
    <w:rsid w:val="00C60970"/>
    <w:rsid w:val="00C60C7E"/>
    <w:rsid w:val="00C61945"/>
    <w:rsid w:val="00C6207A"/>
    <w:rsid w:val="00C624EE"/>
    <w:rsid w:val="00C62C3A"/>
    <w:rsid w:val="00C631B2"/>
    <w:rsid w:val="00C632AB"/>
    <w:rsid w:val="00C63AFE"/>
    <w:rsid w:val="00C63CA0"/>
    <w:rsid w:val="00C64670"/>
    <w:rsid w:val="00C648F9"/>
    <w:rsid w:val="00C64A4E"/>
    <w:rsid w:val="00C64DF6"/>
    <w:rsid w:val="00C65044"/>
    <w:rsid w:val="00C659B5"/>
    <w:rsid w:val="00C65EF5"/>
    <w:rsid w:val="00C65F8D"/>
    <w:rsid w:val="00C66842"/>
    <w:rsid w:val="00C67B2C"/>
    <w:rsid w:val="00C67C64"/>
    <w:rsid w:val="00C70034"/>
    <w:rsid w:val="00C704FC"/>
    <w:rsid w:val="00C70F76"/>
    <w:rsid w:val="00C71541"/>
    <w:rsid w:val="00C71DE9"/>
    <w:rsid w:val="00C725CF"/>
    <w:rsid w:val="00C72CDA"/>
    <w:rsid w:val="00C72E47"/>
    <w:rsid w:val="00C7310B"/>
    <w:rsid w:val="00C73187"/>
    <w:rsid w:val="00C733B6"/>
    <w:rsid w:val="00C73504"/>
    <w:rsid w:val="00C73770"/>
    <w:rsid w:val="00C737B8"/>
    <w:rsid w:val="00C74005"/>
    <w:rsid w:val="00C74225"/>
    <w:rsid w:val="00C743EE"/>
    <w:rsid w:val="00C745D1"/>
    <w:rsid w:val="00C749BF"/>
    <w:rsid w:val="00C74A83"/>
    <w:rsid w:val="00C74D46"/>
    <w:rsid w:val="00C74DD5"/>
    <w:rsid w:val="00C76505"/>
    <w:rsid w:val="00C77679"/>
    <w:rsid w:val="00C77FEC"/>
    <w:rsid w:val="00C8043D"/>
    <w:rsid w:val="00C806CD"/>
    <w:rsid w:val="00C80953"/>
    <w:rsid w:val="00C81261"/>
    <w:rsid w:val="00C8159E"/>
    <w:rsid w:val="00C817AF"/>
    <w:rsid w:val="00C829D9"/>
    <w:rsid w:val="00C82BE1"/>
    <w:rsid w:val="00C82D8F"/>
    <w:rsid w:val="00C82FED"/>
    <w:rsid w:val="00C833AA"/>
    <w:rsid w:val="00C836BA"/>
    <w:rsid w:val="00C8397E"/>
    <w:rsid w:val="00C84519"/>
    <w:rsid w:val="00C847FA"/>
    <w:rsid w:val="00C84FED"/>
    <w:rsid w:val="00C8647A"/>
    <w:rsid w:val="00C86516"/>
    <w:rsid w:val="00C86B61"/>
    <w:rsid w:val="00C87581"/>
    <w:rsid w:val="00C8777C"/>
    <w:rsid w:val="00C87F39"/>
    <w:rsid w:val="00C900A1"/>
    <w:rsid w:val="00C90167"/>
    <w:rsid w:val="00C9067B"/>
    <w:rsid w:val="00C90987"/>
    <w:rsid w:val="00C916E2"/>
    <w:rsid w:val="00C91A42"/>
    <w:rsid w:val="00C924BB"/>
    <w:rsid w:val="00C926CD"/>
    <w:rsid w:val="00C92DA5"/>
    <w:rsid w:val="00C92E17"/>
    <w:rsid w:val="00C931C0"/>
    <w:rsid w:val="00C93F94"/>
    <w:rsid w:val="00C9400E"/>
    <w:rsid w:val="00C945F4"/>
    <w:rsid w:val="00C94844"/>
    <w:rsid w:val="00C94E85"/>
    <w:rsid w:val="00C95579"/>
    <w:rsid w:val="00C959FD"/>
    <w:rsid w:val="00C95C35"/>
    <w:rsid w:val="00C961FA"/>
    <w:rsid w:val="00C962B4"/>
    <w:rsid w:val="00C963B6"/>
    <w:rsid w:val="00C964AA"/>
    <w:rsid w:val="00C96C0F"/>
    <w:rsid w:val="00C96FF1"/>
    <w:rsid w:val="00C971EA"/>
    <w:rsid w:val="00C97831"/>
    <w:rsid w:val="00C979EE"/>
    <w:rsid w:val="00C97A0F"/>
    <w:rsid w:val="00CA0F03"/>
    <w:rsid w:val="00CA0FD6"/>
    <w:rsid w:val="00CA1BF5"/>
    <w:rsid w:val="00CA1DF5"/>
    <w:rsid w:val="00CA1FAB"/>
    <w:rsid w:val="00CA2BA0"/>
    <w:rsid w:val="00CA2CCD"/>
    <w:rsid w:val="00CA2E68"/>
    <w:rsid w:val="00CA30AC"/>
    <w:rsid w:val="00CA30B7"/>
    <w:rsid w:val="00CA3386"/>
    <w:rsid w:val="00CA365D"/>
    <w:rsid w:val="00CA3BBB"/>
    <w:rsid w:val="00CA45E2"/>
    <w:rsid w:val="00CA46E7"/>
    <w:rsid w:val="00CA4B34"/>
    <w:rsid w:val="00CA558D"/>
    <w:rsid w:val="00CA6782"/>
    <w:rsid w:val="00CA735B"/>
    <w:rsid w:val="00CA74E0"/>
    <w:rsid w:val="00CA7B39"/>
    <w:rsid w:val="00CB0362"/>
    <w:rsid w:val="00CB0743"/>
    <w:rsid w:val="00CB0DE0"/>
    <w:rsid w:val="00CB12E7"/>
    <w:rsid w:val="00CB1493"/>
    <w:rsid w:val="00CB163A"/>
    <w:rsid w:val="00CB1761"/>
    <w:rsid w:val="00CB1891"/>
    <w:rsid w:val="00CB1E95"/>
    <w:rsid w:val="00CB2BFB"/>
    <w:rsid w:val="00CB2F0A"/>
    <w:rsid w:val="00CB3CB4"/>
    <w:rsid w:val="00CB3F22"/>
    <w:rsid w:val="00CB4ABF"/>
    <w:rsid w:val="00CB55FF"/>
    <w:rsid w:val="00CB5926"/>
    <w:rsid w:val="00CB5B4C"/>
    <w:rsid w:val="00CB5C6F"/>
    <w:rsid w:val="00CB66D8"/>
    <w:rsid w:val="00CB6E35"/>
    <w:rsid w:val="00CC0170"/>
    <w:rsid w:val="00CC02F2"/>
    <w:rsid w:val="00CC065F"/>
    <w:rsid w:val="00CC1413"/>
    <w:rsid w:val="00CC1573"/>
    <w:rsid w:val="00CC1B2D"/>
    <w:rsid w:val="00CC2156"/>
    <w:rsid w:val="00CC2333"/>
    <w:rsid w:val="00CC2DB1"/>
    <w:rsid w:val="00CC31DE"/>
    <w:rsid w:val="00CC40E5"/>
    <w:rsid w:val="00CC41A2"/>
    <w:rsid w:val="00CC4726"/>
    <w:rsid w:val="00CC4B9E"/>
    <w:rsid w:val="00CC545D"/>
    <w:rsid w:val="00CC5633"/>
    <w:rsid w:val="00CC57C6"/>
    <w:rsid w:val="00CC5FA4"/>
    <w:rsid w:val="00CC6734"/>
    <w:rsid w:val="00CC68EE"/>
    <w:rsid w:val="00CC6A6C"/>
    <w:rsid w:val="00CC70A2"/>
    <w:rsid w:val="00CC75B9"/>
    <w:rsid w:val="00CC76BF"/>
    <w:rsid w:val="00CC7B51"/>
    <w:rsid w:val="00CC7CC6"/>
    <w:rsid w:val="00CC7D01"/>
    <w:rsid w:val="00CD0784"/>
    <w:rsid w:val="00CD083E"/>
    <w:rsid w:val="00CD0C5B"/>
    <w:rsid w:val="00CD157B"/>
    <w:rsid w:val="00CD1992"/>
    <w:rsid w:val="00CD1A2F"/>
    <w:rsid w:val="00CD1BB6"/>
    <w:rsid w:val="00CD2834"/>
    <w:rsid w:val="00CD2BF8"/>
    <w:rsid w:val="00CD3149"/>
    <w:rsid w:val="00CD3943"/>
    <w:rsid w:val="00CD3DFE"/>
    <w:rsid w:val="00CD4A96"/>
    <w:rsid w:val="00CD51BB"/>
    <w:rsid w:val="00CD6538"/>
    <w:rsid w:val="00CD73C1"/>
    <w:rsid w:val="00CD7E51"/>
    <w:rsid w:val="00CD7E93"/>
    <w:rsid w:val="00CD7ED1"/>
    <w:rsid w:val="00CE0671"/>
    <w:rsid w:val="00CE0AEB"/>
    <w:rsid w:val="00CE0C94"/>
    <w:rsid w:val="00CE0D01"/>
    <w:rsid w:val="00CE156E"/>
    <w:rsid w:val="00CE1ED6"/>
    <w:rsid w:val="00CE2B5D"/>
    <w:rsid w:val="00CE2BB8"/>
    <w:rsid w:val="00CE33DF"/>
    <w:rsid w:val="00CE3861"/>
    <w:rsid w:val="00CE3DFD"/>
    <w:rsid w:val="00CE3EFE"/>
    <w:rsid w:val="00CE40E2"/>
    <w:rsid w:val="00CE4474"/>
    <w:rsid w:val="00CE4A19"/>
    <w:rsid w:val="00CE4C6C"/>
    <w:rsid w:val="00CE4CE1"/>
    <w:rsid w:val="00CE4DC6"/>
    <w:rsid w:val="00CE5644"/>
    <w:rsid w:val="00CE5820"/>
    <w:rsid w:val="00CE5B07"/>
    <w:rsid w:val="00CE6DFB"/>
    <w:rsid w:val="00CE700D"/>
    <w:rsid w:val="00CE73D9"/>
    <w:rsid w:val="00CE7CF8"/>
    <w:rsid w:val="00CF04CB"/>
    <w:rsid w:val="00CF0706"/>
    <w:rsid w:val="00CF0BD9"/>
    <w:rsid w:val="00CF1778"/>
    <w:rsid w:val="00CF2991"/>
    <w:rsid w:val="00CF3020"/>
    <w:rsid w:val="00CF3278"/>
    <w:rsid w:val="00CF346F"/>
    <w:rsid w:val="00CF3A3C"/>
    <w:rsid w:val="00CF4175"/>
    <w:rsid w:val="00CF4D45"/>
    <w:rsid w:val="00CF54B4"/>
    <w:rsid w:val="00CF58FE"/>
    <w:rsid w:val="00CF5D42"/>
    <w:rsid w:val="00CF5DCC"/>
    <w:rsid w:val="00CF5F17"/>
    <w:rsid w:val="00CF5F1D"/>
    <w:rsid w:val="00CF6286"/>
    <w:rsid w:val="00CF62B7"/>
    <w:rsid w:val="00CF6A35"/>
    <w:rsid w:val="00CF6A86"/>
    <w:rsid w:val="00CF7BB2"/>
    <w:rsid w:val="00CF7DA3"/>
    <w:rsid w:val="00D009C0"/>
    <w:rsid w:val="00D00FD6"/>
    <w:rsid w:val="00D01FA6"/>
    <w:rsid w:val="00D0206E"/>
    <w:rsid w:val="00D0210F"/>
    <w:rsid w:val="00D02608"/>
    <w:rsid w:val="00D02C69"/>
    <w:rsid w:val="00D02D95"/>
    <w:rsid w:val="00D02F55"/>
    <w:rsid w:val="00D0304D"/>
    <w:rsid w:val="00D03FC6"/>
    <w:rsid w:val="00D04112"/>
    <w:rsid w:val="00D0479A"/>
    <w:rsid w:val="00D049BD"/>
    <w:rsid w:val="00D04AE5"/>
    <w:rsid w:val="00D05169"/>
    <w:rsid w:val="00D05B8D"/>
    <w:rsid w:val="00D05BC2"/>
    <w:rsid w:val="00D06726"/>
    <w:rsid w:val="00D06830"/>
    <w:rsid w:val="00D06BBE"/>
    <w:rsid w:val="00D07203"/>
    <w:rsid w:val="00D07400"/>
    <w:rsid w:val="00D07EB7"/>
    <w:rsid w:val="00D10CCF"/>
    <w:rsid w:val="00D10D24"/>
    <w:rsid w:val="00D10FB9"/>
    <w:rsid w:val="00D11532"/>
    <w:rsid w:val="00D11A9C"/>
    <w:rsid w:val="00D11AC3"/>
    <w:rsid w:val="00D12095"/>
    <w:rsid w:val="00D123C8"/>
    <w:rsid w:val="00D12AC5"/>
    <w:rsid w:val="00D12B7A"/>
    <w:rsid w:val="00D12C1F"/>
    <w:rsid w:val="00D13137"/>
    <w:rsid w:val="00D13148"/>
    <w:rsid w:val="00D13553"/>
    <w:rsid w:val="00D137CE"/>
    <w:rsid w:val="00D13804"/>
    <w:rsid w:val="00D13B54"/>
    <w:rsid w:val="00D15025"/>
    <w:rsid w:val="00D1574C"/>
    <w:rsid w:val="00D15798"/>
    <w:rsid w:val="00D158CC"/>
    <w:rsid w:val="00D15A0F"/>
    <w:rsid w:val="00D15EA5"/>
    <w:rsid w:val="00D15FD1"/>
    <w:rsid w:val="00D16052"/>
    <w:rsid w:val="00D16A49"/>
    <w:rsid w:val="00D17349"/>
    <w:rsid w:val="00D176F4"/>
    <w:rsid w:val="00D17E95"/>
    <w:rsid w:val="00D20376"/>
    <w:rsid w:val="00D20671"/>
    <w:rsid w:val="00D207AB"/>
    <w:rsid w:val="00D215DE"/>
    <w:rsid w:val="00D21666"/>
    <w:rsid w:val="00D21812"/>
    <w:rsid w:val="00D218BB"/>
    <w:rsid w:val="00D2215C"/>
    <w:rsid w:val="00D22981"/>
    <w:rsid w:val="00D22E4F"/>
    <w:rsid w:val="00D2321D"/>
    <w:rsid w:val="00D2329D"/>
    <w:rsid w:val="00D23787"/>
    <w:rsid w:val="00D2427A"/>
    <w:rsid w:val="00D251FD"/>
    <w:rsid w:val="00D25287"/>
    <w:rsid w:val="00D2618B"/>
    <w:rsid w:val="00D2641C"/>
    <w:rsid w:val="00D26E53"/>
    <w:rsid w:val="00D271E5"/>
    <w:rsid w:val="00D272B2"/>
    <w:rsid w:val="00D27319"/>
    <w:rsid w:val="00D27BF3"/>
    <w:rsid w:val="00D30018"/>
    <w:rsid w:val="00D30268"/>
    <w:rsid w:val="00D30977"/>
    <w:rsid w:val="00D30F2D"/>
    <w:rsid w:val="00D32450"/>
    <w:rsid w:val="00D3295B"/>
    <w:rsid w:val="00D3329C"/>
    <w:rsid w:val="00D333B0"/>
    <w:rsid w:val="00D33449"/>
    <w:rsid w:val="00D33A8C"/>
    <w:rsid w:val="00D3449D"/>
    <w:rsid w:val="00D345BA"/>
    <w:rsid w:val="00D345C3"/>
    <w:rsid w:val="00D3463A"/>
    <w:rsid w:val="00D35985"/>
    <w:rsid w:val="00D35BC8"/>
    <w:rsid w:val="00D3669C"/>
    <w:rsid w:val="00D402CC"/>
    <w:rsid w:val="00D407E4"/>
    <w:rsid w:val="00D409EB"/>
    <w:rsid w:val="00D40A74"/>
    <w:rsid w:val="00D40CC2"/>
    <w:rsid w:val="00D40D70"/>
    <w:rsid w:val="00D41724"/>
    <w:rsid w:val="00D42208"/>
    <w:rsid w:val="00D42BBE"/>
    <w:rsid w:val="00D437EF"/>
    <w:rsid w:val="00D43D10"/>
    <w:rsid w:val="00D45815"/>
    <w:rsid w:val="00D45E0D"/>
    <w:rsid w:val="00D45FE2"/>
    <w:rsid w:val="00D46335"/>
    <w:rsid w:val="00D4671B"/>
    <w:rsid w:val="00D4710B"/>
    <w:rsid w:val="00D47E5F"/>
    <w:rsid w:val="00D50585"/>
    <w:rsid w:val="00D510D0"/>
    <w:rsid w:val="00D51121"/>
    <w:rsid w:val="00D517A7"/>
    <w:rsid w:val="00D5184A"/>
    <w:rsid w:val="00D51E2C"/>
    <w:rsid w:val="00D524D5"/>
    <w:rsid w:val="00D52CB8"/>
    <w:rsid w:val="00D531B1"/>
    <w:rsid w:val="00D53546"/>
    <w:rsid w:val="00D538E3"/>
    <w:rsid w:val="00D539F2"/>
    <w:rsid w:val="00D53BEF"/>
    <w:rsid w:val="00D53CFA"/>
    <w:rsid w:val="00D54DD2"/>
    <w:rsid w:val="00D55048"/>
    <w:rsid w:val="00D55470"/>
    <w:rsid w:val="00D561F6"/>
    <w:rsid w:val="00D56211"/>
    <w:rsid w:val="00D56960"/>
    <w:rsid w:val="00D56B9A"/>
    <w:rsid w:val="00D570AD"/>
    <w:rsid w:val="00D57128"/>
    <w:rsid w:val="00D5772F"/>
    <w:rsid w:val="00D57DDF"/>
    <w:rsid w:val="00D60604"/>
    <w:rsid w:val="00D61FAE"/>
    <w:rsid w:val="00D6253D"/>
    <w:rsid w:val="00D6289B"/>
    <w:rsid w:val="00D62EEE"/>
    <w:rsid w:val="00D63133"/>
    <w:rsid w:val="00D6390E"/>
    <w:rsid w:val="00D6471F"/>
    <w:rsid w:val="00D64ADC"/>
    <w:rsid w:val="00D654BD"/>
    <w:rsid w:val="00D65B15"/>
    <w:rsid w:val="00D65BEB"/>
    <w:rsid w:val="00D6600F"/>
    <w:rsid w:val="00D66682"/>
    <w:rsid w:val="00D6680B"/>
    <w:rsid w:val="00D66847"/>
    <w:rsid w:val="00D7090A"/>
    <w:rsid w:val="00D7122F"/>
    <w:rsid w:val="00D716F8"/>
    <w:rsid w:val="00D719F8"/>
    <w:rsid w:val="00D71DCF"/>
    <w:rsid w:val="00D725F5"/>
    <w:rsid w:val="00D7293C"/>
    <w:rsid w:val="00D72CD7"/>
    <w:rsid w:val="00D72DAB"/>
    <w:rsid w:val="00D739C2"/>
    <w:rsid w:val="00D739D7"/>
    <w:rsid w:val="00D741BC"/>
    <w:rsid w:val="00D7477B"/>
    <w:rsid w:val="00D7487A"/>
    <w:rsid w:val="00D74AE4"/>
    <w:rsid w:val="00D7555B"/>
    <w:rsid w:val="00D75C79"/>
    <w:rsid w:val="00D763C9"/>
    <w:rsid w:val="00D76B24"/>
    <w:rsid w:val="00D76F8D"/>
    <w:rsid w:val="00D77246"/>
    <w:rsid w:val="00D778A4"/>
    <w:rsid w:val="00D800CD"/>
    <w:rsid w:val="00D801A0"/>
    <w:rsid w:val="00D80881"/>
    <w:rsid w:val="00D80C7B"/>
    <w:rsid w:val="00D8111B"/>
    <w:rsid w:val="00D811CF"/>
    <w:rsid w:val="00D812A1"/>
    <w:rsid w:val="00D813D4"/>
    <w:rsid w:val="00D818D7"/>
    <w:rsid w:val="00D81F03"/>
    <w:rsid w:val="00D82F2A"/>
    <w:rsid w:val="00D83545"/>
    <w:rsid w:val="00D83736"/>
    <w:rsid w:val="00D8387E"/>
    <w:rsid w:val="00D845F5"/>
    <w:rsid w:val="00D84696"/>
    <w:rsid w:val="00D847FF"/>
    <w:rsid w:val="00D84975"/>
    <w:rsid w:val="00D85B09"/>
    <w:rsid w:val="00D85BC4"/>
    <w:rsid w:val="00D86678"/>
    <w:rsid w:val="00D86759"/>
    <w:rsid w:val="00D86FED"/>
    <w:rsid w:val="00D870B7"/>
    <w:rsid w:val="00D87471"/>
    <w:rsid w:val="00D87DF9"/>
    <w:rsid w:val="00D87E90"/>
    <w:rsid w:val="00D87F1F"/>
    <w:rsid w:val="00D91108"/>
    <w:rsid w:val="00D9145B"/>
    <w:rsid w:val="00D91D02"/>
    <w:rsid w:val="00D92630"/>
    <w:rsid w:val="00D9276B"/>
    <w:rsid w:val="00D938C3"/>
    <w:rsid w:val="00D93902"/>
    <w:rsid w:val="00D94560"/>
    <w:rsid w:val="00D94B21"/>
    <w:rsid w:val="00D94D40"/>
    <w:rsid w:val="00D94FFF"/>
    <w:rsid w:val="00D9562C"/>
    <w:rsid w:val="00D95965"/>
    <w:rsid w:val="00D95ACE"/>
    <w:rsid w:val="00D95BF2"/>
    <w:rsid w:val="00D95EA5"/>
    <w:rsid w:val="00D95EDF"/>
    <w:rsid w:val="00D96B71"/>
    <w:rsid w:val="00D9747C"/>
    <w:rsid w:val="00D97567"/>
    <w:rsid w:val="00D97794"/>
    <w:rsid w:val="00D97AA7"/>
    <w:rsid w:val="00D97BBC"/>
    <w:rsid w:val="00D97C07"/>
    <w:rsid w:val="00D97F67"/>
    <w:rsid w:val="00DA0443"/>
    <w:rsid w:val="00DA0665"/>
    <w:rsid w:val="00DA0696"/>
    <w:rsid w:val="00DA0AC9"/>
    <w:rsid w:val="00DA0C39"/>
    <w:rsid w:val="00DA12CE"/>
    <w:rsid w:val="00DA1968"/>
    <w:rsid w:val="00DA1980"/>
    <w:rsid w:val="00DA2736"/>
    <w:rsid w:val="00DA3248"/>
    <w:rsid w:val="00DA39AE"/>
    <w:rsid w:val="00DA3C43"/>
    <w:rsid w:val="00DA5132"/>
    <w:rsid w:val="00DA52E4"/>
    <w:rsid w:val="00DA5604"/>
    <w:rsid w:val="00DA576A"/>
    <w:rsid w:val="00DA589A"/>
    <w:rsid w:val="00DA5923"/>
    <w:rsid w:val="00DA5BD5"/>
    <w:rsid w:val="00DA5EFA"/>
    <w:rsid w:val="00DA6204"/>
    <w:rsid w:val="00DA6B1C"/>
    <w:rsid w:val="00DA6BA6"/>
    <w:rsid w:val="00DA7044"/>
    <w:rsid w:val="00DA797F"/>
    <w:rsid w:val="00DA7C57"/>
    <w:rsid w:val="00DB02F7"/>
    <w:rsid w:val="00DB0B10"/>
    <w:rsid w:val="00DB0EEF"/>
    <w:rsid w:val="00DB1CCB"/>
    <w:rsid w:val="00DB1FEB"/>
    <w:rsid w:val="00DB226E"/>
    <w:rsid w:val="00DB25B6"/>
    <w:rsid w:val="00DB2660"/>
    <w:rsid w:val="00DB2A3E"/>
    <w:rsid w:val="00DB2EDD"/>
    <w:rsid w:val="00DB3C19"/>
    <w:rsid w:val="00DB3D1C"/>
    <w:rsid w:val="00DB3D80"/>
    <w:rsid w:val="00DB41F2"/>
    <w:rsid w:val="00DB4619"/>
    <w:rsid w:val="00DB5046"/>
    <w:rsid w:val="00DB506A"/>
    <w:rsid w:val="00DB5112"/>
    <w:rsid w:val="00DB534F"/>
    <w:rsid w:val="00DB63E7"/>
    <w:rsid w:val="00DB675D"/>
    <w:rsid w:val="00DB7386"/>
    <w:rsid w:val="00DB7D08"/>
    <w:rsid w:val="00DC08E1"/>
    <w:rsid w:val="00DC13B6"/>
    <w:rsid w:val="00DC1556"/>
    <w:rsid w:val="00DC1FAB"/>
    <w:rsid w:val="00DC2841"/>
    <w:rsid w:val="00DC2ADA"/>
    <w:rsid w:val="00DC2DAE"/>
    <w:rsid w:val="00DC2DF5"/>
    <w:rsid w:val="00DC3793"/>
    <w:rsid w:val="00DC37C4"/>
    <w:rsid w:val="00DC3FCF"/>
    <w:rsid w:val="00DC4403"/>
    <w:rsid w:val="00DC44FB"/>
    <w:rsid w:val="00DC466A"/>
    <w:rsid w:val="00DC4FB6"/>
    <w:rsid w:val="00DC5072"/>
    <w:rsid w:val="00DC52CC"/>
    <w:rsid w:val="00DC540E"/>
    <w:rsid w:val="00DC569B"/>
    <w:rsid w:val="00DC5BC2"/>
    <w:rsid w:val="00DC5E23"/>
    <w:rsid w:val="00DC5EDF"/>
    <w:rsid w:val="00DC6284"/>
    <w:rsid w:val="00DC6736"/>
    <w:rsid w:val="00DC6B63"/>
    <w:rsid w:val="00DC6C95"/>
    <w:rsid w:val="00DC7A6C"/>
    <w:rsid w:val="00DD044B"/>
    <w:rsid w:val="00DD05D1"/>
    <w:rsid w:val="00DD107B"/>
    <w:rsid w:val="00DD19F5"/>
    <w:rsid w:val="00DD1DBD"/>
    <w:rsid w:val="00DD2C2C"/>
    <w:rsid w:val="00DD2C71"/>
    <w:rsid w:val="00DD2F09"/>
    <w:rsid w:val="00DD3B94"/>
    <w:rsid w:val="00DD3FEB"/>
    <w:rsid w:val="00DD4952"/>
    <w:rsid w:val="00DD53FC"/>
    <w:rsid w:val="00DD6100"/>
    <w:rsid w:val="00DD6E56"/>
    <w:rsid w:val="00DD7311"/>
    <w:rsid w:val="00DD74BB"/>
    <w:rsid w:val="00DD791E"/>
    <w:rsid w:val="00DD7D99"/>
    <w:rsid w:val="00DD7FB2"/>
    <w:rsid w:val="00DE04B5"/>
    <w:rsid w:val="00DE0503"/>
    <w:rsid w:val="00DE0931"/>
    <w:rsid w:val="00DE0BD4"/>
    <w:rsid w:val="00DE0F3F"/>
    <w:rsid w:val="00DE123D"/>
    <w:rsid w:val="00DE259D"/>
    <w:rsid w:val="00DE2ACB"/>
    <w:rsid w:val="00DE33D8"/>
    <w:rsid w:val="00DE3403"/>
    <w:rsid w:val="00DE3576"/>
    <w:rsid w:val="00DE3C95"/>
    <w:rsid w:val="00DE3E27"/>
    <w:rsid w:val="00DE4070"/>
    <w:rsid w:val="00DE44C8"/>
    <w:rsid w:val="00DE4CB0"/>
    <w:rsid w:val="00DE52AC"/>
    <w:rsid w:val="00DE5CE2"/>
    <w:rsid w:val="00DE5EEB"/>
    <w:rsid w:val="00DE657F"/>
    <w:rsid w:val="00DE6A15"/>
    <w:rsid w:val="00DE6E09"/>
    <w:rsid w:val="00DE734F"/>
    <w:rsid w:val="00DF0883"/>
    <w:rsid w:val="00DF0A0D"/>
    <w:rsid w:val="00DF0E92"/>
    <w:rsid w:val="00DF1083"/>
    <w:rsid w:val="00DF1865"/>
    <w:rsid w:val="00DF1CF7"/>
    <w:rsid w:val="00DF1DE8"/>
    <w:rsid w:val="00DF1E45"/>
    <w:rsid w:val="00DF1EC7"/>
    <w:rsid w:val="00DF1EE7"/>
    <w:rsid w:val="00DF1F92"/>
    <w:rsid w:val="00DF23FB"/>
    <w:rsid w:val="00DF2537"/>
    <w:rsid w:val="00DF2654"/>
    <w:rsid w:val="00DF2911"/>
    <w:rsid w:val="00DF313A"/>
    <w:rsid w:val="00DF3196"/>
    <w:rsid w:val="00DF3716"/>
    <w:rsid w:val="00DF37BF"/>
    <w:rsid w:val="00DF39C3"/>
    <w:rsid w:val="00DF3CCC"/>
    <w:rsid w:val="00DF3DD0"/>
    <w:rsid w:val="00DF404C"/>
    <w:rsid w:val="00DF495D"/>
    <w:rsid w:val="00DF4F52"/>
    <w:rsid w:val="00DF56C4"/>
    <w:rsid w:val="00DF5913"/>
    <w:rsid w:val="00DF5D8D"/>
    <w:rsid w:val="00DF6397"/>
    <w:rsid w:val="00DF67B7"/>
    <w:rsid w:val="00DF6D3F"/>
    <w:rsid w:val="00DF6DF5"/>
    <w:rsid w:val="00DF6FB1"/>
    <w:rsid w:val="00DF6FB9"/>
    <w:rsid w:val="00DF735D"/>
    <w:rsid w:val="00E000F1"/>
    <w:rsid w:val="00E009CB"/>
    <w:rsid w:val="00E00BDA"/>
    <w:rsid w:val="00E00D3E"/>
    <w:rsid w:val="00E029A7"/>
    <w:rsid w:val="00E02DD0"/>
    <w:rsid w:val="00E0334E"/>
    <w:rsid w:val="00E03447"/>
    <w:rsid w:val="00E038CC"/>
    <w:rsid w:val="00E03FE1"/>
    <w:rsid w:val="00E04BF5"/>
    <w:rsid w:val="00E05291"/>
    <w:rsid w:val="00E05305"/>
    <w:rsid w:val="00E05475"/>
    <w:rsid w:val="00E0568A"/>
    <w:rsid w:val="00E0581D"/>
    <w:rsid w:val="00E05826"/>
    <w:rsid w:val="00E05CB2"/>
    <w:rsid w:val="00E06262"/>
    <w:rsid w:val="00E06A21"/>
    <w:rsid w:val="00E06A34"/>
    <w:rsid w:val="00E06BFB"/>
    <w:rsid w:val="00E06F07"/>
    <w:rsid w:val="00E07835"/>
    <w:rsid w:val="00E079AF"/>
    <w:rsid w:val="00E07AC8"/>
    <w:rsid w:val="00E07BDC"/>
    <w:rsid w:val="00E07CE7"/>
    <w:rsid w:val="00E07DED"/>
    <w:rsid w:val="00E10DD1"/>
    <w:rsid w:val="00E11416"/>
    <w:rsid w:val="00E11662"/>
    <w:rsid w:val="00E118C7"/>
    <w:rsid w:val="00E11CC1"/>
    <w:rsid w:val="00E11CD4"/>
    <w:rsid w:val="00E12775"/>
    <w:rsid w:val="00E1290F"/>
    <w:rsid w:val="00E12937"/>
    <w:rsid w:val="00E12987"/>
    <w:rsid w:val="00E1378A"/>
    <w:rsid w:val="00E13A68"/>
    <w:rsid w:val="00E13E43"/>
    <w:rsid w:val="00E13EED"/>
    <w:rsid w:val="00E14DEA"/>
    <w:rsid w:val="00E14E35"/>
    <w:rsid w:val="00E152A2"/>
    <w:rsid w:val="00E15D51"/>
    <w:rsid w:val="00E16321"/>
    <w:rsid w:val="00E168F0"/>
    <w:rsid w:val="00E177BC"/>
    <w:rsid w:val="00E20745"/>
    <w:rsid w:val="00E21E66"/>
    <w:rsid w:val="00E22302"/>
    <w:rsid w:val="00E2352F"/>
    <w:rsid w:val="00E23AE7"/>
    <w:rsid w:val="00E23AF1"/>
    <w:rsid w:val="00E24CF0"/>
    <w:rsid w:val="00E24DB4"/>
    <w:rsid w:val="00E254C4"/>
    <w:rsid w:val="00E25B75"/>
    <w:rsid w:val="00E261C2"/>
    <w:rsid w:val="00E26215"/>
    <w:rsid w:val="00E2624C"/>
    <w:rsid w:val="00E262DF"/>
    <w:rsid w:val="00E26401"/>
    <w:rsid w:val="00E27914"/>
    <w:rsid w:val="00E279C6"/>
    <w:rsid w:val="00E31516"/>
    <w:rsid w:val="00E316D8"/>
    <w:rsid w:val="00E31C2B"/>
    <w:rsid w:val="00E31F77"/>
    <w:rsid w:val="00E320EE"/>
    <w:rsid w:val="00E32E84"/>
    <w:rsid w:val="00E32FB1"/>
    <w:rsid w:val="00E33E05"/>
    <w:rsid w:val="00E33E6A"/>
    <w:rsid w:val="00E35061"/>
    <w:rsid w:val="00E352F2"/>
    <w:rsid w:val="00E35BAD"/>
    <w:rsid w:val="00E36130"/>
    <w:rsid w:val="00E36A79"/>
    <w:rsid w:val="00E36C40"/>
    <w:rsid w:val="00E36E77"/>
    <w:rsid w:val="00E37D35"/>
    <w:rsid w:val="00E40750"/>
    <w:rsid w:val="00E41219"/>
    <w:rsid w:val="00E41993"/>
    <w:rsid w:val="00E41EDE"/>
    <w:rsid w:val="00E4201F"/>
    <w:rsid w:val="00E43067"/>
    <w:rsid w:val="00E4336A"/>
    <w:rsid w:val="00E4347B"/>
    <w:rsid w:val="00E434E5"/>
    <w:rsid w:val="00E43CC1"/>
    <w:rsid w:val="00E443B3"/>
    <w:rsid w:val="00E44443"/>
    <w:rsid w:val="00E444F5"/>
    <w:rsid w:val="00E44586"/>
    <w:rsid w:val="00E447EA"/>
    <w:rsid w:val="00E44D87"/>
    <w:rsid w:val="00E44F49"/>
    <w:rsid w:val="00E45866"/>
    <w:rsid w:val="00E45CA6"/>
    <w:rsid w:val="00E45DDA"/>
    <w:rsid w:val="00E45FB1"/>
    <w:rsid w:val="00E4675C"/>
    <w:rsid w:val="00E468EB"/>
    <w:rsid w:val="00E46F8B"/>
    <w:rsid w:val="00E470F3"/>
    <w:rsid w:val="00E47100"/>
    <w:rsid w:val="00E4770F"/>
    <w:rsid w:val="00E4790E"/>
    <w:rsid w:val="00E50382"/>
    <w:rsid w:val="00E50E19"/>
    <w:rsid w:val="00E514E3"/>
    <w:rsid w:val="00E51AF9"/>
    <w:rsid w:val="00E5234E"/>
    <w:rsid w:val="00E52A9A"/>
    <w:rsid w:val="00E53ADF"/>
    <w:rsid w:val="00E53BCD"/>
    <w:rsid w:val="00E5409A"/>
    <w:rsid w:val="00E547F8"/>
    <w:rsid w:val="00E54D85"/>
    <w:rsid w:val="00E56B40"/>
    <w:rsid w:val="00E56CE6"/>
    <w:rsid w:val="00E5717B"/>
    <w:rsid w:val="00E578E2"/>
    <w:rsid w:val="00E5799B"/>
    <w:rsid w:val="00E60556"/>
    <w:rsid w:val="00E60F93"/>
    <w:rsid w:val="00E61AEC"/>
    <w:rsid w:val="00E61BCF"/>
    <w:rsid w:val="00E62624"/>
    <w:rsid w:val="00E63D14"/>
    <w:rsid w:val="00E64905"/>
    <w:rsid w:val="00E64A11"/>
    <w:rsid w:val="00E64CC9"/>
    <w:rsid w:val="00E64D2A"/>
    <w:rsid w:val="00E64DCE"/>
    <w:rsid w:val="00E654A3"/>
    <w:rsid w:val="00E65977"/>
    <w:rsid w:val="00E65D1E"/>
    <w:rsid w:val="00E661E7"/>
    <w:rsid w:val="00E66A4B"/>
    <w:rsid w:val="00E66DDE"/>
    <w:rsid w:val="00E66F30"/>
    <w:rsid w:val="00E670F9"/>
    <w:rsid w:val="00E671AC"/>
    <w:rsid w:val="00E678D4"/>
    <w:rsid w:val="00E7013C"/>
    <w:rsid w:val="00E704CD"/>
    <w:rsid w:val="00E711FC"/>
    <w:rsid w:val="00E71837"/>
    <w:rsid w:val="00E72E67"/>
    <w:rsid w:val="00E72FAF"/>
    <w:rsid w:val="00E7400C"/>
    <w:rsid w:val="00E74352"/>
    <w:rsid w:val="00E745E9"/>
    <w:rsid w:val="00E74644"/>
    <w:rsid w:val="00E749E2"/>
    <w:rsid w:val="00E74E1E"/>
    <w:rsid w:val="00E74E26"/>
    <w:rsid w:val="00E75213"/>
    <w:rsid w:val="00E75522"/>
    <w:rsid w:val="00E75952"/>
    <w:rsid w:val="00E75955"/>
    <w:rsid w:val="00E75969"/>
    <w:rsid w:val="00E76492"/>
    <w:rsid w:val="00E7685C"/>
    <w:rsid w:val="00E76BB5"/>
    <w:rsid w:val="00E76D85"/>
    <w:rsid w:val="00E7705E"/>
    <w:rsid w:val="00E77272"/>
    <w:rsid w:val="00E77892"/>
    <w:rsid w:val="00E80B65"/>
    <w:rsid w:val="00E82548"/>
    <w:rsid w:val="00E8280C"/>
    <w:rsid w:val="00E82A2A"/>
    <w:rsid w:val="00E83330"/>
    <w:rsid w:val="00E8338B"/>
    <w:rsid w:val="00E8384D"/>
    <w:rsid w:val="00E83C63"/>
    <w:rsid w:val="00E84093"/>
    <w:rsid w:val="00E84C2A"/>
    <w:rsid w:val="00E85926"/>
    <w:rsid w:val="00E85B64"/>
    <w:rsid w:val="00E85C51"/>
    <w:rsid w:val="00E8627F"/>
    <w:rsid w:val="00E86502"/>
    <w:rsid w:val="00E8682C"/>
    <w:rsid w:val="00E879DA"/>
    <w:rsid w:val="00E87AC4"/>
    <w:rsid w:val="00E909D6"/>
    <w:rsid w:val="00E91353"/>
    <w:rsid w:val="00E915C8"/>
    <w:rsid w:val="00E91E54"/>
    <w:rsid w:val="00E91F3D"/>
    <w:rsid w:val="00E91F54"/>
    <w:rsid w:val="00E92C80"/>
    <w:rsid w:val="00E92FBE"/>
    <w:rsid w:val="00E933D4"/>
    <w:rsid w:val="00E93454"/>
    <w:rsid w:val="00E93BB9"/>
    <w:rsid w:val="00E93CDD"/>
    <w:rsid w:val="00E94155"/>
    <w:rsid w:val="00E94402"/>
    <w:rsid w:val="00E94CE2"/>
    <w:rsid w:val="00E955AC"/>
    <w:rsid w:val="00E95CA1"/>
    <w:rsid w:val="00E9640A"/>
    <w:rsid w:val="00E96ACF"/>
    <w:rsid w:val="00E96B66"/>
    <w:rsid w:val="00E96F9D"/>
    <w:rsid w:val="00E972BD"/>
    <w:rsid w:val="00E97B47"/>
    <w:rsid w:val="00EA0030"/>
    <w:rsid w:val="00EA0725"/>
    <w:rsid w:val="00EA09CB"/>
    <w:rsid w:val="00EA0BEE"/>
    <w:rsid w:val="00EA101C"/>
    <w:rsid w:val="00EA109C"/>
    <w:rsid w:val="00EA116F"/>
    <w:rsid w:val="00EA1366"/>
    <w:rsid w:val="00EA1FF3"/>
    <w:rsid w:val="00EA2529"/>
    <w:rsid w:val="00EA329B"/>
    <w:rsid w:val="00EA408D"/>
    <w:rsid w:val="00EA4777"/>
    <w:rsid w:val="00EA5284"/>
    <w:rsid w:val="00EA619F"/>
    <w:rsid w:val="00EA6B6D"/>
    <w:rsid w:val="00EA7642"/>
    <w:rsid w:val="00EB149F"/>
    <w:rsid w:val="00EB15A2"/>
    <w:rsid w:val="00EB1929"/>
    <w:rsid w:val="00EB1C36"/>
    <w:rsid w:val="00EB1ECD"/>
    <w:rsid w:val="00EB1F8D"/>
    <w:rsid w:val="00EB2037"/>
    <w:rsid w:val="00EB2519"/>
    <w:rsid w:val="00EB2B4C"/>
    <w:rsid w:val="00EB2C1D"/>
    <w:rsid w:val="00EB33AE"/>
    <w:rsid w:val="00EB39B5"/>
    <w:rsid w:val="00EB3EFE"/>
    <w:rsid w:val="00EB46A3"/>
    <w:rsid w:val="00EB55A7"/>
    <w:rsid w:val="00EB591A"/>
    <w:rsid w:val="00EB5A3D"/>
    <w:rsid w:val="00EB611E"/>
    <w:rsid w:val="00EB72BC"/>
    <w:rsid w:val="00EB733C"/>
    <w:rsid w:val="00EB7629"/>
    <w:rsid w:val="00EB7EF0"/>
    <w:rsid w:val="00EB7EF1"/>
    <w:rsid w:val="00EC033D"/>
    <w:rsid w:val="00EC092D"/>
    <w:rsid w:val="00EC096C"/>
    <w:rsid w:val="00EC245D"/>
    <w:rsid w:val="00EC288D"/>
    <w:rsid w:val="00EC2893"/>
    <w:rsid w:val="00EC2B7F"/>
    <w:rsid w:val="00EC32EA"/>
    <w:rsid w:val="00EC36FE"/>
    <w:rsid w:val="00EC3CF8"/>
    <w:rsid w:val="00EC3D62"/>
    <w:rsid w:val="00EC439D"/>
    <w:rsid w:val="00EC4523"/>
    <w:rsid w:val="00EC46FB"/>
    <w:rsid w:val="00EC488D"/>
    <w:rsid w:val="00EC49A0"/>
    <w:rsid w:val="00EC591E"/>
    <w:rsid w:val="00EC594C"/>
    <w:rsid w:val="00EC5F73"/>
    <w:rsid w:val="00EC6106"/>
    <w:rsid w:val="00EC61E0"/>
    <w:rsid w:val="00EC662D"/>
    <w:rsid w:val="00EC6CDA"/>
    <w:rsid w:val="00EC6E3B"/>
    <w:rsid w:val="00EC7B57"/>
    <w:rsid w:val="00ED050D"/>
    <w:rsid w:val="00ED087A"/>
    <w:rsid w:val="00ED22E0"/>
    <w:rsid w:val="00ED2CC8"/>
    <w:rsid w:val="00ED326C"/>
    <w:rsid w:val="00ED33A1"/>
    <w:rsid w:val="00ED35FA"/>
    <w:rsid w:val="00ED3666"/>
    <w:rsid w:val="00ED3A45"/>
    <w:rsid w:val="00ED4CF4"/>
    <w:rsid w:val="00ED513F"/>
    <w:rsid w:val="00ED5414"/>
    <w:rsid w:val="00ED56EB"/>
    <w:rsid w:val="00ED599F"/>
    <w:rsid w:val="00ED5F94"/>
    <w:rsid w:val="00ED6179"/>
    <w:rsid w:val="00ED6AFD"/>
    <w:rsid w:val="00ED6CBF"/>
    <w:rsid w:val="00ED763D"/>
    <w:rsid w:val="00ED76B2"/>
    <w:rsid w:val="00ED76B6"/>
    <w:rsid w:val="00ED7B8A"/>
    <w:rsid w:val="00EE06A0"/>
    <w:rsid w:val="00EE082F"/>
    <w:rsid w:val="00EE0DDF"/>
    <w:rsid w:val="00EE0F73"/>
    <w:rsid w:val="00EE114A"/>
    <w:rsid w:val="00EE11D2"/>
    <w:rsid w:val="00EE13EC"/>
    <w:rsid w:val="00EE1449"/>
    <w:rsid w:val="00EE1697"/>
    <w:rsid w:val="00EE1BF3"/>
    <w:rsid w:val="00EE300D"/>
    <w:rsid w:val="00EE3456"/>
    <w:rsid w:val="00EE3842"/>
    <w:rsid w:val="00EE47B3"/>
    <w:rsid w:val="00EE4D70"/>
    <w:rsid w:val="00EE4FF5"/>
    <w:rsid w:val="00EE521D"/>
    <w:rsid w:val="00EE59CC"/>
    <w:rsid w:val="00EE6450"/>
    <w:rsid w:val="00EE6632"/>
    <w:rsid w:val="00EE75D4"/>
    <w:rsid w:val="00EE7A8C"/>
    <w:rsid w:val="00EE7E53"/>
    <w:rsid w:val="00EF05F4"/>
    <w:rsid w:val="00EF140E"/>
    <w:rsid w:val="00EF1B03"/>
    <w:rsid w:val="00EF2922"/>
    <w:rsid w:val="00EF2C83"/>
    <w:rsid w:val="00EF2DB4"/>
    <w:rsid w:val="00EF2E32"/>
    <w:rsid w:val="00EF2F56"/>
    <w:rsid w:val="00EF32AC"/>
    <w:rsid w:val="00EF383D"/>
    <w:rsid w:val="00EF3AA0"/>
    <w:rsid w:val="00EF4E32"/>
    <w:rsid w:val="00EF521E"/>
    <w:rsid w:val="00EF5937"/>
    <w:rsid w:val="00EF635B"/>
    <w:rsid w:val="00EF6780"/>
    <w:rsid w:val="00EF7543"/>
    <w:rsid w:val="00EF7932"/>
    <w:rsid w:val="00EF7CFD"/>
    <w:rsid w:val="00EF7E6E"/>
    <w:rsid w:val="00F00345"/>
    <w:rsid w:val="00F00C18"/>
    <w:rsid w:val="00F00C2C"/>
    <w:rsid w:val="00F015CC"/>
    <w:rsid w:val="00F01603"/>
    <w:rsid w:val="00F01C62"/>
    <w:rsid w:val="00F02520"/>
    <w:rsid w:val="00F0293C"/>
    <w:rsid w:val="00F03016"/>
    <w:rsid w:val="00F048AE"/>
    <w:rsid w:val="00F04EF2"/>
    <w:rsid w:val="00F05631"/>
    <w:rsid w:val="00F05929"/>
    <w:rsid w:val="00F0617F"/>
    <w:rsid w:val="00F064D6"/>
    <w:rsid w:val="00F0680F"/>
    <w:rsid w:val="00F0769A"/>
    <w:rsid w:val="00F07C7C"/>
    <w:rsid w:val="00F07FCB"/>
    <w:rsid w:val="00F106C7"/>
    <w:rsid w:val="00F10911"/>
    <w:rsid w:val="00F116FC"/>
    <w:rsid w:val="00F117C2"/>
    <w:rsid w:val="00F11BAD"/>
    <w:rsid w:val="00F121AE"/>
    <w:rsid w:val="00F12536"/>
    <w:rsid w:val="00F12BFC"/>
    <w:rsid w:val="00F12CCF"/>
    <w:rsid w:val="00F12D62"/>
    <w:rsid w:val="00F133FD"/>
    <w:rsid w:val="00F135CD"/>
    <w:rsid w:val="00F13794"/>
    <w:rsid w:val="00F142C3"/>
    <w:rsid w:val="00F14B21"/>
    <w:rsid w:val="00F14EA6"/>
    <w:rsid w:val="00F14F09"/>
    <w:rsid w:val="00F1589C"/>
    <w:rsid w:val="00F15DFC"/>
    <w:rsid w:val="00F161C4"/>
    <w:rsid w:val="00F1678E"/>
    <w:rsid w:val="00F16871"/>
    <w:rsid w:val="00F16E67"/>
    <w:rsid w:val="00F17078"/>
    <w:rsid w:val="00F17081"/>
    <w:rsid w:val="00F17568"/>
    <w:rsid w:val="00F175AC"/>
    <w:rsid w:val="00F20D23"/>
    <w:rsid w:val="00F212BC"/>
    <w:rsid w:val="00F21701"/>
    <w:rsid w:val="00F220F0"/>
    <w:rsid w:val="00F22FAF"/>
    <w:rsid w:val="00F23160"/>
    <w:rsid w:val="00F2342D"/>
    <w:rsid w:val="00F239E2"/>
    <w:rsid w:val="00F243E5"/>
    <w:rsid w:val="00F244FA"/>
    <w:rsid w:val="00F24C2E"/>
    <w:rsid w:val="00F250E5"/>
    <w:rsid w:val="00F255FB"/>
    <w:rsid w:val="00F258D4"/>
    <w:rsid w:val="00F25D4F"/>
    <w:rsid w:val="00F263F0"/>
    <w:rsid w:val="00F26D45"/>
    <w:rsid w:val="00F26E98"/>
    <w:rsid w:val="00F27532"/>
    <w:rsid w:val="00F278A2"/>
    <w:rsid w:val="00F30735"/>
    <w:rsid w:val="00F31664"/>
    <w:rsid w:val="00F31719"/>
    <w:rsid w:val="00F31CD7"/>
    <w:rsid w:val="00F32D4C"/>
    <w:rsid w:val="00F33144"/>
    <w:rsid w:val="00F3336D"/>
    <w:rsid w:val="00F33876"/>
    <w:rsid w:val="00F33891"/>
    <w:rsid w:val="00F340C4"/>
    <w:rsid w:val="00F34BD3"/>
    <w:rsid w:val="00F35301"/>
    <w:rsid w:val="00F3542B"/>
    <w:rsid w:val="00F3556D"/>
    <w:rsid w:val="00F3573D"/>
    <w:rsid w:val="00F359B0"/>
    <w:rsid w:val="00F36343"/>
    <w:rsid w:val="00F3676B"/>
    <w:rsid w:val="00F36EA1"/>
    <w:rsid w:val="00F3722E"/>
    <w:rsid w:val="00F37AB7"/>
    <w:rsid w:val="00F37BFA"/>
    <w:rsid w:val="00F40326"/>
    <w:rsid w:val="00F40528"/>
    <w:rsid w:val="00F41513"/>
    <w:rsid w:val="00F41AE7"/>
    <w:rsid w:val="00F42031"/>
    <w:rsid w:val="00F42509"/>
    <w:rsid w:val="00F42555"/>
    <w:rsid w:val="00F4294A"/>
    <w:rsid w:val="00F42B89"/>
    <w:rsid w:val="00F42EE4"/>
    <w:rsid w:val="00F42EE8"/>
    <w:rsid w:val="00F44123"/>
    <w:rsid w:val="00F443A2"/>
    <w:rsid w:val="00F44565"/>
    <w:rsid w:val="00F450B4"/>
    <w:rsid w:val="00F45760"/>
    <w:rsid w:val="00F45C0A"/>
    <w:rsid w:val="00F45C2B"/>
    <w:rsid w:val="00F462E1"/>
    <w:rsid w:val="00F46408"/>
    <w:rsid w:val="00F46454"/>
    <w:rsid w:val="00F465AB"/>
    <w:rsid w:val="00F4672C"/>
    <w:rsid w:val="00F469D4"/>
    <w:rsid w:val="00F47A38"/>
    <w:rsid w:val="00F47CC6"/>
    <w:rsid w:val="00F47F34"/>
    <w:rsid w:val="00F508DD"/>
    <w:rsid w:val="00F50B5A"/>
    <w:rsid w:val="00F50CC1"/>
    <w:rsid w:val="00F51042"/>
    <w:rsid w:val="00F51742"/>
    <w:rsid w:val="00F51B4B"/>
    <w:rsid w:val="00F51D1A"/>
    <w:rsid w:val="00F5238B"/>
    <w:rsid w:val="00F52808"/>
    <w:rsid w:val="00F53AB5"/>
    <w:rsid w:val="00F53F40"/>
    <w:rsid w:val="00F542CE"/>
    <w:rsid w:val="00F549BC"/>
    <w:rsid w:val="00F54A26"/>
    <w:rsid w:val="00F555C1"/>
    <w:rsid w:val="00F555F1"/>
    <w:rsid w:val="00F565B0"/>
    <w:rsid w:val="00F57C1E"/>
    <w:rsid w:val="00F57D76"/>
    <w:rsid w:val="00F600CB"/>
    <w:rsid w:val="00F602AC"/>
    <w:rsid w:val="00F60717"/>
    <w:rsid w:val="00F6072A"/>
    <w:rsid w:val="00F61065"/>
    <w:rsid w:val="00F6107F"/>
    <w:rsid w:val="00F625B2"/>
    <w:rsid w:val="00F628EA"/>
    <w:rsid w:val="00F62CF9"/>
    <w:rsid w:val="00F62F9F"/>
    <w:rsid w:val="00F636BD"/>
    <w:rsid w:val="00F6444D"/>
    <w:rsid w:val="00F64B49"/>
    <w:rsid w:val="00F65323"/>
    <w:rsid w:val="00F6600E"/>
    <w:rsid w:val="00F665DD"/>
    <w:rsid w:val="00F66CF5"/>
    <w:rsid w:val="00F66F55"/>
    <w:rsid w:val="00F66FC8"/>
    <w:rsid w:val="00F67038"/>
    <w:rsid w:val="00F673B1"/>
    <w:rsid w:val="00F6775D"/>
    <w:rsid w:val="00F67FA3"/>
    <w:rsid w:val="00F7002B"/>
    <w:rsid w:val="00F7059A"/>
    <w:rsid w:val="00F7095F"/>
    <w:rsid w:val="00F7124C"/>
    <w:rsid w:val="00F713AA"/>
    <w:rsid w:val="00F71AB3"/>
    <w:rsid w:val="00F71C51"/>
    <w:rsid w:val="00F7207B"/>
    <w:rsid w:val="00F720DA"/>
    <w:rsid w:val="00F7242A"/>
    <w:rsid w:val="00F72BF1"/>
    <w:rsid w:val="00F730C1"/>
    <w:rsid w:val="00F737A9"/>
    <w:rsid w:val="00F740B7"/>
    <w:rsid w:val="00F740E3"/>
    <w:rsid w:val="00F74D81"/>
    <w:rsid w:val="00F7500E"/>
    <w:rsid w:val="00F75A91"/>
    <w:rsid w:val="00F7619D"/>
    <w:rsid w:val="00F761FB"/>
    <w:rsid w:val="00F76A30"/>
    <w:rsid w:val="00F76DD6"/>
    <w:rsid w:val="00F774E1"/>
    <w:rsid w:val="00F77AA5"/>
    <w:rsid w:val="00F80A08"/>
    <w:rsid w:val="00F81099"/>
    <w:rsid w:val="00F81406"/>
    <w:rsid w:val="00F81917"/>
    <w:rsid w:val="00F81B26"/>
    <w:rsid w:val="00F81C49"/>
    <w:rsid w:val="00F81C81"/>
    <w:rsid w:val="00F82025"/>
    <w:rsid w:val="00F8220F"/>
    <w:rsid w:val="00F822C5"/>
    <w:rsid w:val="00F822D6"/>
    <w:rsid w:val="00F824E0"/>
    <w:rsid w:val="00F82AFD"/>
    <w:rsid w:val="00F82FA8"/>
    <w:rsid w:val="00F83668"/>
    <w:rsid w:val="00F836F3"/>
    <w:rsid w:val="00F83BB6"/>
    <w:rsid w:val="00F83E66"/>
    <w:rsid w:val="00F83FD9"/>
    <w:rsid w:val="00F846AE"/>
    <w:rsid w:val="00F84D40"/>
    <w:rsid w:val="00F851EF"/>
    <w:rsid w:val="00F85744"/>
    <w:rsid w:val="00F85DA4"/>
    <w:rsid w:val="00F85F94"/>
    <w:rsid w:val="00F86448"/>
    <w:rsid w:val="00F870D7"/>
    <w:rsid w:val="00F874AD"/>
    <w:rsid w:val="00F9224D"/>
    <w:rsid w:val="00F92490"/>
    <w:rsid w:val="00F929BC"/>
    <w:rsid w:val="00F92BF7"/>
    <w:rsid w:val="00F92F98"/>
    <w:rsid w:val="00F930A6"/>
    <w:rsid w:val="00F9333C"/>
    <w:rsid w:val="00F93948"/>
    <w:rsid w:val="00F93D1E"/>
    <w:rsid w:val="00F94004"/>
    <w:rsid w:val="00F94805"/>
    <w:rsid w:val="00F9492D"/>
    <w:rsid w:val="00F9513B"/>
    <w:rsid w:val="00F9531F"/>
    <w:rsid w:val="00F955D0"/>
    <w:rsid w:val="00F95C7E"/>
    <w:rsid w:val="00F96043"/>
    <w:rsid w:val="00F960F4"/>
    <w:rsid w:val="00F9624B"/>
    <w:rsid w:val="00F966D2"/>
    <w:rsid w:val="00F96C8D"/>
    <w:rsid w:val="00F96DC1"/>
    <w:rsid w:val="00F979C1"/>
    <w:rsid w:val="00F97FBB"/>
    <w:rsid w:val="00FA0AF1"/>
    <w:rsid w:val="00FA0BE2"/>
    <w:rsid w:val="00FA10C8"/>
    <w:rsid w:val="00FA18A0"/>
    <w:rsid w:val="00FA1AD8"/>
    <w:rsid w:val="00FA29B1"/>
    <w:rsid w:val="00FA2A58"/>
    <w:rsid w:val="00FA2C43"/>
    <w:rsid w:val="00FA3335"/>
    <w:rsid w:val="00FA373F"/>
    <w:rsid w:val="00FA3CB7"/>
    <w:rsid w:val="00FA3EB8"/>
    <w:rsid w:val="00FA3F60"/>
    <w:rsid w:val="00FA4029"/>
    <w:rsid w:val="00FA4605"/>
    <w:rsid w:val="00FA4E7E"/>
    <w:rsid w:val="00FA4F87"/>
    <w:rsid w:val="00FA52E1"/>
    <w:rsid w:val="00FA5ADB"/>
    <w:rsid w:val="00FA6246"/>
    <w:rsid w:val="00FA6C8A"/>
    <w:rsid w:val="00FA701F"/>
    <w:rsid w:val="00FA7886"/>
    <w:rsid w:val="00FB052F"/>
    <w:rsid w:val="00FB054C"/>
    <w:rsid w:val="00FB0D9F"/>
    <w:rsid w:val="00FB1C88"/>
    <w:rsid w:val="00FB2155"/>
    <w:rsid w:val="00FB37D8"/>
    <w:rsid w:val="00FB37FF"/>
    <w:rsid w:val="00FB3FD2"/>
    <w:rsid w:val="00FB41C7"/>
    <w:rsid w:val="00FB495D"/>
    <w:rsid w:val="00FB4B75"/>
    <w:rsid w:val="00FB5084"/>
    <w:rsid w:val="00FB52E5"/>
    <w:rsid w:val="00FB5502"/>
    <w:rsid w:val="00FB595F"/>
    <w:rsid w:val="00FB605B"/>
    <w:rsid w:val="00FB6326"/>
    <w:rsid w:val="00FB67E8"/>
    <w:rsid w:val="00FB6867"/>
    <w:rsid w:val="00FB6CC5"/>
    <w:rsid w:val="00FB6E96"/>
    <w:rsid w:val="00FB7028"/>
    <w:rsid w:val="00FB7131"/>
    <w:rsid w:val="00FB722F"/>
    <w:rsid w:val="00FB7293"/>
    <w:rsid w:val="00FB7307"/>
    <w:rsid w:val="00FB7315"/>
    <w:rsid w:val="00FB7FFD"/>
    <w:rsid w:val="00FC003B"/>
    <w:rsid w:val="00FC0130"/>
    <w:rsid w:val="00FC0BAA"/>
    <w:rsid w:val="00FC1115"/>
    <w:rsid w:val="00FC1EC1"/>
    <w:rsid w:val="00FC2050"/>
    <w:rsid w:val="00FC213C"/>
    <w:rsid w:val="00FC2813"/>
    <w:rsid w:val="00FC2D68"/>
    <w:rsid w:val="00FC3F31"/>
    <w:rsid w:val="00FC4224"/>
    <w:rsid w:val="00FC434E"/>
    <w:rsid w:val="00FC5E10"/>
    <w:rsid w:val="00FC5E33"/>
    <w:rsid w:val="00FC605B"/>
    <w:rsid w:val="00FC656A"/>
    <w:rsid w:val="00FC65E9"/>
    <w:rsid w:val="00FC66A8"/>
    <w:rsid w:val="00FC7E20"/>
    <w:rsid w:val="00FD0722"/>
    <w:rsid w:val="00FD0BCD"/>
    <w:rsid w:val="00FD1288"/>
    <w:rsid w:val="00FD1F76"/>
    <w:rsid w:val="00FD2666"/>
    <w:rsid w:val="00FD2C3F"/>
    <w:rsid w:val="00FD30A3"/>
    <w:rsid w:val="00FD30C6"/>
    <w:rsid w:val="00FD32C6"/>
    <w:rsid w:val="00FD3706"/>
    <w:rsid w:val="00FD38E2"/>
    <w:rsid w:val="00FD4385"/>
    <w:rsid w:val="00FD4CF8"/>
    <w:rsid w:val="00FD52A0"/>
    <w:rsid w:val="00FD583D"/>
    <w:rsid w:val="00FD5DF7"/>
    <w:rsid w:val="00FD6A00"/>
    <w:rsid w:val="00FD6AD9"/>
    <w:rsid w:val="00FD6F7E"/>
    <w:rsid w:val="00FD6FF2"/>
    <w:rsid w:val="00FD7017"/>
    <w:rsid w:val="00FD7088"/>
    <w:rsid w:val="00FD7C8D"/>
    <w:rsid w:val="00FE0304"/>
    <w:rsid w:val="00FE155C"/>
    <w:rsid w:val="00FE158A"/>
    <w:rsid w:val="00FE19EE"/>
    <w:rsid w:val="00FE19F9"/>
    <w:rsid w:val="00FE21C1"/>
    <w:rsid w:val="00FE28E4"/>
    <w:rsid w:val="00FE2D0D"/>
    <w:rsid w:val="00FE2F05"/>
    <w:rsid w:val="00FE3363"/>
    <w:rsid w:val="00FE34F4"/>
    <w:rsid w:val="00FE43D2"/>
    <w:rsid w:val="00FE4707"/>
    <w:rsid w:val="00FE4BA0"/>
    <w:rsid w:val="00FE5915"/>
    <w:rsid w:val="00FE67E3"/>
    <w:rsid w:val="00FE6A61"/>
    <w:rsid w:val="00FE7461"/>
    <w:rsid w:val="00FE7768"/>
    <w:rsid w:val="00FE7B05"/>
    <w:rsid w:val="00FF002A"/>
    <w:rsid w:val="00FF01B7"/>
    <w:rsid w:val="00FF0356"/>
    <w:rsid w:val="00FF09C3"/>
    <w:rsid w:val="00FF0B8C"/>
    <w:rsid w:val="00FF0BA9"/>
    <w:rsid w:val="00FF0CC1"/>
    <w:rsid w:val="00FF0E0E"/>
    <w:rsid w:val="00FF1407"/>
    <w:rsid w:val="00FF2B15"/>
    <w:rsid w:val="00FF2E49"/>
    <w:rsid w:val="00FF3963"/>
    <w:rsid w:val="00FF3AFF"/>
    <w:rsid w:val="00FF41F9"/>
    <w:rsid w:val="00FF4206"/>
    <w:rsid w:val="00FF42F2"/>
    <w:rsid w:val="00FF4667"/>
    <w:rsid w:val="00FF4C2D"/>
    <w:rsid w:val="00FF4D91"/>
    <w:rsid w:val="00FF50CF"/>
    <w:rsid w:val="00FF532B"/>
    <w:rsid w:val="00FF579E"/>
    <w:rsid w:val="00FF65D5"/>
    <w:rsid w:val="00FF69C9"/>
    <w:rsid w:val="00FF6A35"/>
    <w:rsid w:val="00FF6CAE"/>
    <w:rsid w:val="00FF6D35"/>
    <w:rsid w:val="00FF6D3E"/>
    <w:rsid w:val="00FF6E87"/>
    <w:rsid w:val="00FF6FE9"/>
    <w:rsid w:val="00FF702B"/>
    <w:rsid w:val="00FF737E"/>
    <w:rsid w:val="00FF7803"/>
    <w:rsid w:val="00FF7D9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8EA19D5"/>
  <w15:docId w15:val="{AFFE3B82-D016-4858-A696-79B91039EE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imes New Roman" w:hAnsiTheme="minorHAnsi" w:cs="Times New Roman"/>
        <w:lang w:val="en-AU" w:eastAsia="en-AU" w:bidi="ar-SA"/>
      </w:rPr>
    </w:rPrDefault>
    <w:pPrDefault>
      <w:pPr>
        <w:spacing w:before="120" w:after="120" w:line="240" w:lineRule="atLeast"/>
      </w:pPr>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iPriority="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Bullet"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qFormat="1"/>
    <w:lsdException w:name="List Continue 2" w:semiHidden="1" w:unhideWhenUsed="1" w:qFormat="1"/>
    <w:lsdException w:name="List Continue 3" w:qFormat="1"/>
    <w:lsdException w:name="List Continue 4" w:semiHidden="1"/>
    <w:lsdException w:name="List Continue 5" w:semiHidden="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qFormat="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99" w:unhideWhenUsed="1"/>
    <w:lsdException w:name="Hyperlink" w:semiHidden="1" w:uiPriority="99" w:unhideWhenUsed="1"/>
    <w:lsdException w:name="FollowedHyperlink" w:semiHidden="1" w:uiPriority="99" w:unhideWhenUsed="1"/>
    <w:lsdException w:name="Strong" w:uiPriority="22"/>
    <w:lsdException w:name="Emphasis" w:uiPriority="20" w:qFormat="1"/>
    <w:lsdException w:name="Document Map" w:semiHidden="1" w:uiPriority="39"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qFormat="1"/>
    <w:lsdException w:name="Subtle Reference" w:uiPriority="3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B29BE"/>
  </w:style>
  <w:style w:type="paragraph" w:styleId="Heading1">
    <w:name w:val="heading 1"/>
    <w:basedOn w:val="Normal"/>
    <w:next w:val="BodyText"/>
    <w:link w:val="Heading1Char"/>
    <w:uiPriority w:val="9"/>
    <w:qFormat/>
    <w:rsid w:val="0004232F"/>
    <w:pPr>
      <w:numPr>
        <w:numId w:val="39"/>
      </w:numPr>
      <w:spacing w:after="240"/>
      <w:ind w:left="0"/>
      <w:outlineLvl w:val="0"/>
    </w:pPr>
    <w:rPr>
      <w:sz w:val="40"/>
      <w:szCs w:val="32"/>
    </w:rPr>
  </w:style>
  <w:style w:type="paragraph" w:styleId="Heading2">
    <w:name w:val="heading 2"/>
    <w:basedOn w:val="Normal"/>
    <w:next w:val="BodyText"/>
    <w:link w:val="Heading2Char"/>
    <w:uiPriority w:val="9"/>
    <w:qFormat/>
    <w:rsid w:val="00B62C78"/>
    <w:pPr>
      <w:keepNext/>
      <w:keepLines/>
      <w:numPr>
        <w:ilvl w:val="1"/>
        <w:numId w:val="39"/>
      </w:numPr>
      <w:spacing w:before="240" w:line="230" w:lineRule="atLeast"/>
      <w:outlineLvl w:val="1"/>
    </w:pPr>
    <w:rPr>
      <w:rFonts w:asciiTheme="majorHAnsi" w:eastAsiaTheme="majorEastAsia" w:hAnsiTheme="majorHAnsi" w:cstheme="majorBidi"/>
      <w:b/>
      <w:bCs/>
      <w:color w:val="201547" w:themeColor="text2"/>
      <w:spacing w:val="-2"/>
      <w:sz w:val="32"/>
      <w:szCs w:val="26"/>
    </w:rPr>
  </w:style>
  <w:style w:type="paragraph" w:styleId="Heading3">
    <w:name w:val="heading 3"/>
    <w:basedOn w:val="Normal"/>
    <w:next w:val="BodyText"/>
    <w:link w:val="Heading3Char"/>
    <w:qFormat/>
    <w:rsid w:val="00B62C78"/>
    <w:pPr>
      <w:keepNext/>
      <w:keepLines/>
      <w:numPr>
        <w:ilvl w:val="2"/>
        <w:numId w:val="39"/>
      </w:numPr>
      <w:spacing w:before="200"/>
      <w:outlineLvl w:val="2"/>
    </w:pPr>
    <w:rPr>
      <w:rFonts w:asciiTheme="majorHAnsi" w:eastAsiaTheme="majorEastAsia" w:hAnsiTheme="majorHAnsi" w:cstheme="majorBidi"/>
      <w:bCs/>
      <w:color w:val="201547" w:themeColor="text2"/>
      <w:sz w:val="28"/>
      <w:szCs w:val="26"/>
    </w:rPr>
  </w:style>
  <w:style w:type="paragraph" w:styleId="Heading4">
    <w:name w:val="heading 4"/>
    <w:basedOn w:val="BodyText"/>
    <w:next w:val="BodyText"/>
    <w:link w:val="Heading4Char"/>
    <w:qFormat/>
    <w:rsid w:val="00B62C78"/>
    <w:pPr>
      <w:numPr>
        <w:ilvl w:val="3"/>
        <w:numId w:val="39"/>
      </w:numPr>
      <w:spacing w:before="200"/>
      <w:outlineLvl w:val="3"/>
    </w:pPr>
    <w:rPr>
      <w:b/>
      <w:bCs/>
      <w:color w:val="201547" w:themeColor="text2"/>
      <w:sz w:val="24"/>
      <w:szCs w:val="24"/>
    </w:rPr>
  </w:style>
  <w:style w:type="paragraph" w:styleId="Heading5">
    <w:name w:val="heading 5"/>
    <w:basedOn w:val="Normal"/>
    <w:next w:val="BodyText"/>
    <w:link w:val="Heading5Char"/>
    <w:qFormat/>
    <w:rsid w:val="00B62C78"/>
    <w:pPr>
      <w:keepNext/>
      <w:keepLines/>
      <w:spacing w:before="200"/>
      <w:outlineLvl w:val="4"/>
    </w:pPr>
    <w:rPr>
      <w:rFonts w:asciiTheme="majorHAnsi" w:eastAsiaTheme="majorEastAsia" w:hAnsiTheme="majorHAnsi" w:cstheme="majorBidi"/>
      <w:b/>
      <w:iCs/>
      <w:color w:val="201547" w:themeColor="text2"/>
      <w:sz w:val="22"/>
    </w:rPr>
  </w:style>
  <w:style w:type="paragraph" w:styleId="Heading6">
    <w:name w:val="heading 6"/>
    <w:basedOn w:val="Normal"/>
    <w:next w:val="Normal"/>
    <w:link w:val="Heading6Char"/>
    <w:qFormat/>
    <w:rsid w:val="00462258"/>
    <w:pPr>
      <w:keepNext/>
      <w:keepLines/>
      <w:spacing w:before="200"/>
      <w:outlineLvl w:val="5"/>
    </w:pPr>
    <w:rPr>
      <w:rFonts w:asciiTheme="majorHAnsi" w:eastAsiaTheme="majorEastAsia" w:hAnsiTheme="majorHAnsi" w:cstheme="majorBidi"/>
      <w:b/>
      <w:iCs/>
      <w:color w:val="232222" w:themeColor="text1"/>
      <w:lang w:eastAsia="en-US"/>
    </w:rPr>
  </w:style>
  <w:style w:type="paragraph" w:styleId="Heading7">
    <w:name w:val="heading 7"/>
    <w:basedOn w:val="Normal"/>
    <w:next w:val="BodyText"/>
    <w:link w:val="Heading7Char"/>
    <w:semiHidden/>
    <w:qFormat/>
    <w:rsid w:val="006926C9"/>
    <w:pPr>
      <w:keepNext/>
      <w:keepLines/>
      <w:pageBreakBefore/>
      <w:spacing w:before="0" w:after="0" w:line="230" w:lineRule="atLeast"/>
      <w:outlineLvl w:val="6"/>
    </w:pPr>
    <w:rPr>
      <w:rFonts w:eastAsiaTheme="majorEastAsia" w:cstheme="majorBidi"/>
      <w:iCs/>
      <w:color w:val="201547" w:themeColor="text2"/>
    </w:rPr>
  </w:style>
  <w:style w:type="paragraph" w:styleId="Heading8">
    <w:name w:val="heading 8"/>
    <w:aliases w:val="Appendix Title"/>
    <w:basedOn w:val="Normal"/>
    <w:next w:val="BodyText"/>
    <w:link w:val="Heading8Char"/>
    <w:uiPriority w:val="1"/>
    <w:semiHidden/>
    <w:qFormat/>
    <w:rsid w:val="0058629F"/>
    <w:pPr>
      <w:keepNext/>
      <w:keepLines/>
      <w:pageBreakBefore/>
      <w:numPr>
        <w:numId w:val="2"/>
      </w:numPr>
      <w:tabs>
        <w:tab w:val="right" w:pos="9639"/>
      </w:tabs>
      <w:spacing w:after="320"/>
      <w:ind w:left="284" w:hanging="284"/>
      <w:outlineLvl w:val="7"/>
    </w:pPr>
    <w:rPr>
      <w:rFonts w:asciiTheme="majorHAnsi" w:eastAsiaTheme="majorEastAsia" w:hAnsiTheme="majorHAnsi" w:cs="Arial"/>
      <w:caps/>
      <w:sz w:val="36"/>
      <w:lang w:eastAsia="en-US"/>
    </w:rPr>
  </w:style>
  <w:style w:type="paragraph" w:styleId="Heading9">
    <w:name w:val="heading 9"/>
    <w:aliases w:val="Appendix Heading 1"/>
    <w:basedOn w:val="Normal"/>
    <w:next w:val="BodyText"/>
    <w:link w:val="Heading9Char"/>
    <w:uiPriority w:val="1"/>
    <w:semiHidden/>
    <w:qFormat/>
    <w:rsid w:val="000809F5"/>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134222"/>
  </w:style>
  <w:style w:type="character" w:customStyle="1" w:styleId="BodyTextChar">
    <w:name w:val="Body Text Char"/>
    <w:basedOn w:val="DefaultParagraphFont"/>
    <w:link w:val="BodyText"/>
    <w:rsid w:val="00134222"/>
  </w:style>
  <w:style w:type="paragraph" w:styleId="BlockText">
    <w:name w:val="Block Text"/>
    <w:basedOn w:val="BodyText"/>
    <w:uiPriority w:val="99"/>
    <w:semiHidden/>
    <w:unhideWhenUsed/>
    <w:rsid w:val="0058629F"/>
    <w:rPr>
      <w:rFonts w:eastAsiaTheme="minorEastAsia" w:cstheme="minorBidi"/>
      <w:iCs/>
    </w:rPr>
  </w:style>
  <w:style w:type="paragraph" w:styleId="BalloonText">
    <w:name w:val="Balloon Text"/>
    <w:basedOn w:val="Normal"/>
    <w:link w:val="BalloonTextChar"/>
    <w:uiPriority w:val="99"/>
    <w:semiHidden/>
    <w:unhideWhenUsed/>
    <w:rsid w:val="0058629F"/>
    <w:rPr>
      <w:rFonts w:ascii="Tahoma" w:hAnsi="Tahoma" w:cs="Tahoma"/>
      <w:sz w:val="16"/>
      <w:szCs w:val="16"/>
    </w:rPr>
  </w:style>
  <w:style w:type="character" w:customStyle="1" w:styleId="BalloonTextChar">
    <w:name w:val="Balloon Text Char"/>
    <w:basedOn w:val="DefaultParagraphFont"/>
    <w:link w:val="BalloonText"/>
    <w:uiPriority w:val="99"/>
    <w:semiHidden/>
    <w:rsid w:val="0058629F"/>
    <w:rPr>
      <w:rFonts w:ascii="Tahoma" w:hAnsi="Tahoma" w:cs="Tahoma"/>
      <w:sz w:val="16"/>
      <w:szCs w:val="16"/>
    </w:rPr>
  </w:style>
  <w:style w:type="paragraph" w:styleId="Footer">
    <w:name w:val="footer"/>
    <w:basedOn w:val="Normal"/>
    <w:link w:val="FooterChar"/>
    <w:uiPriority w:val="99"/>
    <w:rsid w:val="00077BDB"/>
    <w:pPr>
      <w:spacing w:before="0" w:after="0" w:line="200" w:lineRule="atLeast"/>
    </w:pPr>
    <w:rPr>
      <w:bCs/>
      <w:sz w:val="16"/>
    </w:rPr>
  </w:style>
  <w:style w:type="character" w:customStyle="1" w:styleId="FooterChar">
    <w:name w:val="Footer Char"/>
    <w:basedOn w:val="DefaultParagraphFont"/>
    <w:link w:val="Footer"/>
    <w:uiPriority w:val="99"/>
    <w:rsid w:val="00EF7CFD"/>
    <w:rPr>
      <w:bCs/>
      <w:sz w:val="16"/>
    </w:rPr>
  </w:style>
  <w:style w:type="numbering" w:customStyle="1" w:styleId="HangingList">
    <w:name w:val="HangingList"/>
    <w:uiPriority w:val="99"/>
    <w:rsid w:val="0058629F"/>
    <w:pPr>
      <w:numPr>
        <w:numId w:val="1"/>
      </w:numPr>
    </w:pPr>
  </w:style>
  <w:style w:type="paragraph" w:styleId="Header">
    <w:name w:val="header"/>
    <w:basedOn w:val="Normal"/>
    <w:link w:val="HeaderChar"/>
    <w:uiPriority w:val="99"/>
    <w:unhideWhenUsed/>
    <w:rsid w:val="00CD51BB"/>
    <w:pPr>
      <w:tabs>
        <w:tab w:val="center" w:pos="4513"/>
        <w:tab w:val="right" w:pos="9026"/>
      </w:tabs>
      <w:spacing w:before="0" w:after="260"/>
      <w:contextualSpacing/>
    </w:pPr>
  </w:style>
  <w:style w:type="character" w:customStyle="1" w:styleId="HeaderChar">
    <w:name w:val="Header Char"/>
    <w:basedOn w:val="DefaultParagraphFont"/>
    <w:link w:val="Header"/>
    <w:uiPriority w:val="99"/>
    <w:rsid w:val="00CD51BB"/>
  </w:style>
  <w:style w:type="character" w:customStyle="1" w:styleId="Heading1Char">
    <w:name w:val="Heading 1 Char"/>
    <w:basedOn w:val="DefaultParagraphFont"/>
    <w:link w:val="Heading1"/>
    <w:uiPriority w:val="9"/>
    <w:rsid w:val="0004232F"/>
    <w:rPr>
      <w:sz w:val="40"/>
      <w:szCs w:val="32"/>
    </w:rPr>
  </w:style>
  <w:style w:type="character" w:customStyle="1" w:styleId="Heading2Char">
    <w:name w:val="Heading 2 Char"/>
    <w:basedOn w:val="DefaultParagraphFont"/>
    <w:link w:val="Heading2"/>
    <w:uiPriority w:val="9"/>
    <w:rsid w:val="00B62C78"/>
    <w:rPr>
      <w:rFonts w:asciiTheme="majorHAnsi" w:eastAsiaTheme="majorEastAsia" w:hAnsiTheme="majorHAnsi" w:cstheme="majorBidi"/>
      <w:b/>
      <w:bCs/>
      <w:color w:val="201547" w:themeColor="text2"/>
      <w:spacing w:val="-2"/>
      <w:sz w:val="32"/>
      <w:szCs w:val="26"/>
    </w:rPr>
  </w:style>
  <w:style w:type="character" w:customStyle="1" w:styleId="Heading3Char">
    <w:name w:val="Heading 3 Char"/>
    <w:basedOn w:val="DefaultParagraphFont"/>
    <w:link w:val="Heading3"/>
    <w:rsid w:val="00B62C78"/>
    <w:rPr>
      <w:rFonts w:asciiTheme="majorHAnsi" w:eastAsiaTheme="majorEastAsia" w:hAnsiTheme="majorHAnsi" w:cstheme="majorBidi"/>
      <w:bCs/>
      <w:color w:val="201547" w:themeColor="text2"/>
      <w:sz w:val="28"/>
      <w:szCs w:val="26"/>
    </w:rPr>
  </w:style>
  <w:style w:type="character" w:customStyle="1" w:styleId="Heading4Char">
    <w:name w:val="Heading 4 Char"/>
    <w:basedOn w:val="DefaultParagraphFont"/>
    <w:link w:val="Heading4"/>
    <w:rsid w:val="00B62C78"/>
    <w:rPr>
      <w:b/>
      <w:bCs/>
      <w:color w:val="201547" w:themeColor="text2"/>
      <w:sz w:val="24"/>
      <w:szCs w:val="24"/>
    </w:rPr>
  </w:style>
  <w:style w:type="character" w:customStyle="1" w:styleId="Heading7Char">
    <w:name w:val="Heading 7 Char"/>
    <w:basedOn w:val="DefaultParagraphFont"/>
    <w:link w:val="Heading7"/>
    <w:semiHidden/>
    <w:rsid w:val="006926C9"/>
    <w:rPr>
      <w:rFonts w:eastAsiaTheme="majorEastAsia" w:cstheme="majorBidi"/>
      <w:iCs/>
      <w:color w:val="201547" w:themeColor="text2"/>
    </w:rPr>
  </w:style>
  <w:style w:type="character" w:customStyle="1" w:styleId="Heading8Char">
    <w:name w:val="Heading 8 Char"/>
    <w:aliases w:val="Appendix Title Char"/>
    <w:basedOn w:val="DefaultParagraphFont"/>
    <w:link w:val="Heading8"/>
    <w:uiPriority w:val="1"/>
    <w:semiHidden/>
    <w:rsid w:val="000809F5"/>
    <w:rPr>
      <w:rFonts w:asciiTheme="majorHAnsi" w:eastAsiaTheme="majorEastAsia" w:hAnsiTheme="majorHAnsi" w:cs="Arial"/>
      <w:caps/>
      <w:sz w:val="36"/>
      <w:lang w:eastAsia="en-US"/>
    </w:rPr>
  </w:style>
  <w:style w:type="character" w:customStyle="1" w:styleId="Heading9Char">
    <w:name w:val="Heading 9 Char"/>
    <w:aliases w:val="Appendix Heading 1 Char"/>
    <w:basedOn w:val="DefaultParagraphFont"/>
    <w:link w:val="Heading9"/>
    <w:uiPriority w:val="1"/>
    <w:semiHidden/>
    <w:rsid w:val="000809F5"/>
  </w:style>
  <w:style w:type="numbering" w:customStyle="1" w:styleId="Headings">
    <w:name w:val="Headings"/>
    <w:uiPriority w:val="99"/>
    <w:rsid w:val="0058629F"/>
    <w:pPr>
      <w:numPr>
        <w:numId w:val="3"/>
      </w:numPr>
    </w:pPr>
  </w:style>
  <w:style w:type="character" w:styleId="Hyperlink">
    <w:name w:val="Hyperlink"/>
    <w:basedOn w:val="DefaultParagraphFont"/>
    <w:uiPriority w:val="99"/>
    <w:unhideWhenUsed/>
    <w:rsid w:val="0058629F"/>
    <w:rPr>
      <w:color w:val="232222" w:themeColor="hyperlink"/>
      <w:u w:val="single"/>
    </w:rPr>
  </w:style>
  <w:style w:type="character" w:styleId="FollowedHyperlink">
    <w:name w:val="FollowedHyperlink"/>
    <w:basedOn w:val="DefaultParagraphFont"/>
    <w:uiPriority w:val="99"/>
    <w:rsid w:val="0058629F"/>
    <w:rPr>
      <w:color w:val="7030A0"/>
      <w:u w:val="single"/>
    </w:rPr>
  </w:style>
  <w:style w:type="paragraph" w:styleId="ListBullet">
    <w:name w:val="List Bullet"/>
    <w:basedOn w:val="BodyText"/>
    <w:qFormat/>
    <w:rsid w:val="00231B63"/>
    <w:pPr>
      <w:numPr>
        <w:numId w:val="7"/>
      </w:numPr>
    </w:pPr>
  </w:style>
  <w:style w:type="paragraph" w:styleId="ListBullet2">
    <w:name w:val="List Bullet 2"/>
    <w:basedOn w:val="ListBullet"/>
    <w:qFormat/>
    <w:rsid w:val="00DE33D8"/>
    <w:pPr>
      <w:numPr>
        <w:ilvl w:val="1"/>
      </w:numPr>
    </w:pPr>
  </w:style>
  <w:style w:type="paragraph" w:styleId="ListBullet3">
    <w:name w:val="List Bullet 3"/>
    <w:basedOn w:val="ListBullet2"/>
    <w:qFormat/>
    <w:rsid w:val="0058629F"/>
    <w:pPr>
      <w:numPr>
        <w:ilvl w:val="2"/>
      </w:numPr>
    </w:pPr>
  </w:style>
  <w:style w:type="paragraph" w:styleId="ListContinue">
    <w:name w:val="List Continue"/>
    <w:basedOn w:val="BodyText"/>
    <w:qFormat/>
    <w:rsid w:val="0056073C"/>
    <w:pPr>
      <w:ind w:left="340"/>
    </w:pPr>
  </w:style>
  <w:style w:type="paragraph" w:styleId="ListNumber">
    <w:name w:val="List Number"/>
    <w:basedOn w:val="BodyText"/>
    <w:qFormat/>
    <w:rsid w:val="00231B63"/>
    <w:pPr>
      <w:numPr>
        <w:numId w:val="8"/>
      </w:numPr>
    </w:pPr>
  </w:style>
  <w:style w:type="paragraph" w:styleId="ListNumber2">
    <w:name w:val="List Number 2"/>
    <w:basedOn w:val="ListNumber"/>
    <w:qFormat/>
    <w:rsid w:val="001369F7"/>
    <w:pPr>
      <w:numPr>
        <w:ilvl w:val="1"/>
      </w:numPr>
    </w:pPr>
  </w:style>
  <w:style w:type="paragraph" w:styleId="ListNumber3">
    <w:name w:val="List Number 3"/>
    <w:basedOn w:val="ListNumber2"/>
    <w:qFormat/>
    <w:rsid w:val="001369F7"/>
    <w:pPr>
      <w:numPr>
        <w:ilvl w:val="2"/>
      </w:numPr>
    </w:pPr>
  </w:style>
  <w:style w:type="numbering" w:customStyle="1" w:styleId="MyListNumbering">
    <w:name w:val="MyListNumbering"/>
    <w:uiPriority w:val="99"/>
    <w:rsid w:val="0058629F"/>
    <w:pPr>
      <w:numPr>
        <w:numId w:val="6"/>
      </w:numPr>
    </w:pPr>
  </w:style>
  <w:style w:type="paragraph" w:styleId="Title">
    <w:name w:val="Title"/>
    <w:basedOn w:val="Normal"/>
    <w:next w:val="Normal"/>
    <w:link w:val="TitleChar"/>
    <w:uiPriority w:val="10"/>
    <w:qFormat/>
    <w:rsid w:val="00576577"/>
    <w:pPr>
      <w:spacing w:before="0" w:after="0" w:line="240" w:lineRule="auto"/>
    </w:pPr>
    <w:rPr>
      <w:rFonts w:asciiTheme="majorHAnsi" w:hAnsiTheme="majorHAnsi"/>
      <w:b/>
      <w:color w:val="201547" w:themeColor="text2"/>
      <w:sz w:val="41"/>
    </w:rPr>
  </w:style>
  <w:style w:type="character" w:customStyle="1" w:styleId="TitleChar">
    <w:name w:val="Title Char"/>
    <w:basedOn w:val="DefaultParagraphFont"/>
    <w:link w:val="Title"/>
    <w:uiPriority w:val="10"/>
    <w:rsid w:val="00576577"/>
    <w:rPr>
      <w:rFonts w:asciiTheme="majorHAnsi" w:hAnsiTheme="majorHAnsi"/>
      <w:b/>
      <w:color w:val="201547" w:themeColor="text2"/>
      <w:sz w:val="41"/>
    </w:rPr>
  </w:style>
  <w:style w:type="paragraph" w:styleId="TOC5">
    <w:name w:val="toc 5"/>
    <w:basedOn w:val="Normal"/>
    <w:next w:val="Normal"/>
    <w:autoRedefine/>
    <w:uiPriority w:val="39"/>
    <w:rsid w:val="00F7242A"/>
    <w:pPr>
      <w:tabs>
        <w:tab w:val="right" w:pos="9582"/>
      </w:tabs>
      <w:spacing w:before="240" w:after="60"/>
      <w:ind w:right="851"/>
    </w:pPr>
    <w:rPr>
      <w:rFonts w:cs="Arial"/>
      <w:b/>
      <w:color w:val="201547" w:themeColor="text2"/>
      <w:sz w:val="24"/>
    </w:rPr>
  </w:style>
  <w:style w:type="paragraph" w:styleId="TOC6">
    <w:name w:val="toc 6"/>
    <w:basedOn w:val="Normal"/>
    <w:next w:val="Normal"/>
    <w:autoRedefine/>
    <w:uiPriority w:val="39"/>
    <w:rsid w:val="00F7242A"/>
    <w:pPr>
      <w:spacing w:before="0" w:after="100"/>
      <w:ind w:left="1000"/>
    </w:pPr>
    <w:rPr>
      <w:rFonts w:cs="Arial"/>
      <w:color w:val="232222" w:themeColor="text1"/>
    </w:rPr>
  </w:style>
  <w:style w:type="paragraph" w:styleId="TOC7">
    <w:name w:val="toc 7"/>
    <w:basedOn w:val="Normal"/>
    <w:next w:val="Normal"/>
    <w:autoRedefine/>
    <w:uiPriority w:val="39"/>
    <w:rsid w:val="00F7242A"/>
    <w:pPr>
      <w:spacing w:before="0" w:after="100"/>
      <w:ind w:left="1200"/>
    </w:pPr>
    <w:rPr>
      <w:rFonts w:cs="Arial"/>
      <w:color w:val="232222" w:themeColor="text1"/>
    </w:rPr>
  </w:style>
  <w:style w:type="paragraph" w:styleId="TOC8">
    <w:name w:val="toc 8"/>
    <w:basedOn w:val="Normal"/>
    <w:next w:val="Normal"/>
    <w:autoRedefine/>
    <w:uiPriority w:val="39"/>
    <w:rsid w:val="00F7242A"/>
    <w:pPr>
      <w:tabs>
        <w:tab w:val="right" w:leader="dot" w:pos="9582"/>
      </w:tabs>
      <w:spacing w:before="240" w:after="60"/>
      <w:ind w:right="851"/>
      <w:contextualSpacing/>
    </w:pPr>
    <w:rPr>
      <w:rFonts w:cs="Arial"/>
      <w:b/>
      <w:color w:val="201547" w:themeColor="text2"/>
      <w:sz w:val="24"/>
    </w:rPr>
  </w:style>
  <w:style w:type="paragraph" w:styleId="ListContinue2">
    <w:name w:val="List Continue 2"/>
    <w:basedOn w:val="ListContinue"/>
    <w:qFormat/>
    <w:rsid w:val="0056073C"/>
    <w:pPr>
      <w:ind w:left="680"/>
    </w:pPr>
  </w:style>
  <w:style w:type="paragraph" w:styleId="ListContinue3">
    <w:name w:val="List Continue 3"/>
    <w:basedOn w:val="ListContinue2"/>
    <w:qFormat/>
    <w:rsid w:val="0056073C"/>
    <w:pPr>
      <w:ind w:left="1021"/>
    </w:pPr>
  </w:style>
  <w:style w:type="paragraph" w:styleId="NoSpacing">
    <w:name w:val="No Spacing"/>
    <w:basedOn w:val="Normal"/>
    <w:next w:val="BodyText"/>
    <w:link w:val="NoSpacingChar"/>
    <w:qFormat/>
    <w:rsid w:val="00E670F9"/>
    <w:pPr>
      <w:spacing w:before="0" w:after="0"/>
    </w:pPr>
  </w:style>
  <w:style w:type="paragraph" w:styleId="Date">
    <w:name w:val="Date"/>
    <w:basedOn w:val="Normal"/>
    <w:link w:val="DateChar"/>
    <w:rsid w:val="00C503CB"/>
    <w:pPr>
      <w:spacing w:before="0" w:after="0"/>
      <w:jc w:val="right"/>
    </w:pPr>
    <w:rPr>
      <w:sz w:val="24"/>
    </w:rPr>
  </w:style>
  <w:style w:type="character" w:customStyle="1" w:styleId="DateChar">
    <w:name w:val="Date Char"/>
    <w:basedOn w:val="DefaultParagraphFont"/>
    <w:link w:val="Date"/>
    <w:rsid w:val="00C503CB"/>
    <w:rPr>
      <w:sz w:val="24"/>
    </w:rPr>
  </w:style>
  <w:style w:type="paragraph" w:customStyle="1" w:styleId="TableofFiguresHeading">
    <w:name w:val="Table of Figures Heading"/>
    <w:basedOn w:val="Normal"/>
    <w:uiPriority w:val="99"/>
    <w:rsid w:val="00095E93"/>
    <w:pPr>
      <w:keepNext/>
      <w:spacing w:before="0" w:after="60"/>
      <w:outlineLvl w:val="4"/>
    </w:pPr>
    <w:rPr>
      <w:b/>
      <w:bCs/>
      <w:noProof/>
      <w:color w:val="201547" w:themeColor="text2"/>
      <w:sz w:val="24"/>
    </w:rPr>
  </w:style>
  <w:style w:type="character" w:customStyle="1" w:styleId="Heading5Char">
    <w:name w:val="Heading 5 Char"/>
    <w:basedOn w:val="DefaultParagraphFont"/>
    <w:link w:val="Heading5"/>
    <w:rsid w:val="00B62C78"/>
    <w:rPr>
      <w:rFonts w:asciiTheme="majorHAnsi" w:eastAsiaTheme="majorEastAsia" w:hAnsiTheme="majorHAnsi" w:cstheme="majorBidi"/>
      <w:b/>
      <w:iCs/>
      <w:color w:val="201547" w:themeColor="text2"/>
      <w:sz w:val="22"/>
    </w:rPr>
  </w:style>
  <w:style w:type="character" w:customStyle="1" w:styleId="Heading6Char">
    <w:name w:val="Heading 6 Char"/>
    <w:basedOn w:val="DefaultParagraphFont"/>
    <w:link w:val="Heading6"/>
    <w:rsid w:val="00462258"/>
    <w:rPr>
      <w:rFonts w:asciiTheme="majorHAnsi" w:eastAsiaTheme="majorEastAsia" w:hAnsiTheme="majorHAnsi" w:cstheme="majorBidi"/>
      <w:b/>
      <w:iCs/>
      <w:color w:val="232222" w:themeColor="text1"/>
      <w:lang w:eastAsia="en-US"/>
    </w:rPr>
  </w:style>
  <w:style w:type="paragraph" w:styleId="Revision">
    <w:name w:val="Revision"/>
    <w:hidden/>
    <w:uiPriority w:val="99"/>
    <w:semiHidden/>
    <w:rsid w:val="009E7348"/>
    <w:rPr>
      <w:rFonts w:ascii="Calibri" w:eastAsia="Calibri" w:hAnsi="Calibri"/>
      <w:lang w:eastAsia="en-US"/>
    </w:rPr>
  </w:style>
  <w:style w:type="paragraph" w:customStyle="1" w:styleId="ListAlpha">
    <w:name w:val="List Alpha"/>
    <w:basedOn w:val="Normal"/>
    <w:qFormat/>
    <w:rsid w:val="00A459D5"/>
    <w:pPr>
      <w:numPr>
        <w:numId w:val="4"/>
      </w:numPr>
      <w:ind w:left="567" w:hanging="283"/>
    </w:pPr>
  </w:style>
  <w:style w:type="table" w:styleId="PlainTable2">
    <w:name w:val="Plain Table 2"/>
    <w:basedOn w:val="TableNormal"/>
    <w:uiPriority w:val="42"/>
    <w:rsid w:val="0058629F"/>
    <w:pPr>
      <w:spacing w:line="240" w:lineRule="exact"/>
    </w:pPr>
    <w:tblPr>
      <w:tblStyleRowBandSize w:val="1"/>
      <w:tblStyleColBandSize w:val="1"/>
      <w:tblBorders>
        <w:top w:val="single" w:sz="4" w:space="0" w:color="918E8E" w:themeColor="text1" w:themeTint="80"/>
        <w:bottom w:val="single" w:sz="4" w:space="0" w:color="918E8E" w:themeColor="text1" w:themeTint="80"/>
      </w:tblBorders>
      <w:tblCellMar>
        <w:top w:w="227" w:type="dxa"/>
        <w:bottom w:w="227" w:type="dxa"/>
      </w:tblCellMar>
    </w:tblPr>
    <w:tblStylePr w:type="firstRow">
      <w:rPr>
        <w:b/>
        <w:bCs/>
      </w:rPr>
      <w:tblPr/>
      <w:tcPr>
        <w:tcBorders>
          <w:bottom w:val="single" w:sz="4" w:space="0" w:color="918E8E" w:themeColor="text1" w:themeTint="80"/>
        </w:tcBorders>
      </w:tcPr>
    </w:tblStylePr>
    <w:tblStylePr w:type="lastRow">
      <w:rPr>
        <w:b/>
        <w:bCs/>
      </w:rPr>
      <w:tblPr/>
      <w:tcPr>
        <w:tcBorders>
          <w:top w:val="single" w:sz="4" w:space="0" w:color="918E8E" w:themeColor="text1" w:themeTint="80"/>
        </w:tcBorders>
      </w:tcPr>
    </w:tblStylePr>
    <w:tblStylePr w:type="firstCol">
      <w:rPr>
        <w:b/>
        <w:bCs/>
      </w:rPr>
    </w:tblStylePr>
    <w:tblStylePr w:type="lastCol">
      <w:rPr>
        <w:b/>
        <w:bCs/>
      </w:rPr>
    </w:tblStylePr>
    <w:tblStylePr w:type="band1Vert">
      <w:tblPr/>
      <w:tcPr>
        <w:tcBorders>
          <w:left w:val="single" w:sz="4" w:space="0" w:color="918E8E" w:themeColor="text1" w:themeTint="80"/>
          <w:right w:val="single" w:sz="4" w:space="0" w:color="918E8E" w:themeColor="text1" w:themeTint="80"/>
        </w:tcBorders>
      </w:tcPr>
    </w:tblStylePr>
    <w:tblStylePr w:type="band2Vert">
      <w:tblPr/>
      <w:tcPr>
        <w:tcBorders>
          <w:left w:val="single" w:sz="4" w:space="0" w:color="918E8E" w:themeColor="text1" w:themeTint="80"/>
          <w:right w:val="single" w:sz="4" w:space="0" w:color="918E8E" w:themeColor="text1" w:themeTint="80"/>
        </w:tcBorders>
      </w:tcPr>
    </w:tblStylePr>
    <w:tblStylePr w:type="band1Horz">
      <w:tblPr/>
      <w:tcPr>
        <w:tcBorders>
          <w:top w:val="single" w:sz="4" w:space="0" w:color="918E8E" w:themeColor="text1" w:themeTint="80"/>
          <w:bottom w:val="single" w:sz="4" w:space="0" w:color="918E8E" w:themeColor="text1" w:themeTint="80"/>
        </w:tcBorders>
      </w:tcPr>
    </w:tblStylePr>
  </w:style>
  <w:style w:type="character" w:styleId="CommentReference">
    <w:name w:val="annotation reference"/>
    <w:basedOn w:val="DefaultParagraphFont"/>
    <w:uiPriority w:val="99"/>
    <w:semiHidden/>
    <w:unhideWhenUsed/>
    <w:rsid w:val="0058629F"/>
    <w:rPr>
      <w:sz w:val="16"/>
      <w:szCs w:val="16"/>
    </w:rPr>
  </w:style>
  <w:style w:type="paragraph" w:styleId="CommentText">
    <w:name w:val="annotation text"/>
    <w:basedOn w:val="Normal"/>
    <w:link w:val="CommentTextChar"/>
    <w:uiPriority w:val="99"/>
    <w:unhideWhenUsed/>
    <w:rsid w:val="0058629F"/>
  </w:style>
  <w:style w:type="character" w:customStyle="1" w:styleId="CommentTextChar">
    <w:name w:val="Comment Text Char"/>
    <w:basedOn w:val="DefaultParagraphFont"/>
    <w:link w:val="CommentText"/>
    <w:uiPriority w:val="99"/>
    <w:rsid w:val="0058629F"/>
  </w:style>
  <w:style w:type="paragraph" w:styleId="CommentSubject">
    <w:name w:val="annotation subject"/>
    <w:basedOn w:val="CommentText"/>
    <w:next w:val="CommentText"/>
    <w:link w:val="CommentSubjectChar"/>
    <w:uiPriority w:val="99"/>
    <w:semiHidden/>
    <w:unhideWhenUsed/>
    <w:rsid w:val="0058629F"/>
    <w:rPr>
      <w:b/>
      <w:bCs/>
    </w:rPr>
  </w:style>
  <w:style w:type="character" w:customStyle="1" w:styleId="CommentSubjectChar">
    <w:name w:val="Comment Subject Char"/>
    <w:basedOn w:val="CommentTextChar"/>
    <w:link w:val="CommentSubject"/>
    <w:uiPriority w:val="99"/>
    <w:semiHidden/>
    <w:rsid w:val="0058629F"/>
    <w:rPr>
      <w:b/>
      <w:bCs/>
    </w:rPr>
  </w:style>
  <w:style w:type="paragraph" w:styleId="TOCHeading">
    <w:name w:val="TOC Heading"/>
    <w:basedOn w:val="Normal"/>
    <w:uiPriority w:val="39"/>
    <w:qFormat/>
    <w:rsid w:val="00166FB5"/>
    <w:pPr>
      <w:tabs>
        <w:tab w:val="left" w:pos="1134"/>
        <w:tab w:val="left" w:pos="2268"/>
        <w:tab w:val="left" w:pos="3402"/>
        <w:tab w:val="left" w:pos="4536"/>
        <w:tab w:val="left" w:pos="5103"/>
      </w:tabs>
      <w:spacing w:before="0" w:after="440" w:line="240" w:lineRule="auto"/>
      <w:outlineLvl w:val="4"/>
    </w:pPr>
    <w:rPr>
      <w:rFonts w:cs="Arial"/>
      <w:b/>
      <w:color w:val="201547" w:themeColor="text2"/>
      <w:sz w:val="40"/>
      <w:szCs w:val="40"/>
    </w:rPr>
  </w:style>
  <w:style w:type="paragraph" w:styleId="TOC1">
    <w:name w:val="toc 1"/>
    <w:basedOn w:val="Normal"/>
    <w:next w:val="Normal"/>
    <w:link w:val="TOC1Char"/>
    <w:uiPriority w:val="39"/>
    <w:rsid w:val="00F7242A"/>
    <w:pPr>
      <w:tabs>
        <w:tab w:val="right" w:leader="dot" w:pos="9582"/>
      </w:tabs>
      <w:spacing w:before="240" w:after="60"/>
      <w:ind w:right="851"/>
    </w:pPr>
    <w:rPr>
      <w:rFonts w:cs="Arial"/>
      <w:b/>
      <w:noProof/>
      <w:color w:val="201547" w:themeColor="text2"/>
      <w:sz w:val="24"/>
      <w:szCs w:val="24"/>
    </w:rPr>
  </w:style>
  <w:style w:type="paragraph" w:styleId="TOC2">
    <w:name w:val="toc 2"/>
    <w:basedOn w:val="Normal"/>
    <w:next w:val="Normal"/>
    <w:uiPriority w:val="39"/>
    <w:rsid w:val="000D7227"/>
    <w:pPr>
      <w:tabs>
        <w:tab w:val="right" w:leader="dot" w:pos="9582"/>
      </w:tabs>
      <w:spacing w:after="60"/>
      <w:ind w:right="851"/>
    </w:pPr>
    <w:rPr>
      <w:rFonts w:cs="Arial"/>
      <w:noProof/>
      <w:color w:val="232222"/>
      <w:sz w:val="22"/>
      <w:szCs w:val="28"/>
    </w:rPr>
  </w:style>
  <w:style w:type="table" w:customStyle="1" w:styleId="PullOutBoxTable">
    <w:name w:val="Pull Out Box Table"/>
    <w:basedOn w:val="TableNormal"/>
    <w:uiPriority w:val="99"/>
    <w:rsid w:val="001D46AE"/>
    <w:pPr>
      <w:spacing w:before="70" w:after="70"/>
    </w:pPr>
    <w:tblPr>
      <w:tblBorders>
        <w:top w:val="single" w:sz="4" w:space="0" w:color="232222" w:themeColor="text1"/>
        <w:left w:val="single" w:sz="4" w:space="0" w:color="232222" w:themeColor="text1"/>
        <w:bottom w:val="single" w:sz="4" w:space="0" w:color="232222" w:themeColor="text1"/>
        <w:right w:val="single" w:sz="4" w:space="0" w:color="232222" w:themeColor="text1"/>
      </w:tblBorders>
      <w:tblCellMar>
        <w:top w:w="28" w:type="dxa"/>
        <w:left w:w="142" w:type="dxa"/>
        <w:bottom w:w="28" w:type="dxa"/>
        <w:right w:w="142" w:type="dxa"/>
      </w:tblCellMar>
    </w:tblPr>
  </w:style>
  <w:style w:type="paragraph" w:styleId="FootnoteText">
    <w:name w:val="footnote text"/>
    <w:aliases w:val="Char5,Char, Char5,Footnote Text Char1,Footnote Text Char Char, Char10 Char Char, Char10 Char Char1 Char1,Footnote Text Char Char1,Char10 Char,Char Char Char Char,Char3,Char10 Char Char1 Char1,RSK-FT,RSK-FT1,RSK-FT2,Harestanes Ref"/>
    <w:basedOn w:val="Normal"/>
    <w:link w:val="FootnoteTextChar"/>
    <w:uiPriority w:val="99"/>
    <w:rsid w:val="005D764F"/>
    <w:pPr>
      <w:keepLines/>
      <w:tabs>
        <w:tab w:val="left" w:pos="340"/>
      </w:tabs>
      <w:spacing w:before="0" w:after="60" w:line="180" w:lineRule="atLeast"/>
      <w:ind w:left="340" w:hanging="340"/>
    </w:pPr>
    <w:rPr>
      <w:sz w:val="18"/>
    </w:rPr>
  </w:style>
  <w:style w:type="character" w:styleId="FootnoteReference">
    <w:name w:val="footnote reference"/>
    <w:aliases w:val="number,SUPERS,Footnote Reference Superscript,stylish,(Footnote Reference)"/>
    <w:basedOn w:val="DefaultParagraphFont"/>
    <w:uiPriority w:val="99"/>
    <w:unhideWhenUsed/>
    <w:rsid w:val="0058629F"/>
    <w:rPr>
      <w:vertAlign w:val="superscript"/>
    </w:rPr>
  </w:style>
  <w:style w:type="table" w:styleId="ColorfulGrid">
    <w:name w:val="Colorful Grid"/>
    <w:basedOn w:val="TableNormal"/>
    <w:uiPriority w:val="73"/>
    <w:semiHidden/>
    <w:rsid w:val="0058629F"/>
    <w:tblPr>
      <w:tblStyleRowBandSize w:val="1"/>
      <w:tblStyleColBandSize w:val="1"/>
      <w:tblBorders>
        <w:insideH w:val="single" w:sz="4" w:space="0" w:color="FFFFFF" w:themeColor="background1"/>
      </w:tblBorders>
    </w:tblPr>
    <w:tcPr>
      <w:shd w:val="clear" w:color="auto" w:fill="D3D2D2" w:themeFill="text1" w:themeFillTint="33"/>
    </w:tcPr>
    <w:tblStylePr w:type="firstRow">
      <w:rPr>
        <w:b/>
        <w:bCs/>
      </w:rPr>
      <w:tblPr/>
      <w:tcPr>
        <w:shd w:val="clear" w:color="auto" w:fill="A8A5A5" w:themeFill="text1" w:themeFillTint="66"/>
      </w:tcPr>
    </w:tblStylePr>
    <w:tblStylePr w:type="lastRow">
      <w:rPr>
        <w:b/>
        <w:bCs/>
        <w:color w:val="232222" w:themeColor="text1"/>
      </w:rPr>
      <w:tblPr/>
      <w:tcPr>
        <w:shd w:val="clear" w:color="auto" w:fill="A8A5A5" w:themeFill="text1" w:themeFillTint="66"/>
      </w:tcPr>
    </w:tblStylePr>
    <w:tblStylePr w:type="firstCol">
      <w:rPr>
        <w:color w:val="FFFFFF" w:themeColor="background1"/>
      </w:rPr>
      <w:tblPr/>
      <w:tcPr>
        <w:shd w:val="clear" w:color="auto" w:fill="1A1919" w:themeFill="text1" w:themeFillShade="BF"/>
      </w:tcPr>
    </w:tblStylePr>
    <w:tblStylePr w:type="lastCol">
      <w:rPr>
        <w:color w:val="FFFFFF" w:themeColor="background1"/>
      </w:rPr>
      <w:tblPr/>
      <w:tcPr>
        <w:shd w:val="clear" w:color="auto" w:fill="1A1919" w:themeFill="text1" w:themeFillShade="BF"/>
      </w:tcPr>
    </w:tblStylePr>
    <w:tblStylePr w:type="band1Vert">
      <w:tblPr/>
      <w:tcPr>
        <w:shd w:val="clear" w:color="auto" w:fill="928F8F" w:themeFill="text1" w:themeFillTint="7F"/>
      </w:tcPr>
    </w:tblStylePr>
    <w:tblStylePr w:type="band1Horz">
      <w:tblPr/>
      <w:tcPr>
        <w:shd w:val="clear" w:color="auto" w:fill="928F8F" w:themeFill="text1" w:themeFillTint="7F"/>
      </w:tcPr>
    </w:tblStylePr>
  </w:style>
  <w:style w:type="table" w:styleId="ColorfulGrid-Accent1">
    <w:name w:val="Colorful Grid Accent 1"/>
    <w:basedOn w:val="TableNormal"/>
    <w:uiPriority w:val="73"/>
    <w:semiHidden/>
    <w:rsid w:val="0058629F"/>
    <w:tblPr>
      <w:tblStyleRowBandSize w:val="1"/>
      <w:tblStyleColBandSize w:val="1"/>
      <w:tblBorders>
        <w:insideH w:val="single" w:sz="4" w:space="0" w:color="FFFFFF" w:themeColor="background1"/>
      </w:tblBorders>
    </w:tblPr>
    <w:tcPr>
      <w:shd w:val="clear" w:color="auto" w:fill="B7DBFF" w:themeFill="accent1" w:themeFillTint="33"/>
    </w:tcPr>
    <w:tblStylePr w:type="firstRow">
      <w:rPr>
        <w:b/>
        <w:bCs/>
      </w:rPr>
      <w:tblPr/>
      <w:tcPr>
        <w:shd w:val="clear" w:color="auto" w:fill="6FB7FF" w:themeFill="accent1" w:themeFillTint="66"/>
      </w:tcPr>
    </w:tblStylePr>
    <w:tblStylePr w:type="lastRow">
      <w:rPr>
        <w:b/>
        <w:bCs/>
        <w:color w:val="232222" w:themeColor="text1"/>
      </w:rPr>
      <w:tblPr/>
      <w:tcPr>
        <w:shd w:val="clear" w:color="auto" w:fill="6FB7FF" w:themeFill="accent1" w:themeFillTint="66"/>
      </w:tcPr>
    </w:tblStylePr>
    <w:tblStylePr w:type="firstCol">
      <w:rPr>
        <w:color w:val="FFFFFF" w:themeColor="background1"/>
      </w:rPr>
      <w:tblPr/>
      <w:tcPr>
        <w:shd w:val="clear" w:color="auto" w:fill="003871" w:themeFill="accent1" w:themeFillShade="BF"/>
      </w:tcPr>
    </w:tblStylePr>
    <w:tblStylePr w:type="lastCol">
      <w:rPr>
        <w:color w:val="FFFFFF" w:themeColor="background1"/>
      </w:rPr>
      <w:tblPr/>
      <w:tcPr>
        <w:shd w:val="clear" w:color="auto" w:fill="003871" w:themeFill="accent1" w:themeFillShade="BF"/>
      </w:tcPr>
    </w:tblStylePr>
    <w:tblStylePr w:type="band1Vert">
      <w:tblPr/>
      <w:tcPr>
        <w:shd w:val="clear" w:color="auto" w:fill="4CA5FF" w:themeFill="accent1" w:themeFillTint="7F"/>
      </w:tcPr>
    </w:tblStylePr>
    <w:tblStylePr w:type="band1Horz">
      <w:tblPr/>
      <w:tcPr>
        <w:shd w:val="clear" w:color="auto" w:fill="4CA5FF" w:themeFill="accent1" w:themeFillTint="7F"/>
      </w:tcPr>
    </w:tblStylePr>
  </w:style>
  <w:style w:type="table" w:styleId="ColorfulGrid-Accent2">
    <w:name w:val="Colorful Grid Accent 2"/>
    <w:basedOn w:val="TableNormal"/>
    <w:uiPriority w:val="73"/>
    <w:semiHidden/>
    <w:rsid w:val="0058629F"/>
    <w:tblPr>
      <w:tblStyleRowBandSize w:val="1"/>
      <w:tblStyleColBandSize w:val="1"/>
      <w:tblBorders>
        <w:insideH w:val="single" w:sz="4" w:space="0" w:color="FFFFFF" w:themeColor="background1"/>
      </w:tblBorders>
    </w:tblPr>
    <w:tcPr>
      <w:shd w:val="clear" w:color="auto" w:fill="E7F7F8" w:themeFill="accent2" w:themeFillTint="33"/>
    </w:tcPr>
    <w:tblStylePr w:type="firstRow">
      <w:rPr>
        <w:b/>
        <w:bCs/>
      </w:rPr>
      <w:tblPr/>
      <w:tcPr>
        <w:shd w:val="clear" w:color="auto" w:fill="CFF0F2" w:themeFill="accent2" w:themeFillTint="66"/>
      </w:tcPr>
    </w:tblStylePr>
    <w:tblStylePr w:type="lastRow">
      <w:rPr>
        <w:b/>
        <w:bCs/>
        <w:color w:val="232222" w:themeColor="text1"/>
      </w:rPr>
      <w:tblPr/>
      <w:tcPr>
        <w:shd w:val="clear" w:color="auto" w:fill="CFF0F2" w:themeFill="accent2" w:themeFillTint="66"/>
      </w:tcPr>
    </w:tblStylePr>
    <w:tblStylePr w:type="firstCol">
      <w:rPr>
        <w:color w:val="FFFFFF" w:themeColor="background1"/>
      </w:rPr>
      <w:tblPr/>
      <w:tcPr>
        <w:shd w:val="clear" w:color="auto" w:fill="40C5CB" w:themeFill="accent2" w:themeFillShade="BF"/>
      </w:tcPr>
    </w:tblStylePr>
    <w:tblStylePr w:type="lastCol">
      <w:rPr>
        <w:color w:val="FFFFFF" w:themeColor="background1"/>
      </w:rPr>
      <w:tblPr/>
      <w:tcPr>
        <w:shd w:val="clear" w:color="auto" w:fill="40C5CB" w:themeFill="accent2" w:themeFillShade="BF"/>
      </w:tcPr>
    </w:tblStylePr>
    <w:tblStylePr w:type="band1Vert">
      <w:tblPr/>
      <w:tcPr>
        <w:shd w:val="clear" w:color="auto" w:fill="C3EDEF" w:themeFill="accent2" w:themeFillTint="7F"/>
      </w:tcPr>
    </w:tblStylePr>
    <w:tblStylePr w:type="band1Horz">
      <w:tblPr/>
      <w:tcPr>
        <w:shd w:val="clear" w:color="auto" w:fill="C3EDEF" w:themeFill="accent2" w:themeFillTint="7F"/>
      </w:tcPr>
    </w:tblStylePr>
  </w:style>
  <w:style w:type="table" w:styleId="ColorfulGrid-Accent3">
    <w:name w:val="Colorful Grid Accent 3"/>
    <w:basedOn w:val="TableNormal"/>
    <w:uiPriority w:val="73"/>
    <w:semiHidden/>
    <w:rsid w:val="0058629F"/>
    <w:tblPr>
      <w:tblStyleRowBandSize w:val="1"/>
      <w:tblStyleColBandSize w:val="1"/>
      <w:tblBorders>
        <w:insideH w:val="single" w:sz="4" w:space="0" w:color="FFFFFF" w:themeColor="background1"/>
      </w:tblBorders>
    </w:tblPr>
    <w:tcPr>
      <w:shd w:val="clear" w:color="auto" w:fill="BCFFFB" w:themeFill="accent3" w:themeFillTint="33"/>
    </w:tcPr>
    <w:tblStylePr w:type="firstRow">
      <w:rPr>
        <w:b/>
        <w:bCs/>
      </w:rPr>
      <w:tblPr/>
      <w:tcPr>
        <w:shd w:val="clear" w:color="auto" w:fill="7AFFF8" w:themeFill="accent3" w:themeFillTint="66"/>
      </w:tcPr>
    </w:tblStylePr>
    <w:tblStylePr w:type="lastRow">
      <w:rPr>
        <w:b/>
        <w:bCs/>
        <w:color w:val="232222" w:themeColor="text1"/>
      </w:rPr>
      <w:tblPr/>
      <w:tcPr>
        <w:shd w:val="clear" w:color="auto" w:fill="7AFFF8" w:themeFill="accent3" w:themeFillTint="66"/>
      </w:tcPr>
    </w:tblStylePr>
    <w:tblStylePr w:type="firstCol">
      <w:rPr>
        <w:color w:val="FFFFFF" w:themeColor="background1"/>
      </w:rPr>
      <w:tblPr/>
      <w:tcPr>
        <w:shd w:val="clear" w:color="auto" w:fill="00857E" w:themeFill="accent3" w:themeFillShade="BF"/>
      </w:tcPr>
    </w:tblStylePr>
    <w:tblStylePr w:type="lastCol">
      <w:rPr>
        <w:color w:val="FFFFFF" w:themeColor="background1"/>
      </w:rPr>
      <w:tblPr/>
      <w:tcPr>
        <w:shd w:val="clear" w:color="auto" w:fill="00857E" w:themeFill="accent3" w:themeFillShade="BF"/>
      </w:tcPr>
    </w:tblStylePr>
    <w:tblStylePr w:type="band1Vert">
      <w:tblPr/>
      <w:tcPr>
        <w:shd w:val="clear" w:color="auto" w:fill="59FFF6" w:themeFill="accent3" w:themeFillTint="7F"/>
      </w:tcPr>
    </w:tblStylePr>
    <w:tblStylePr w:type="band1Horz">
      <w:tblPr/>
      <w:tcPr>
        <w:shd w:val="clear" w:color="auto" w:fill="59FFF6" w:themeFill="accent3" w:themeFillTint="7F"/>
      </w:tcPr>
    </w:tblStylePr>
  </w:style>
  <w:style w:type="table" w:styleId="ColorfulGrid-Accent4">
    <w:name w:val="Colorful Grid Accent 4"/>
    <w:basedOn w:val="TableNormal"/>
    <w:uiPriority w:val="73"/>
    <w:semiHidden/>
    <w:rsid w:val="0058629F"/>
    <w:tblPr>
      <w:tblStyleRowBandSize w:val="1"/>
      <w:tblStyleColBandSize w:val="1"/>
      <w:tblBorders>
        <w:insideH w:val="single" w:sz="4" w:space="0" w:color="FFFFFF" w:themeColor="background1"/>
      </w:tblBorders>
    </w:tblPr>
    <w:tcPr>
      <w:shd w:val="clear" w:color="auto" w:fill="C8BEEC" w:themeFill="accent4" w:themeFillTint="33"/>
    </w:tcPr>
    <w:tblStylePr w:type="firstRow">
      <w:rPr>
        <w:b/>
        <w:bCs/>
      </w:rPr>
      <w:tblPr/>
      <w:tcPr>
        <w:shd w:val="clear" w:color="auto" w:fill="917DD8" w:themeFill="accent4" w:themeFillTint="66"/>
      </w:tcPr>
    </w:tblStylePr>
    <w:tblStylePr w:type="lastRow">
      <w:rPr>
        <w:b/>
        <w:bCs/>
        <w:color w:val="232222" w:themeColor="text1"/>
      </w:rPr>
      <w:tblPr/>
      <w:tcPr>
        <w:shd w:val="clear" w:color="auto" w:fill="917DD8" w:themeFill="accent4" w:themeFillTint="66"/>
      </w:tcPr>
    </w:tblStylePr>
    <w:tblStylePr w:type="firstCol">
      <w:rPr>
        <w:color w:val="FFFFFF" w:themeColor="background1"/>
      </w:rPr>
      <w:tblPr/>
      <w:tcPr>
        <w:shd w:val="clear" w:color="auto" w:fill="170F34" w:themeFill="accent4" w:themeFillShade="BF"/>
      </w:tcPr>
    </w:tblStylePr>
    <w:tblStylePr w:type="lastCol">
      <w:rPr>
        <w:color w:val="FFFFFF" w:themeColor="background1"/>
      </w:rPr>
      <w:tblPr/>
      <w:tcPr>
        <w:shd w:val="clear" w:color="auto" w:fill="170F34" w:themeFill="accent4" w:themeFillShade="BF"/>
      </w:tcPr>
    </w:tblStylePr>
    <w:tblStylePr w:type="band1Vert">
      <w:tblPr/>
      <w:tcPr>
        <w:shd w:val="clear" w:color="auto" w:fill="775ECF" w:themeFill="accent4" w:themeFillTint="7F"/>
      </w:tcPr>
    </w:tblStylePr>
    <w:tblStylePr w:type="band1Horz">
      <w:tblPr/>
      <w:tcPr>
        <w:shd w:val="clear" w:color="auto" w:fill="775ECF" w:themeFill="accent4" w:themeFillTint="7F"/>
      </w:tcPr>
    </w:tblStylePr>
  </w:style>
  <w:style w:type="table" w:styleId="ColorfulGrid-Accent5">
    <w:name w:val="Colorful Grid Accent 5"/>
    <w:basedOn w:val="TableNormal"/>
    <w:uiPriority w:val="73"/>
    <w:semiHidden/>
    <w:rsid w:val="0058629F"/>
    <w:tblPr>
      <w:tblStyleRowBandSize w:val="1"/>
      <w:tblStyleColBandSize w:val="1"/>
      <w:tblBorders>
        <w:insideH w:val="single" w:sz="4" w:space="0" w:color="FFFFFF" w:themeColor="background1"/>
      </w:tblBorders>
    </w:tblPr>
    <w:tcPr>
      <w:shd w:val="clear" w:color="auto" w:fill="E0E9F2" w:themeFill="accent5" w:themeFillTint="33"/>
    </w:tcPr>
    <w:tblStylePr w:type="firstRow">
      <w:rPr>
        <w:b/>
        <w:bCs/>
      </w:rPr>
      <w:tblPr/>
      <w:tcPr>
        <w:shd w:val="clear" w:color="auto" w:fill="C1D4E6" w:themeFill="accent5" w:themeFillTint="66"/>
      </w:tcPr>
    </w:tblStylePr>
    <w:tblStylePr w:type="lastRow">
      <w:rPr>
        <w:b/>
        <w:bCs/>
        <w:color w:val="232222" w:themeColor="text1"/>
      </w:rPr>
      <w:tblPr/>
      <w:tcPr>
        <w:shd w:val="clear" w:color="auto" w:fill="C1D4E6" w:themeFill="accent5" w:themeFillTint="66"/>
      </w:tcPr>
    </w:tblStylePr>
    <w:tblStylePr w:type="firstCol">
      <w:rPr>
        <w:color w:val="FFFFFF" w:themeColor="background1"/>
      </w:rPr>
      <w:tblPr/>
      <w:tcPr>
        <w:shd w:val="clear" w:color="auto" w:fill="3F6E9C" w:themeFill="accent5" w:themeFillShade="BF"/>
      </w:tcPr>
    </w:tblStylePr>
    <w:tblStylePr w:type="lastCol">
      <w:rPr>
        <w:color w:val="FFFFFF" w:themeColor="background1"/>
      </w:rPr>
      <w:tblPr/>
      <w:tcPr>
        <w:shd w:val="clear" w:color="auto" w:fill="3F6E9C" w:themeFill="accent5" w:themeFillShade="BF"/>
      </w:tcPr>
    </w:tblStylePr>
    <w:tblStylePr w:type="band1Vert">
      <w:tblPr/>
      <w:tcPr>
        <w:shd w:val="clear" w:color="auto" w:fill="B2C9E0" w:themeFill="accent5" w:themeFillTint="7F"/>
      </w:tcPr>
    </w:tblStylePr>
    <w:tblStylePr w:type="band1Horz">
      <w:tblPr/>
      <w:tcPr>
        <w:shd w:val="clear" w:color="auto" w:fill="B2C9E0" w:themeFill="accent5" w:themeFillTint="7F"/>
      </w:tcPr>
    </w:tblStylePr>
  </w:style>
  <w:style w:type="table" w:styleId="ColorfulGrid-Accent6">
    <w:name w:val="Colorful Grid Accent 6"/>
    <w:basedOn w:val="TableNormal"/>
    <w:uiPriority w:val="73"/>
    <w:semiHidden/>
    <w:rsid w:val="0058629F"/>
    <w:tblPr>
      <w:tblStyleRowBandSize w:val="1"/>
      <w:tblStyleColBandSize w:val="1"/>
      <w:tblBorders>
        <w:insideH w:val="single" w:sz="4" w:space="0" w:color="FFFFFF" w:themeColor="background1"/>
      </w:tblBorders>
    </w:tblPr>
    <w:tcPr>
      <w:shd w:val="clear" w:color="auto" w:fill="F0FAFB" w:themeFill="accent6" w:themeFillTint="33"/>
    </w:tcPr>
    <w:tblStylePr w:type="firstRow">
      <w:rPr>
        <w:b/>
        <w:bCs/>
      </w:rPr>
      <w:tblPr/>
      <w:tcPr>
        <w:shd w:val="clear" w:color="auto" w:fill="E2F6F7" w:themeFill="accent6" w:themeFillTint="66"/>
      </w:tcPr>
    </w:tblStylePr>
    <w:tblStylePr w:type="lastRow">
      <w:rPr>
        <w:b/>
        <w:bCs/>
        <w:color w:val="232222" w:themeColor="text1"/>
      </w:rPr>
      <w:tblPr/>
      <w:tcPr>
        <w:shd w:val="clear" w:color="auto" w:fill="E2F6F7" w:themeFill="accent6" w:themeFillTint="66"/>
      </w:tcPr>
    </w:tblStylePr>
    <w:tblStylePr w:type="firstCol">
      <w:rPr>
        <w:color w:val="FFFFFF" w:themeColor="background1"/>
      </w:rPr>
      <w:tblPr/>
      <w:tcPr>
        <w:shd w:val="clear" w:color="auto" w:fill="64CFD5" w:themeFill="accent6" w:themeFillShade="BF"/>
      </w:tcPr>
    </w:tblStylePr>
    <w:tblStylePr w:type="lastCol">
      <w:rPr>
        <w:color w:val="FFFFFF" w:themeColor="background1"/>
      </w:rPr>
      <w:tblPr/>
      <w:tcPr>
        <w:shd w:val="clear" w:color="auto" w:fill="64CFD5" w:themeFill="accent6" w:themeFillShade="BF"/>
      </w:tcPr>
    </w:tblStylePr>
    <w:tblStylePr w:type="band1Vert">
      <w:tblPr/>
      <w:tcPr>
        <w:shd w:val="clear" w:color="auto" w:fill="DBF3F5" w:themeFill="accent6" w:themeFillTint="7F"/>
      </w:tcPr>
    </w:tblStylePr>
    <w:tblStylePr w:type="band1Horz">
      <w:tblPr/>
      <w:tcPr>
        <w:shd w:val="clear" w:color="auto" w:fill="DBF3F5" w:themeFill="accent6" w:themeFillTint="7F"/>
      </w:tcPr>
    </w:tblStylePr>
  </w:style>
  <w:style w:type="table" w:styleId="ColorfulList">
    <w:name w:val="Colorful List"/>
    <w:basedOn w:val="TableNormal"/>
    <w:uiPriority w:val="72"/>
    <w:semiHidden/>
    <w:rsid w:val="0058629F"/>
    <w:tblPr>
      <w:tblStyleRowBandSize w:val="1"/>
      <w:tblStyleColBandSize w:val="1"/>
    </w:tblPr>
    <w:tcPr>
      <w:shd w:val="clear" w:color="auto" w:fill="E9E9E9" w:themeFill="text1" w:themeFillTint="19"/>
    </w:tcPr>
    <w:tblStylePr w:type="firstRow">
      <w:rPr>
        <w:b/>
        <w:bCs/>
        <w:color w:val="FFFFFF" w:themeColor="background1"/>
      </w:rPr>
      <w:tblPr/>
      <w:tcPr>
        <w:tcBorders>
          <w:bottom w:val="single" w:sz="12" w:space="0" w:color="FFFFFF" w:themeColor="background1"/>
        </w:tcBorders>
        <w:shd w:val="clear" w:color="auto" w:fill="4FC9CF" w:themeFill="accent2" w:themeFillShade="CC"/>
      </w:tcPr>
    </w:tblStylePr>
    <w:tblStylePr w:type="lastRow">
      <w:rPr>
        <w:b/>
        <w:bCs/>
        <w:color w:val="4FC9CF"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9C7C7" w:themeFill="text1" w:themeFillTint="3F"/>
      </w:tcPr>
    </w:tblStylePr>
    <w:tblStylePr w:type="band1Horz">
      <w:tblPr/>
      <w:tcPr>
        <w:shd w:val="clear" w:color="auto" w:fill="D3D2D2" w:themeFill="text1" w:themeFillTint="33"/>
      </w:tcPr>
    </w:tblStylePr>
  </w:style>
  <w:style w:type="table" w:styleId="ColorfulList-Accent1">
    <w:name w:val="Colorful List Accent 1"/>
    <w:basedOn w:val="TableNormal"/>
    <w:uiPriority w:val="72"/>
    <w:semiHidden/>
    <w:rsid w:val="0058629F"/>
    <w:tblPr>
      <w:tblStyleRowBandSize w:val="1"/>
      <w:tblStyleColBandSize w:val="1"/>
    </w:tblPr>
    <w:tcPr>
      <w:shd w:val="clear" w:color="auto" w:fill="DBEDFF" w:themeFill="accent1" w:themeFillTint="19"/>
    </w:tcPr>
    <w:tblStylePr w:type="firstRow">
      <w:rPr>
        <w:b/>
        <w:bCs/>
        <w:color w:val="FFFFFF" w:themeColor="background1"/>
      </w:rPr>
      <w:tblPr/>
      <w:tcPr>
        <w:tcBorders>
          <w:bottom w:val="single" w:sz="12" w:space="0" w:color="FFFFFF" w:themeColor="background1"/>
        </w:tcBorders>
        <w:shd w:val="clear" w:color="auto" w:fill="4FC9CF" w:themeFill="accent2" w:themeFillShade="CC"/>
      </w:tcPr>
    </w:tblStylePr>
    <w:tblStylePr w:type="lastRow">
      <w:rPr>
        <w:b/>
        <w:bCs/>
        <w:color w:val="4FC9CF"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6D2FF" w:themeFill="accent1" w:themeFillTint="3F"/>
      </w:tcPr>
    </w:tblStylePr>
    <w:tblStylePr w:type="band1Horz">
      <w:tblPr/>
      <w:tcPr>
        <w:shd w:val="clear" w:color="auto" w:fill="B7DBFF" w:themeFill="accent1" w:themeFillTint="33"/>
      </w:tcPr>
    </w:tblStylePr>
  </w:style>
  <w:style w:type="table" w:styleId="ColorfulList-Accent2">
    <w:name w:val="Colorful List Accent 2"/>
    <w:basedOn w:val="TableNormal"/>
    <w:uiPriority w:val="72"/>
    <w:semiHidden/>
    <w:rsid w:val="0058629F"/>
    <w:tblPr>
      <w:tblStyleRowBandSize w:val="1"/>
      <w:tblStyleColBandSize w:val="1"/>
    </w:tblPr>
    <w:tcPr>
      <w:shd w:val="clear" w:color="auto" w:fill="F3FBFB" w:themeFill="accent2" w:themeFillTint="19"/>
    </w:tcPr>
    <w:tblStylePr w:type="firstRow">
      <w:rPr>
        <w:b/>
        <w:bCs/>
        <w:color w:val="FFFFFF" w:themeColor="background1"/>
      </w:rPr>
      <w:tblPr/>
      <w:tcPr>
        <w:tcBorders>
          <w:bottom w:val="single" w:sz="12" w:space="0" w:color="FFFFFF" w:themeColor="background1"/>
        </w:tcBorders>
        <w:shd w:val="clear" w:color="auto" w:fill="4FC9CF" w:themeFill="accent2" w:themeFillShade="CC"/>
      </w:tcPr>
    </w:tblStylePr>
    <w:tblStylePr w:type="lastRow">
      <w:rPr>
        <w:b/>
        <w:bCs/>
        <w:color w:val="4FC9CF"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1F6F7" w:themeFill="accent2" w:themeFillTint="3F"/>
      </w:tcPr>
    </w:tblStylePr>
    <w:tblStylePr w:type="band1Horz">
      <w:tblPr/>
      <w:tcPr>
        <w:shd w:val="clear" w:color="auto" w:fill="E7F7F8" w:themeFill="accent2" w:themeFillTint="33"/>
      </w:tcPr>
    </w:tblStylePr>
  </w:style>
  <w:style w:type="table" w:styleId="ColorfulList-Accent3">
    <w:name w:val="Colorful List Accent 3"/>
    <w:basedOn w:val="TableNormal"/>
    <w:uiPriority w:val="72"/>
    <w:semiHidden/>
    <w:rsid w:val="0058629F"/>
    <w:tblPr>
      <w:tblStyleRowBandSize w:val="1"/>
      <w:tblStyleColBandSize w:val="1"/>
    </w:tblPr>
    <w:tcPr>
      <w:shd w:val="clear" w:color="auto" w:fill="DEFFFD" w:themeFill="accent3" w:themeFillTint="19"/>
    </w:tcPr>
    <w:tblStylePr w:type="firstRow">
      <w:rPr>
        <w:b/>
        <w:bCs/>
        <w:color w:val="FFFFFF" w:themeColor="background1"/>
      </w:rPr>
      <w:tblPr/>
      <w:tcPr>
        <w:tcBorders>
          <w:bottom w:val="single" w:sz="12" w:space="0" w:color="FFFFFF" w:themeColor="background1"/>
        </w:tcBorders>
        <w:shd w:val="clear" w:color="auto" w:fill="191038" w:themeFill="accent4" w:themeFillShade="CC"/>
      </w:tcPr>
    </w:tblStylePr>
    <w:tblStylePr w:type="lastRow">
      <w:rPr>
        <w:b/>
        <w:bCs/>
        <w:color w:val="191038" w:themeColor="accent4"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CFFFA" w:themeFill="accent3" w:themeFillTint="3F"/>
      </w:tcPr>
    </w:tblStylePr>
    <w:tblStylePr w:type="band1Horz">
      <w:tblPr/>
      <w:tcPr>
        <w:shd w:val="clear" w:color="auto" w:fill="BCFFFB" w:themeFill="accent3" w:themeFillTint="33"/>
      </w:tcPr>
    </w:tblStylePr>
  </w:style>
  <w:style w:type="table" w:styleId="ColorfulList-Accent4">
    <w:name w:val="Colorful List Accent 4"/>
    <w:basedOn w:val="TableNormal"/>
    <w:uiPriority w:val="72"/>
    <w:semiHidden/>
    <w:rsid w:val="0058629F"/>
    <w:tblPr>
      <w:tblStyleRowBandSize w:val="1"/>
      <w:tblStyleColBandSize w:val="1"/>
    </w:tblPr>
    <w:tcPr>
      <w:shd w:val="clear" w:color="auto" w:fill="E4DFF5" w:themeFill="accent4" w:themeFillTint="19"/>
    </w:tcPr>
    <w:tblStylePr w:type="firstRow">
      <w:rPr>
        <w:b/>
        <w:bCs/>
        <w:color w:val="FFFFFF" w:themeColor="background1"/>
      </w:rPr>
      <w:tblPr/>
      <w:tcPr>
        <w:tcBorders>
          <w:bottom w:val="single" w:sz="12" w:space="0" w:color="FFFFFF" w:themeColor="background1"/>
        </w:tcBorders>
        <w:shd w:val="clear" w:color="auto" w:fill="008E87" w:themeFill="accent3" w:themeFillShade="CC"/>
      </w:tcPr>
    </w:tblStylePr>
    <w:tblStylePr w:type="lastRow">
      <w:rPr>
        <w:b/>
        <w:bCs/>
        <w:color w:val="008E87" w:themeColor="accent3"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BAFE7" w:themeFill="accent4" w:themeFillTint="3F"/>
      </w:tcPr>
    </w:tblStylePr>
    <w:tblStylePr w:type="band1Horz">
      <w:tblPr/>
      <w:tcPr>
        <w:shd w:val="clear" w:color="auto" w:fill="C8BEEC" w:themeFill="accent4" w:themeFillTint="33"/>
      </w:tcPr>
    </w:tblStylePr>
  </w:style>
  <w:style w:type="table" w:styleId="ColorfulList-Accent5">
    <w:name w:val="Colorful List Accent 5"/>
    <w:basedOn w:val="TableNormal"/>
    <w:uiPriority w:val="72"/>
    <w:semiHidden/>
    <w:rsid w:val="0058629F"/>
    <w:tblPr>
      <w:tblStyleRowBandSize w:val="1"/>
      <w:tblStyleColBandSize w:val="1"/>
    </w:tblPr>
    <w:tcPr>
      <w:shd w:val="clear" w:color="auto" w:fill="EFF4F9" w:themeFill="accent5" w:themeFillTint="19"/>
    </w:tcPr>
    <w:tblStylePr w:type="firstRow">
      <w:rPr>
        <w:b/>
        <w:bCs/>
        <w:color w:val="FFFFFF" w:themeColor="background1"/>
      </w:rPr>
      <w:tblPr/>
      <w:tcPr>
        <w:tcBorders>
          <w:bottom w:val="single" w:sz="12" w:space="0" w:color="FFFFFF" w:themeColor="background1"/>
        </w:tcBorders>
        <w:shd w:val="clear" w:color="auto" w:fill="75D4DA" w:themeFill="accent6" w:themeFillShade="CC"/>
      </w:tcPr>
    </w:tblStylePr>
    <w:tblStylePr w:type="lastRow">
      <w:rPr>
        <w:b/>
        <w:bCs/>
        <w:color w:val="75D4DA" w:themeColor="accent6"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9E4EF" w:themeFill="accent5" w:themeFillTint="3F"/>
      </w:tcPr>
    </w:tblStylePr>
    <w:tblStylePr w:type="band1Horz">
      <w:tblPr/>
      <w:tcPr>
        <w:shd w:val="clear" w:color="auto" w:fill="E0E9F2" w:themeFill="accent5" w:themeFillTint="33"/>
      </w:tcPr>
    </w:tblStylePr>
  </w:style>
  <w:style w:type="table" w:styleId="ColorfulList-Accent6">
    <w:name w:val="Colorful List Accent 6"/>
    <w:basedOn w:val="TableNormal"/>
    <w:uiPriority w:val="72"/>
    <w:semiHidden/>
    <w:rsid w:val="0058629F"/>
    <w:tblPr>
      <w:tblStyleRowBandSize w:val="1"/>
      <w:tblStyleColBandSize w:val="1"/>
    </w:tblPr>
    <w:tcPr>
      <w:shd w:val="clear" w:color="auto" w:fill="F7FCFD" w:themeFill="accent6" w:themeFillTint="19"/>
    </w:tcPr>
    <w:tblStylePr w:type="firstRow">
      <w:rPr>
        <w:b/>
        <w:bCs/>
        <w:color w:val="FFFFFF" w:themeColor="background1"/>
      </w:rPr>
      <w:tblPr/>
      <w:tcPr>
        <w:tcBorders>
          <w:bottom w:val="single" w:sz="12" w:space="0" w:color="FFFFFF" w:themeColor="background1"/>
        </w:tcBorders>
        <w:shd w:val="clear" w:color="auto" w:fill="4476A7" w:themeFill="accent5" w:themeFillShade="CC"/>
      </w:tcPr>
    </w:tblStylePr>
    <w:tblStylePr w:type="lastRow">
      <w:rPr>
        <w:b/>
        <w:bCs/>
        <w:color w:val="4476A7" w:themeColor="accent5"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DF9FA" w:themeFill="accent6" w:themeFillTint="3F"/>
      </w:tcPr>
    </w:tblStylePr>
    <w:tblStylePr w:type="band1Horz">
      <w:tblPr/>
      <w:tcPr>
        <w:shd w:val="clear" w:color="auto" w:fill="F0FAFB" w:themeFill="accent6" w:themeFillTint="33"/>
      </w:tcPr>
    </w:tblStylePr>
  </w:style>
  <w:style w:type="table" w:styleId="ColorfulShading">
    <w:name w:val="Colorful Shading"/>
    <w:basedOn w:val="TableNormal"/>
    <w:uiPriority w:val="71"/>
    <w:semiHidden/>
    <w:rsid w:val="0058629F"/>
    <w:tblPr>
      <w:tblStyleRowBandSize w:val="1"/>
      <w:tblStyleColBandSize w:val="1"/>
      <w:tblBorders>
        <w:top w:val="single" w:sz="24" w:space="0" w:color="88DBDF" w:themeColor="accent2"/>
        <w:left w:val="single" w:sz="4" w:space="0" w:color="232222" w:themeColor="text1"/>
        <w:bottom w:val="single" w:sz="4" w:space="0" w:color="232222" w:themeColor="text1"/>
        <w:right w:val="single" w:sz="4" w:space="0" w:color="232222" w:themeColor="text1"/>
        <w:insideH w:val="single" w:sz="4" w:space="0" w:color="FFFFFF" w:themeColor="background1"/>
        <w:insideV w:val="single" w:sz="4" w:space="0" w:color="FFFFFF" w:themeColor="background1"/>
      </w:tblBorders>
    </w:tblPr>
    <w:tcPr>
      <w:shd w:val="clear" w:color="auto" w:fill="E9E9E9" w:themeFill="text1" w:themeFillTint="19"/>
    </w:tcPr>
    <w:tblStylePr w:type="firstRow">
      <w:rPr>
        <w:b/>
        <w:bCs/>
      </w:rPr>
      <w:tblPr/>
      <w:tcPr>
        <w:tcBorders>
          <w:top w:val="nil"/>
          <w:left w:val="nil"/>
          <w:bottom w:val="single" w:sz="24" w:space="0" w:color="88DBD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41414" w:themeFill="text1" w:themeFillShade="99"/>
      </w:tcPr>
    </w:tblStylePr>
    <w:tblStylePr w:type="firstCol">
      <w:rPr>
        <w:color w:val="FFFFFF" w:themeColor="background1"/>
      </w:rPr>
      <w:tblPr/>
      <w:tcPr>
        <w:tcBorders>
          <w:top w:val="nil"/>
          <w:left w:val="nil"/>
          <w:bottom w:val="nil"/>
          <w:right w:val="nil"/>
          <w:insideH w:val="single" w:sz="4" w:space="0" w:color="141414" w:themeColor="text1" w:themeShade="99"/>
          <w:insideV w:val="nil"/>
        </w:tcBorders>
        <w:shd w:val="clear" w:color="auto" w:fill="141414"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1A1919" w:themeFill="text1" w:themeFillShade="BF"/>
      </w:tcPr>
    </w:tblStylePr>
    <w:tblStylePr w:type="band1Vert">
      <w:tblPr/>
      <w:tcPr>
        <w:shd w:val="clear" w:color="auto" w:fill="A8A5A5" w:themeFill="text1" w:themeFillTint="66"/>
      </w:tcPr>
    </w:tblStylePr>
    <w:tblStylePr w:type="band1Horz">
      <w:tblPr/>
      <w:tcPr>
        <w:shd w:val="clear" w:color="auto" w:fill="928F8F" w:themeFill="text1" w:themeFillTint="7F"/>
      </w:tcPr>
    </w:tblStylePr>
    <w:tblStylePr w:type="neCell">
      <w:rPr>
        <w:color w:val="232222" w:themeColor="text1"/>
      </w:rPr>
    </w:tblStylePr>
    <w:tblStylePr w:type="nwCell">
      <w:rPr>
        <w:color w:val="232222" w:themeColor="text1"/>
      </w:rPr>
    </w:tblStylePr>
  </w:style>
  <w:style w:type="table" w:styleId="ColorfulShading-Accent1">
    <w:name w:val="Colorful Shading Accent 1"/>
    <w:basedOn w:val="TableNormal"/>
    <w:uiPriority w:val="71"/>
    <w:semiHidden/>
    <w:rsid w:val="0058629F"/>
    <w:tblPr>
      <w:tblStyleRowBandSize w:val="1"/>
      <w:tblStyleColBandSize w:val="1"/>
      <w:tblBorders>
        <w:top w:val="single" w:sz="24" w:space="0" w:color="88DBDF" w:themeColor="accent2"/>
        <w:left w:val="single" w:sz="4" w:space="0" w:color="004C97" w:themeColor="accent1"/>
        <w:bottom w:val="single" w:sz="4" w:space="0" w:color="004C97" w:themeColor="accent1"/>
        <w:right w:val="single" w:sz="4" w:space="0" w:color="004C97" w:themeColor="accent1"/>
        <w:insideH w:val="single" w:sz="4" w:space="0" w:color="FFFFFF" w:themeColor="background1"/>
        <w:insideV w:val="single" w:sz="4" w:space="0" w:color="FFFFFF" w:themeColor="background1"/>
      </w:tblBorders>
    </w:tblPr>
    <w:tcPr>
      <w:shd w:val="clear" w:color="auto" w:fill="DBEDFF" w:themeFill="accent1" w:themeFillTint="19"/>
    </w:tcPr>
    <w:tblStylePr w:type="firstRow">
      <w:rPr>
        <w:b/>
        <w:bCs/>
      </w:rPr>
      <w:tblPr/>
      <w:tcPr>
        <w:tcBorders>
          <w:top w:val="nil"/>
          <w:left w:val="nil"/>
          <w:bottom w:val="single" w:sz="24" w:space="0" w:color="88DBD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2D5A" w:themeFill="accent1" w:themeFillShade="99"/>
      </w:tcPr>
    </w:tblStylePr>
    <w:tblStylePr w:type="firstCol">
      <w:rPr>
        <w:color w:val="FFFFFF" w:themeColor="background1"/>
      </w:rPr>
      <w:tblPr/>
      <w:tcPr>
        <w:tcBorders>
          <w:top w:val="nil"/>
          <w:left w:val="nil"/>
          <w:bottom w:val="nil"/>
          <w:right w:val="nil"/>
          <w:insideH w:val="single" w:sz="4" w:space="0" w:color="002D5A" w:themeColor="accent1" w:themeShade="99"/>
          <w:insideV w:val="nil"/>
        </w:tcBorders>
        <w:shd w:val="clear" w:color="auto" w:fill="002D5A"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2D5A" w:themeFill="accent1" w:themeFillShade="99"/>
      </w:tcPr>
    </w:tblStylePr>
    <w:tblStylePr w:type="band1Vert">
      <w:tblPr/>
      <w:tcPr>
        <w:shd w:val="clear" w:color="auto" w:fill="6FB7FF" w:themeFill="accent1" w:themeFillTint="66"/>
      </w:tcPr>
    </w:tblStylePr>
    <w:tblStylePr w:type="band1Horz">
      <w:tblPr/>
      <w:tcPr>
        <w:shd w:val="clear" w:color="auto" w:fill="4CA5FF" w:themeFill="accent1" w:themeFillTint="7F"/>
      </w:tcPr>
    </w:tblStylePr>
    <w:tblStylePr w:type="neCell">
      <w:rPr>
        <w:color w:val="232222" w:themeColor="text1"/>
      </w:rPr>
    </w:tblStylePr>
    <w:tblStylePr w:type="nwCell">
      <w:rPr>
        <w:color w:val="232222" w:themeColor="text1"/>
      </w:rPr>
    </w:tblStylePr>
  </w:style>
  <w:style w:type="table" w:styleId="ColorfulShading-Accent2">
    <w:name w:val="Colorful Shading Accent 2"/>
    <w:basedOn w:val="TableNormal"/>
    <w:uiPriority w:val="71"/>
    <w:semiHidden/>
    <w:rsid w:val="0058629F"/>
    <w:tblPr>
      <w:tblStyleRowBandSize w:val="1"/>
      <w:tblStyleColBandSize w:val="1"/>
      <w:tblBorders>
        <w:top w:val="single" w:sz="24" w:space="0" w:color="88DBDF" w:themeColor="accent2"/>
        <w:left w:val="single" w:sz="4" w:space="0" w:color="88DBDF" w:themeColor="accent2"/>
        <w:bottom w:val="single" w:sz="4" w:space="0" w:color="88DBDF" w:themeColor="accent2"/>
        <w:right w:val="single" w:sz="4" w:space="0" w:color="88DBDF" w:themeColor="accent2"/>
        <w:insideH w:val="single" w:sz="4" w:space="0" w:color="FFFFFF" w:themeColor="background1"/>
        <w:insideV w:val="single" w:sz="4" w:space="0" w:color="FFFFFF" w:themeColor="background1"/>
      </w:tblBorders>
    </w:tblPr>
    <w:tcPr>
      <w:shd w:val="clear" w:color="auto" w:fill="F3FBFB" w:themeFill="accent2" w:themeFillTint="19"/>
    </w:tcPr>
    <w:tblStylePr w:type="firstRow">
      <w:rPr>
        <w:b/>
        <w:bCs/>
      </w:rPr>
      <w:tblPr/>
      <w:tcPr>
        <w:tcBorders>
          <w:top w:val="nil"/>
          <w:left w:val="nil"/>
          <w:bottom w:val="single" w:sz="24" w:space="0" w:color="88DBD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DA3A9" w:themeFill="accent2" w:themeFillShade="99"/>
      </w:tcPr>
    </w:tblStylePr>
    <w:tblStylePr w:type="firstCol">
      <w:rPr>
        <w:color w:val="FFFFFF" w:themeColor="background1"/>
      </w:rPr>
      <w:tblPr/>
      <w:tcPr>
        <w:tcBorders>
          <w:top w:val="nil"/>
          <w:left w:val="nil"/>
          <w:bottom w:val="nil"/>
          <w:right w:val="nil"/>
          <w:insideH w:val="single" w:sz="4" w:space="0" w:color="2DA3A9" w:themeColor="accent2" w:themeShade="99"/>
          <w:insideV w:val="nil"/>
        </w:tcBorders>
        <w:shd w:val="clear" w:color="auto" w:fill="2DA3A9"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2DA3A9" w:themeFill="accent2" w:themeFillShade="99"/>
      </w:tcPr>
    </w:tblStylePr>
    <w:tblStylePr w:type="band1Vert">
      <w:tblPr/>
      <w:tcPr>
        <w:shd w:val="clear" w:color="auto" w:fill="CFF0F2" w:themeFill="accent2" w:themeFillTint="66"/>
      </w:tcPr>
    </w:tblStylePr>
    <w:tblStylePr w:type="band1Horz">
      <w:tblPr/>
      <w:tcPr>
        <w:shd w:val="clear" w:color="auto" w:fill="C3EDEF" w:themeFill="accent2" w:themeFillTint="7F"/>
      </w:tcPr>
    </w:tblStylePr>
    <w:tblStylePr w:type="neCell">
      <w:rPr>
        <w:color w:val="232222" w:themeColor="text1"/>
      </w:rPr>
    </w:tblStylePr>
    <w:tblStylePr w:type="nwCell">
      <w:rPr>
        <w:color w:val="232222" w:themeColor="text1"/>
      </w:rPr>
    </w:tblStylePr>
  </w:style>
  <w:style w:type="table" w:styleId="ColorfulShading-Accent3">
    <w:name w:val="Colorful Shading Accent 3"/>
    <w:basedOn w:val="TableNormal"/>
    <w:uiPriority w:val="71"/>
    <w:semiHidden/>
    <w:rsid w:val="0058629F"/>
    <w:tblPr>
      <w:tblStyleRowBandSize w:val="1"/>
      <w:tblStyleColBandSize w:val="1"/>
      <w:tblBorders>
        <w:top w:val="single" w:sz="24" w:space="0" w:color="201547" w:themeColor="accent4"/>
        <w:left w:val="single" w:sz="4" w:space="0" w:color="00B2A9" w:themeColor="accent3"/>
        <w:bottom w:val="single" w:sz="4" w:space="0" w:color="00B2A9" w:themeColor="accent3"/>
        <w:right w:val="single" w:sz="4" w:space="0" w:color="00B2A9" w:themeColor="accent3"/>
        <w:insideH w:val="single" w:sz="4" w:space="0" w:color="FFFFFF" w:themeColor="background1"/>
        <w:insideV w:val="single" w:sz="4" w:space="0" w:color="FFFFFF" w:themeColor="background1"/>
      </w:tblBorders>
    </w:tblPr>
    <w:tcPr>
      <w:shd w:val="clear" w:color="auto" w:fill="DEFFFD" w:themeFill="accent3" w:themeFillTint="19"/>
    </w:tcPr>
    <w:tblStylePr w:type="firstRow">
      <w:rPr>
        <w:b/>
        <w:bCs/>
      </w:rPr>
      <w:tblPr/>
      <w:tcPr>
        <w:tcBorders>
          <w:top w:val="nil"/>
          <w:left w:val="nil"/>
          <w:bottom w:val="single" w:sz="24" w:space="0" w:color="201547"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A65" w:themeFill="accent3" w:themeFillShade="99"/>
      </w:tcPr>
    </w:tblStylePr>
    <w:tblStylePr w:type="firstCol">
      <w:rPr>
        <w:color w:val="FFFFFF" w:themeColor="background1"/>
      </w:rPr>
      <w:tblPr/>
      <w:tcPr>
        <w:tcBorders>
          <w:top w:val="nil"/>
          <w:left w:val="nil"/>
          <w:bottom w:val="nil"/>
          <w:right w:val="nil"/>
          <w:insideH w:val="single" w:sz="4" w:space="0" w:color="006A65" w:themeColor="accent3" w:themeShade="99"/>
          <w:insideV w:val="nil"/>
        </w:tcBorders>
        <w:shd w:val="clear" w:color="auto" w:fill="006A65"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06A65" w:themeFill="accent3" w:themeFillShade="99"/>
      </w:tcPr>
    </w:tblStylePr>
    <w:tblStylePr w:type="band1Vert">
      <w:tblPr/>
      <w:tcPr>
        <w:shd w:val="clear" w:color="auto" w:fill="7AFFF8" w:themeFill="accent3" w:themeFillTint="66"/>
      </w:tcPr>
    </w:tblStylePr>
    <w:tblStylePr w:type="band1Horz">
      <w:tblPr/>
      <w:tcPr>
        <w:shd w:val="clear" w:color="auto" w:fill="59FFF6" w:themeFill="accent3" w:themeFillTint="7F"/>
      </w:tcPr>
    </w:tblStylePr>
  </w:style>
  <w:style w:type="table" w:styleId="ColorfulShading-Accent4">
    <w:name w:val="Colorful Shading Accent 4"/>
    <w:basedOn w:val="TableNormal"/>
    <w:uiPriority w:val="71"/>
    <w:semiHidden/>
    <w:rsid w:val="0058629F"/>
    <w:tblPr>
      <w:tblStyleRowBandSize w:val="1"/>
      <w:tblStyleColBandSize w:val="1"/>
      <w:tblBorders>
        <w:top w:val="single" w:sz="24" w:space="0" w:color="00B2A9" w:themeColor="accent3"/>
        <w:left w:val="single" w:sz="4" w:space="0" w:color="201547" w:themeColor="accent4"/>
        <w:bottom w:val="single" w:sz="4" w:space="0" w:color="201547" w:themeColor="accent4"/>
        <w:right w:val="single" w:sz="4" w:space="0" w:color="201547" w:themeColor="accent4"/>
        <w:insideH w:val="single" w:sz="4" w:space="0" w:color="FFFFFF" w:themeColor="background1"/>
        <w:insideV w:val="single" w:sz="4" w:space="0" w:color="FFFFFF" w:themeColor="background1"/>
      </w:tblBorders>
    </w:tblPr>
    <w:tcPr>
      <w:shd w:val="clear" w:color="auto" w:fill="E4DFF5" w:themeFill="accent4" w:themeFillTint="19"/>
    </w:tcPr>
    <w:tblStylePr w:type="firstRow">
      <w:rPr>
        <w:b/>
        <w:bCs/>
      </w:rPr>
      <w:tblPr/>
      <w:tcPr>
        <w:tcBorders>
          <w:top w:val="nil"/>
          <w:left w:val="nil"/>
          <w:bottom w:val="single" w:sz="24" w:space="0" w:color="00B2A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30C2A" w:themeFill="accent4" w:themeFillShade="99"/>
      </w:tcPr>
    </w:tblStylePr>
    <w:tblStylePr w:type="firstCol">
      <w:rPr>
        <w:color w:val="FFFFFF" w:themeColor="background1"/>
      </w:rPr>
      <w:tblPr/>
      <w:tcPr>
        <w:tcBorders>
          <w:top w:val="nil"/>
          <w:left w:val="nil"/>
          <w:bottom w:val="nil"/>
          <w:right w:val="nil"/>
          <w:insideH w:val="single" w:sz="4" w:space="0" w:color="130C2A" w:themeColor="accent4" w:themeShade="99"/>
          <w:insideV w:val="nil"/>
        </w:tcBorders>
        <w:shd w:val="clear" w:color="auto" w:fill="130C2A"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130C2A" w:themeFill="accent4" w:themeFillShade="99"/>
      </w:tcPr>
    </w:tblStylePr>
    <w:tblStylePr w:type="band1Vert">
      <w:tblPr/>
      <w:tcPr>
        <w:shd w:val="clear" w:color="auto" w:fill="917DD8" w:themeFill="accent4" w:themeFillTint="66"/>
      </w:tcPr>
    </w:tblStylePr>
    <w:tblStylePr w:type="band1Horz">
      <w:tblPr/>
      <w:tcPr>
        <w:shd w:val="clear" w:color="auto" w:fill="775ECF" w:themeFill="accent4" w:themeFillTint="7F"/>
      </w:tcPr>
    </w:tblStylePr>
    <w:tblStylePr w:type="neCell">
      <w:rPr>
        <w:color w:val="232222" w:themeColor="text1"/>
      </w:rPr>
    </w:tblStylePr>
    <w:tblStylePr w:type="nwCell">
      <w:rPr>
        <w:color w:val="232222" w:themeColor="text1"/>
      </w:rPr>
    </w:tblStylePr>
  </w:style>
  <w:style w:type="table" w:styleId="ColorfulShading-Accent5">
    <w:name w:val="Colorful Shading Accent 5"/>
    <w:basedOn w:val="TableNormal"/>
    <w:uiPriority w:val="71"/>
    <w:semiHidden/>
    <w:rsid w:val="0058629F"/>
    <w:tblPr>
      <w:tblStyleRowBandSize w:val="1"/>
      <w:tblStyleColBandSize w:val="1"/>
      <w:tblBorders>
        <w:top w:val="single" w:sz="24" w:space="0" w:color="B8E9EC" w:themeColor="accent6"/>
        <w:left w:val="single" w:sz="4" w:space="0" w:color="6694C1" w:themeColor="accent5"/>
        <w:bottom w:val="single" w:sz="4" w:space="0" w:color="6694C1" w:themeColor="accent5"/>
        <w:right w:val="single" w:sz="4" w:space="0" w:color="6694C1" w:themeColor="accent5"/>
        <w:insideH w:val="single" w:sz="4" w:space="0" w:color="FFFFFF" w:themeColor="background1"/>
        <w:insideV w:val="single" w:sz="4" w:space="0" w:color="FFFFFF" w:themeColor="background1"/>
      </w:tblBorders>
    </w:tblPr>
    <w:tcPr>
      <w:shd w:val="clear" w:color="auto" w:fill="EFF4F9" w:themeFill="accent5" w:themeFillTint="19"/>
    </w:tcPr>
    <w:tblStylePr w:type="firstRow">
      <w:rPr>
        <w:b/>
        <w:bCs/>
      </w:rPr>
      <w:tblPr/>
      <w:tcPr>
        <w:tcBorders>
          <w:top w:val="nil"/>
          <w:left w:val="nil"/>
          <w:bottom w:val="single" w:sz="24" w:space="0" w:color="B8E9EC"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3587D" w:themeFill="accent5" w:themeFillShade="99"/>
      </w:tcPr>
    </w:tblStylePr>
    <w:tblStylePr w:type="firstCol">
      <w:rPr>
        <w:color w:val="FFFFFF" w:themeColor="background1"/>
      </w:rPr>
      <w:tblPr/>
      <w:tcPr>
        <w:tcBorders>
          <w:top w:val="nil"/>
          <w:left w:val="nil"/>
          <w:bottom w:val="nil"/>
          <w:right w:val="nil"/>
          <w:insideH w:val="single" w:sz="4" w:space="0" w:color="33587D" w:themeColor="accent5" w:themeShade="99"/>
          <w:insideV w:val="nil"/>
        </w:tcBorders>
        <w:shd w:val="clear" w:color="auto" w:fill="33587D"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33587D" w:themeFill="accent5" w:themeFillShade="99"/>
      </w:tcPr>
    </w:tblStylePr>
    <w:tblStylePr w:type="band1Vert">
      <w:tblPr/>
      <w:tcPr>
        <w:shd w:val="clear" w:color="auto" w:fill="C1D4E6" w:themeFill="accent5" w:themeFillTint="66"/>
      </w:tcPr>
    </w:tblStylePr>
    <w:tblStylePr w:type="band1Horz">
      <w:tblPr/>
      <w:tcPr>
        <w:shd w:val="clear" w:color="auto" w:fill="B2C9E0" w:themeFill="accent5" w:themeFillTint="7F"/>
      </w:tcPr>
    </w:tblStylePr>
    <w:tblStylePr w:type="neCell">
      <w:rPr>
        <w:color w:val="232222" w:themeColor="text1"/>
      </w:rPr>
    </w:tblStylePr>
    <w:tblStylePr w:type="nwCell">
      <w:rPr>
        <w:color w:val="232222" w:themeColor="text1"/>
      </w:rPr>
    </w:tblStylePr>
  </w:style>
  <w:style w:type="table" w:styleId="ColorfulShading-Accent6">
    <w:name w:val="Colorful Shading Accent 6"/>
    <w:basedOn w:val="TableNormal"/>
    <w:uiPriority w:val="71"/>
    <w:semiHidden/>
    <w:rsid w:val="0058629F"/>
    <w:tblPr>
      <w:tblStyleRowBandSize w:val="1"/>
      <w:tblStyleColBandSize w:val="1"/>
      <w:tblBorders>
        <w:top w:val="single" w:sz="24" w:space="0" w:color="6694C1" w:themeColor="accent5"/>
        <w:left w:val="single" w:sz="4" w:space="0" w:color="B8E9EC" w:themeColor="accent6"/>
        <w:bottom w:val="single" w:sz="4" w:space="0" w:color="B8E9EC" w:themeColor="accent6"/>
        <w:right w:val="single" w:sz="4" w:space="0" w:color="B8E9EC" w:themeColor="accent6"/>
        <w:insideH w:val="single" w:sz="4" w:space="0" w:color="FFFFFF" w:themeColor="background1"/>
        <w:insideV w:val="single" w:sz="4" w:space="0" w:color="FFFFFF" w:themeColor="background1"/>
      </w:tblBorders>
    </w:tblPr>
    <w:tcPr>
      <w:shd w:val="clear" w:color="auto" w:fill="F7FCFD" w:themeFill="accent6" w:themeFillTint="19"/>
    </w:tcPr>
    <w:tblStylePr w:type="firstRow">
      <w:rPr>
        <w:b/>
        <w:bCs/>
      </w:rPr>
      <w:tblPr/>
      <w:tcPr>
        <w:tcBorders>
          <w:top w:val="nil"/>
          <w:left w:val="nil"/>
          <w:bottom w:val="single" w:sz="24" w:space="0" w:color="6694C1"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5BEC6" w:themeFill="accent6" w:themeFillShade="99"/>
      </w:tcPr>
    </w:tblStylePr>
    <w:tblStylePr w:type="firstCol">
      <w:rPr>
        <w:color w:val="FFFFFF" w:themeColor="background1"/>
      </w:rPr>
      <w:tblPr/>
      <w:tcPr>
        <w:tcBorders>
          <w:top w:val="nil"/>
          <w:left w:val="nil"/>
          <w:bottom w:val="nil"/>
          <w:right w:val="nil"/>
          <w:insideH w:val="single" w:sz="4" w:space="0" w:color="35BEC6" w:themeColor="accent6" w:themeShade="99"/>
          <w:insideV w:val="nil"/>
        </w:tcBorders>
        <w:shd w:val="clear" w:color="auto" w:fill="35BEC6"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35BEC6" w:themeFill="accent6" w:themeFillShade="99"/>
      </w:tcPr>
    </w:tblStylePr>
    <w:tblStylePr w:type="band1Vert">
      <w:tblPr/>
      <w:tcPr>
        <w:shd w:val="clear" w:color="auto" w:fill="E2F6F7" w:themeFill="accent6" w:themeFillTint="66"/>
      </w:tcPr>
    </w:tblStylePr>
    <w:tblStylePr w:type="band1Horz">
      <w:tblPr/>
      <w:tcPr>
        <w:shd w:val="clear" w:color="auto" w:fill="DBF3F5" w:themeFill="accent6" w:themeFillTint="7F"/>
      </w:tcPr>
    </w:tblStylePr>
    <w:tblStylePr w:type="neCell">
      <w:rPr>
        <w:color w:val="232222" w:themeColor="text1"/>
      </w:rPr>
    </w:tblStylePr>
    <w:tblStylePr w:type="nwCell">
      <w:rPr>
        <w:color w:val="232222" w:themeColor="text1"/>
      </w:rPr>
    </w:tblStylePr>
  </w:style>
  <w:style w:type="table" w:styleId="DarkList">
    <w:name w:val="Dark List"/>
    <w:basedOn w:val="TableNormal"/>
    <w:uiPriority w:val="70"/>
    <w:semiHidden/>
    <w:rsid w:val="0058629F"/>
    <w:rPr>
      <w:color w:val="FFFFFF" w:themeColor="background1"/>
    </w:rPr>
    <w:tblPr>
      <w:tblStyleRowBandSize w:val="1"/>
      <w:tblStyleColBandSize w:val="1"/>
    </w:tblPr>
    <w:tcPr>
      <w:shd w:val="clear" w:color="auto" w:fill="232222" w:themeFill="text1"/>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111111"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1A1919"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1A1919" w:themeFill="text1" w:themeFillShade="BF"/>
      </w:tcPr>
    </w:tblStylePr>
    <w:tblStylePr w:type="band1Vert">
      <w:tblPr/>
      <w:tcPr>
        <w:tcBorders>
          <w:top w:val="nil"/>
          <w:left w:val="nil"/>
          <w:bottom w:val="nil"/>
          <w:right w:val="nil"/>
          <w:insideH w:val="nil"/>
          <w:insideV w:val="nil"/>
        </w:tcBorders>
        <w:shd w:val="clear" w:color="auto" w:fill="1A1919" w:themeFill="text1" w:themeFillShade="BF"/>
      </w:tcPr>
    </w:tblStylePr>
    <w:tblStylePr w:type="band1Horz">
      <w:tblPr/>
      <w:tcPr>
        <w:tcBorders>
          <w:top w:val="nil"/>
          <w:left w:val="nil"/>
          <w:bottom w:val="nil"/>
          <w:right w:val="nil"/>
          <w:insideH w:val="nil"/>
          <w:insideV w:val="nil"/>
        </w:tcBorders>
        <w:shd w:val="clear" w:color="auto" w:fill="1A1919" w:themeFill="text1" w:themeFillShade="BF"/>
      </w:tcPr>
    </w:tblStylePr>
  </w:style>
  <w:style w:type="table" w:styleId="DarkList-Accent1">
    <w:name w:val="Dark List Accent 1"/>
    <w:basedOn w:val="TableNormal"/>
    <w:uiPriority w:val="70"/>
    <w:semiHidden/>
    <w:rsid w:val="0058629F"/>
    <w:rPr>
      <w:color w:val="FFFFFF" w:themeColor="background1"/>
    </w:rPr>
    <w:tblPr>
      <w:tblStyleRowBandSize w:val="1"/>
      <w:tblStyleColBandSize w:val="1"/>
    </w:tblPr>
    <w:tcPr>
      <w:shd w:val="clear" w:color="auto" w:fill="004C97"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00254B"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387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3871" w:themeFill="accent1" w:themeFillShade="BF"/>
      </w:tcPr>
    </w:tblStylePr>
    <w:tblStylePr w:type="band1Vert">
      <w:tblPr/>
      <w:tcPr>
        <w:tcBorders>
          <w:top w:val="nil"/>
          <w:left w:val="nil"/>
          <w:bottom w:val="nil"/>
          <w:right w:val="nil"/>
          <w:insideH w:val="nil"/>
          <w:insideV w:val="nil"/>
        </w:tcBorders>
        <w:shd w:val="clear" w:color="auto" w:fill="003871" w:themeFill="accent1" w:themeFillShade="BF"/>
      </w:tcPr>
    </w:tblStylePr>
    <w:tblStylePr w:type="band1Horz">
      <w:tblPr/>
      <w:tcPr>
        <w:tcBorders>
          <w:top w:val="nil"/>
          <w:left w:val="nil"/>
          <w:bottom w:val="nil"/>
          <w:right w:val="nil"/>
          <w:insideH w:val="nil"/>
          <w:insideV w:val="nil"/>
        </w:tcBorders>
        <w:shd w:val="clear" w:color="auto" w:fill="003871" w:themeFill="accent1" w:themeFillShade="BF"/>
      </w:tcPr>
    </w:tblStylePr>
  </w:style>
  <w:style w:type="table" w:styleId="DarkList-Accent2">
    <w:name w:val="Dark List Accent 2"/>
    <w:basedOn w:val="TableNormal"/>
    <w:uiPriority w:val="70"/>
    <w:semiHidden/>
    <w:rsid w:val="0058629F"/>
    <w:rPr>
      <w:color w:val="FFFFFF" w:themeColor="background1"/>
    </w:rPr>
    <w:tblPr>
      <w:tblStyleRowBandSize w:val="1"/>
      <w:tblStyleColBandSize w:val="1"/>
    </w:tblPr>
    <w:tcPr>
      <w:shd w:val="clear" w:color="auto" w:fill="88DBDF"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26878C"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40C5CB"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40C5CB" w:themeFill="accent2" w:themeFillShade="BF"/>
      </w:tcPr>
    </w:tblStylePr>
    <w:tblStylePr w:type="band1Vert">
      <w:tblPr/>
      <w:tcPr>
        <w:tcBorders>
          <w:top w:val="nil"/>
          <w:left w:val="nil"/>
          <w:bottom w:val="nil"/>
          <w:right w:val="nil"/>
          <w:insideH w:val="nil"/>
          <w:insideV w:val="nil"/>
        </w:tcBorders>
        <w:shd w:val="clear" w:color="auto" w:fill="40C5CB" w:themeFill="accent2" w:themeFillShade="BF"/>
      </w:tcPr>
    </w:tblStylePr>
    <w:tblStylePr w:type="band1Horz">
      <w:tblPr/>
      <w:tcPr>
        <w:tcBorders>
          <w:top w:val="nil"/>
          <w:left w:val="nil"/>
          <w:bottom w:val="nil"/>
          <w:right w:val="nil"/>
          <w:insideH w:val="nil"/>
          <w:insideV w:val="nil"/>
        </w:tcBorders>
        <w:shd w:val="clear" w:color="auto" w:fill="40C5CB" w:themeFill="accent2" w:themeFillShade="BF"/>
      </w:tcPr>
    </w:tblStylePr>
  </w:style>
  <w:style w:type="table" w:styleId="DarkList-Accent3">
    <w:name w:val="Dark List Accent 3"/>
    <w:basedOn w:val="TableNormal"/>
    <w:uiPriority w:val="70"/>
    <w:semiHidden/>
    <w:rsid w:val="0058629F"/>
    <w:rPr>
      <w:color w:val="FFFFFF" w:themeColor="background1"/>
    </w:rPr>
    <w:tblPr>
      <w:tblStyleRowBandSize w:val="1"/>
      <w:tblStyleColBandSize w:val="1"/>
    </w:tblPr>
    <w:tcPr>
      <w:shd w:val="clear" w:color="auto" w:fill="00B2A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005853"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00857E"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00857E" w:themeFill="accent3" w:themeFillShade="BF"/>
      </w:tcPr>
    </w:tblStylePr>
    <w:tblStylePr w:type="band1Vert">
      <w:tblPr/>
      <w:tcPr>
        <w:tcBorders>
          <w:top w:val="nil"/>
          <w:left w:val="nil"/>
          <w:bottom w:val="nil"/>
          <w:right w:val="nil"/>
          <w:insideH w:val="nil"/>
          <w:insideV w:val="nil"/>
        </w:tcBorders>
        <w:shd w:val="clear" w:color="auto" w:fill="00857E" w:themeFill="accent3" w:themeFillShade="BF"/>
      </w:tcPr>
    </w:tblStylePr>
    <w:tblStylePr w:type="band1Horz">
      <w:tblPr/>
      <w:tcPr>
        <w:tcBorders>
          <w:top w:val="nil"/>
          <w:left w:val="nil"/>
          <w:bottom w:val="nil"/>
          <w:right w:val="nil"/>
          <w:insideH w:val="nil"/>
          <w:insideV w:val="nil"/>
        </w:tcBorders>
        <w:shd w:val="clear" w:color="auto" w:fill="00857E" w:themeFill="accent3" w:themeFillShade="BF"/>
      </w:tcPr>
    </w:tblStylePr>
  </w:style>
  <w:style w:type="table" w:styleId="DarkList-Accent4">
    <w:name w:val="Dark List Accent 4"/>
    <w:basedOn w:val="TableNormal"/>
    <w:uiPriority w:val="70"/>
    <w:semiHidden/>
    <w:rsid w:val="0058629F"/>
    <w:rPr>
      <w:color w:val="FFFFFF" w:themeColor="background1"/>
    </w:rPr>
    <w:tblPr>
      <w:tblStyleRowBandSize w:val="1"/>
      <w:tblStyleColBandSize w:val="1"/>
    </w:tblPr>
    <w:tcPr>
      <w:shd w:val="clear" w:color="auto" w:fill="201547"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0F0A23"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170F34"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170F34" w:themeFill="accent4" w:themeFillShade="BF"/>
      </w:tcPr>
    </w:tblStylePr>
    <w:tblStylePr w:type="band1Vert">
      <w:tblPr/>
      <w:tcPr>
        <w:tcBorders>
          <w:top w:val="nil"/>
          <w:left w:val="nil"/>
          <w:bottom w:val="nil"/>
          <w:right w:val="nil"/>
          <w:insideH w:val="nil"/>
          <w:insideV w:val="nil"/>
        </w:tcBorders>
        <w:shd w:val="clear" w:color="auto" w:fill="170F34" w:themeFill="accent4" w:themeFillShade="BF"/>
      </w:tcPr>
    </w:tblStylePr>
    <w:tblStylePr w:type="band1Horz">
      <w:tblPr/>
      <w:tcPr>
        <w:tcBorders>
          <w:top w:val="nil"/>
          <w:left w:val="nil"/>
          <w:bottom w:val="nil"/>
          <w:right w:val="nil"/>
          <w:insideH w:val="nil"/>
          <w:insideV w:val="nil"/>
        </w:tcBorders>
        <w:shd w:val="clear" w:color="auto" w:fill="170F34" w:themeFill="accent4" w:themeFillShade="BF"/>
      </w:tcPr>
    </w:tblStylePr>
  </w:style>
  <w:style w:type="table" w:styleId="DarkList-Accent5">
    <w:name w:val="Dark List Accent 5"/>
    <w:basedOn w:val="TableNormal"/>
    <w:uiPriority w:val="70"/>
    <w:semiHidden/>
    <w:rsid w:val="0058629F"/>
    <w:rPr>
      <w:color w:val="FFFFFF" w:themeColor="background1"/>
    </w:rPr>
    <w:tblPr>
      <w:tblStyleRowBandSize w:val="1"/>
      <w:tblStyleColBandSize w:val="1"/>
    </w:tblPr>
    <w:tcPr>
      <w:shd w:val="clear" w:color="auto" w:fill="6694C1"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2A4968"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F6E9C"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F6E9C" w:themeFill="accent5" w:themeFillShade="BF"/>
      </w:tcPr>
    </w:tblStylePr>
    <w:tblStylePr w:type="band1Vert">
      <w:tblPr/>
      <w:tcPr>
        <w:tcBorders>
          <w:top w:val="nil"/>
          <w:left w:val="nil"/>
          <w:bottom w:val="nil"/>
          <w:right w:val="nil"/>
          <w:insideH w:val="nil"/>
          <w:insideV w:val="nil"/>
        </w:tcBorders>
        <w:shd w:val="clear" w:color="auto" w:fill="3F6E9C" w:themeFill="accent5" w:themeFillShade="BF"/>
      </w:tcPr>
    </w:tblStylePr>
    <w:tblStylePr w:type="band1Horz">
      <w:tblPr/>
      <w:tcPr>
        <w:tcBorders>
          <w:top w:val="nil"/>
          <w:left w:val="nil"/>
          <w:bottom w:val="nil"/>
          <w:right w:val="nil"/>
          <w:insideH w:val="nil"/>
          <w:insideV w:val="nil"/>
        </w:tcBorders>
        <w:shd w:val="clear" w:color="auto" w:fill="3F6E9C" w:themeFill="accent5" w:themeFillShade="BF"/>
      </w:tcPr>
    </w:tblStylePr>
  </w:style>
  <w:style w:type="table" w:styleId="DarkList-Accent6">
    <w:name w:val="Dark List Accent 6"/>
    <w:basedOn w:val="TableNormal"/>
    <w:uiPriority w:val="70"/>
    <w:semiHidden/>
    <w:rsid w:val="0058629F"/>
    <w:rPr>
      <w:color w:val="FFFFFF" w:themeColor="background1"/>
    </w:rPr>
    <w:tblPr>
      <w:tblStyleRowBandSize w:val="1"/>
      <w:tblStyleColBandSize w:val="1"/>
    </w:tblPr>
    <w:tcPr>
      <w:shd w:val="clear" w:color="auto" w:fill="B8E9EC"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2C9DA4"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64CFD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64CFD5" w:themeFill="accent6" w:themeFillShade="BF"/>
      </w:tcPr>
    </w:tblStylePr>
    <w:tblStylePr w:type="band1Vert">
      <w:tblPr/>
      <w:tcPr>
        <w:tcBorders>
          <w:top w:val="nil"/>
          <w:left w:val="nil"/>
          <w:bottom w:val="nil"/>
          <w:right w:val="nil"/>
          <w:insideH w:val="nil"/>
          <w:insideV w:val="nil"/>
        </w:tcBorders>
        <w:shd w:val="clear" w:color="auto" w:fill="64CFD5" w:themeFill="accent6" w:themeFillShade="BF"/>
      </w:tcPr>
    </w:tblStylePr>
    <w:tblStylePr w:type="band1Horz">
      <w:tblPr/>
      <w:tcPr>
        <w:tcBorders>
          <w:top w:val="nil"/>
          <w:left w:val="nil"/>
          <w:bottom w:val="nil"/>
          <w:right w:val="nil"/>
          <w:insideH w:val="nil"/>
          <w:insideV w:val="nil"/>
        </w:tcBorders>
        <w:shd w:val="clear" w:color="auto" w:fill="64CFD5" w:themeFill="accent6" w:themeFillShade="BF"/>
      </w:tcPr>
    </w:tblStylePr>
  </w:style>
  <w:style w:type="table" w:styleId="GridTable1Light">
    <w:name w:val="Grid Table 1 Light"/>
    <w:basedOn w:val="TableNormal"/>
    <w:uiPriority w:val="46"/>
    <w:rsid w:val="0058629F"/>
    <w:tblPr>
      <w:tblStyleRowBandSize w:val="1"/>
      <w:tblStyleColBandSize w:val="1"/>
      <w:tblBorders>
        <w:top w:val="single" w:sz="4" w:space="0" w:color="A8A5A5" w:themeColor="text1" w:themeTint="66"/>
        <w:left w:val="single" w:sz="4" w:space="0" w:color="A8A5A5" w:themeColor="text1" w:themeTint="66"/>
        <w:bottom w:val="single" w:sz="4" w:space="0" w:color="A8A5A5" w:themeColor="text1" w:themeTint="66"/>
        <w:right w:val="single" w:sz="4" w:space="0" w:color="A8A5A5" w:themeColor="text1" w:themeTint="66"/>
        <w:insideH w:val="single" w:sz="4" w:space="0" w:color="A8A5A5" w:themeColor="text1" w:themeTint="66"/>
        <w:insideV w:val="single" w:sz="4" w:space="0" w:color="A8A5A5" w:themeColor="text1" w:themeTint="66"/>
      </w:tblBorders>
    </w:tblPr>
    <w:tblStylePr w:type="firstRow">
      <w:rPr>
        <w:b/>
        <w:bCs/>
      </w:rPr>
      <w:tblPr/>
      <w:tcPr>
        <w:tcBorders>
          <w:bottom w:val="single" w:sz="12" w:space="0" w:color="7C7979" w:themeColor="text1" w:themeTint="99"/>
        </w:tcBorders>
      </w:tcPr>
    </w:tblStylePr>
    <w:tblStylePr w:type="lastRow">
      <w:rPr>
        <w:b/>
        <w:bCs/>
      </w:rPr>
      <w:tblPr/>
      <w:tcPr>
        <w:tcBorders>
          <w:top w:val="double" w:sz="2" w:space="0" w:color="7C7979"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58629F"/>
    <w:tblPr>
      <w:tblStyleRowBandSize w:val="1"/>
      <w:tblStyleColBandSize w:val="1"/>
      <w:tblBorders>
        <w:top w:val="single" w:sz="4" w:space="0" w:color="6FB7FF" w:themeColor="accent1" w:themeTint="66"/>
        <w:left w:val="single" w:sz="4" w:space="0" w:color="6FB7FF" w:themeColor="accent1" w:themeTint="66"/>
        <w:bottom w:val="single" w:sz="4" w:space="0" w:color="6FB7FF" w:themeColor="accent1" w:themeTint="66"/>
        <w:right w:val="single" w:sz="4" w:space="0" w:color="6FB7FF" w:themeColor="accent1" w:themeTint="66"/>
        <w:insideH w:val="single" w:sz="4" w:space="0" w:color="6FB7FF" w:themeColor="accent1" w:themeTint="66"/>
        <w:insideV w:val="single" w:sz="4" w:space="0" w:color="6FB7FF" w:themeColor="accent1" w:themeTint="66"/>
      </w:tblBorders>
    </w:tblPr>
    <w:tblStylePr w:type="firstRow">
      <w:rPr>
        <w:b/>
        <w:bCs/>
      </w:rPr>
      <w:tblPr/>
      <w:tcPr>
        <w:tcBorders>
          <w:bottom w:val="single" w:sz="12" w:space="0" w:color="2793FF" w:themeColor="accent1" w:themeTint="99"/>
        </w:tcBorders>
      </w:tcPr>
    </w:tblStylePr>
    <w:tblStylePr w:type="lastRow">
      <w:rPr>
        <w:b/>
        <w:bCs/>
      </w:rPr>
      <w:tblPr/>
      <w:tcPr>
        <w:tcBorders>
          <w:top w:val="double" w:sz="2" w:space="0" w:color="2793FF"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58629F"/>
    <w:tblPr>
      <w:tblStyleRowBandSize w:val="1"/>
      <w:tblStyleColBandSize w:val="1"/>
      <w:tblBorders>
        <w:top w:val="single" w:sz="4" w:space="0" w:color="CFF0F2" w:themeColor="accent2" w:themeTint="66"/>
        <w:left w:val="single" w:sz="4" w:space="0" w:color="CFF0F2" w:themeColor="accent2" w:themeTint="66"/>
        <w:bottom w:val="single" w:sz="4" w:space="0" w:color="CFF0F2" w:themeColor="accent2" w:themeTint="66"/>
        <w:right w:val="single" w:sz="4" w:space="0" w:color="CFF0F2" w:themeColor="accent2" w:themeTint="66"/>
        <w:insideH w:val="single" w:sz="4" w:space="0" w:color="CFF0F2" w:themeColor="accent2" w:themeTint="66"/>
        <w:insideV w:val="single" w:sz="4" w:space="0" w:color="CFF0F2" w:themeColor="accent2" w:themeTint="66"/>
      </w:tblBorders>
    </w:tblPr>
    <w:tblStylePr w:type="firstRow">
      <w:rPr>
        <w:b/>
        <w:bCs/>
      </w:rPr>
      <w:tblPr/>
      <w:tcPr>
        <w:tcBorders>
          <w:bottom w:val="single" w:sz="12" w:space="0" w:color="B7E9EB" w:themeColor="accent2" w:themeTint="99"/>
        </w:tcBorders>
      </w:tcPr>
    </w:tblStylePr>
    <w:tblStylePr w:type="lastRow">
      <w:rPr>
        <w:b/>
        <w:bCs/>
      </w:rPr>
      <w:tblPr/>
      <w:tcPr>
        <w:tcBorders>
          <w:top w:val="double" w:sz="2" w:space="0" w:color="B7E9EB"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58629F"/>
    <w:tblPr>
      <w:tblStyleRowBandSize w:val="1"/>
      <w:tblStyleColBandSize w:val="1"/>
      <w:tblBorders>
        <w:top w:val="single" w:sz="4" w:space="0" w:color="7AFFF8" w:themeColor="accent3" w:themeTint="66"/>
        <w:left w:val="single" w:sz="4" w:space="0" w:color="7AFFF8" w:themeColor="accent3" w:themeTint="66"/>
        <w:bottom w:val="single" w:sz="4" w:space="0" w:color="7AFFF8" w:themeColor="accent3" w:themeTint="66"/>
        <w:right w:val="single" w:sz="4" w:space="0" w:color="7AFFF8" w:themeColor="accent3" w:themeTint="66"/>
        <w:insideH w:val="single" w:sz="4" w:space="0" w:color="7AFFF8" w:themeColor="accent3" w:themeTint="66"/>
        <w:insideV w:val="single" w:sz="4" w:space="0" w:color="7AFFF8" w:themeColor="accent3" w:themeTint="66"/>
      </w:tblBorders>
    </w:tblPr>
    <w:tblStylePr w:type="firstRow">
      <w:rPr>
        <w:b/>
        <w:bCs/>
      </w:rPr>
      <w:tblPr/>
      <w:tcPr>
        <w:tcBorders>
          <w:bottom w:val="single" w:sz="12" w:space="0" w:color="37FFF4" w:themeColor="accent3" w:themeTint="99"/>
        </w:tcBorders>
      </w:tcPr>
    </w:tblStylePr>
    <w:tblStylePr w:type="lastRow">
      <w:rPr>
        <w:b/>
        <w:bCs/>
      </w:rPr>
      <w:tblPr/>
      <w:tcPr>
        <w:tcBorders>
          <w:top w:val="double" w:sz="2" w:space="0" w:color="37FFF4"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58629F"/>
    <w:tblPr>
      <w:tblStyleRowBandSize w:val="1"/>
      <w:tblStyleColBandSize w:val="1"/>
      <w:tblBorders>
        <w:top w:val="single" w:sz="4" w:space="0" w:color="917DD8" w:themeColor="accent4" w:themeTint="66"/>
        <w:left w:val="single" w:sz="4" w:space="0" w:color="917DD8" w:themeColor="accent4" w:themeTint="66"/>
        <w:bottom w:val="single" w:sz="4" w:space="0" w:color="917DD8" w:themeColor="accent4" w:themeTint="66"/>
        <w:right w:val="single" w:sz="4" w:space="0" w:color="917DD8" w:themeColor="accent4" w:themeTint="66"/>
        <w:insideH w:val="single" w:sz="4" w:space="0" w:color="917DD8" w:themeColor="accent4" w:themeTint="66"/>
        <w:insideV w:val="single" w:sz="4" w:space="0" w:color="917DD8" w:themeColor="accent4" w:themeTint="66"/>
      </w:tblBorders>
    </w:tblPr>
    <w:tblStylePr w:type="firstRow">
      <w:rPr>
        <w:b/>
        <w:bCs/>
      </w:rPr>
      <w:tblPr/>
      <w:tcPr>
        <w:tcBorders>
          <w:bottom w:val="single" w:sz="12" w:space="0" w:color="5B3DC5" w:themeColor="accent4" w:themeTint="99"/>
        </w:tcBorders>
      </w:tcPr>
    </w:tblStylePr>
    <w:tblStylePr w:type="lastRow">
      <w:rPr>
        <w:b/>
        <w:bCs/>
      </w:rPr>
      <w:tblPr/>
      <w:tcPr>
        <w:tcBorders>
          <w:top w:val="double" w:sz="2" w:space="0" w:color="5B3DC5"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58629F"/>
    <w:tblPr>
      <w:tblStyleRowBandSize w:val="1"/>
      <w:tblStyleColBandSize w:val="1"/>
      <w:tblBorders>
        <w:top w:val="single" w:sz="4" w:space="0" w:color="C1D4E6" w:themeColor="accent5" w:themeTint="66"/>
        <w:left w:val="single" w:sz="4" w:space="0" w:color="C1D4E6" w:themeColor="accent5" w:themeTint="66"/>
        <w:bottom w:val="single" w:sz="4" w:space="0" w:color="C1D4E6" w:themeColor="accent5" w:themeTint="66"/>
        <w:right w:val="single" w:sz="4" w:space="0" w:color="C1D4E6" w:themeColor="accent5" w:themeTint="66"/>
        <w:insideH w:val="single" w:sz="4" w:space="0" w:color="C1D4E6" w:themeColor="accent5" w:themeTint="66"/>
        <w:insideV w:val="single" w:sz="4" w:space="0" w:color="C1D4E6" w:themeColor="accent5" w:themeTint="66"/>
      </w:tblBorders>
    </w:tblPr>
    <w:tblStylePr w:type="firstRow">
      <w:rPr>
        <w:b/>
        <w:bCs/>
      </w:rPr>
      <w:tblPr/>
      <w:tcPr>
        <w:tcBorders>
          <w:bottom w:val="single" w:sz="12" w:space="0" w:color="A3BED9" w:themeColor="accent5" w:themeTint="99"/>
        </w:tcBorders>
      </w:tcPr>
    </w:tblStylePr>
    <w:tblStylePr w:type="lastRow">
      <w:rPr>
        <w:b/>
        <w:bCs/>
      </w:rPr>
      <w:tblPr/>
      <w:tcPr>
        <w:tcBorders>
          <w:top w:val="double" w:sz="2" w:space="0" w:color="A3BED9"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58629F"/>
    <w:tblPr>
      <w:tblStyleRowBandSize w:val="1"/>
      <w:tblStyleColBandSize w:val="1"/>
      <w:tblBorders>
        <w:top w:val="single" w:sz="4" w:space="0" w:color="E2F6F7" w:themeColor="accent6" w:themeTint="66"/>
        <w:left w:val="single" w:sz="4" w:space="0" w:color="E2F6F7" w:themeColor="accent6" w:themeTint="66"/>
        <w:bottom w:val="single" w:sz="4" w:space="0" w:color="E2F6F7" w:themeColor="accent6" w:themeTint="66"/>
        <w:right w:val="single" w:sz="4" w:space="0" w:color="E2F6F7" w:themeColor="accent6" w:themeTint="66"/>
        <w:insideH w:val="single" w:sz="4" w:space="0" w:color="E2F6F7" w:themeColor="accent6" w:themeTint="66"/>
        <w:insideV w:val="single" w:sz="4" w:space="0" w:color="E2F6F7" w:themeColor="accent6" w:themeTint="66"/>
      </w:tblBorders>
    </w:tblPr>
    <w:tblStylePr w:type="firstRow">
      <w:rPr>
        <w:b/>
        <w:bCs/>
      </w:rPr>
      <w:tblPr/>
      <w:tcPr>
        <w:tcBorders>
          <w:bottom w:val="single" w:sz="12" w:space="0" w:color="D4F1F3" w:themeColor="accent6" w:themeTint="99"/>
        </w:tcBorders>
      </w:tcPr>
    </w:tblStylePr>
    <w:tblStylePr w:type="lastRow">
      <w:rPr>
        <w:b/>
        <w:bCs/>
      </w:rPr>
      <w:tblPr/>
      <w:tcPr>
        <w:tcBorders>
          <w:top w:val="double" w:sz="2" w:space="0" w:color="D4F1F3"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58629F"/>
    <w:tblPr>
      <w:tblStyleRowBandSize w:val="1"/>
      <w:tblStyleColBandSize w:val="1"/>
      <w:tblBorders>
        <w:top w:val="single" w:sz="2" w:space="0" w:color="7C7979" w:themeColor="text1" w:themeTint="99"/>
        <w:bottom w:val="single" w:sz="2" w:space="0" w:color="7C7979" w:themeColor="text1" w:themeTint="99"/>
        <w:insideH w:val="single" w:sz="2" w:space="0" w:color="7C7979" w:themeColor="text1" w:themeTint="99"/>
        <w:insideV w:val="single" w:sz="2" w:space="0" w:color="7C7979" w:themeColor="text1" w:themeTint="99"/>
      </w:tblBorders>
    </w:tblPr>
    <w:tblStylePr w:type="firstRow">
      <w:rPr>
        <w:b/>
        <w:bCs/>
      </w:rPr>
      <w:tblPr/>
      <w:tcPr>
        <w:tcBorders>
          <w:top w:val="nil"/>
          <w:bottom w:val="single" w:sz="12" w:space="0" w:color="7C7979" w:themeColor="text1" w:themeTint="99"/>
          <w:insideH w:val="nil"/>
          <w:insideV w:val="nil"/>
        </w:tcBorders>
        <w:shd w:val="clear" w:color="auto" w:fill="FFFFFF" w:themeFill="background1"/>
      </w:tcPr>
    </w:tblStylePr>
    <w:tblStylePr w:type="lastRow">
      <w:rPr>
        <w:b/>
        <w:bCs/>
      </w:rPr>
      <w:tblPr/>
      <w:tcPr>
        <w:tcBorders>
          <w:top w:val="double" w:sz="2" w:space="0" w:color="7C7979"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2-Accent1">
    <w:name w:val="Grid Table 2 Accent 1"/>
    <w:basedOn w:val="TableNormal"/>
    <w:uiPriority w:val="47"/>
    <w:rsid w:val="0058629F"/>
    <w:tblPr>
      <w:tblStyleRowBandSize w:val="1"/>
      <w:tblStyleColBandSize w:val="1"/>
      <w:tblBorders>
        <w:top w:val="single" w:sz="2" w:space="0" w:color="2793FF" w:themeColor="accent1" w:themeTint="99"/>
        <w:bottom w:val="single" w:sz="2" w:space="0" w:color="2793FF" w:themeColor="accent1" w:themeTint="99"/>
        <w:insideH w:val="single" w:sz="2" w:space="0" w:color="2793FF" w:themeColor="accent1" w:themeTint="99"/>
        <w:insideV w:val="single" w:sz="2" w:space="0" w:color="2793FF" w:themeColor="accent1" w:themeTint="99"/>
      </w:tblBorders>
    </w:tblPr>
    <w:tblStylePr w:type="firstRow">
      <w:rPr>
        <w:b/>
        <w:bCs/>
      </w:rPr>
      <w:tblPr/>
      <w:tcPr>
        <w:tcBorders>
          <w:top w:val="nil"/>
          <w:bottom w:val="single" w:sz="12" w:space="0" w:color="2793FF" w:themeColor="accent1" w:themeTint="99"/>
          <w:insideH w:val="nil"/>
          <w:insideV w:val="nil"/>
        </w:tcBorders>
        <w:shd w:val="clear" w:color="auto" w:fill="FFFFFF" w:themeFill="background1"/>
      </w:tcPr>
    </w:tblStylePr>
    <w:tblStylePr w:type="lastRow">
      <w:rPr>
        <w:b/>
        <w:bCs/>
      </w:rPr>
      <w:tblPr/>
      <w:tcPr>
        <w:tcBorders>
          <w:top w:val="double" w:sz="2" w:space="0" w:color="2793F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GridTable2-Accent2">
    <w:name w:val="Grid Table 2 Accent 2"/>
    <w:basedOn w:val="TableNormal"/>
    <w:uiPriority w:val="47"/>
    <w:rsid w:val="0058629F"/>
    <w:tblPr>
      <w:tblStyleRowBandSize w:val="1"/>
      <w:tblStyleColBandSize w:val="1"/>
      <w:tblBorders>
        <w:top w:val="single" w:sz="2" w:space="0" w:color="B7E9EB" w:themeColor="accent2" w:themeTint="99"/>
        <w:bottom w:val="single" w:sz="2" w:space="0" w:color="B7E9EB" w:themeColor="accent2" w:themeTint="99"/>
        <w:insideH w:val="single" w:sz="2" w:space="0" w:color="B7E9EB" w:themeColor="accent2" w:themeTint="99"/>
        <w:insideV w:val="single" w:sz="2" w:space="0" w:color="B7E9EB" w:themeColor="accent2" w:themeTint="99"/>
      </w:tblBorders>
    </w:tblPr>
    <w:tblStylePr w:type="firstRow">
      <w:rPr>
        <w:b/>
        <w:bCs/>
      </w:rPr>
      <w:tblPr/>
      <w:tcPr>
        <w:tcBorders>
          <w:top w:val="nil"/>
          <w:bottom w:val="single" w:sz="12" w:space="0" w:color="B7E9EB" w:themeColor="accent2" w:themeTint="99"/>
          <w:insideH w:val="nil"/>
          <w:insideV w:val="nil"/>
        </w:tcBorders>
        <w:shd w:val="clear" w:color="auto" w:fill="FFFFFF" w:themeFill="background1"/>
      </w:tcPr>
    </w:tblStylePr>
    <w:tblStylePr w:type="lastRow">
      <w:rPr>
        <w:b/>
        <w:bCs/>
      </w:rPr>
      <w:tblPr/>
      <w:tcPr>
        <w:tcBorders>
          <w:top w:val="double" w:sz="2" w:space="0" w:color="B7E9EB"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GridTable2-Accent3">
    <w:name w:val="Grid Table 2 Accent 3"/>
    <w:basedOn w:val="TableNormal"/>
    <w:uiPriority w:val="47"/>
    <w:rsid w:val="0058629F"/>
    <w:tblPr>
      <w:tblStyleRowBandSize w:val="1"/>
      <w:tblStyleColBandSize w:val="1"/>
      <w:tblBorders>
        <w:top w:val="single" w:sz="2" w:space="0" w:color="37FFF4" w:themeColor="accent3" w:themeTint="99"/>
        <w:bottom w:val="single" w:sz="2" w:space="0" w:color="37FFF4" w:themeColor="accent3" w:themeTint="99"/>
        <w:insideH w:val="single" w:sz="2" w:space="0" w:color="37FFF4" w:themeColor="accent3" w:themeTint="99"/>
        <w:insideV w:val="single" w:sz="2" w:space="0" w:color="37FFF4" w:themeColor="accent3" w:themeTint="99"/>
      </w:tblBorders>
    </w:tblPr>
    <w:tblStylePr w:type="firstRow">
      <w:rPr>
        <w:b/>
        <w:bCs/>
      </w:rPr>
      <w:tblPr/>
      <w:tcPr>
        <w:tcBorders>
          <w:top w:val="nil"/>
          <w:bottom w:val="single" w:sz="12" w:space="0" w:color="37FFF4" w:themeColor="accent3" w:themeTint="99"/>
          <w:insideH w:val="nil"/>
          <w:insideV w:val="nil"/>
        </w:tcBorders>
        <w:shd w:val="clear" w:color="auto" w:fill="FFFFFF" w:themeFill="background1"/>
      </w:tcPr>
    </w:tblStylePr>
    <w:tblStylePr w:type="lastRow">
      <w:rPr>
        <w:b/>
        <w:bCs/>
      </w:rPr>
      <w:tblPr/>
      <w:tcPr>
        <w:tcBorders>
          <w:top w:val="double" w:sz="2" w:space="0" w:color="37FFF4"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2-Accent4">
    <w:name w:val="Grid Table 2 Accent 4"/>
    <w:basedOn w:val="TableNormal"/>
    <w:uiPriority w:val="47"/>
    <w:rsid w:val="0058629F"/>
    <w:tblPr>
      <w:tblStyleRowBandSize w:val="1"/>
      <w:tblStyleColBandSize w:val="1"/>
      <w:tblBorders>
        <w:top w:val="single" w:sz="2" w:space="0" w:color="5B3DC5" w:themeColor="accent4" w:themeTint="99"/>
        <w:bottom w:val="single" w:sz="2" w:space="0" w:color="5B3DC5" w:themeColor="accent4" w:themeTint="99"/>
        <w:insideH w:val="single" w:sz="2" w:space="0" w:color="5B3DC5" w:themeColor="accent4" w:themeTint="99"/>
        <w:insideV w:val="single" w:sz="2" w:space="0" w:color="5B3DC5" w:themeColor="accent4" w:themeTint="99"/>
      </w:tblBorders>
    </w:tblPr>
    <w:tblStylePr w:type="firstRow">
      <w:rPr>
        <w:b/>
        <w:bCs/>
      </w:rPr>
      <w:tblPr/>
      <w:tcPr>
        <w:tcBorders>
          <w:top w:val="nil"/>
          <w:bottom w:val="single" w:sz="12" w:space="0" w:color="5B3DC5" w:themeColor="accent4" w:themeTint="99"/>
          <w:insideH w:val="nil"/>
          <w:insideV w:val="nil"/>
        </w:tcBorders>
        <w:shd w:val="clear" w:color="auto" w:fill="FFFFFF" w:themeFill="background1"/>
      </w:tcPr>
    </w:tblStylePr>
    <w:tblStylePr w:type="lastRow">
      <w:rPr>
        <w:b/>
        <w:bCs/>
      </w:rPr>
      <w:tblPr/>
      <w:tcPr>
        <w:tcBorders>
          <w:top w:val="double" w:sz="2" w:space="0" w:color="5B3DC5"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2-Accent5">
    <w:name w:val="Grid Table 2 Accent 5"/>
    <w:basedOn w:val="TableNormal"/>
    <w:uiPriority w:val="47"/>
    <w:rsid w:val="0058629F"/>
    <w:tblPr>
      <w:tblStyleRowBandSize w:val="1"/>
      <w:tblStyleColBandSize w:val="1"/>
      <w:tblBorders>
        <w:top w:val="single" w:sz="2" w:space="0" w:color="A3BED9" w:themeColor="accent5" w:themeTint="99"/>
        <w:bottom w:val="single" w:sz="2" w:space="0" w:color="A3BED9" w:themeColor="accent5" w:themeTint="99"/>
        <w:insideH w:val="single" w:sz="2" w:space="0" w:color="A3BED9" w:themeColor="accent5" w:themeTint="99"/>
        <w:insideV w:val="single" w:sz="2" w:space="0" w:color="A3BED9" w:themeColor="accent5" w:themeTint="99"/>
      </w:tblBorders>
    </w:tblPr>
    <w:tblStylePr w:type="firstRow">
      <w:rPr>
        <w:b/>
        <w:bCs/>
      </w:rPr>
      <w:tblPr/>
      <w:tcPr>
        <w:tcBorders>
          <w:top w:val="nil"/>
          <w:bottom w:val="single" w:sz="12" w:space="0" w:color="A3BED9" w:themeColor="accent5" w:themeTint="99"/>
          <w:insideH w:val="nil"/>
          <w:insideV w:val="nil"/>
        </w:tcBorders>
        <w:shd w:val="clear" w:color="auto" w:fill="FFFFFF" w:themeFill="background1"/>
      </w:tcPr>
    </w:tblStylePr>
    <w:tblStylePr w:type="lastRow">
      <w:rPr>
        <w:b/>
        <w:bCs/>
      </w:rPr>
      <w:tblPr/>
      <w:tcPr>
        <w:tcBorders>
          <w:top w:val="double" w:sz="2" w:space="0" w:color="A3BED9"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GridTable2-Accent6">
    <w:name w:val="Grid Table 2 Accent 6"/>
    <w:basedOn w:val="TableNormal"/>
    <w:uiPriority w:val="47"/>
    <w:rsid w:val="0058629F"/>
    <w:tblPr>
      <w:tblStyleRowBandSize w:val="1"/>
      <w:tblStyleColBandSize w:val="1"/>
      <w:tblBorders>
        <w:top w:val="single" w:sz="2" w:space="0" w:color="D4F1F3" w:themeColor="accent6" w:themeTint="99"/>
        <w:bottom w:val="single" w:sz="2" w:space="0" w:color="D4F1F3" w:themeColor="accent6" w:themeTint="99"/>
        <w:insideH w:val="single" w:sz="2" w:space="0" w:color="D4F1F3" w:themeColor="accent6" w:themeTint="99"/>
        <w:insideV w:val="single" w:sz="2" w:space="0" w:color="D4F1F3" w:themeColor="accent6" w:themeTint="99"/>
      </w:tblBorders>
    </w:tblPr>
    <w:tblStylePr w:type="firstRow">
      <w:rPr>
        <w:b/>
        <w:bCs/>
      </w:rPr>
      <w:tblPr/>
      <w:tcPr>
        <w:tcBorders>
          <w:top w:val="nil"/>
          <w:bottom w:val="single" w:sz="12" w:space="0" w:color="D4F1F3" w:themeColor="accent6" w:themeTint="99"/>
          <w:insideH w:val="nil"/>
          <w:insideV w:val="nil"/>
        </w:tcBorders>
        <w:shd w:val="clear" w:color="auto" w:fill="FFFFFF" w:themeFill="background1"/>
      </w:tcPr>
    </w:tblStylePr>
    <w:tblStylePr w:type="lastRow">
      <w:rPr>
        <w:b/>
        <w:bCs/>
      </w:rPr>
      <w:tblPr/>
      <w:tcPr>
        <w:tcBorders>
          <w:top w:val="double" w:sz="2" w:space="0" w:color="D4F1F3"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GridTable3">
    <w:name w:val="Grid Table 3"/>
    <w:basedOn w:val="TableNormal"/>
    <w:uiPriority w:val="48"/>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bottom w:val="single" w:sz="4" w:space="0" w:color="7C7979" w:themeColor="text1" w:themeTint="99"/>
        </w:tcBorders>
      </w:tcPr>
    </w:tblStylePr>
    <w:tblStylePr w:type="nwCell">
      <w:tblPr/>
      <w:tcPr>
        <w:tcBorders>
          <w:bottom w:val="single" w:sz="4" w:space="0" w:color="7C7979" w:themeColor="text1" w:themeTint="99"/>
        </w:tcBorders>
      </w:tcPr>
    </w:tblStylePr>
    <w:tblStylePr w:type="seCell">
      <w:tblPr/>
      <w:tcPr>
        <w:tcBorders>
          <w:top w:val="single" w:sz="4" w:space="0" w:color="7C7979" w:themeColor="text1" w:themeTint="99"/>
        </w:tcBorders>
      </w:tcPr>
    </w:tblStylePr>
    <w:tblStylePr w:type="swCell">
      <w:tblPr/>
      <w:tcPr>
        <w:tcBorders>
          <w:top w:val="single" w:sz="4" w:space="0" w:color="7C7979" w:themeColor="text1" w:themeTint="99"/>
        </w:tcBorders>
      </w:tcPr>
    </w:tblStylePr>
  </w:style>
  <w:style w:type="table" w:styleId="GridTable3-Accent1">
    <w:name w:val="Grid Table 3 Accent 1"/>
    <w:basedOn w:val="TableNormal"/>
    <w:uiPriority w:val="48"/>
    <w:rsid w:val="0058629F"/>
    <w:tblPr>
      <w:tblStyleRowBandSize w:val="1"/>
      <w:tblStyleColBandSize w:val="1"/>
      <w:tblBorders>
        <w:top w:val="single" w:sz="4" w:space="0" w:color="2793FF" w:themeColor="accent1" w:themeTint="99"/>
        <w:left w:val="single" w:sz="4" w:space="0" w:color="2793FF" w:themeColor="accent1" w:themeTint="99"/>
        <w:bottom w:val="single" w:sz="4" w:space="0" w:color="2793FF" w:themeColor="accent1" w:themeTint="99"/>
        <w:right w:val="single" w:sz="4" w:space="0" w:color="2793FF" w:themeColor="accent1" w:themeTint="99"/>
        <w:insideH w:val="single" w:sz="4" w:space="0" w:color="2793FF" w:themeColor="accent1" w:themeTint="99"/>
        <w:insideV w:val="single" w:sz="4" w:space="0" w:color="2793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7DBFF" w:themeFill="accent1" w:themeFillTint="33"/>
      </w:tcPr>
    </w:tblStylePr>
    <w:tblStylePr w:type="band1Horz">
      <w:tblPr/>
      <w:tcPr>
        <w:shd w:val="clear" w:color="auto" w:fill="B7DBFF" w:themeFill="accent1" w:themeFillTint="33"/>
      </w:tcPr>
    </w:tblStylePr>
    <w:tblStylePr w:type="neCell">
      <w:tblPr/>
      <w:tcPr>
        <w:tcBorders>
          <w:bottom w:val="single" w:sz="4" w:space="0" w:color="2793FF" w:themeColor="accent1" w:themeTint="99"/>
        </w:tcBorders>
      </w:tcPr>
    </w:tblStylePr>
    <w:tblStylePr w:type="nwCell">
      <w:tblPr/>
      <w:tcPr>
        <w:tcBorders>
          <w:bottom w:val="single" w:sz="4" w:space="0" w:color="2793FF" w:themeColor="accent1" w:themeTint="99"/>
        </w:tcBorders>
      </w:tcPr>
    </w:tblStylePr>
    <w:tblStylePr w:type="seCell">
      <w:tblPr/>
      <w:tcPr>
        <w:tcBorders>
          <w:top w:val="single" w:sz="4" w:space="0" w:color="2793FF" w:themeColor="accent1" w:themeTint="99"/>
        </w:tcBorders>
      </w:tcPr>
    </w:tblStylePr>
    <w:tblStylePr w:type="swCell">
      <w:tblPr/>
      <w:tcPr>
        <w:tcBorders>
          <w:top w:val="single" w:sz="4" w:space="0" w:color="2793FF" w:themeColor="accent1" w:themeTint="99"/>
        </w:tcBorders>
      </w:tcPr>
    </w:tblStylePr>
  </w:style>
  <w:style w:type="table" w:styleId="GridTable3-Accent2">
    <w:name w:val="Grid Table 3 Accent 2"/>
    <w:basedOn w:val="TableNormal"/>
    <w:uiPriority w:val="48"/>
    <w:rsid w:val="0058629F"/>
    <w:tblPr>
      <w:tblStyleRowBandSize w:val="1"/>
      <w:tblStyleColBandSize w:val="1"/>
      <w:tblBorders>
        <w:top w:val="single" w:sz="4" w:space="0" w:color="B7E9EB" w:themeColor="accent2" w:themeTint="99"/>
        <w:left w:val="single" w:sz="4" w:space="0" w:color="B7E9EB" w:themeColor="accent2" w:themeTint="99"/>
        <w:bottom w:val="single" w:sz="4" w:space="0" w:color="B7E9EB" w:themeColor="accent2" w:themeTint="99"/>
        <w:right w:val="single" w:sz="4" w:space="0" w:color="B7E9EB" w:themeColor="accent2" w:themeTint="99"/>
        <w:insideH w:val="single" w:sz="4" w:space="0" w:color="B7E9EB" w:themeColor="accent2" w:themeTint="99"/>
        <w:insideV w:val="single" w:sz="4" w:space="0" w:color="B7E9EB"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7F8" w:themeFill="accent2" w:themeFillTint="33"/>
      </w:tcPr>
    </w:tblStylePr>
    <w:tblStylePr w:type="band1Horz">
      <w:tblPr/>
      <w:tcPr>
        <w:shd w:val="clear" w:color="auto" w:fill="E7F7F8" w:themeFill="accent2" w:themeFillTint="33"/>
      </w:tcPr>
    </w:tblStylePr>
    <w:tblStylePr w:type="neCell">
      <w:tblPr/>
      <w:tcPr>
        <w:tcBorders>
          <w:bottom w:val="single" w:sz="4" w:space="0" w:color="B7E9EB" w:themeColor="accent2" w:themeTint="99"/>
        </w:tcBorders>
      </w:tcPr>
    </w:tblStylePr>
    <w:tblStylePr w:type="nwCell">
      <w:tblPr/>
      <w:tcPr>
        <w:tcBorders>
          <w:bottom w:val="single" w:sz="4" w:space="0" w:color="B7E9EB" w:themeColor="accent2" w:themeTint="99"/>
        </w:tcBorders>
      </w:tcPr>
    </w:tblStylePr>
    <w:tblStylePr w:type="seCell">
      <w:tblPr/>
      <w:tcPr>
        <w:tcBorders>
          <w:top w:val="single" w:sz="4" w:space="0" w:color="B7E9EB" w:themeColor="accent2" w:themeTint="99"/>
        </w:tcBorders>
      </w:tcPr>
    </w:tblStylePr>
    <w:tblStylePr w:type="swCell">
      <w:tblPr/>
      <w:tcPr>
        <w:tcBorders>
          <w:top w:val="single" w:sz="4" w:space="0" w:color="B7E9EB" w:themeColor="accent2" w:themeTint="99"/>
        </w:tcBorders>
      </w:tcPr>
    </w:tblStylePr>
  </w:style>
  <w:style w:type="table" w:styleId="GridTable3-Accent3">
    <w:name w:val="Grid Table 3 Accent 3"/>
    <w:basedOn w:val="TableNormal"/>
    <w:uiPriority w:val="48"/>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bottom w:val="single" w:sz="4" w:space="0" w:color="37FFF4" w:themeColor="accent3" w:themeTint="99"/>
        </w:tcBorders>
      </w:tcPr>
    </w:tblStylePr>
    <w:tblStylePr w:type="nwCell">
      <w:tblPr/>
      <w:tcPr>
        <w:tcBorders>
          <w:bottom w:val="single" w:sz="4" w:space="0" w:color="37FFF4" w:themeColor="accent3" w:themeTint="99"/>
        </w:tcBorders>
      </w:tcPr>
    </w:tblStylePr>
    <w:tblStylePr w:type="seCell">
      <w:tblPr/>
      <w:tcPr>
        <w:tcBorders>
          <w:top w:val="single" w:sz="4" w:space="0" w:color="37FFF4" w:themeColor="accent3" w:themeTint="99"/>
        </w:tcBorders>
      </w:tcPr>
    </w:tblStylePr>
    <w:tblStylePr w:type="swCell">
      <w:tblPr/>
      <w:tcPr>
        <w:tcBorders>
          <w:top w:val="single" w:sz="4" w:space="0" w:color="37FFF4" w:themeColor="accent3" w:themeTint="99"/>
        </w:tcBorders>
      </w:tcPr>
    </w:tblStylePr>
  </w:style>
  <w:style w:type="table" w:styleId="GridTable3-Accent4">
    <w:name w:val="Grid Table 3 Accent 4"/>
    <w:basedOn w:val="TableNormal"/>
    <w:uiPriority w:val="48"/>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bottom w:val="single" w:sz="4" w:space="0" w:color="5B3DC5" w:themeColor="accent4" w:themeTint="99"/>
        </w:tcBorders>
      </w:tcPr>
    </w:tblStylePr>
    <w:tblStylePr w:type="nwCell">
      <w:tblPr/>
      <w:tcPr>
        <w:tcBorders>
          <w:bottom w:val="single" w:sz="4" w:space="0" w:color="5B3DC5" w:themeColor="accent4" w:themeTint="99"/>
        </w:tcBorders>
      </w:tcPr>
    </w:tblStylePr>
    <w:tblStylePr w:type="seCell">
      <w:tblPr/>
      <w:tcPr>
        <w:tcBorders>
          <w:top w:val="single" w:sz="4" w:space="0" w:color="5B3DC5" w:themeColor="accent4" w:themeTint="99"/>
        </w:tcBorders>
      </w:tcPr>
    </w:tblStylePr>
    <w:tblStylePr w:type="swCell">
      <w:tblPr/>
      <w:tcPr>
        <w:tcBorders>
          <w:top w:val="single" w:sz="4" w:space="0" w:color="5B3DC5" w:themeColor="accent4" w:themeTint="99"/>
        </w:tcBorders>
      </w:tcPr>
    </w:tblStylePr>
  </w:style>
  <w:style w:type="table" w:styleId="GridTable3-Accent5">
    <w:name w:val="Grid Table 3 Accent 5"/>
    <w:basedOn w:val="TableNormal"/>
    <w:uiPriority w:val="48"/>
    <w:rsid w:val="0058629F"/>
    <w:tblPr>
      <w:tblStyleRowBandSize w:val="1"/>
      <w:tblStyleColBandSize w:val="1"/>
      <w:tblBorders>
        <w:top w:val="single" w:sz="4" w:space="0" w:color="A3BED9" w:themeColor="accent5" w:themeTint="99"/>
        <w:left w:val="single" w:sz="4" w:space="0" w:color="A3BED9" w:themeColor="accent5" w:themeTint="99"/>
        <w:bottom w:val="single" w:sz="4" w:space="0" w:color="A3BED9" w:themeColor="accent5" w:themeTint="99"/>
        <w:right w:val="single" w:sz="4" w:space="0" w:color="A3BED9" w:themeColor="accent5" w:themeTint="99"/>
        <w:insideH w:val="single" w:sz="4" w:space="0" w:color="A3BED9" w:themeColor="accent5" w:themeTint="99"/>
        <w:insideV w:val="single" w:sz="4" w:space="0" w:color="A3BED9"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0E9F2" w:themeFill="accent5" w:themeFillTint="33"/>
      </w:tcPr>
    </w:tblStylePr>
    <w:tblStylePr w:type="band1Horz">
      <w:tblPr/>
      <w:tcPr>
        <w:shd w:val="clear" w:color="auto" w:fill="E0E9F2" w:themeFill="accent5" w:themeFillTint="33"/>
      </w:tcPr>
    </w:tblStylePr>
    <w:tblStylePr w:type="neCell">
      <w:tblPr/>
      <w:tcPr>
        <w:tcBorders>
          <w:bottom w:val="single" w:sz="4" w:space="0" w:color="A3BED9" w:themeColor="accent5" w:themeTint="99"/>
        </w:tcBorders>
      </w:tcPr>
    </w:tblStylePr>
    <w:tblStylePr w:type="nwCell">
      <w:tblPr/>
      <w:tcPr>
        <w:tcBorders>
          <w:bottom w:val="single" w:sz="4" w:space="0" w:color="A3BED9" w:themeColor="accent5" w:themeTint="99"/>
        </w:tcBorders>
      </w:tcPr>
    </w:tblStylePr>
    <w:tblStylePr w:type="seCell">
      <w:tblPr/>
      <w:tcPr>
        <w:tcBorders>
          <w:top w:val="single" w:sz="4" w:space="0" w:color="A3BED9" w:themeColor="accent5" w:themeTint="99"/>
        </w:tcBorders>
      </w:tcPr>
    </w:tblStylePr>
    <w:tblStylePr w:type="swCell">
      <w:tblPr/>
      <w:tcPr>
        <w:tcBorders>
          <w:top w:val="single" w:sz="4" w:space="0" w:color="A3BED9" w:themeColor="accent5" w:themeTint="99"/>
        </w:tcBorders>
      </w:tcPr>
    </w:tblStylePr>
  </w:style>
  <w:style w:type="table" w:styleId="GridTable3-Accent6">
    <w:name w:val="Grid Table 3 Accent 6"/>
    <w:basedOn w:val="TableNormal"/>
    <w:uiPriority w:val="48"/>
    <w:rsid w:val="0058629F"/>
    <w:tblPr>
      <w:tblStyleRowBandSize w:val="1"/>
      <w:tblStyleColBandSize w:val="1"/>
      <w:tblBorders>
        <w:top w:val="single" w:sz="4" w:space="0" w:color="D4F1F3" w:themeColor="accent6" w:themeTint="99"/>
        <w:left w:val="single" w:sz="4" w:space="0" w:color="D4F1F3" w:themeColor="accent6" w:themeTint="99"/>
        <w:bottom w:val="single" w:sz="4" w:space="0" w:color="D4F1F3" w:themeColor="accent6" w:themeTint="99"/>
        <w:right w:val="single" w:sz="4" w:space="0" w:color="D4F1F3" w:themeColor="accent6" w:themeTint="99"/>
        <w:insideH w:val="single" w:sz="4" w:space="0" w:color="D4F1F3" w:themeColor="accent6" w:themeTint="99"/>
        <w:insideV w:val="single" w:sz="4" w:space="0" w:color="D4F1F3"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0FAFB" w:themeFill="accent6" w:themeFillTint="33"/>
      </w:tcPr>
    </w:tblStylePr>
    <w:tblStylePr w:type="band1Horz">
      <w:tblPr/>
      <w:tcPr>
        <w:shd w:val="clear" w:color="auto" w:fill="F0FAFB" w:themeFill="accent6" w:themeFillTint="33"/>
      </w:tcPr>
    </w:tblStylePr>
    <w:tblStylePr w:type="neCell">
      <w:tblPr/>
      <w:tcPr>
        <w:tcBorders>
          <w:bottom w:val="single" w:sz="4" w:space="0" w:color="D4F1F3" w:themeColor="accent6" w:themeTint="99"/>
        </w:tcBorders>
      </w:tcPr>
    </w:tblStylePr>
    <w:tblStylePr w:type="nwCell">
      <w:tblPr/>
      <w:tcPr>
        <w:tcBorders>
          <w:bottom w:val="single" w:sz="4" w:space="0" w:color="D4F1F3" w:themeColor="accent6" w:themeTint="99"/>
        </w:tcBorders>
      </w:tcPr>
    </w:tblStylePr>
    <w:tblStylePr w:type="seCell">
      <w:tblPr/>
      <w:tcPr>
        <w:tcBorders>
          <w:top w:val="single" w:sz="4" w:space="0" w:color="D4F1F3" w:themeColor="accent6" w:themeTint="99"/>
        </w:tcBorders>
      </w:tcPr>
    </w:tblStylePr>
    <w:tblStylePr w:type="swCell">
      <w:tblPr/>
      <w:tcPr>
        <w:tcBorders>
          <w:top w:val="single" w:sz="4" w:space="0" w:color="D4F1F3" w:themeColor="accent6" w:themeTint="99"/>
        </w:tcBorders>
      </w:tcPr>
    </w:tblStylePr>
  </w:style>
  <w:style w:type="table" w:styleId="GridTable4">
    <w:name w:val="Grid Table 4"/>
    <w:basedOn w:val="TableNormal"/>
    <w:uiPriority w:val="49"/>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color w:val="FFFFFF" w:themeColor="background1"/>
      </w:rPr>
      <w:tblPr/>
      <w:tcPr>
        <w:tcBorders>
          <w:top w:val="single" w:sz="4" w:space="0" w:color="232222" w:themeColor="text1"/>
          <w:left w:val="single" w:sz="4" w:space="0" w:color="232222" w:themeColor="text1"/>
          <w:bottom w:val="single" w:sz="4" w:space="0" w:color="232222" w:themeColor="text1"/>
          <w:right w:val="single" w:sz="4" w:space="0" w:color="232222" w:themeColor="text1"/>
          <w:insideH w:val="nil"/>
          <w:insideV w:val="nil"/>
        </w:tcBorders>
        <w:shd w:val="clear" w:color="auto" w:fill="232222" w:themeFill="text1"/>
      </w:tcPr>
    </w:tblStylePr>
    <w:tblStylePr w:type="lastRow">
      <w:rPr>
        <w:b/>
        <w:bCs/>
      </w:rPr>
      <w:tblPr/>
      <w:tcPr>
        <w:tcBorders>
          <w:top w:val="double" w:sz="4" w:space="0" w:color="232222" w:themeColor="text1"/>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4-Accent1">
    <w:name w:val="Grid Table 4 Accent 1"/>
    <w:basedOn w:val="TableNormal"/>
    <w:uiPriority w:val="49"/>
    <w:rsid w:val="0058629F"/>
    <w:tblPr>
      <w:tblStyleRowBandSize w:val="1"/>
      <w:tblStyleColBandSize w:val="1"/>
      <w:tblBorders>
        <w:top w:val="single" w:sz="4" w:space="0" w:color="2793FF" w:themeColor="accent1" w:themeTint="99"/>
        <w:left w:val="single" w:sz="4" w:space="0" w:color="2793FF" w:themeColor="accent1" w:themeTint="99"/>
        <w:bottom w:val="single" w:sz="4" w:space="0" w:color="2793FF" w:themeColor="accent1" w:themeTint="99"/>
        <w:right w:val="single" w:sz="4" w:space="0" w:color="2793FF" w:themeColor="accent1" w:themeTint="99"/>
        <w:insideH w:val="single" w:sz="4" w:space="0" w:color="2793FF" w:themeColor="accent1" w:themeTint="99"/>
        <w:insideV w:val="single" w:sz="4" w:space="0" w:color="2793FF" w:themeColor="accent1" w:themeTint="99"/>
      </w:tblBorders>
    </w:tblPr>
    <w:tblStylePr w:type="firstRow">
      <w:rPr>
        <w:b/>
        <w:bCs/>
        <w:color w:val="FFFFFF" w:themeColor="background1"/>
      </w:rPr>
      <w:tblPr/>
      <w:tcPr>
        <w:tcBorders>
          <w:top w:val="single" w:sz="4" w:space="0" w:color="004C97" w:themeColor="accent1"/>
          <w:left w:val="single" w:sz="4" w:space="0" w:color="004C97" w:themeColor="accent1"/>
          <w:bottom w:val="single" w:sz="4" w:space="0" w:color="004C97" w:themeColor="accent1"/>
          <w:right w:val="single" w:sz="4" w:space="0" w:color="004C97" w:themeColor="accent1"/>
          <w:insideH w:val="nil"/>
          <w:insideV w:val="nil"/>
        </w:tcBorders>
        <w:shd w:val="clear" w:color="auto" w:fill="004C97" w:themeFill="accent1"/>
      </w:tcPr>
    </w:tblStylePr>
    <w:tblStylePr w:type="lastRow">
      <w:rPr>
        <w:b/>
        <w:bCs/>
      </w:rPr>
      <w:tblPr/>
      <w:tcPr>
        <w:tcBorders>
          <w:top w:val="double" w:sz="4" w:space="0" w:color="004C97" w:themeColor="accent1"/>
        </w:tcBorders>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GridTable4-Accent2">
    <w:name w:val="Grid Table 4 Accent 2"/>
    <w:basedOn w:val="TableNormal"/>
    <w:uiPriority w:val="49"/>
    <w:rsid w:val="0058629F"/>
    <w:tblPr>
      <w:tblStyleRowBandSize w:val="1"/>
      <w:tblStyleColBandSize w:val="1"/>
      <w:tblBorders>
        <w:top w:val="single" w:sz="4" w:space="0" w:color="B7E9EB" w:themeColor="accent2" w:themeTint="99"/>
        <w:left w:val="single" w:sz="4" w:space="0" w:color="B7E9EB" w:themeColor="accent2" w:themeTint="99"/>
        <w:bottom w:val="single" w:sz="4" w:space="0" w:color="B7E9EB" w:themeColor="accent2" w:themeTint="99"/>
        <w:right w:val="single" w:sz="4" w:space="0" w:color="B7E9EB" w:themeColor="accent2" w:themeTint="99"/>
        <w:insideH w:val="single" w:sz="4" w:space="0" w:color="B7E9EB" w:themeColor="accent2" w:themeTint="99"/>
        <w:insideV w:val="single" w:sz="4" w:space="0" w:color="B7E9EB" w:themeColor="accent2" w:themeTint="99"/>
      </w:tblBorders>
    </w:tblPr>
    <w:tblStylePr w:type="firstRow">
      <w:rPr>
        <w:b/>
        <w:bCs/>
        <w:color w:val="FFFFFF" w:themeColor="background1"/>
      </w:rPr>
      <w:tblPr/>
      <w:tcPr>
        <w:tcBorders>
          <w:top w:val="single" w:sz="4" w:space="0" w:color="88DBDF" w:themeColor="accent2"/>
          <w:left w:val="single" w:sz="4" w:space="0" w:color="88DBDF" w:themeColor="accent2"/>
          <w:bottom w:val="single" w:sz="4" w:space="0" w:color="88DBDF" w:themeColor="accent2"/>
          <w:right w:val="single" w:sz="4" w:space="0" w:color="88DBDF" w:themeColor="accent2"/>
          <w:insideH w:val="nil"/>
          <w:insideV w:val="nil"/>
        </w:tcBorders>
        <w:shd w:val="clear" w:color="auto" w:fill="88DBDF" w:themeFill="accent2"/>
      </w:tcPr>
    </w:tblStylePr>
    <w:tblStylePr w:type="lastRow">
      <w:rPr>
        <w:b/>
        <w:bCs/>
      </w:rPr>
      <w:tblPr/>
      <w:tcPr>
        <w:tcBorders>
          <w:top w:val="double" w:sz="4" w:space="0" w:color="88DBDF" w:themeColor="accent2"/>
        </w:tcBorders>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GridTable4-Accent3">
    <w:name w:val="Grid Table 4 Accent 3"/>
    <w:basedOn w:val="TableNormal"/>
    <w:uiPriority w:val="49"/>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color w:val="FFFFFF" w:themeColor="background1"/>
      </w:rPr>
      <w:tblPr/>
      <w:tcPr>
        <w:tcBorders>
          <w:top w:val="single" w:sz="4" w:space="0" w:color="00B2A9" w:themeColor="accent3"/>
          <w:left w:val="single" w:sz="4" w:space="0" w:color="00B2A9" w:themeColor="accent3"/>
          <w:bottom w:val="single" w:sz="4" w:space="0" w:color="00B2A9" w:themeColor="accent3"/>
          <w:right w:val="single" w:sz="4" w:space="0" w:color="00B2A9" w:themeColor="accent3"/>
          <w:insideH w:val="nil"/>
          <w:insideV w:val="nil"/>
        </w:tcBorders>
        <w:shd w:val="clear" w:color="auto" w:fill="00B2A9" w:themeFill="accent3"/>
      </w:tcPr>
    </w:tblStylePr>
    <w:tblStylePr w:type="lastRow">
      <w:rPr>
        <w:b/>
        <w:bCs/>
      </w:rPr>
      <w:tblPr/>
      <w:tcPr>
        <w:tcBorders>
          <w:top w:val="double" w:sz="4" w:space="0" w:color="00B2A9" w:themeColor="accent3"/>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4-Accent4">
    <w:name w:val="Grid Table 4 Accent 4"/>
    <w:basedOn w:val="TableNormal"/>
    <w:uiPriority w:val="49"/>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color w:val="FFFFFF" w:themeColor="background1"/>
      </w:rPr>
      <w:tblPr/>
      <w:tcPr>
        <w:tcBorders>
          <w:top w:val="single" w:sz="4" w:space="0" w:color="201547" w:themeColor="accent4"/>
          <w:left w:val="single" w:sz="4" w:space="0" w:color="201547" w:themeColor="accent4"/>
          <w:bottom w:val="single" w:sz="4" w:space="0" w:color="201547" w:themeColor="accent4"/>
          <w:right w:val="single" w:sz="4" w:space="0" w:color="201547" w:themeColor="accent4"/>
          <w:insideH w:val="nil"/>
          <w:insideV w:val="nil"/>
        </w:tcBorders>
        <w:shd w:val="clear" w:color="auto" w:fill="201547" w:themeFill="accent4"/>
      </w:tcPr>
    </w:tblStylePr>
    <w:tblStylePr w:type="lastRow">
      <w:rPr>
        <w:b/>
        <w:bCs/>
      </w:rPr>
      <w:tblPr/>
      <w:tcPr>
        <w:tcBorders>
          <w:top w:val="double" w:sz="4" w:space="0" w:color="201547" w:themeColor="accent4"/>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4-Accent5">
    <w:name w:val="Grid Table 4 Accent 5"/>
    <w:basedOn w:val="TableNormal"/>
    <w:uiPriority w:val="49"/>
    <w:rsid w:val="0058629F"/>
    <w:tblPr>
      <w:tblStyleRowBandSize w:val="1"/>
      <w:tblStyleColBandSize w:val="1"/>
      <w:tblBorders>
        <w:top w:val="single" w:sz="4" w:space="0" w:color="A3BED9" w:themeColor="accent5" w:themeTint="99"/>
        <w:left w:val="single" w:sz="4" w:space="0" w:color="A3BED9" w:themeColor="accent5" w:themeTint="99"/>
        <w:bottom w:val="single" w:sz="4" w:space="0" w:color="A3BED9" w:themeColor="accent5" w:themeTint="99"/>
        <w:right w:val="single" w:sz="4" w:space="0" w:color="A3BED9" w:themeColor="accent5" w:themeTint="99"/>
        <w:insideH w:val="single" w:sz="4" w:space="0" w:color="A3BED9" w:themeColor="accent5" w:themeTint="99"/>
        <w:insideV w:val="single" w:sz="4" w:space="0" w:color="A3BED9" w:themeColor="accent5" w:themeTint="99"/>
      </w:tblBorders>
    </w:tblPr>
    <w:tblStylePr w:type="firstRow">
      <w:rPr>
        <w:b/>
        <w:bCs/>
        <w:color w:val="FFFFFF" w:themeColor="background1"/>
      </w:rPr>
      <w:tblPr/>
      <w:tcPr>
        <w:tcBorders>
          <w:top w:val="single" w:sz="4" w:space="0" w:color="6694C1" w:themeColor="accent5"/>
          <w:left w:val="single" w:sz="4" w:space="0" w:color="6694C1" w:themeColor="accent5"/>
          <w:bottom w:val="single" w:sz="4" w:space="0" w:color="6694C1" w:themeColor="accent5"/>
          <w:right w:val="single" w:sz="4" w:space="0" w:color="6694C1" w:themeColor="accent5"/>
          <w:insideH w:val="nil"/>
          <w:insideV w:val="nil"/>
        </w:tcBorders>
        <w:shd w:val="clear" w:color="auto" w:fill="6694C1" w:themeFill="accent5"/>
      </w:tcPr>
    </w:tblStylePr>
    <w:tblStylePr w:type="lastRow">
      <w:rPr>
        <w:b/>
        <w:bCs/>
      </w:rPr>
      <w:tblPr/>
      <w:tcPr>
        <w:tcBorders>
          <w:top w:val="double" w:sz="4" w:space="0" w:color="6694C1" w:themeColor="accent5"/>
        </w:tcBorders>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GridTable4-Accent6">
    <w:name w:val="Grid Table 4 Accent 6"/>
    <w:basedOn w:val="TableNormal"/>
    <w:uiPriority w:val="49"/>
    <w:rsid w:val="0058629F"/>
    <w:tblPr>
      <w:tblStyleRowBandSize w:val="1"/>
      <w:tblStyleColBandSize w:val="1"/>
      <w:tblBorders>
        <w:top w:val="single" w:sz="4" w:space="0" w:color="D4F1F3" w:themeColor="accent6" w:themeTint="99"/>
        <w:left w:val="single" w:sz="4" w:space="0" w:color="D4F1F3" w:themeColor="accent6" w:themeTint="99"/>
        <w:bottom w:val="single" w:sz="4" w:space="0" w:color="D4F1F3" w:themeColor="accent6" w:themeTint="99"/>
        <w:right w:val="single" w:sz="4" w:space="0" w:color="D4F1F3" w:themeColor="accent6" w:themeTint="99"/>
        <w:insideH w:val="single" w:sz="4" w:space="0" w:color="D4F1F3" w:themeColor="accent6" w:themeTint="99"/>
        <w:insideV w:val="single" w:sz="4" w:space="0" w:color="D4F1F3" w:themeColor="accent6" w:themeTint="99"/>
      </w:tblBorders>
    </w:tblPr>
    <w:tblStylePr w:type="firstRow">
      <w:rPr>
        <w:b/>
        <w:bCs/>
        <w:color w:val="FFFFFF" w:themeColor="background1"/>
      </w:rPr>
      <w:tblPr/>
      <w:tcPr>
        <w:tcBorders>
          <w:top w:val="single" w:sz="4" w:space="0" w:color="B8E9EC" w:themeColor="accent6"/>
          <w:left w:val="single" w:sz="4" w:space="0" w:color="B8E9EC" w:themeColor="accent6"/>
          <w:bottom w:val="single" w:sz="4" w:space="0" w:color="B8E9EC" w:themeColor="accent6"/>
          <w:right w:val="single" w:sz="4" w:space="0" w:color="B8E9EC" w:themeColor="accent6"/>
          <w:insideH w:val="nil"/>
          <w:insideV w:val="nil"/>
        </w:tcBorders>
        <w:shd w:val="clear" w:color="auto" w:fill="B8E9EC" w:themeFill="accent6"/>
      </w:tcPr>
    </w:tblStylePr>
    <w:tblStylePr w:type="lastRow">
      <w:rPr>
        <w:b/>
        <w:bCs/>
      </w:rPr>
      <w:tblPr/>
      <w:tcPr>
        <w:tcBorders>
          <w:top w:val="double" w:sz="4" w:space="0" w:color="B8E9EC" w:themeColor="accent6"/>
        </w:tcBorders>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GridTable5Dark">
    <w:name w:val="Grid Table 5 Dark"/>
    <w:basedOn w:val="TableNormal"/>
    <w:uiPriority w:val="50"/>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D2D2"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32222"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32222"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32222"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32222" w:themeFill="text1"/>
      </w:tcPr>
    </w:tblStylePr>
    <w:tblStylePr w:type="band1Vert">
      <w:tblPr/>
      <w:tcPr>
        <w:shd w:val="clear" w:color="auto" w:fill="A8A5A5" w:themeFill="text1" w:themeFillTint="66"/>
      </w:tcPr>
    </w:tblStylePr>
    <w:tblStylePr w:type="band1Horz">
      <w:tblPr/>
      <w:tcPr>
        <w:shd w:val="clear" w:color="auto" w:fill="A8A5A5" w:themeFill="text1" w:themeFillTint="66"/>
      </w:tcPr>
    </w:tblStylePr>
  </w:style>
  <w:style w:type="table" w:styleId="GridTable5Dark-Accent1">
    <w:name w:val="Grid Table 5 Dark Accent 1"/>
    <w:basedOn w:val="TableNormal"/>
    <w:uiPriority w:val="50"/>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7DB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4C97"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4C97"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4C97"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4C97" w:themeFill="accent1"/>
      </w:tcPr>
    </w:tblStylePr>
    <w:tblStylePr w:type="band1Vert">
      <w:tblPr/>
      <w:tcPr>
        <w:shd w:val="clear" w:color="auto" w:fill="6FB7FF" w:themeFill="accent1" w:themeFillTint="66"/>
      </w:tcPr>
    </w:tblStylePr>
    <w:tblStylePr w:type="band1Horz">
      <w:tblPr/>
      <w:tcPr>
        <w:shd w:val="clear" w:color="auto" w:fill="6FB7FF" w:themeFill="accent1" w:themeFillTint="66"/>
      </w:tcPr>
    </w:tblStylePr>
  </w:style>
  <w:style w:type="table" w:styleId="GridTable5Dark-Accent2">
    <w:name w:val="Grid Table 5 Dark Accent 2"/>
    <w:basedOn w:val="TableNormal"/>
    <w:uiPriority w:val="50"/>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7F7F8"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8DBDF"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8DBDF"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8DBDF"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8DBDF" w:themeFill="accent2"/>
      </w:tcPr>
    </w:tblStylePr>
    <w:tblStylePr w:type="band1Vert">
      <w:tblPr/>
      <w:tcPr>
        <w:shd w:val="clear" w:color="auto" w:fill="CFF0F2" w:themeFill="accent2" w:themeFillTint="66"/>
      </w:tcPr>
    </w:tblStylePr>
    <w:tblStylePr w:type="band1Horz">
      <w:tblPr/>
      <w:tcPr>
        <w:shd w:val="clear" w:color="auto" w:fill="CFF0F2" w:themeFill="accent2" w:themeFillTint="66"/>
      </w:tcPr>
    </w:tblStylePr>
  </w:style>
  <w:style w:type="table" w:styleId="GridTable5Dark-Accent3">
    <w:name w:val="Grid Table 5 Dark Accent 3"/>
    <w:basedOn w:val="TableNormal"/>
    <w:uiPriority w:val="50"/>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CFFFB"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2A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2A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B2A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2A9" w:themeFill="accent3"/>
      </w:tcPr>
    </w:tblStylePr>
    <w:tblStylePr w:type="band1Vert">
      <w:tblPr/>
      <w:tcPr>
        <w:shd w:val="clear" w:color="auto" w:fill="7AFFF8" w:themeFill="accent3" w:themeFillTint="66"/>
      </w:tcPr>
    </w:tblStylePr>
    <w:tblStylePr w:type="band1Horz">
      <w:tblPr/>
      <w:tcPr>
        <w:shd w:val="clear" w:color="auto" w:fill="7AFFF8" w:themeFill="accent3" w:themeFillTint="66"/>
      </w:tcPr>
    </w:tblStylePr>
  </w:style>
  <w:style w:type="table" w:styleId="GridTable5Dark-Accent4">
    <w:name w:val="Grid Table 5 Dark Accent 4"/>
    <w:basedOn w:val="TableNormal"/>
    <w:uiPriority w:val="50"/>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8BE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01547"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01547"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01547"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01547" w:themeFill="accent4"/>
      </w:tcPr>
    </w:tblStylePr>
    <w:tblStylePr w:type="band1Vert">
      <w:tblPr/>
      <w:tcPr>
        <w:shd w:val="clear" w:color="auto" w:fill="917DD8" w:themeFill="accent4" w:themeFillTint="66"/>
      </w:tcPr>
    </w:tblStylePr>
    <w:tblStylePr w:type="band1Horz">
      <w:tblPr/>
      <w:tcPr>
        <w:shd w:val="clear" w:color="auto" w:fill="917DD8" w:themeFill="accent4" w:themeFillTint="66"/>
      </w:tcPr>
    </w:tblStylePr>
  </w:style>
  <w:style w:type="table" w:styleId="GridTable5Dark-Accent5">
    <w:name w:val="Grid Table 5 Dark Accent 5"/>
    <w:basedOn w:val="TableNormal"/>
    <w:uiPriority w:val="50"/>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0E9F2"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694C1"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694C1"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694C1"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694C1" w:themeFill="accent5"/>
      </w:tcPr>
    </w:tblStylePr>
    <w:tblStylePr w:type="band1Vert">
      <w:tblPr/>
      <w:tcPr>
        <w:shd w:val="clear" w:color="auto" w:fill="C1D4E6" w:themeFill="accent5" w:themeFillTint="66"/>
      </w:tcPr>
    </w:tblStylePr>
    <w:tblStylePr w:type="band1Horz">
      <w:tblPr/>
      <w:tcPr>
        <w:shd w:val="clear" w:color="auto" w:fill="C1D4E6" w:themeFill="accent5" w:themeFillTint="66"/>
      </w:tcPr>
    </w:tblStylePr>
  </w:style>
  <w:style w:type="table" w:styleId="GridTable5Dark-Accent6">
    <w:name w:val="Grid Table 5 Dark Accent 6"/>
    <w:basedOn w:val="TableNormal"/>
    <w:uiPriority w:val="50"/>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0FAFB"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8E9EC"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8E9EC"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8E9EC"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8E9EC" w:themeFill="accent6"/>
      </w:tcPr>
    </w:tblStylePr>
    <w:tblStylePr w:type="band1Vert">
      <w:tblPr/>
      <w:tcPr>
        <w:shd w:val="clear" w:color="auto" w:fill="E2F6F7" w:themeFill="accent6" w:themeFillTint="66"/>
      </w:tcPr>
    </w:tblStylePr>
    <w:tblStylePr w:type="band1Horz">
      <w:tblPr/>
      <w:tcPr>
        <w:shd w:val="clear" w:color="auto" w:fill="E2F6F7" w:themeFill="accent6" w:themeFillTint="66"/>
      </w:tcPr>
    </w:tblStylePr>
  </w:style>
  <w:style w:type="table" w:styleId="GridTable6Colorful">
    <w:name w:val="Grid Table 6 Colorful"/>
    <w:basedOn w:val="TableNormal"/>
    <w:uiPriority w:val="51"/>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bottom w:val="single" w:sz="12" w:space="0" w:color="7C7979" w:themeColor="text1" w:themeTint="99"/>
        </w:tcBorders>
      </w:tcPr>
    </w:tblStylePr>
    <w:tblStylePr w:type="lastRow">
      <w:rPr>
        <w:b/>
        <w:bCs/>
      </w:rPr>
      <w:tblPr/>
      <w:tcPr>
        <w:tcBorders>
          <w:top w:val="doub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6Colorful-Accent1">
    <w:name w:val="Grid Table 6 Colorful Accent 1"/>
    <w:basedOn w:val="TableNormal"/>
    <w:uiPriority w:val="51"/>
    <w:rsid w:val="0058629F"/>
    <w:rPr>
      <w:color w:val="003871" w:themeColor="accent1" w:themeShade="BF"/>
    </w:rPr>
    <w:tblPr>
      <w:tblStyleRowBandSize w:val="1"/>
      <w:tblStyleColBandSize w:val="1"/>
      <w:tblBorders>
        <w:top w:val="single" w:sz="4" w:space="0" w:color="2793FF" w:themeColor="accent1" w:themeTint="99"/>
        <w:left w:val="single" w:sz="4" w:space="0" w:color="2793FF" w:themeColor="accent1" w:themeTint="99"/>
        <w:bottom w:val="single" w:sz="4" w:space="0" w:color="2793FF" w:themeColor="accent1" w:themeTint="99"/>
        <w:right w:val="single" w:sz="4" w:space="0" w:color="2793FF" w:themeColor="accent1" w:themeTint="99"/>
        <w:insideH w:val="single" w:sz="4" w:space="0" w:color="2793FF" w:themeColor="accent1" w:themeTint="99"/>
        <w:insideV w:val="single" w:sz="4" w:space="0" w:color="2793FF" w:themeColor="accent1" w:themeTint="99"/>
      </w:tblBorders>
    </w:tblPr>
    <w:tblStylePr w:type="firstRow">
      <w:rPr>
        <w:b/>
        <w:bCs/>
      </w:rPr>
      <w:tblPr/>
      <w:tcPr>
        <w:tcBorders>
          <w:bottom w:val="single" w:sz="12" w:space="0" w:color="2793FF" w:themeColor="accent1" w:themeTint="99"/>
        </w:tcBorders>
      </w:tcPr>
    </w:tblStylePr>
    <w:tblStylePr w:type="lastRow">
      <w:rPr>
        <w:b/>
        <w:bCs/>
      </w:rPr>
      <w:tblPr/>
      <w:tcPr>
        <w:tcBorders>
          <w:top w:val="double" w:sz="4" w:space="0" w:color="2793FF" w:themeColor="accent1" w:themeTint="99"/>
        </w:tcBorders>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GridTable6Colorful-Accent2">
    <w:name w:val="Grid Table 6 Colorful Accent 2"/>
    <w:basedOn w:val="TableNormal"/>
    <w:uiPriority w:val="51"/>
    <w:rsid w:val="0058629F"/>
    <w:rPr>
      <w:color w:val="40C5CB" w:themeColor="accent2" w:themeShade="BF"/>
    </w:rPr>
    <w:tblPr>
      <w:tblStyleRowBandSize w:val="1"/>
      <w:tblStyleColBandSize w:val="1"/>
      <w:tblBorders>
        <w:top w:val="single" w:sz="4" w:space="0" w:color="B7E9EB" w:themeColor="accent2" w:themeTint="99"/>
        <w:left w:val="single" w:sz="4" w:space="0" w:color="B7E9EB" w:themeColor="accent2" w:themeTint="99"/>
        <w:bottom w:val="single" w:sz="4" w:space="0" w:color="B7E9EB" w:themeColor="accent2" w:themeTint="99"/>
        <w:right w:val="single" w:sz="4" w:space="0" w:color="B7E9EB" w:themeColor="accent2" w:themeTint="99"/>
        <w:insideH w:val="single" w:sz="4" w:space="0" w:color="B7E9EB" w:themeColor="accent2" w:themeTint="99"/>
        <w:insideV w:val="single" w:sz="4" w:space="0" w:color="B7E9EB" w:themeColor="accent2" w:themeTint="99"/>
      </w:tblBorders>
    </w:tblPr>
    <w:tblStylePr w:type="firstRow">
      <w:rPr>
        <w:b/>
        <w:bCs/>
      </w:rPr>
      <w:tblPr/>
      <w:tcPr>
        <w:tcBorders>
          <w:bottom w:val="single" w:sz="12" w:space="0" w:color="B7E9EB" w:themeColor="accent2" w:themeTint="99"/>
        </w:tcBorders>
      </w:tcPr>
    </w:tblStylePr>
    <w:tblStylePr w:type="lastRow">
      <w:rPr>
        <w:b/>
        <w:bCs/>
      </w:rPr>
      <w:tblPr/>
      <w:tcPr>
        <w:tcBorders>
          <w:top w:val="double" w:sz="4" w:space="0" w:color="B7E9EB" w:themeColor="accent2" w:themeTint="99"/>
        </w:tcBorders>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GridTable6Colorful-Accent3">
    <w:name w:val="Grid Table 6 Colorful Accent 3"/>
    <w:basedOn w:val="TableNormal"/>
    <w:uiPriority w:val="51"/>
    <w:rsid w:val="0058629F"/>
    <w:rPr>
      <w:color w:val="00857E" w:themeColor="accent3" w:themeShade="BF"/>
    </w:rPr>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bottom w:val="single" w:sz="12" w:space="0" w:color="37FFF4" w:themeColor="accent3" w:themeTint="99"/>
        </w:tcBorders>
      </w:tcPr>
    </w:tblStylePr>
    <w:tblStylePr w:type="lastRow">
      <w:rPr>
        <w:b/>
        <w:bCs/>
      </w:rPr>
      <w:tblPr/>
      <w:tcPr>
        <w:tcBorders>
          <w:top w:val="doub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6Colorful-Accent4">
    <w:name w:val="Grid Table 6 Colorful Accent 4"/>
    <w:basedOn w:val="TableNormal"/>
    <w:uiPriority w:val="51"/>
    <w:rsid w:val="0058629F"/>
    <w:rPr>
      <w:color w:val="170F34" w:themeColor="accent4" w:themeShade="BF"/>
    </w:r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bottom w:val="single" w:sz="12" w:space="0" w:color="5B3DC5" w:themeColor="accent4" w:themeTint="99"/>
        </w:tcBorders>
      </w:tcPr>
    </w:tblStylePr>
    <w:tblStylePr w:type="lastRow">
      <w:rPr>
        <w:b/>
        <w:bCs/>
      </w:rPr>
      <w:tblPr/>
      <w:tcPr>
        <w:tcBorders>
          <w:top w:val="doub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6Colorful-Accent5">
    <w:name w:val="Grid Table 6 Colorful Accent 5"/>
    <w:basedOn w:val="TableNormal"/>
    <w:uiPriority w:val="51"/>
    <w:rsid w:val="0058629F"/>
    <w:rPr>
      <w:color w:val="3F6E9C" w:themeColor="accent5" w:themeShade="BF"/>
    </w:rPr>
    <w:tblPr>
      <w:tblStyleRowBandSize w:val="1"/>
      <w:tblStyleColBandSize w:val="1"/>
      <w:tblBorders>
        <w:top w:val="single" w:sz="4" w:space="0" w:color="A3BED9" w:themeColor="accent5" w:themeTint="99"/>
        <w:left w:val="single" w:sz="4" w:space="0" w:color="A3BED9" w:themeColor="accent5" w:themeTint="99"/>
        <w:bottom w:val="single" w:sz="4" w:space="0" w:color="A3BED9" w:themeColor="accent5" w:themeTint="99"/>
        <w:right w:val="single" w:sz="4" w:space="0" w:color="A3BED9" w:themeColor="accent5" w:themeTint="99"/>
        <w:insideH w:val="single" w:sz="4" w:space="0" w:color="A3BED9" w:themeColor="accent5" w:themeTint="99"/>
        <w:insideV w:val="single" w:sz="4" w:space="0" w:color="A3BED9" w:themeColor="accent5" w:themeTint="99"/>
      </w:tblBorders>
    </w:tblPr>
    <w:tblStylePr w:type="firstRow">
      <w:rPr>
        <w:b/>
        <w:bCs/>
      </w:rPr>
      <w:tblPr/>
      <w:tcPr>
        <w:tcBorders>
          <w:bottom w:val="single" w:sz="12" w:space="0" w:color="A3BED9" w:themeColor="accent5" w:themeTint="99"/>
        </w:tcBorders>
      </w:tcPr>
    </w:tblStylePr>
    <w:tblStylePr w:type="lastRow">
      <w:rPr>
        <w:b/>
        <w:bCs/>
      </w:rPr>
      <w:tblPr/>
      <w:tcPr>
        <w:tcBorders>
          <w:top w:val="double" w:sz="4" w:space="0" w:color="A3BED9" w:themeColor="accent5" w:themeTint="99"/>
        </w:tcBorders>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GridTable6Colorful-Accent6">
    <w:name w:val="Grid Table 6 Colorful Accent 6"/>
    <w:basedOn w:val="TableNormal"/>
    <w:uiPriority w:val="51"/>
    <w:rsid w:val="0058629F"/>
    <w:rPr>
      <w:color w:val="64CFD5" w:themeColor="accent6" w:themeShade="BF"/>
    </w:rPr>
    <w:tblPr>
      <w:tblStyleRowBandSize w:val="1"/>
      <w:tblStyleColBandSize w:val="1"/>
      <w:tblBorders>
        <w:top w:val="single" w:sz="4" w:space="0" w:color="D4F1F3" w:themeColor="accent6" w:themeTint="99"/>
        <w:left w:val="single" w:sz="4" w:space="0" w:color="D4F1F3" w:themeColor="accent6" w:themeTint="99"/>
        <w:bottom w:val="single" w:sz="4" w:space="0" w:color="D4F1F3" w:themeColor="accent6" w:themeTint="99"/>
        <w:right w:val="single" w:sz="4" w:space="0" w:color="D4F1F3" w:themeColor="accent6" w:themeTint="99"/>
        <w:insideH w:val="single" w:sz="4" w:space="0" w:color="D4F1F3" w:themeColor="accent6" w:themeTint="99"/>
        <w:insideV w:val="single" w:sz="4" w:space="0" w:color="D4F1F3" w:themeColor="accent6" w:themeTint="99"/>
      </w:tblBorders>
    </w:tblPr>
    <w:tblStylePr w:type="firstRow">
      <w:rPr>
        <w:b/>
        <w:bCs/>
      </w:rPr>
      <w:tblPr/>
      <w:tcPr>
        <w:tcBorders>
          <w:bottom w:val="single" w:sz="12" w:space="0" w:color="D4F1F3" w:themeColor="accent6" w:themeTint="99"/>
        </w:tcBorders>
      </w:tcPr>
    </w:tblStylePr>
    <w:tblStylePr w:type="lastRow">
      <w:rPr>
        <w:b/>
        <w:bCs/>
      </w:rPr>
      <w:tblPr/>
      <w:tcPr>
        <w:tcBorders>
          <w:top w:val="double" w:sz="4" w:space="0" w:color="D4F1F3" w:themeColor="accent6" w:themeTint="99"/>
        </w:tcBorders>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GridTable7Colorful">
    <w:name w:val="Grid Table 7 Colorful"/>
    <w:basedOn w:val="TableNormal"/>
    <w:uiPriority w:val="52"/>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bottom w:val="single" w:sz="4" w:space="0" w:color="7C7979" w:themeColor="text1" w:themeTint="99"/>
        </w:tcBorders>
      </w:tcPr>
    </w:tblStylePr>
    <w:tblStylePr w:type="nwCell">
      <w:tblPr/>
      <w:tcPr>
        <w:tcBorders>
          <w:bottom w:val="single" w:sz="4" w:space="0" w:color="7C7979" w:themeColor="text1" w:themeTint="99"/>
        </w:tcBorders>
      </w:tcPr>
    </w:tblStylePr>
    <w:tblStylePr w:type="seCell">
      <w:tblPr/>
      <w:tcPr>
        <w:tcBorders>
          <w:top w:val="single" w:sz="4" w:space="0" w:color="7C7979" w:themeColor="text1" w:themeTint="99"/>
        </w:tcBorders>
      </w:tcPr>
    </w:tblStylePr>
    <w:tblStylePr w:type="swCell">
      <w:tblPr/>
      <w:tcPr>
        <w:tcBorders>
          <w:top w:val="single" w:sz="4" w:space="0" w:color="7C7979" w:themeColor="text1" w:themeTint="99"/>
        </w:tcBorders>
      </w:tcPr>
    </w:tblStylePr>
  </w:style>
  <w:style w:type="table" w:styleId="GridTable7Colorful-Accent1">
    <w:name w:val="Grid Table 7 Colorful Accent 1"/>
    <w:basedOn w:val="TableNormal"/>
    <w:uiPriority w:val="52"/>
    <w:rsid w:val="0058629F"/>
    <w:rPr>
      <w:color w:val="003871" w:themeColor="accent1" w:themeShade="BF"/>
    </w:rPr>
    <w:tblPr>
      <w:tblStyleRowBandSize w:val="1"/>
      <w:tblStyleColBandSize w:val="1"/>
      <w:tblBorders>
        <w:top w:val="single" w:sz="4" w:space="0" w:color="2793FF" w:themeColor="accent1" w:themeTint="99"/>
        <w:left w:val="single" w:sz="4" w:space="0" w:color="2793FF" w:themeColor="accent1" w:themeTint="99"/>
        <w:bottom w:val="single" w:sz="4" w:space="0" w:color="2793FF" w:themeColor="accent1" w:themeTint="99"/>
        <w:right w:val="single" w:sz="4" w:space="0" w:color="2793FF" w:themeColor="accent1" w:themeTint="99"/>
        <w:insideH w:val="single" w:sz="4" w:space="0" w:color="2793FF" w:themeColor="accent1" w:themeTint="99"/>
        <w:insideV w:val="single" w:sz="4" w:space="0" w:color="2793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7DBFF" w:themeFill="accent1" w:themeFillTint="33"/>
      </w:tcPr>
    </w:tblStylePr>
    <w:tblStylePr w:type="band1Horz">
      <w:tblPr/>
      <w:tcPr>
        <w:shd w:val="clear" w:color="auto" w:fill="B7DBFF" w:themeFill="accent1" w:themeFillTint="33"/>
      </w:tcPr>
    </w:tblStylePr>
    <w:tblStylePr w:type="neCell">
      <w:tblPr/>
      <w:tcPr>
        <w:tcBorders>
          <w:bottom w:val="single" w:sz="4" w:space="0" w:color="2793FF" w:themeColor="accent1" w:themeTint="99"/>
        </w:tcBorders>
      </w:tcPr>
    </w:tblStylePr>
    <w:tblStylePr w:type="nwCell">
      <w:tblPr/>
      <w:tcPr>
        <w:tcBorders>
          <w:bottom w:val="single" w:sz="4" w:space="0" w:color="2793FF" w:themeColor="accent1" w:themeTint="99"/>
        </w:tcBorders>
      </w:tcPr>
    </w:tblStylePr>
    <w:tblStylePr w:type="seCell">
      <w:tblPr/>
      <w:tcPr>
        <w:tcBorders>
          <w:top w:val="single" w:sz="4" w:space="0" w:color="2793FF" w:themeColor="accent1" w:themeTint="99"/>
        </w:tcBorders>
      </w:tcPr>
    </w:tblStylePr>
    <w:tblStylePr w:type="swCell">
      <w:tblPr/>
      <w:tcPr>
        <w:tcBorders>
          <w:top w:val="single" w:sz="4" w:space="0" w:color="2793FF" w:themeColor="accent1" w:themeTint="99"/>
        </w:tcBorders>
      </w:tcPr>
    </w:tblStylePr>
  </w:style>
  <w:style w:type="table" w:styleId="GridTable7Colorful-Accent2">
    <w:name w:val="Grid Table 7 Colorful Accent 2"/>
    <w:basedOn w:val="TableNormal"/>
    <w:uiPriority w:val="52"/>
    <w:rsid w:val="0058629F"/>
    <w:rPr>
      <w:color w:val="40C5CB" w:themeColor="accent2" w:themeShade="BF"/>
    </w:rPr>
    <w:tblPr>
      <w:tblStyleRowBandSize w:val="1"/>
      <w:tblStyleColBandSize w:val="1"/>
      <w:tblBorders>
        <w:top w:val="single" w:sz="4" w:space="0" w:color="B7E9EB" w:themeColor="accent2" w:themeTint="99"/>
        <w:left w:val="single" w:sz="4" w:space="0" w:color="B7E9EB" w:themeColor="accent2" w:themeTint="99"/>
        <w:bottom w:val="single" w:sz="4" w:space="0" w:color="B7E9EB" w:themeColor="accent2" w:themeTint="99"/>
        <w:right w:val="single" w:sz="4" w:space="0" w:color="B7E9EB" w:themeColor="accent2" w:themeTint="99"/>
        <w:insideH w:val="single" w:sz="4" w:space="0" w:color="B7E9EB" w:themeColor="accent2" w:themeTint="99"/>
        <w:insideV w:val="single" w:sz="4" w:space="0" w:color="B7E9EB"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7F8" w:themeFill="accent2" w:themeFillTint="33"/>
      </w:tcPr>
    </w:tblStylePr>
    <w:tblStylePr w:type="band1Horz">
      <w:tblPr/>
      <w:tcPr>
        <w:shd w:val="clear" w:color="auto" w:fill="E7F7F8" w:themeFill="accent2" w:themeFillTint="33"/>
      </w:tcPr>
    </w:tblStylePr>
    <w:tblStylePr w:type="neCell">
      <w:tblPr/>
      <w:tcPr>
        <w:tcBorders>
          <w:bottom w:val="single" w:sz="4" w:space="0" w:color="B7E9EB" w:themeColor="accent2" w:themeTint="99"/>
        </w:tcBorders>
      </w:tcPr>
    </w:tblStylePr>
    <w:tblStylePr w:type="nwCell">
      <w:tblPr/>
      <w:tcPr>
        <w:tcBorders>
          <w:bottom w:val="single" w:sz="4" w:space="0" w:color="B7E9EB" w:themeColor="accent2" w:themeTint="99"/>
        </w:tcBorders>
      </w:tcPr>
    </w:tblStylePr>
    <w:tblStylePr w:type="seCell">
      <w:tblPr/>
      <w:tcPr>
        <w:tcBorders>
          <w:top w:val="single" w:sz="4" w:space="0" w:color="B7E9EB" w:themeColor="accent2" w:themeTint="99"/>
        </w:tcBorders>
      </w:tcPr>
    </w:tblStylePr>
    <w:tblStylePr w:type="swCell">
      <w:tblPr/>
      <w:tcPr>
        <w:tcBorders>
          <w:top w:val="single" w:sz="4" w:space="0" w:color="B7E9EB" w:themeColor="accent2" w:themeTint="99"/>
        </w:tcBorders>
      </w:tcPr>
    </w:tblStylePr>
  </w:style>
  <w:style w:type="table" w:styleId="GridTable7Colorful-Accent3">
    <w:name w:val="Grid Table 7 Colorful Accent 3"/>
    <w:basedOn w:val="TableNormal"/>
    <w:uiPriority w:val="52"/>
    <w:rsid w:val="0058629F"/>
    <w:rPr>
      <w:color w:val="00857E" w:themeColor="accent3" w:themeShade="BF"/>
    </w:rPr>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bottom w:val="single" w:sz="4" w:space="0" w:color="37FFF4" w:themeColor="accent3" w:themeTint="99"/>
        </w:tcBorders>
      </w:tcPr>
    </w:tblStylePr>
    <w:tblStylePr w:type="nwCell">
      <w:tblPr/>
      <w:tcPr>
        <w:tcBorders>
          <w:bottom w:val="single" w:sz="4" w:space="0" w:color="37FFF4" w:themeColor="accent3" w:themeTint="99"/>
        </w:tcBorders>
      </w:tcPr>
    </w:tblStylePr>
    <w:tblStylePr w:type="seCell">
      <w:tblPr/>
      <w:tcPr>
        <w:tcBorders>
          <w:top w:val="single" w:sz="4" w:space="0" w:color="37FFF4" w:themeColor="accent3" w:themeTint="99"/>
        </w:tcBorders>
      </w:tcPr>
    </w:tblStylePr>
    <w:tblStylePr w:type="swCell">
      <w:tblPr/>
      <w:tcPr>
        <w:tcBorders>
          <w:top w:val="single" w:sz="4" w:space="0" w:color="37FFF4" w:themeColor="accent3" w:themeTint="99"/>
        </w:tcBorders>
      </w:tcPr>
    </w:tblStylePr>
  </w:style>
  <w:style w:type="table" w:styleId="GridTable7Colorful-Accent4">
    <w:name w:val="Grid Table 7 Colorful Accent 4"/>
    <w:basedOn w:val="TableNormal"/>
    <w:uiPriority w:val="52"/>
    <w:rsid w:val="0058629F"/>
    <w:rPr>
      <w:color w:val="170F34" w:themeColor="accent4" w:themeShade="BF"/>
    </w:r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bottom w:val="single" w:sz="4" w:space="0" w:color="5B3DC5" w:themeColor="accent4" w:themeTint="99"/>
        </w:tcBorders>
      </w:tcPr>
    </w:tblStylePr>
    <w:tblStylePr w:type="nwCell">
      <w:tblPr/>
      <w:tcPr>
        <w:tcBorders>
          <w:bottom w:val="single" w:sz="4" w:space="0" w:color="5B3DC5" w:themeColor="accent4" w:themeTint="99"/>
        </w:tcBorders>
      </w:tcPr>
    </w:tblStylePr>
    <w:tblStylePr w:type="seCell">
      <w:tblPr/>
      <w:tcPr>
        <w:tcBorders>
          <w:top w:val="single" w:sz="4" w:space="0" w:color="5B3DC5" w:themeColor="accent4" w:themeTint="99"/>
        </w:tcBorders>
      </w:tcPr>
    </w:tblStylePr>
    <w:tblStylePr w:type="swCell">
      <w:tblPr/>
      <w:tcPr>
        <w:tcBorders>
          <w:top w:val="single" w:sz="4" w:space="0" w:color="5B3DC5" w:themeColor="accent4" w:themeTint="99"/>
        </w:tcBorders>
      </w:tcPr>
    </w:tblStylePr>
  </w:style>
  <w:style w:type="table" w:styleId="GridTable7Colorful-Accent5">
    <w:name w:val="Grid Table 7 Colorful Accent 5"/>
    <w:basedOn w:val="TableNormal"/>
    <w:uiPriority w:val="52"/>
    <w:rsid w:val="0058629F"/>
    <w:rPr>
      <w:color w:val="3F6E9C" w:themeColor="accent5" w:themeShade="BF"/>
    </w:rPr>
    <w:tblPr>
      <w:tblStyleRowBandSize w:val="1"/>
      <w:tblStyleColBandSize w:val="1"/>
      <w:tblBorders>
        <w:top w:val="single" w:sz="4" w:space="0" w:color="A3BED9" w:themeColor="accent5" w:themeTint="99"/>
        <w:left w:val="single" w:sz="4" w:space="0" w:color="A3BED9" w:themeColor="accent5" w:themeTint="99"/>
        <w:bottom w:val="single" w:sz="4" w:space="0" w:color="A3BED9" w:themeColor="accent5" w:themeTint="99"/>
        <w:right w:val="single" w:sz="4" w:space="0" w:color="A3BED9" w:themeColor="accent5" w:themeTint="99"/>
        <w:insideH w:val="single" w:sz="4" w:space="0" w:color="A3BED9" w:themeColor="accent5" w:themeTint="99"/>
        <w:insideV w:val="single" w:sz="4" w:space="0" w:color="A3BED9"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0E9F2" w:themeFill="accent5" w:themeFillTint="33"/>
      </w:tcPr>
    </w:tblStylePr>
    <w:tblStylePr w:type="band1Horz">
      <w:tblPr/>
      <w:tcPr>
        <w:shd w:val="clear" w:color="auto" w:fill="E0E9F2" w:themeFill="accent5" w:themeFillTint="33"/>
      </w:tcPr>
    </w:tblStylePr>
    <w:tblStylePr w:type="neCell">
      <w:tblPr/>
      <w:tcPr>
        <w:tcBorders>
          <w:bottom w:val="single" w:sz="4" w:space="0" w:color="A3BED9" w:themeColor="accent5" w:themeTint="99"/>
        </w:tcBorders>
      </w:tcPr>
    </w:tblStylePr>
    <w:tblStylePr w:type="nwCell">
      <w:tblPr/>
      <w:tcPr>
        <w:tcBorders>
          <w:bottom w:val="single" w:sz="4" w:space="0" w:color="A3BED9" w:themeColor="accent5" w:themeTint="99"/>
        </w:tcBorders>
      </w:tcPr>
    </w:tblStylePr>
    <w:tblStylePr w:type="seCell">
      <w:tblPr/>
      <w:tcPr>
        <w:tcBorders>
          <w:top w:val="single" w:sz="4" w:space="0" w:color="A3BED9" w:themeColor="accent5" w:themeTint="99"/>
        </w:tcBorders>
      </w:tcPr>
    </w:tblStylePr>
    <w:tblStylePr w:type="swCell">
      <w:tblPr/>
      <w:tcPr>
        <w:tcBorders>
          <w:top w:val="single" w:sz="4" w:space="0" w:color="A3BED9" w:themeColor="accent5" w:themeTint="99"/>
        </w:tcBorders>
      </w:tcPr>
    </w:tblStylePr>
  </w:style>
  <w:style w:type="table" w:styleId="GridTable7Colorful-Accent6">
    <w:name w:val="Grid Table 7 Colorful Accent 6"/>
    <w:basedOn w:val="TableNormal"/>
    <w:uiPriority w:val="52"/>
    <w:rsid w:val="0058629F"/>
    <w:rPr>
      <w:color w:val="64CFD5" w:themeColor="accent6" w:themeShade="BF"/>
    </w:rPr>
    <w:tblPr>
      <w:tblStyleRowBandSize w:val="1"/>
      <w:tblStyleColBandSize w:val="1"/>
      <w:tblBorders>
        <w:top w:val="single" w:sz="4" w:space="0" w:color="D4F1F3" w:themeColor="accent6" w:themeTint="99"/>
        <w:left w:val="single" w:sz="4" w:space="0" w:color="D4F1F3" w:themeColor="accent6" w:themeTint="99"/>
        <w:bottom w:val="single" w:sz="4" w:space="0" w:color="D4F1F3" w:themeColor="accent6" w:themeTint="99"/>
        <w:right w:val="single" w:sz="4" w:space="0" w:color="D4F1F3" w:themeColor="accent6" w:themeTint="99"/>
        <w:insideH w:val="single" w:sz="4" w:space="0" w:color="D4F1F3" w:themeColor="accent6" w:themeTint="99"/>
        <w:insideV w:val="single" w:sz="4" w:space="0" w:color="D4F1F3"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0FAFB" w:themeFill="accent6" w:themeFillTint="33"/>
      </w:tcPr>
    </w:tblStylePr>
    <w:tblStylePr w:type="band1Horz">
      <w:tblPr/>
      <w:tcPr>
        <w:shd w:val="clear" w:color="auto" w:fill="F0FAFB" w:themeFill="accent6" w:themeFillTint="33"/>
      </w:tcPr>
    </w:tblStylePr>
    <w:tblStylePr w:type="neCell">
      <w:tblPr/>
      <w:tcPr>
        <w:tcBorders>
          <w:bottom w:val="single" w:sz="4" w:space="0" w:color="D4F1F3" w:themeColor="accent6" w:themeTint="99"/>
        </w:tcBorders>
      </w:tcPr>
    </w:tblStylePr>
    <w:tblStylePr w:type="nwCell">
      <w:tblPr/>
      <w:tcPr>
        <w:tcBorders>
          <w:bottom w:val="single" w:sz="4" w:space="0" w:color="D4F1F3" w:themeColor="accent6" w:themeTint="99"/>
        </w:tcBorders>
      </w:tcPr>
    </w:tblStylePr>
    <w:tblStylePr w:type="seCell">
      <w:tblPr/>
      <w:tcPr>
        <w:tcBorders>
          <w:top w:val="single" w:sz="4" w:space="0" w:color="D4F1F3" w:themeColor="accent6" w:themeTint="99"/>
        </w:tcBorders>
      </w:tcPr>
    </w:tblStylePr>
    <w:tblStylePr w:type="swCell">
      <w:tblPr/>
      <w:tcPr>
        <w:tcBorders>
          <w:top w:val="single" w:sz="4" w:space="0" w:color="D4F1F3" w:themeColor="accent6" w:themeTint="99"/>
        </w:tcBorders>
      </w:tcPr>
    </w:tblStylePr>
  </w:style>
  <w:style w:type="table" w:styleId="LightGrid">
    <w:name w:val="Light Grid"/>
    <w:basedOn w:val="TableNormal"/>
    <w:uiPriority w:val="62"/>
    <w:semiHidden/>
    <w:rsid w:val="0058629F"/>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insideH w:val="single" w:sz="8" w:space="0" w:color="232222" w:themeColor="text1"/>
        <w:insideV w:val="single" w:sz="8" w:space="0" w:color="232222"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2222" w:themeColor="text1"/>
          <w:left w:val="single" w:sz="8" w:space="0" w:color="232222" w:themeColor="text1"/>
          <w:bottom w:val="single" w:sz="18" w:space="0" w:color="232222" w:themeColor="text1"/>
          <w:right w:val="single" w:sz="8" w:space="0" w:color="232222" w:themeColor="text1"/>
          <w:insideH w:val="nil"/>
          <w:insideV w:val="single" w:sz="8" w:space="0" w:color="232222"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2222" w:themeColor="text1"/>
          <w:left w:val="single" w:sz="8" w:space="0" w:color="232222" w:themeColor="text1"/>
          <w:bottom w:val="single" w:sz="8" w:space="0" w:color="232222" w:themeColor="text1"/>
          <w:right w:val="single" w:sz="8" w:space="0" w:color="232222" w:themeColor="text1"/>
          <w:insideH w:val="nil"/>
          <w:insideV w:val="single" w:sz="8" w:space="0" w:color="232222"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tblStylePr w:type="band1Vert">
      <w:tblPr/>
      <w:tcPr>
        <w:tcBorders>
          <w:top w:val="single" w:sz="8" w:space="0" w:color="232222" w:themeColor="text1"/>
          <w:left w:val="single" w:sz="8" w:space="0" w:color="232222" w:themeColor="text1"/>
          <w:bottom w:val="single" w:sz="8" w:space="0" w:color="232222" w:themeColor="text1"/>
          <w:right w:val="single" w:sz="8" w:space="0" w:color="232222" w:themeColor="text1"/>
        </w:tcBorders>
        <w:shd w:val="clear" w:color="auto" w:fill="C9C7C7" w:themeFill="text1" w:themeFillTint="3F"/>
      </w:tcPr>
    </w:tblStylePr>
    <w:tblStylePr w:type="band1Horz">
      <w:tblPr/>
      <w:tcPr>
        <w:tcBorders>
          <w:top w:val="single" w:sz="8" w:space="0" w:color="232222" w:themeColor="text1"/>
          <w:left w:val="single" w:sz="8" w:space="0" w:color="232222" w:themeColor="text1"/>
          <w:bottom w:val="single" w:sz="8" w:space="0" w:color="232222" w:themeColor="text1"/>
          <w:right w:val="single" w:sz="8" w:space="0" w:color="232222" w:themeColor="text1"/>
          <w:insideV w:val="single" w:sz="8" w:space="0" w:color="232222" w:themeColor="text1"/>
        </w:tcBorders>
        <w:shd w:val="clear" w:color="auto" w:fill="C9C7C7" w:themeFill="text1" w:themeFillTint="3F"/>
      </w:tcPr>
    </w:tblStylePr>
    <w:tblStylePr w:type="band2Horz">
      <w:tblPr/>
      <w:tcPr>
        <w:tcBorders>
          <w:top w:val="single" w:sz="8" w:space="0" w:color="232222" w:themeColor="text1"/>
          <w:left w:val="single" w:sz="8" w:space="0" w:color="232222" w:themeColor="text1"/>
          <w:bottom w:val="single" w:sz="8" w:space="0" w:color="232222" w:themeColor="text1"/>
          <w:right w:val="single" w:sz="8" w:space="0" w:color="232222" w:themeColor="text1"/>
          <w:insideV w:val="single" w:sz="8" w:space="0" w:color="232222" w:themeColor="text1"/>
        </w:tcBorders>
      </w:tcPr>
    </w:tblStylePr>
  </w:style>
  <w:style w:type="table" w:styleId="LightGrid-Accent1">
    <w:name w:val="Light Grid Accent 1"/>
    <w:basedOn w:val="TableNormal"/>
    <w:uiPriority w:val="62"/>
    <w:semiHidden/>
    <w:rsid w:val="0058629F"/>
    <w:tblPr>
      <w:tblStyleRowBandSize w:val="1"/>
      <w:tblStyleColBandSize w:val="1"/>
      <w:tblBorders>
        <w:top w:val="single" w:sz="8" w:space="0" w:color="004C97" w:themeColor="accent1"/>
        <w:left w:val="single" w:sz="8" w:space="0" w:color="004C97" w:themeColor="accent1"/>
        <w:bottom w:val="single" w:sz="8" w:space="0" w:color="004C97" w:themeColor="accent1"/>
        <w:right w:val="single" w:sz="8" w:space="0" w:color="004C97" w:themeColor="accent1"/>
        <w:insideH w:val="single" w:sz="8" w:space="0" w:color="004C97" w:themeColor="accent1"/>
        <w:insideV w:val="single" w:sz="8" w:space="0" w:color="004C97"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4C97" w:themeColor="accent1"/>
          <w:left w:val="single" w:sz="8" w:space="0" w:color="004C97" w:themeColor="accent1"/>
          <w:bottom w:val="single" w:sz="18" w:space="0" w:color="004C97" w:themeColor="accent1"/>
          <w:right w:val="single" w:sz="8" w:space="0" w:color="004C97" w:themeColor="accent1"/>
          <w:insideH w:val="nil"/>
          <w:insideV w:val="single" w:sz="8" w:space="0" w:color="004C97"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4C97" w:themeColor="accent1"/>
          <w:left w:val="single" w:sz="8" w:space="0" w:color="004C97" w:themeColor="accent1"/>
          <w:bottom w:val="single" w:sz="8" w:space="0" w:color="004C97" w:themeColor="accent1"/>
          <w:right w:val="single" w:sz="8" w:space="0" w:color="004C97" w:themeColor="accent1"/>
          <w:insideH w:val="nil"/>
          <w:insideV w:val="single" w:sz="8" w:space="0" w:color="004C97"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4C97" w:themeColor="accent1"/>
          <w:left w:val="single" w:sz="8" w:space="0" w:color="004C97" w:themeColor="accent1"/>
          <w:bottom w:val="single" w:sz="8" w:space="0" w:color="004C97" w:themeColor="accent1"/>
          <w:right w:val="single" w:sz="8" w:space="0" w:color="004C97" w:themeColor="accent1"/>
        </w:tcBorders>
      </w:tcPr>
    </w:tblStylePr>
    <w:tblStylePr w:type="band1Vert">
      <w:tblPr/>
      <w:tcPr>
        <w:tcBorders>
          <w:top w:val="single" w:sz="8" w:space="0" w:color="004C97" w:themeColor="accent1"/>
          <w:left w:val="single" w:sz="8" w:space="0" w:color="004C97" w:themeColor="accent1"/>
          <w:bottom w:val="single" w:sz="8" w:space="0" w:color="004C97" w:themeColor="accent1"/>
          <w:right w:val="single" w:sz="8" w:space="0" w:color="004C97" w:themeColor="accent1"/>
        </w:tcBorders>
        <w:shd w:val="clear" w:color="auto" w:fill="A6D2FF" w:themeFill="accent1" w:themeFillTint="3F"/>
      </w:tcPr>
    </w:tblStylePr>
    <w:tblStylePr w:type="band1Horz">
      <w:tblPr/>
      <w:tcPr>
        <w:tcBorders>
          <w:top w:val="single" w:sz="8" w:space="0" w:color="004C97" w:themeColor="accent1"/>
          <w:left w:val="single" w:sz="8" w:space="0" w:color="004C97" w:themeColor="accent1"/>
          <w:bottom w:val="single" w:sz="8" w:space="0" w:color="004C97" w:themeColor="accent1"/>
          <w:right w:val="single" w:sz="8" w:space="0" w:color="004C97" w:themeColor="accent1"/>
          <w:insideV w:val="single" w:sz="8" w:space="0" w:color="004C97" w:themeColor="accent1"/>
        </w:tcBorders>
        <w:shd w:val="clear" w:color="auto" w:fill="A6D2FF" w:themeFill="accent1" w:themeFillTint="3F"/>
      </w:tcPr>
    </w:tblStylePr>
    <w:tblStylePr w:type="band2Horz">
      <w:tblPr/>
      <w:tcPr>
        <w:tcBorders>
          <w:top w:val="single" w:sz="8" w:space="0" w:color="004C97" w:themeColor="accent1"/>
          <w:left w:val="single" w:sz="8" w:space="0" w:color="004C97" w:themeColor="accent1"/>
          <w:bottom w:val="single" w:sz="8" w:space="0" w:color="004C97" w:themeColor="accent1"/>
          <w:right w:val="single" w:sz="8" w:space="0" w:color="004C97" w:themeColor="accent1"/>
          <w:insideV w:val="single" w:sz="8" w:space="0" w:color="004C97" w:themeColor="accent1"/>
        </w:tcBorders>
      </w:tcPr>
    </w:tblStylePr>
  </w:style>
  <w:style w:type="table" w:styleId="LightGrid-Accent2">
    <w:name w:val="Light Grid Accent 2"/>
    <w:basedOn w:val="TableNormal"/>
    <w:uiPriority w:val="62"/>
    <w:semiHidden/>
    <w:rsid w:val="0058629F"/>
    <w:tblPr>
      <w:tblStyleRowBandSize w:val="1"/>
      <w:tblStyleColBandSize w:val="1"/>
      <w:tblBorders>
        <w:top w:val="single" w:sz="8" w:space="0" w:color="88DBDF" w:themeColor="accent2"/>
        <w:left w:val="single" w:sz="8" w:space="0" w:color="88DBDF" w:themeColor="accent2"/>
        <w:bottom w:val="single" w:sz="8" w:space="0" w:color="88DBDF" w:themeColor="accent2"/>
        <w:right w:val="single" w:sz="8" w:space="0" w:color="88DBDF" w:themeColor="accent2"/>
        <w:insideH w:val="single" w:sz="8" w:space="0" w:color="88DBDF" w:themeColor="accent2"/>
        <w:insideV w:val="single" w:sz="8" w:space="0" w:color="88DBDF"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8DBDF" w:themeColor="accent2"/>
          <w:left w:val="single" w:sz="8" w:space="0" w:color="88DBDF" w:themeColor="accent2"/>
          <w:bottom w:val="single" w:sz="18" w:space="0" w:color="88DBDF" w:themeColor="accent2"/>
          <w:right w:val="single" w:sz="8" w:space="0" w:color="88DBDF" w:themeColor="accent2"/>
          <w:insideH w:val="nil"/>
          <w:insideV w:val="single" w:sz="8" w:space="0" w:color="88DBDF"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8DBDF" w:themeColor="accent2"/>
          <w:left w:val="single" w:sz="8" w:space="0" w:color="88DBDF" w:themeColor="accent2"/>
          <w:bottom w:val="single" w:sz="8" w:space="0" w:color="88DBDF" w:themeColor="accent2"/>
          <w:right w:val="single" w:sz="8" w:space="0" w:color="88DBDF" w:themeColor="accent2"/>
          <w:insideH w:val="nil"/>
          <w:insideV w:val="single" w:sz="8" w:space="0" w:color="88DBDF"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8DBDF" w:themeColor="accent2"/>
          <w:left w:val="single" w:sz="8" w:space="0" w:color="88DBDF" w:themeColor="accent2"/>
          <w:bottom w:val="single" w:sz="8" w:space="0" w:color="88DBDF" w:themeColor="accent2"/>
          <w:right w:val="single" w:sz="8" w:space="0" w:color="88DBDF" w:themeColor="accent2"/>
        </w:tcBorders>
      </w:tcPr>
    </w:tblStylePr>
    <w:tblStylePr w:type="band1Vert">
      <w:tblPr/>
      <w:tcPr>
        <w:tcBorders>
          <w:top w:val="single" w:sz="8" w:space="0" w:color="88DBDF" w:themeColor="accent2"/>
          <w:left w:val="single" w:sz="8" w:space="0" w:color="88DBDF" w:themeColor="accent2"/>
          <w:bottom w:val="single" w:sz="8" w:space="0" w:color="88DBDF" w:themeColor="accent2"/>
          <w:right w:val="single" w:sz="8" w:space="0" w:color="88DBDF" w:themeColor="accent2"/>
        </w:tcBorders>
        <w:shd w:val="clear" w:color="auto" w:fill="E1F6F7" w:themeFill="accent2" w:themeFillTint="3F"/>
      </w:tcPr>
    </w:tblStylePr>
    <w:tblStylePr w:type="band1Horz">
      <w:tblPr/>
      <w:tcPr>
        <w:tcBorders>
          <w:top w:val="single" w:sz="8" w:space="0" w:color="88DBDF" w:themeColor="accent2"/>
          <w:left w:val="single" w:sz="8" w:space="0" w:color="88DBDF" w:themeColor="accent2"/>
          <w:bottom w:val="single" w:sz="8" w:space="0" w:color="88DBDF" w:themeColor="accent2"/>
          <w:right w:val="single" w:sz="8" w:space="0" w:color="88DBDF" w:themeColor="accent2"/>
          <w:insideV w:val="single" w:sz="8" w:space="0" w:color="88DBDF" w:themeColor="accent2"/>
        </w:tcBorders>
        <w:shd w:val="clear" w:color="auto" w:fill="E1F6F7" w:themeFill="accent2" w:themeFillTint="3F"/>
      </w:tcPr>
    </w:tblStylePr>
    <w:tblStylePr w:type="band2Horz">
      <w:tblPr/>
      <w:tcPr>
        <w:tcBorders>
          <w:top w:val="single" w:sz="8" w:space="0" w:color="88DBDF" w:themeColor="accent2"/>
          <w:left w:val="single" w:sz="8" w:space="0" w:color="88DBDF" w:themeColor="accent2"/>
          <w:bottom w:val="single" w:sz="8" w:space="0" w:color="88DBDF" w:themeColor="accent2"/>
          <w:right w:val="single" w:sz="8" w:space="0" w:color="88DBDF" w:themeColor="accent2"/>
          <w:insideV w:val="single" w:sz="8" w:space="0" w:color="88DBDF" w:themeColor="accent2"/>
        </w:tcBorders>
      </w:tcPr>
    </w:tblStylePr>
  </w:style>
  <w:style w:type="table" w:styleId="LightGrid-Accent3">
    <w:name w:val="Light Grid Accent 3"/>
    <w:basedOn w:val="TableNormal"/>
    <w:uiPriority w:val="62"/>
    <w:semiHidden/>
    <w:rsid w:val="0058629F"/>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insideH w:val="single" w:sz="8" w:space="0" w:color="00B2A9" w:themeColor="accent3"/>
        <w:insideV w:val="single" w:sz="8" w:space="0" w:color="00B2A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B2A9" w:themeColor="accent3"/>
          <w:left w:val="single" w:sz="8" w:space="0" w:color="00B2A9" w:themeColor="accent3"/>
          <w:bottom w:val="single" w:sz="18" w:space="0" w:color="00B2A9" w:themeColor="accent3"/>
          <w:right w:val="single" w:sz="8" w:space="0" w:color="00B2A9" w:themeColor="accent3"/>
          <w:insideH w:val="nil"/>
          <w:insideV w:val="single" w:sz="8" w:space="0" w:color="00B2A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2A9" w:themeColor="accent3"/>
          <w:left w:val="single" w:sz="8" w:space="0" w:color="00B2A9" w:themeColor="accent3"/>
          <w:bottom w:val="single" w:sz="8" w:space="0" w:color="00B2A9" w:themeColor="accent3"/>
          <w:right w:val="single" w:sz="8" w:space="0" w:color="00B2A9" w:themeColor="accent3"/>
          <w:insideH w:val="nil"/>
          <w:insideV w:val="single" w:sz="8" w:space="0" w:color="00B2A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tblStylePr w:type="band1Vert">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shd w:val="clear" w:color="auto" w:fill="ACFFFA" w:themeFill="accent3" w:themeFillTint="3F"/>
      </w:tcPr>
    </w:tblStylePr>
    <w:tblStylePr w:type="band1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insideV w:val="single" w:sz="8" w:space="0" w:color="00B2A9" w:themeColor="accent3"/>
        </w:tcBorders>
        <w:shd w:val="clear" w:color="auto" w:fill="ACFFFA" w:themeFill="accent3" w:themeFillTint="3F"/>
      </w:tcPr>
    </w:tblStylePr>
    <w:tblStylePr w:type="band2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insideV w:val="single" w:sz="8" w:space="0" w:color="00B2A9" w:themeColor="accent3"/>
        </w:tcBorders>
      </w:tcPr>
    </w:tblStylePr>
  </w:style>
  <w:style w:type="table" w:styleId="LightGrid-Accent4">
    <w:name w:val="Light Grid Accent 4"/>
    <w:basedOn w:val="TableNormal"/>
    <w:uiPriority w:val="62"/>
    <w:semiHidden/>
    <w:rsid w:val="0058629F"/>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insideH w:val="single" w:sz="8" w:space="0" w:color="201547" w:themeColor="accent4"/>
        <w:insideV w:val="single" w:sz="8" w:space="0" w:color="201547"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01547" w:themeColor="accent4"/>
          <w:left w:val="single" w:sz="8" w:space="0" w:color="201547" w:themeColor="accent4"/>
          <w:bottom w:val="single" w:sz="18" w:space="0" w:color="201547" w:themeColor="accent4"/>
          <w:right w:val="single" w:sz="8" w:space="0" w:color="201547" w:themeColor="accent4"/>
          <w:insideH w:val="nil"/>
          <w:insideV w:val="single" w:sz="8" w:space="0" w:color="201547"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01547" w:themeColor="accent4"/>
          <w:left w:val="single" w:sz="8" w:space="0" w:color="201547" w:themeColor="accent4"/>
          <w:bottom w:val="single" w:sz="8" w:space="0" w:color="201547" w:themeColor="accent4"/>
          <w:right w:val="single" w:sz="8" w:space="0" w:color="201547" w:themeColor="accent4"/>
          <w:insideH w:val="nil"/>
          <w:insideV w:val="single" w:sz="8" w:space="0" w:color="201547"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tblStylePr w:type="band1Vert">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shd w:val="clear" w:color="auto" w:fill="BBAFE7" w:themeFill="accent4" w:themeFillTint="3F"/>
      </w:tcPr>
    </w:tblStylePr>
    <w:tblStylePr w:type="band1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insideV w:val="single" w:sz="8" w:space="0" w:color="201547" w:themeColor="accent4"/>
        </w:tcBorders>
        <w:shd w:val="clear" w:color="auto" w:fill="BBAFE7" w:themeFill="accent4" w:themeFillTint="3F"/>
      </w:tcPr>
    </w:tblStylePr>
    <w:tblStylePr w:type="band2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insideV w:val="single" w:sz="8" w:space="0" w:color="201547" w:themeColor="accent4"/>
        </w:tcBorders>
      </w:tcPr>
    </w:tblStylePr>
  </w:style>
  <w:style w:type="table" w:styleId="LightGrid-Accent5">
    <w:name w:val="Light Grid Accent 5"/>
    <w:basedOn w:val="TableNormal"/>
    <w:uiPriority w:val="62"/>
    <w:semiHidden/>
    <w:rsid w:val="0058629F"/>
    <w:tblPr>
      <w:tblStyleRowBandSize w:val="1"/>
      <w:tblStyleColBandSize w:val="1"/>
      <w:tblBorders>
        <w:top w:val="single" w:sz="8" w:space="0" w:color="6694C1" w:themeColor="accent5"/>
        <w:left w:val="single" w:sz="8" w:space="0" w:color="6694C1" w:themeColor="accent5"/>
        <w:bottom w:val="single" w:sz="8" w:space="0" w:color="6694C1" w:themeColor="accent5"/>
        <w:right w:val="single" w:sz="8" w:space="0" w:color="6694C1" w:themeColor="accent5"/>
        <w:insideH w:val="single" w:sz="8" w:space="0" w:color="6694C1" w:themeColor="accent5"/>
        <w:insideV w:val="single" w:sz="8" w:space="0" w:color="6694C1"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694C1" w:themeColor="accent5"/>
          <w:left w:val="single" w:sz="8" w:space="0" w:color="6694C1" w:themeColor="accent5"/>
          <w:bottom w:val="single" w:sz="18" w:space="0" w:color="6694C1" w:themeColor="accent5"/>
          <w:right w:val="single" w:sz="8" w:space="0" w:color="6694C1" w:themeColor="accent5"/>
          <w:insideH w:val="nil"/>
          <w:insideV w:val="single" w:sz="8" w:space="0" w:color="6694C1"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694C1" w:themeColor="accent5"/>
          <w:left w:val="single" w:sz="8" w:space="0" w:color="6694C1" w:themeColor="accent5"/>
          <w:bottom w:val="single" w:sz="8" w:space="0" w:color="6694C1" w:themeColor="accent5"/>
          <w:right w:val="single" w:sz="8" w:space="0" w:color="6694C1" w:themeColor="accent5"/>
          <w:insideH w:val="nil"/>
          <w:insideV w:val="single" w:sz="8" w:space="0" w:color="6694C1"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694C1" w:themeColor="accent5"/>
          <w:left w:val="single" w:sz="8" w:space="0" w:color="6694C1" w:themeColor="accent5"/>
          <w:bottom w:val="single" w:sz="8" w:space="0" w:color="6694C1" w:themeColor="accent5"/>
          <w:right w:val="single" w:sz="8" w:space="0" w:color="6694C1" w:themeColor="accent5"/>
        </w:tcBorders>
      </w:tcPr>
    </w:tblStylePr>
    <w:tblStylePr w:type="band1Vert">
      <w:tblPr/>
      <w:tcPr>
        <w:tcBorders>
          <w:top w:val="single" w:sz="8" w:space="0" w:color="6694C1" w:themeColor="accent5"/>
          <w:left w:val="single" w:sz="8" w:space="0" w:color="6694C1" w:themeColor="accent5"/>
          <w:bottom w:val="single" w:sz="8" w:space="0" w:color="6694C1" w:themeColor="accent5"/>
          <w:right w:val="single" w:sz="8" w:space="0" w:color="6694C1" w:themeColor="accent5"/>
        </w:tcBorders>
        <w:shd w:val="clear" w:color="auto" w:fill="D9E4EF" w:themeFill="accent5" w:themeFillTint="3F"/>
      </w:tcPr>
    </w:tblStylePr>
    <w:tblStylePr w:type="band1Horz">
      <w:tblPr/>
      <w:tcPr>
        <w:tcBorders>
          <w:top w:val="single" w:sz="8" w:space="0" w:color="6694C1" w:themeColor="accent5"/>
          <w:left w:val="single" w:sz="8" w:space="0" w:color="6694C1" w:themeColor="accent5"/>
          <w:bottom w:val="single" w:sz="8" w:space="0" w:color="6694C1" w:themeColor="accent5"/>
          <w:right w:val="single" w:sz="8" w:space="0" w:color="6694C1" w:themeColor="accent5"/>
          <w:insideV w:val="single" w:sz="8" w:space="0" w:color="6694C1" w:themeColor="accent5"/>
        </w:tcBorders>
        <w:shd w:val="clear" w:color="auto" w:fill="D9E4EF" w:themeFill="accent5" w:themeFillTint="3F"/>
      </w:tcPr>
    </w:tblStylePr>
    <w:tblStylePr w:type="band2Horz">
      <w:tblPr/>
      <w:tcPr>
        <w:tcBorders>
          <w:top w:val="single" w:sz="8" w:space="0" w:color="6694C1" w:themeColor="accent5"/>
          <w:left w:val="single" w:sz="8" w:space="0" w:color="6694C1" w:themeColor="accent5"/>
          <w:bottom w:val="single" w:sz="8" w:space="0" w:color="6694C1" w:themeColor="accent5"/>
          <w:right w:val="single" w:sz="8" w:space="0" w:color="6694C1" w:themeColor="accent5"/>
          <w:insideV w:val="single" w:sz="8" w:space="0" w:color="6694C1" w:themeColor="accent5"/>
        </w:tcBorders>
      </w:tcPr>
    </w:tblStylePr>
  </w:style>
  <w:style w:type="table" w:styleId="LightGrid-Accent6">
    <w:name w:val="Light Grid Accent 6"/>
    <w:basedOn w:val="TableNormal"/>
    <w:uiPriority w:val="62"/>
    <w:semiHidden/>
    <w:rsid w:val="0058629F"/>
    <w:tblPr>
      <w:tblStyleRowBandSize w:val="1"/>
      <w:tblStyleColBandSize w:val="1"/>
      <w:tblBorders>
        <w:top w:val="single" w:sz="8" w:space="0" w:color="B8E9EC" w:themeColor="accent6"/>
        <w:left w:val="single" w:sz="8" w:space="0" w:color="B8E9EC" w:themeColor="accent6"/>
        <w:bottom w:val="single" w:sz="8" w:space="0" w:color="B8E9EC" w:themeColor="accent6"/>
        <w:right w:val="single" w:sz="8" w:space="0" w:color="B8E9EC" w:themeColor="accent6"/>
        <w:insideH w:val="single" w:sz="8" w:space="0" w:color="B8E9EC" w:themeColor="accent6"/>
        <w:insideV w:val="single" w:sz="8" w:space="0" w:color="B8E9EC"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8E9EC" w:themeColor="accent6"/>
          <w:left w:val="single" w:sz="8" w:space="0" w:color="B8E9EC" w:themeColor="accent6"/>
          <w:bottom w:val="single" w:sz="18" w:space="0" w:color="B8E9EC" w:themeColor="accent6"/>
          <w:right w:val="single" w:sz="8" w:space="0" w:color="B8E9EC" w:themeColor="accent6"/>
          <w:insideH w:val="nil"/>
          <w:insideV w:val="single" w:sz="8" w:space="0" w:color="B8E9EC"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8E9EC" w:themeColor="accent6"/>
          <w:left w:val="single" w:sz="8" w:space="0" w:color="B8E9EC" w:themeColor="accent6"/>
          <w:bottom w:val="single" w:sz="8" w:space="0" w:color="B8E9EC" w:themeColor="accent6"/>
          <w:right w:val="single" w:sz="8" w:space="0" w:color="B8E9EC" w:themeColor="accent6"/>
          <w:insideH w:val="nil"/>
          <w:insideV w:val="single" w:sz="8" w:space="0" w:color="B8E9EC"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8E9EC" w:themeColor="accent6"/>
          <w:left w:val="single" w:sz="8" w:space="0" w:color="B8E9EC" w:themeColor="accent6"/>
          <w:bottom w:val="single" w:sz="8" w:space="0" w:color="B8E9EC" w:themeColor="accent6"/>
          <w:right w:val="single" w:sz="8" w:space="0" w:color="B8E9EC" w:themeColor="accent6"/>
        </w:tcBorders>
      </w:tcPr>
    </w:tblStylePr>
    <w:tblStylePr w:type="band1Vert">
      <w:tblPr/>
      <w:tcPr>
        <w:tcBorders>
          <w:top w:val="single" w:sz="8" w:space="0" w:color="B8E9EC" w:themeColor="accent6"/>
          <w:left w:val="single" w:sz="8" w:space="0" w:color="B8E9EC" w:themeColor="accent6"/>
          <w:bottom w:val="single" w:sz="8" w:space="0" w:color="B8E9EC" w:themeColor="accent6"/>
          <w:right w:val="single" w:sz="8" w:space="0" w:color="B8E9EC" w:themeColor="accent6"/>
        </w:tcBorders>
        <w:shd w:val="clear" w:color="auto" w:fill="EDF9FA" w:themeFill="accent6" w:themeFillTint="3F"/>
      </w:tcPr>
    </w:tblStylePr>
    <w:tblStylePr w:type="band1Horz">
      <w:tblPr/>
      <w:tcPr>
        <w:tcBorders>
          <w:top w:val="single" w:sz="8" w:space="0" w:color="B8E9EC" w:themeColor="accent6"/>
          <w:left w:val="single" w:sz="8" w:space="0" w:color="B8E9EC" w:themeColor="accent6"/>
          <w:bottom w:val="single" w:sz="8" w:space="0" w:color="B8E9EC" w:themeColor="accent6"/>
          <w:right w:val="single" w:sz="8" w:space="0" w:color="B8E9EC" w:themeColor="accent6"/>
          <w:insideV w:val="single" w:sz="8" w:space="0" w:color="B8E9EC" w:themeColor="accent6"/>
        </w:tcBorders>
        <w:shd w:val="clear" w:color="auto" w:fill="EDF9FA" w:themeFill="accent6" w:themeFillTint="3F"/>
      </w:tcPr>
    </w:tblStylePr>
    <w:tblStylePr w:type="band2Horz">
      <w:tblPr/>
      <w:tcPr>
        <w:tcBorders>
          <w:top w:val="single" w:sz="8" w:space="0" w:color="B8E9EC" w:themeColor="accent6"/>
          <w:left w:val="single" w:sz="8" w:space="0" w:color="B8E9EC" w:themeColor="accent6"/>
          <w:bottom w:val="single" w:sz="8" w:space="0" w:color="B8E9EC" w:themeColor="accent6"/>
          <w:right w:val="single" w:sz="8" w:space="0" w:color="B8E9EC" w:themeColor="accent6"/>
          <w:insideV w:val="single" w:sz="8" w:space="0" w:color="B8E9EC" w:themeColor="accent6"/>
        </w:tcBorders>
      </w:tcPr>
    </w:tblStylePr>
  </w:style>
  <w:style w:type="table" w:styleId="LightList">
    <w:name w:val="Light List"/>
    <w:basedOn w:val="TableNormal"/>
    <w:uiPriority w:val="61"/>
    <w:semiHidden/>
    <w:rsid w:val="0058629F"/>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tblBorders>
    </w:tblPr>
    <w:tblStylePr w:type="firstRow">
      <w:pPr>
        <w:spacing w:before="0" w:after="0" w:line="240" w:lineRule="auto"/>
      </w:pPr>
      <w:rPr>
        <w:b/>
        <w:bCs/>
        <w:color w:val="FFFFFF" w:themeColor="background1"/>
      </w:rPr>
      <w:tblPr/>
      <w:tcPr>
        <w:shd w:val="clear" w:color="auto" w:fill="232222" w:themeFill="text1"/>
      </w:tcPr>
    </w:tblStylePr>
    <w:tblStylePr w:type="lastRow">
      <w:pPr>
        <w:spacing w:before="0" w:after="0" w:line="240" w:lineRule="auto"/>
      </w:pPr>
      <w:rPr>
        <w:b/>
        <w:bCs/>
      </w:rPr>
      <w:tblPr/>
      <w:tcPr>
        <w:tcBorders>
          <w:top w:val="double" w:sz="6" w:space="0" w:color="232222" w:themeColor="text1"/>
          <w:left w:val="single" w:sz="8" w:space="0" w:color="232222" w:themeColor="text1"/>
          <w:bottom w:val="single" w:sz="8" w:space="0" w:color="232222" w:themeColor="text1"/>
          <w:right w:val="single" w:sz="8" w:space="0" w:color="232222" w:themeColor="text1"/>
        </w:tcBorders>
      </w:tcPr>
    </w:tblStylePr>
    <w:tblStylePr w:type="firstCol">
      <w:rPr>
        <w:b/>
        <w:bCs/>
      </w:rPr>
    </w:tblStylePr>
    <w:tblStylePr w:type="lastCol">
      <w:rPr>
        <w:b/>
        <w:bCs/>
      </w:rPr>
    </w:tblStylePr>
    <w:tblStylePr w:type="band1Vert">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tblStylePr w:type="band1Horz">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style>
  <w:style w:type="table" w:styleId="LightList-Accent1">
    <w:name w:val="Light List Accent 1"/>
    <w:basedOn w:val="TableNormal"/>
    <w:uiPriority w:val="61"/>
    <w:semiHidden/>
    <w:rsid w:val="0058629F"/>
    <w:tblPr>
      <w:tblStyleRowBandSize w:val="1"/>
      <w:tblStyleColBandSize w:val="1"/>
      <w:tblBorders>
        <w:top w:val="single" w:sz="8" w:space="0" w:color="004C97" w:themeColor="accent1"/>
        <w:left w:val="single" w:sz="8" w:space="0" w:color="004C97" w:themeColor="accent1"/>
        <w:bottom w:val="single" w:sz="8" w:space="0" w:color="004C97" w:themeColor="accent1"/>
        <w:right w:val="single" w:sz="8" w:space="0" w:color="004C97" w:themeColor="accent1"/>
      </w:tblBorders>
    </w:tblPr>
    <w:tblStylePr w:type="firstRow">
      <w:pPr>
        <w:spacing w:before="0" w:after="0" w:line="240" w:lineRule="auto"/>
      </w:pPr>
      <w:rPr>
        <w:b/>
        <w:bCs/>
        <w:color w:val="FFFFFF" w:themeColor="background1"/>
      </w:rPr>
      <w:tblPr/>
      <w:tcPr>
        <w:shd w:val="clear" w:color="auto" w:fill="004C97" w:themeFill="accent1"/>
      </w:tcPr>
    </w:tblStylePr>
    <w:tblStylePr w:type="lastRow">
      <w:pPr>
        <w:spacing w:before="0" w:after="0" w:line="240" w:lineRule="auto"/>
      </w:pPr>
      <w:rPr>
        <w:b/>
        <w:bCs/>
      </w:rPr>
      <w:tblPr/>
      <w:tcPr>
        <w:tcBorders>
          <w:top w:val="double" w:sz="6" w:space="0" w:color="004C97" w:themeColor="accent1"/>
          <w:left w:val="single" w:sz="8" w:space="0" w:color="004C97" w:themeColor="accent1"/>
          <w:bottom w:val="single" w:sz="8" w:space="0" w:color="004C97" w:themeColor="accent1"/>
          <w:right w:val="single" w:sz="8" w:space="0" w:color="004C97" w:themeColor="accent1"/>
        </w:tcBorders>
      </w:tcPr>
    </w:tblStylePr>
    <w:tblStylePr w:type="firstCol">
      <w:rPr>
        <w:b/>
        <w:bCs/>
      </w:rPr>
    </w:tblStylePr>
    <w:tblStylePr w:type="lastCol">
      <w:rPr>
        <w:b/>
        <w:bCs/>
      </w:rPr>
    </w:tblStylePr>
    <w:tblStylePr w:type="band1Vert">
      <w:tblPr/>
      <w:tcPr>
        <w:tcBorders>
          <w:top w:val="single" w:sz="8" w:space="0" w:color="004C97" w:themeColor="accent1"/>
          <w:left w:val="single" w:sz="8" w:space="0" w:color="004C97" w:themeColor="accent1"/>
          <w:bottom w:val="single" w:sz="8" w:space="0" w:color="004C97" w:themeColor="accent1"/>
          <w:right w:val="single" w:sz="8" w:space="0" w:color="004C97" w:themeColor="accent1"/>
        </w:tcBorders>
      </w:tcPr>
    </w:tblStylePr>
    <w:tblStylePr w:type="band1Horz">
      <w:tblPr/>
      <w:tcPr>
        <w:tcBorders>
          <w:top w:val="single" w:sz="8" w:space="0" w:color="004C97" w:themeColor="accent1"/>
          <w:left w:val="single" w:sz="8" w:space="0" w:color="004C97" w:themeColor="accent1"/>
          <w:bottom w:val="single" w:sz="8" w:space="0" w:color="004C97" w:themeColor="accent1"/>
          <w:right w:val="single" w:sz="8" w:space="0" w:color="004C97" w:themeColor="accent1"/>
        </w:tcBorders>
      </w:tcPr>
    </w:tblStylePr>
  </w:style>
  <w:style w:type="table" w:styleId="LightList-Accent2">
    <w:name w:val="Light List Accent 2"/>
    <w:basedOn w:val="TableNormal"/>
    <w:uiPriority w:val="61"/>
    <w:semiHidden/>
    <w:rsid w:val="0058629F"/>
    <w:tblPr>
      <w:tblStyleRowBandSize w:val="1"/>
      <w:tblStyleColBandSize w:val="1"/>
      <w:tblBorders>
        <w:top w:val="single" w:sz="8" w:space="0" w:color="88DBDF" w:themeColor="accent2"/>
        <w:left w:val="single" w:sz="8" w:space="0" w:color="88DBDF" w:themeColor="accent2"/>
        <w:bottom w:val="single" w:sz="8" w:space="0" w:color="88DBDF" w:themeColor="accent2"/>
        <w:right w:val="single" w:sz="8" w:space="0" w:color="88DBDF" w:themeColor="accent2"/>
      </w:tblBorders>
    </w:tblPr>
    <w:tblStylePr w:type="firstRow">
      <w:pPr>
        <w:spacing w:before="0" w:after="0" w:line="240" w:lineRule="auto"/>
      </w:pPr>
      <w:rPr>
        <w:b/>
        <w:bCs/>
        <w:color w:val="FFFFFF" w:themeColor="background1"/>
      </w:rPr>
      <w:tblPr/>
      <w:tcPr>
        <w:shd w:val="clear" w:color="auto" w:fill="88DBDF" w:themeFill="accent2"/>
      </w:tcPr>
    </w:tblStylePr>
    <w:tblStylePr w:type="lastRow">
      <w:pPr>
        <w:spacing w:before="0" w:after="0" w:line="240" w:lineRule="auto"/>
      </w:pPr>
      <w:rPr>
        <w:b/>
        <w:bCs/>
      </w:rPr>
      <w:tblPr/>
      <w:tcPr>
        <w:tcBorders>
          <w:top w:val="double" w:sz="6" w:space="0" w:color="88DBDF" w:themeColor="accent2"/>
          <w:left w:val="single" w:sz="8" w:space="0" w:color="88DBDF" w:themeColor="accent2"/>
          <w:bottom w:val="single" w:sz="8" w:space="0" w:color="88DBDF" w:themeColor="accent2"/>
          <w:right w:val="single" w:sz="8" w:space="0" w:color="88DBDF" w:themeColor="accent2"/>
        </w:tcBorders>
      </w:tcPr>
    </w:tblStylePr>
    <w:tblStylePr w:type="firstCol">
      <w:rPr>
        <w:b/>
        <w:bCs/>
      </w:rPr>
    </w:tblStylePr>
    <w:tblStylePr w:type="lastCol">
      <w:rPr>
        <w:b/>
        <w:bCs/>
      </w:rPr>
    </w:tblStylePr>
    <w:tblStylePr w:type="band1Vert">
      <w:tblPr/>
      <w:tcPr>
        <w:tcBorders>
          <w:top w:val="single" w:sz="8" w:space="0" w:color="88DBDF" w:themeColor="accent2"/>
          <w:left w:val="single" w:sz="8" w:space="0" w:color="88DBDF" w:themeColor="accent2"/>
          <w:bottom w:val="single" w:sz="8" w:space="0" w:color="88DBDF" w:themeColor="accent2"/>
          <w:right w:val="single" w:sz="8" w:space="0" w:color="88DBDF" w:themeColor="accent2"/>
        </w:tcBorders>
      </w:tcPr>
    </w:tblStylePr>
    <w:tblStylePr w:type="band1Horz">
      <w:tblPr/>
      <w:tcPr>
        <w:tcBorders>
          <w:top w:val="single" w:sz="8" w:space="0" w:color="88DBDF" w:themeColor="accent2"/>
          <w:left w:val="single" w:sz="8" w:space="0" w:color="88DBDF" w:themeColor="accent2"/>
          <w:bottom w:val="single" w:sz="8" w:space="0" w:color="88DBDF" w:themeColor="accent2"/>
          <w:right w:val="single" w:sz="8" w:space="0" w:color="88DBDF" w:themeColor="accent2"/>
        </w:tcBorders>
      </w:tcPr>
    </w:tblStylePr>
  </w:style>
  <w:style w:type="table" w:styleId="LightList-Accent3">
    <w:name w:val="Light List Accent 3"/>
    <w:basedOn w:val="TableNormal"/>
    <w:uiPriority w:val="61"/>
    <w:semiHidden/>
    <w:rsid w:val="0058629F"/>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tblBorders>
    </w:tblPr>
    <w:tblStylePr w:type="firstRow">
      <w:pPr>
        <w:spacing w:before="0" w:after="0" w:line="240" w:lineRule="auto"/>
      </w:pPr>
      <w:rPr>
        <w:b/>
        <w:bCs/>
        <w:color w:val="FFFFFF" w:themeColor="background1"/>
      </w:rPr>
      <w:tblPr/>
      <w:tcPr>
        <w:shd w:val="clear" w:color="auto" w:fill="00B2A9" w:themeFill="accent3"/>
      </w:tcPr>
    </w:tblStylePr>
    <w:tblStylePr w:type="lastRow">
      <w:pPr>
        <w:spacing w:before="0" w:after="0" w:line="240" w:lineRule="auto"/>
      </w:pPr>
      <w:rPr>
        <w:b/>
        <w:bCs/>
      </w:rPr>
      <w:tblPr/>
      <w:tcPr>
        <w:tcBorders>
          <w:top w:val="double" w:sz="6" w:space="0" w:color="00B2A9" w:themeColor="accent3"/>
          <w:left w:val="single" w:sz="8" w:space="0" w:color="00B2A9" w:themeColor="accent3"/>
          <w:bottom w:val="single" w:sz="8" w:space="0" w:color="00B2A9" w:themeColor="accent3"/>
          <w:right w:val="single" w:sz="8" w:space="0" w:color="00B2A9" w:themeColor="accent3"/>
        </w:tcBorders>
      </w:tcPr>
    </w:tblStylePr>
    <w:tblStylePr w:type="firstCol">
      <w:rPr>
        <w:b/>
        <w:bCs/>
      </w:rPr>
    </w:tblStylePr>
    <w:tblStylePr w:type="lastCol">
      <w:rPr>
        <w:b/>
        <w:bCs/>
      </w:rPr>
    </w:tblStylePr>
    <w:tblStylePr w:type="band1Vert">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tblStylePr w:type="band1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style>
  <w:style w:type="table" w:styleId="LightList-Accent4">
    <w:name w:val="Light List Accent 4"/>
    <w:basedOn w:val="TableNormal"/>
    <w:uiPriority w:val="61"/>
    <w:semiHidden/>
    <w:rsid w:val="0058629F"/>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tblBorders>
    </w:tblPr>
    <w:tblStylePr w:type="firstRow">
      <w:pPr>
        <w:spacing w:before="0" w:after="0" w:line="240" w:lineRule="auto"/>
      </w:pPr>
      <w:rPr>
        <w:b/>
        <w:bCs/>
        <w:color w:val="FFFFFF" w:themeColor="background1"/>
      </w:rPr>
      <w:tblPr/>
      <w:tcPr>
        <w:shd w:val="clear" w:color="auto" w:fill="201547" w:themeFill="accent4"/>
      </w:tcPr>
    </w:tblStylePr>
    <w:tblStylePr w:type="lastRow">
      <w:pPr>
        <w:spacing w:before="0" w:after="0" w:line="240" w:lineRule="auto"/>
      </w:pPr>
      <w:rPr>
        <w:b/>
        <w:bCs/>
      </w:rPr>
      <w:tblPr/>
      <w:tcPr>
        <w:tcBorders>
          <w:top w:val="double" w:sz="6" w:space="0" w:color="201547" w:themeColor="accent4"/>
          <w:left w:val="single" w:sz="8" w:space="0" w:color="201547" w:themeColor="accent4"/>
          <w:bottom w:val="single" w:sz="8" w:space="0" w:color="201547" w:themeColor="accent4"/>
          <w:right w:val="single" w:sz="8" w:space="0" w:color="201547" w:themeColor="accent4"/>
        </w:tcBorders>
      </w:tcPr>
    </w:tblStylePr>
    <w:tblStylePr w:type="firstCol">
      <w:rPr>
        <w:b/>
        <w:bCs/>
      </w:rPr>
    </w:tblStylePr>
    <w:tblStylePr w:type="lastCol">
      <w:rPr>
        <w:b/>
        <w:bCs/>
      </w:rPr>
    </w:tblStylePr>
    <w:tblStylePr w:type="band1Vert">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tblStylePr w:type="band1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style>
  <w:style w:type="table" w:styleId="LightList-Accent5">
    <w:name w:val="Light List Accent 5"/>
    <w:basedOn w:val="TableNormal"/>
    <w:uiPriority w:val="61"/>
    <w:semiHidden/>
    <w:rsid w:val="0058629F"/>
    <w:tblPr>
      <w:tblStyleRowBandSize w:val="1"/>
      <w:tblStyleColBandSize w:val="1"/>
      <w:tblBorders>
        <w:top w:val="single" w:sz="8" w:space="0" w:color="6694C1" w:themeColor="accent5"/>
        <w:left w:val="single" w:sz="8" w:space="0" w:color="6694C1" w:themeColor="accent5"/>
        <w:bottom w:val="single" w:sz="8" w:space="0" w:color="6694C1" w:themeColor="accent5"/>
        <w:right w:val="single" w:sz="8" w:space="0" w:color="6694C1" w:themeColor="accent5"/>
      </w:tblBorders>
    </w:tblPr>
    <w:tblStylePr w:type="firstRow">
      <w:pPr>
        <w:spacing w:before="0" w:after="0" w:line="240" w:lineRule="auto"/>
      </w:pPr>
      <w:rPr>
        <w:b/>
        <w:bCs/>
        <w:color w:val="FFFFFF" w:themeColor="background1"/>
      </w:rPr>
      <w:tblPr/>
      <w:tcPr>
        <w:shd w:val="clear" w:color="auto" w:fill="6694C1" w:themeFill="accent5"/>
      </w:tcPr>
    </w:tblStylePr>
    <w:tblStylePr w:type="lastRow">
      <w:pPr>
        <w:spacing w:before="0" w:after="0" w:line="240" w:lineRule="auto"/>
      </w:pPr>
      <w:rPr>
        <w:b/>
        <w:bCs/>
      </w:rPr>
      <w:tblPr/>
      <w:tcPr>
        <w:tcBorders>
          <w:top w:val="double" w:sz="6" w:space="0" w:color="6694C1" w:themeColor="accent5"/>
          <w:left w:val="single" w:sz="8" w:space="0" w:color="6694C1" w:themeColor="accent5"/>
          <w:bottom w:val="single" w:sz="8" w:space="0" w:color="6694C1" w:themeColor="accent5"/>
          <w:right w:val="single" w:sz="8" w:space="0" w:color="6694C1" w:themeColor="accent5"/>
        </w:tcBorders>
      </w:tcPr>
    </w:tblStylePr>
    <w:tblStylePr w:type="firstCol">
      <w:rPr>
        <w:b/>
        <w:bCs/>
      </w:rPr>
    </w:tblStylePr>
    <w:tblStylePr w:type="lastCol">
      <w:rPr>
        <w:b/>
        <w:bCs/>
      </w:rPr>
    </w:tblStylePr>
    <w:tblStylePr w:type="band1Vert">
      <w:tblPr/>
      <w:tcPr>
        <w:tcBorders>
          <w:top w:val="single" w:sz="8" w:space="0" w:color="6694C1" w:themeColor="accent5"/>
          <w:left w:val="single" w:sz="8" w:space="0" w:color="6694C1" w:themeColor="accent5"/>
          <w:bottom w:val="single" w:sz="8" w:space="0" w:color="6694C1" w:themeColor="accent5"/>
          <w:right w:val="single" w:sz="8" w:space="0" w:color="6694C1" w:themeColor="accent5"/>
        </w:tcBorders>
      </w:tcPr>
    </w:tblStylePr>
    <w:tblStylePr w:type="band1Horz">
      <w:tblPr/>
      <w:tcPr>
        <w:tcBorders>
          <w:top w:val="single" w:sz="8" w:space="0" w:color="6694C1" w:themeColor="accent5"/>
          <w:left w:val="single" w:sz="8" w:space="0" w:color="6694C1" w:themeColor="accent5"/>
          <w:bottom w:val="single" w:sz="8" w:space="0" w:color="6694C1" w:themeColor="accent5"/>
          <w:right w:val="single" w:sz="8" w:space="0" w:color="6694C1" w:themeColor="accent5"/>
        </w:tcBorders>
      </w:tcPr>
    </w:tblStylePr>
  </w:style>
  <w:style w:type="table" w:styleId="LightList-Accent6">
    <w:name w:val="Light List Accent 6"/>
    <w:basedOn w:val="TableNormal"/>
    <w:uiPriority w:val="61"/>
    <w:semiHidden/>
    <w:rsid w:val="0058629F"/>
    <w:tblPr>
      <w:tblStyleRowBandSize w:val="1"/>
      <w:tblStyleColBandSize w:val="1"/>
      <w:tblBorders>
        <w:top w:val="single" w:sz="8" w:space="0" w:color="B8E9EC" w:themeColor="accent6"/>
        <w:left w:val="single" w:sz="8" w:space="0" w:color="B8E9EC" w:themeColor="accent6"/>
        <w:bottom w:val="single" w:sz="8" w:space="0" w:color="B8E9EC" w:themeColor="accent6"/>
        <w:right w:val="single" w:sz="8" w:space="0" w:color="B8E9EC" w:themeColor="accent6"/>
      </w:tblBorders>
    </w:tblPr>
    <w:tblStylePr w:type="firstRow">
      <w:pPr>
        <w:spacing w:before="0" w:after="0" w:line="240" w:lineRule="auto"/>
      </w:pPr>
      <w:rPr>
        <w:b/>
        <w:bCs/>
        <w:color w:val="FFFFFF" w:themeColor="background1"/>
      </w:rPr>
      <w:tblPr/>
      <w:tcPr>
        <w:shd w:val="clear" w:color="auto" w:fill="B8E9EC" w:themeFill="accent6"/>
      </w:tcPr>
    </w:tblStylePr>
    <w:tblStylePr w:type="lastRow">
      <w:pPr>
        <w:spacing w:before="0" w:after="0" w:line="240" w:lineRule="auto"/>
      </w:pPr>
      <w:rPr>
        <w:b/>
        <w:bCs/>
      </w:rPr>
      <w:tblPr/>
      <w:tcPr>
        <w:tcBorders>
          <w:top w:val="double" w:sz="6" w:space="0" w:color="B8E9EC" w:themeColor="accent6"/>
          <w:left w:val="single" w:sz="8" w:space="0" w:color="B8E9EC" w:themeColor="accent6"/>
          <w:bottom w:val="single" w:sz="8" w:space="0" w:color="B8E9EC" w:themeColor="accent6"/>
          <w:right w:val="single" w:sz="8" w:space="0" w:color="B8E9EC" w:themeColor="accent6"/>
        </w:tcBorders>
      </w:tcPr>
    </w:tblStylePr>
    <w:tblStylePr w:type="firstCol">
      <w:rPr>
        <w:b/>
        <w:bCs/>
      </w:rPr>
    </w:tblStylePr>
    <w:tblStylePr w:type="lastCol">
      <w:rPr>
        <w:b/>
        <w:bCs/>
      </w:rPr>
    </w:tblStylePr>
    <w:tblStylePr w:type="band1Vert">
      <w:tblPr/>
      <w:tcPr>
        <w:tcBorders>
          <w:top w:val="single" w:sz="8" w:space="0" w:color="B8E9EC" w:themeColor="accent6"/>
          <w:left w:val="single" w:sz="8" w:space="0" w:color="B8E9EC" w:themeColor="accent6"/>
          <w:bottom w:val="single" w:sz="8" w:space="0" w:color="B8E9EC" w:themeColor="accent6"/>
          <w:right w:val="single" w:sz="8" w:space="0" w:color="B8E9EC" w:themeColor="accent6"/>
        </w:tcBorders>
      </w:tcPr>
    </w:tblStylePr>
    <w:tblStylePr w:type="band1Horz">
      <w:tblPr/>
      <w:tcPr>
        <w:tcBorders>
          <w:top w:val="single" w:sz="8" w:space="0" w:color="B8E9EC" w:themeColor="accent6"/>
          <w:left w:val="single" w:sz="8" w:space="0" w:color="B8E9EC" w:themeColor="accent6"/>
          <w:bottom w:val="single" w:sz="8" w:space="0" w:color="B8E9EC" w:themeColor="accent6"/>
          <w:right w:val="single" w:sz="8" w:space="0" w:color="B8E9EC" w:themeColor="accent6"/>
        </w:tcBorders>
      </w:tcPr>
    </w:tblStylePr>
  </w:style>
  <w:style w:type="table" w:styleId="LightShading">
    <w:name w:val="Light Shading"/>
    <w:basedOn w:val="TableNormal"/>
    <w:uiPriority w:val="60"/>
    <w:semiHidden/>
    <w:rsid w:val="0058629F"/>
    <w:rPr>
      <w:color w:val="1A1919" w:themeColor="text1" w:themeShade="BF"/>
    </w:rPr>
    <w:tblPr>
      <w:tblStyleRowBandSize w:val="1"/>
      <w:tblStyleColBandSize w:val="1"/>
      <w:tblBorders>
        <w:top w:val="single" w:sz="8" w:space="0" w:color="232222" w:themeColor="text1"/>
        <w:bottom w:val="single" w:sz="8" w:space="0" w:color="232222" w:themeColor="text1"/>
      </w:tblBorders>
    </w:tblPr>
    <w:tblStylePr w:type="firstRow">
      <w:pPr>
        <w:spacing w:before="0" w:after="0" w:line="240" w:lineRule="auto"/>
      </w:pPr>
      <w:rPr>
        <w:b/>
        <w:bCs/>
      </w:rPr>
      <w:tblPr/>
      <w:tcPr>
        <w:tcBorders>
          <w:top w:val="single" w:sz="8" w:space="0" w:color="232222" w:themeColor="text1"/>
          <w:left w:val="nil"/>
          <w:bottom w:val="single" w:sz="8" w:space="0" w:color="232222" w:themeColor="text1"/>
          <w:right w:val="nil"/>
          <w:insideH w:val="nil"/>
          <w:insideV w:val="nil"/>
        </w:tcBorders>
      </w:tcPr>
    </w:tblStylePr>
    <w:tblStylePr w:type="lastRow">
      <w:pPr>
        <w:spacing w:before="0" w:after="0" w:line="240" w:lineRule="auto"/>
      </w:pPr>
      <w:rPr>
        <w:b/>
        <w:bCs/>
      </w:rPr>
      <w:tblPr/>
      <w:tcPr>
        <w:tcBorders>
          <w:top w:val="single" w:sz="8" w:space="0" w:color="232222" w:themeColor="text1"/>
          <w:left w:val="nil"/>
          <w:bottom w:val="single" w:sz="8" w:space="0" w:color="232222"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9C7C7" w:themeFill="text1" w:themeFillTint="3F"/>
      </w:tcPr>
    </w:tblStylePr>
    <w:tblStylePr w:type="band1Horz">
      <w:tblPr/>
      <w:tcPr>
        <w:tcBorders>
          <w:left w:val="nil"/>
          <w:right w:val="nil"/>
          <w:insideH w:val="nil"/>
          <w:insideV w:val="nil"/>
        </w:tcBorders>
        <w:shd w:val="clear" w:color="auto" w:fill="C9C7C7" w:themeFill="text1" w:themeFillTint="3F"/>
      </w:tcPr>
    </w:tblStylePr>
  </w:style>
  <w:style w:type="table" w:styleId="LightShading-Accent1">
    <w:name w:val="Light Shading Accent 1"/>
    <w:basedOn w:val="TableNormal"/>
    <w:uiPriority w:val="60"/>
    <w:semiHidden/>
    <w:rsid w:val="0058629F"/>
    <w:rPr>
      <w:color w:val="003871" w:themeColor="accent1" w:themeShade="BF"/>
    </w:rPr>
    <w:tblPr>
      <w:tblStyleRowBandSize w:val="1"/>
      <w:tblStyleColBandSize w:val="1"/>
      <w:tblBorders>
        <w:top w:val="single" w:sz="8" w:space="0" w:color="004C97" w:themeColor="accent1"/>
        <w:bottom w:val="single" w:sz="8" w:space="0" w:color="004C97" w:themeColor="accent1"/>
      </w:tblBorders>
    </w:tblPr>
    <w:tblStylePr w:type="firstRow">
      <w:pPr>
        <w:spacing w:before="0" w:after="0" w:line="240" w:lineRule="auto"/>
      </w:pPr>
      <w:rPr>
        <w:b/>
        <w:bCs/>
      </w:rPr>
      <w:tblPr/>
      <w:tcPr>
        <w:tcBorders>
          <w:top w:val="single" w:sz="8" w:space="0" w:color="004C97" w:themeColor="accent1"/>
          <w:left w:val="nil"/>
          <w:bottom w:val="single" w:sz="8" w:space="0" w:color="004C97" w:themeColor="accent1"/>
          <w:right w:val="nil"/>
          <w:insideH w:val="nil"/>
          <w:insideV w:val="nil"/>
        </w:tcBorders>
      </w:tcPr>
    </w:tblStylePr>
    <w:tblStylePr w:type="lastRow">
      <w:pPr>
        <w:spacing w:before="0" w:after="0" w:line="240" w:lineRule="auto"/>
      </w:pPr>
      <w:rPr>
        <w:b/>
        <w:bCs/>
      </w:rPr>
      <w:tblPr/>
      <w:tcPr>
        <w:tcBorders>
          <w:top w:val="single" w:sz="8" w:space="0" w:color="004C97" w:themeColor="accent1"/>
          <w:left w:val="nil"/>
          <w:bottom w:val="single" w:sz="8" w:space="0" w:color="004C97"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6D2FF" w:themeFill="accent1" w:themeFillTint="3F"/>
      </w:tcPr>
    </w:tblStylePr>
    <w:tblStylePr w:type="band1Horz">
      <w:tblPr/>
      <w:tcPr>
        <w:tcBorders>
          <w:left w:val="nil"/>
          <w:right w:val="nil"/>
          <w:insideH w:val="nil"/>
          <w:insideV w:val="nil"/>
        </w:tcBorders>
        <w:shd w:val="clear" w:color="auto" w:fill="A6D2FF" w:themeFill="accent1" w:themeFillTint="3F"/>
      </w:tcPr>
    </w:tblStylePr>
  </w:style>
  <w:style w:type="table" w:styleId="LightShading-Accent2">
    <w:name w:val="Light Shading Accent 2"/>
    <w:basedOn w:val="TableNormal"/>
    <w:uiPriority w:val="60"/>
    <w:semiHidden/>
    <w:rsid w:val="0058629F"/>
    <w:rPr>
      <w:color w:val="40C5CB" w:themeColor="accent2" w:themeShade="BF"/>
    </w:rPr>
    <w:tblPr>
      <w:tblStyleRowBandSize w:val="1"/>
      <w:tblStyleColBandSize w:val="1"/>
      <w:tblBorders>
        <w:top w:val="single" w:sz="8" w:space="0" w:color="88DBDF" w:themeColor="accent2"/>
        <w:bottom w:val="single" w:sz="8" w:space="0" w:color="88DBDF" w:themeColor="accent2"/>
      </w:tblBorders>
    </w:tblPr>
    <w:tblStylePr w:type="firstRow">
      <w:pPr>
        <w:spacing w:before="0" w:after="0" w:line="240" w:lineRule="auto"/>
      </w:pPr>
      <w:rPr>
        <w:b/>
        <w:bCs/>
      </w:rPr>
      <w:tblPr/>
      <w:tcPr>
        <w:tcBorders>
          <w:top w:val="single" w:sz="8" w:space="0" w:color="88DBDF" w:themeColor="accent2"/>
          <w:left w:val="nil"/>
          <w:bottom w:val="single" w:sz="8" w:space="0" w:color="88DBDF" w:themeColor="accent2"/>
          <w:right w:val="nil"/>
          <w:insideH w:val="nil"/>
          <w:insideV w:val="nil"/>
        </w:tcBorders>
      </w:tcPr>
    </w:tblStylePr>
    <w:tblStylePr w:type="lastRow">
      <w:pPr>
        <w:spacing w:before="0" w:after="0" w:line="240" w:lineRule="auto"/>
      </w:pPr>
      <w:rPr>
        <w:b/>
        <w:bCs/>
      </w:rPr>
      <w:tblPr/>
      <w:tcPr>
        <w:tcBorders>
          <w:top w:val="single" w:sz="8" w:space="0" w:color="88DBDF" w:themeColor="accent2"/>
          <w:left w:val="nil"/>
          <w:bottom w:val="single" w:sz="8" w:space="0" w:color="88DBDF"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1F6F7" w:themeFill="accent2" w:themeFillTint="3F"/>
      </w:tcPr>
    </w:tblStylePr>
    <w:tblStylePr w:type="band1Horz">
      <w:tblPr/>
      <w:tcPr>
        <w:tcBorders>
          <w:left w:val="nil"/>
          <w:right w:val="nil"/>
          <w:insideH w:val="nil"/>
          <w:insideV w:val="nil"/>
        </w:tcBorders>
        <w:shd w:val="clear" w:color="auto" w:fill="E1F6F7" w:themeFill="accent2" w:themeFillTint="3F"/>
      </w:tcPr>
    </w:tblStylePr>
  </w:style>
  <w:style w:type="table" w:styleId="LightShading-Accent3">
    <w:name w:val="Light Shading Accent 3"/>
    <w:basedOn w:val="TableNormal"/>
    <w:uiPriority w:val="60"/>
    <w:semiHidden/>
    <w:rsid w:val="0058629F"/>
    <w:rPr>
      <w:color w:val="00857E" w:themeColor="accent3" w:themeShade="BF"/>
    </w:rPr>
    <w:tblPr>
      <w:tblStyleRowBandSize w:val="1"/>
      <w:tblStyleColBandSize w:val="1"/>
      <w:tblBorders>
        <w:top w:val="single" w:sz="8" w:space="0" w:color="00B2A9" w:themeColor="accent3"/>
        <w:bottom w:val="single" w:sz="8" w:space="0" w:color="00B2A9" w:themeColor="accent3"/>
      </w:tblBorders>
    </w:tblPr>
    <w:tblStylePr w:type="firstRow">
      <w:pPr>
        <w:spacing w:before="0" w:after="0" w:line="240" w:lineRule="auto"/>
      </w:pPr>
      <w:rPr>
        <w:b/>
        <w:bCs/>
      </w:rPr>
      <w:tblPr/>
      <w:tcPr>
        <w:tcBorders>
          <w:top w:val="single" w:sz="8" w:space="0" w:color="00B2A9" w:themeColor="accent3"/>
          <w:left w:val="nil"/>
          <w:bottom w:val="single" w:sz="8" w:space="0" w:color="00B2A9" w:themeColor="accent3"/>
          <w:right w:val="nil"/>
          <w:insideH w:val="nil"/>
          <w:insideV w:val="nil"/>
        </w:tcBorders>
      </w:tcPr>
    </w:tblStylePr>
    <w:tblStylePr w:type="lastRow">
      <w:pPr>
        <w:spacing w:before="0" w:after="0" w:line="240" w:lineRule="auto"/>
      </w:pPr>
      <w:rPr>
        <w:b/>
        <w:bCs/>
      </w:rPr>
      <w:tblPr/>
      <w:tcPr>
        <w:tcBorders>
          <w:top w:val="single" w:sz="8" w:space="0" w:color="00B2A9" w:themeColor="accent3"/>
          <w:left w:val="nil"/>
          <w:bottom w:val="single" w:sz="8" w:space="0" w:color="00B2A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FA" w:themeFill="accent3" w:themeFillTint="3F"/>
      </w:tcPr>
    </w:tblStylePr>
    <w:tblStylePr w:type="band1Horz">
      <w:tblPr/>
      <w:tcPr>
        <w:tcBorders>
          <w:left w:val="nil"/>
          <w:right w:val="nil"/>
          <w:insideH w:val="nil"/>
          <w:insideV w:val="nil"/>
        </w:tcBorders>
        <w:shd w:val="clear" w:color="auto" w:fill="ACFFFA" w:themeFill="accent3" w:themeFillTint="3F"/>
      </w:tcPr>
    </w:tblStylePr>
  </w:style>
  <w:style w:type="table" w:styleId="LightShading-Accent4">
    <w:name w:val="Light Shading Accent 4"/>
    <w:basedOn w:val="TableNormal"/>
    <w:uiPriority w:val="60"/>
    <w:semiHidden/>
    <w:rsid w:val="0058629F"/>
    <w:rPr>
      <w:color w:val="170F34" w:themeColor="accent4" w:themeShade="BF"/>
    </w:rPr>
    <w:tblPr>
      <w:tblStyleRowBandSize w:val="1"/>
      <w:tblStyleColBandSize w:val="1"/>
      <w:tblBorders>
        <w:top w:val="single" w:sz="8" w:space="0" w:color="201547" w:themeColor="accent4"/>
        <w:bottom w:val="single" w:sz="8" w:space="0" w:color="201547" w:themeColor="accent4"/>
      </w:tblBorders>
    </w:tblPr>
    <w:tblStylePr w:type="firstRow">
      <w:pPr>
        <w:spacing w:before="0" w:after="0" w:line="240" w:lineRule="auto"/>
      </w:pPr>
      <w:rPr>
        <w:b/>
        <w:bCs/>
      </w:rPr>
      <w:tblPr/>
      <w:tcPr>
        <w:tcBorders>
          <w:top w:val="single" w:sz="8" w:space="0" w:color="201547" w:themeColor="accent4"/>
          <w:left w:val="nil"/>
          <w:bottom w:val="single" w:sz="8" w:space="0" w:color="201547" w:themeColor="accent4"/>
          <w:right w:val="nil"/>
          <w:insideH w:val="nil"/>
          <w:insideV w:val="nil"/>
        </w:tcBorders>
      </w:tcPr>
    </w:tblStylePr>
    <w:tblStylePr w:type="lastRow">
      <w:pPr>
        <w:spacing w:before="0" w:after="0" w:line="240" w:lineRule="auto"/>
      </w:pPr>
      <w:rPr>
        <w:b/>
        <w:bCs/>
      </w:rPr>
      <w:tblPr/>
      <w:tcPr>
        <w:tcBorders>
          <w:top w:val="single" w:sz="8" w:space="0" w:color="201547" w:themeColor="accent4"/>
          <w:left w:val="nil"/>
          <w:bottom w:val="single" w:sz="8" w:space="0" w:color="20154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AFE7" w:themeFill="accent4" w:themeFillTint="3F"/>
      </w:tcPr>
    </w:tblStylePr>
    <w:tblStylePr w:type="band1Horz">
      <w:tblPr/>
      <w:tcPr>
        <w:tcBorders>
          <w:left w:val="nil"/>
          <w:right w:val="nil"/>
          <w:insideH w:val="nil"/>
          <w:insideV w:val="nil"/>
        </w:tcBorders>
        <w:shd w:val="clear" w:color="auto" w:fill="BBAFE7" w:themeFill="accent4" w:themeFillTint="3F"/>
      </w:tcPr>
    </w:tblStylePr>
  </w:style>
  <w:style w:type="table" w:styleId="LightShading-Accent5">
    <w:name w:val="Light Shading Accent 5"/>
    <w:basedOn w:val="TableNormal"/>
    <w:uiPriority w:val="60"/>
    <w:semiHidden/>
    <w:rsid w:val="0058629F"/>
    <w:rPr>
      <w:color w:val="3F6E9C" w:themeColor="accent5" w:themeShade="BF"/>
    </w:rPr>
    <w:tblPr>
      <w:tblStyleRowBandSize w:val="1"/>
      <w:tblStyleColBandSize w:val="1"/>
      <w:tblBorders>
        <w:top w:val="single" w:sz="8" w:space="0" w:color="6694C1" w:themeColor="accent5"/>
        <w:bottom w:val="single" w:sz="8" w:space="0" w:color="6694C1" w:themeColor="accent5"/>
      </w:tblBorders>
    </w:tblPr>
    <w:tblStylePr w:type="firstRow">
      <w:pPr>
        <w:spacing w:before="0" w:after="0" w:line="240" w:lineRule="auto"/>
      </w:pPr>
      <w:rPr>
        <w:b/>
        <w:bCs/>
      </w:rPr>
      <w:tblPr/>
      <w:tcPr>
        <w:tcBorders>
          <w:top w:val="single" w:sz="8" w:space="0" w:color="6694C1" w:themeColor="accent5"/>
          <w:left w:val="nil"/>
          <w:bottom w:val="single" w:sz="8" w:space="0" w:color="6694C1" w:themeColor="accent5"/>
          <w:right w:val="nil"/>
          <w:insideH w:val="nil"/>
          <w:insideV w:val="nil"/>
        </w:tcBorders>
      </w:tcPr>
    </w:tblStylePr>
    <w:tblStylePr w:type="lastRow">
      <w:pPr>
        <w:spacing w:before="0" w:after="0" w:line="240" w:lineRule="auto"/>
      </w:pPr>
      <w:rPr>
        <w:b/>
        <w:bCs/>
      </w:rPr>
      <w:tblPr/>
      <w:tcPr>
        <w:tcBorders>
          <w:top w:val="single" w:sz="8" w:space="0" w:color="6694C1" w:themeColor="accent5"/>
          <w:left w:val="nil"/>
          <w:bottom w:val="single" w:sz="8" w:space="0" w:color="6694C1"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9E4EF" w:themeFill="accent5" w:themeFillTint="3F"/>
      </w:tcPr>
    </w:tblStylePr>
    <w:tblStylePr w:type="band1Horz">
      <w:tblPr/>
      <w:tcPr>
        <w:tcBorders>
          <w:left w:val="nil"/>
          <w:right w:val="nil"/>
          <w:insideH w:val="nil"/>
          <w:insideV w:val="nil"/>
        </w:tcBorders>
        <w:shd w:val="clear" w:color="auto" w:fill="D9E4EF" w:themeFill="accent5" w:themeFillTint="3F"/>
      </w:tcPr>
    </w:tblStylePr>
  </w:style>
  <w:style w:type="table" w:styleId="LightShading-Accent6">
    <w:name w:val="Light Shading Accent 6"/>
    <w:basedOn w:val="TableNormal"/>
    <w:uiPriority w:val="60"/>
    <w:semiHidden/>
    <w:rsid w:val="0058629F"/>
    <w:rPr>
      <w:color w:val="64CFD5" w:themeColor="accent6" w:themeShade="BF"/>
    </w:rPr>
    <w:tblPr>
      <w:tblStyleRowBandSize w:val="1"/>
      <w:tblStyleColBandSize w:val="1"/>
      <w:tblBorders>
        <w:top w:val="single" w:sz="8" w:space="0" w:color="B8E9EC" w:themeColor="accent6"/>
        <w:bottom w:val="single" w:sz="8" w:space="0" w:color="B8E9EC" w:themeColor="accent6"/>
      </w:tblBorders>
    </w:tblPr>
    <w:tblStylePr w:type="firstRow">
      <w:pPr>
        <w:spacing w:before="0" w:after="0" w:line="240" w:lineRule="auto"/>
      </w:pPr>
      <w:rPr>
        <w:b/>
        <w:bCs/>
      </w:rPr>
      <w:tblPr/>
      <w:tcPr>
        <w:tcBorders>
          <w:top w:val="single" w:sz="8" w:space="0" w:color="B8E9EC" w:themeColor="accent6"/>
          <w:left w:val="nil"/>
          <w:bottom w:val="single" w:sz="8" w:space="0" w:color="B8E9EC" w:themeColor="accent6"/>
          <w:right w:val="nil"/>
          <w:insideH w:val="nil"/>
          <w:insideV w:val="nil"/>
        </w:tcBorders>
      </w:tcPr>
    </w:tblStylePr>
    <w:tblStylePr w:type="lastRow">
      <w:pPr>
        <w:spacing w:before="0" w:after="0" w:line="240" w:lineRule="auto"/>
      </w:pPr>
      <w:rPr>
        <w:b/>
        <w:bCs/>
      </w:rPr>
      <w:tblPr/>
      <w:tcPr>
        <w:tcBorders>
          <w:top w:val="single" w:sz="8" w:space="0" w:color="B8E9EC" w:themeColor="accent6"/>
          <w:left w:val="nil"/>
          <w:bottom w:val="single" w:sz="8" w:space="0" w:color="B8E9EC"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DF9FA" w:themeFill="accent6" w:themeFillTint="3F"/>
      </w:tcPr>
    </w:tblStylePr>
    <w:tblStylePr w:type="band1Horz">
      <w:tblPr/>
      <w:tcPr>
        <w:tcBorders>
          <w:left w:val="nil"/>
          <w:right w:val="nil"/>
          <w:insideH w:val="nil"/>
          <w:insideV w:val="nil"/>
        </w:tcBorders>
        <w:shd w:val="clear" w:color="auto" w:fill="EDF9FA" w:themeFill="accent6" w:themeFillTint="3F"/>
      </w:tcPr>
    </w:tblStylePr>
  </w:style>
  <w:style w:type="table" w:styleId="ListTable1Light">
    <w:name w:val="List Table 1 Light"/>
    <w:basedOn w:val="TableNormal"/>
    <w:uiPriority w:val="46"/>
    <w:rsid w:val="0058629F"/>
    <w:tblPr>
      <w:tblStyleRowBandSize w:val="1"/>
      <w:tblStyleColBandSize w:val="1"/>
    </w:tblPr>
    <w:tblStylePr w:type="firstRow">
      <w:rPr>
        <w:b/>
        <w:bCs/>
      </w:rPr>
      <w:tblPr/>
      <w:tcPr>
        <w:tcBorders>
          <w:bottom w:val="single" w:sz="4" w:space="0" w:color="7C7979" w:themeColor="text1" w:themeTint="99"/>
        </w:tcBorders>
      </w:tcPr>
    </w:tblStylePr>
    <w:tblStylePr w:type="lastRow">
      <w:rPr>
        <w:b/>
        <w:bCs/>
      </w:rPr>
      <w:tblPr/>
      <w:tcPr>
        <w:tcBorders>
          <w:top w:val="sing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1Light-Accent1">
    <w:name w:val="List Table 1 Light Accent 1"/>
    <w:basedOn w:val="TableNormal"/>
    <w:uiPriority w:val="46"/>
    <w:rsid w:val="0058629F"/>
    <w:tblPr>
      <w:tblStyleRowBandSize w:val="1"/>
      <w:tblStyleColBandSize w:val="1"/>
    </w:tblPr>
    <w:tblStylePr w:type="firstRow">
      <w:rPr>
        <w:b/>
        <w:bCs/>
      </w:rPr>
      <w:tblPr/>
      <w:tcPr>
        <w:tcBorders>
          <w:bottom w:val="single" w:sz="4" w:space="0" w:color="2793FF" w:themeColor="accent1" w:themeTint="99"/>
        </w:tcBorders>
      </w:tcPr>
    </w:tblStylePr>
    <w:tblStylePr w:type="lastRow">
      <w:rPr>
        <w:b/>
        <w:bCs/>
      </w:rPr>
      <w:tblPr/>
      <w:tcPr>
        <w:tcBorders>
          <w:top w:val="single" w:sz="4" w:space="0" w:color="2793FF" w:themeColor="accent1" w:themeTint="99"/>
        </w:tcBorders>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ListTable1Light-Accent2">
    <w:name w:val="List Table 1 Light Accent 2"/>
    <w:basedOn w:val="TableNormal"/>
    <w:uiPriority w:val="46"/>
    <w:rsid w:val="0058629F"/>
    <w:tblPr>
      <w:tblStyleRowBandSize w:val="1"/>
      <w:tblStyleColBandSize w:val="1"/>
    </w:tblPr>
    <w:tblStylePr w:type="firstRow">
      <w:rPr>
        <w:b/>
        <w:bCs/>
      </w:rPr>
      <w:tblPr/>
      <w:tcPr>
        <w:tcBorders>
          <w:bottom w:val="single" w:sz="4" w:space="0" w:color="B7E9EB" w:themeColor="accent2" w:themeTint="99"/>
        </w:tcBorders>
      </w:tcPr>
    </w:tblStylePr>
    <w:tblStylePr w:type="lastRow">
      <w:rPr>
        <w:b/>
        <w:bCs/>
      </w:rPr>
      <w:tblPr/>
      <w:tcPr>
        <w:tcBorders>
          <w:top w:val="single" w:sz="4" w:space="0" w:color="B7E9EB" w:themeColor="accent2" w:themeTint="99"/>
        </w:tcBorders>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ListTable1Light-Accent3">
    <w:name w:val="List Table 1 Light Accent 3"/>
    <w:basedOn w:val="TableNormal"/>
    <w:uiPriority w:val="46"/>
    <w:rsid w:val="0058629F"/>
    <w:tblPr>
      <w:tblStyleRowBandSize w:val="1"/>
      <w:tblStyleColBandSize w:val="1"/>
    </w:tblPr>
    <w:tblStylePr w:type="firstRow">
      <w:rPr>
        <w:b/>
        <w:bCs/>
      </w:rPr>
      <w:tblPr/>
      <w:tcPr>
        <w:tcBorders>
          <w:bottom w:val="single" w:sz="4" w:space="0" w:color="37FFF4" w:themeColor="accent3" w:themeTint="99"/>
        </w:tcBorders>
      </w:tcPr>
    </w:tblStylePr>
    <w:tblStylePr w:type="lastRow">
      <w:rPr>
        <w:b/>
        <w:bCs/>
      </w:rPr>
      <w:tblPr/>
      <w:tcPr>
        <w:tcBorders>
          <w:top w:val="sing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1Light-Accent4">
    <w:name w:val="List Table 1 Light Accent 4"/>
    <w:basedOn w:val="TableNormal"/>
    <w:uiPriority w:val="46"/>
    <w:rsid w:val="0058629F"/>
    <w:tblPr>
      <w:tblStyleRowBandSize w:val="1"/>
      <w:tblStyleColBandSize w:val="1"/>
    </w:tblPr>
    <w:tblStylePr w:type="firstRow">
      <w:rPr>
        <w:b/>
        <w:bCs/>
      </w:rPr>
      <w:tblPr/>
      <w:tcPr>
        <w:tcBorders>
          <w:bottom w:val="single" w:sz="4" w:space="0" w:color="5B3DC5" w:themeColor="accent4" w:themeTint="99"/>
        </w:tcBorders>
      </w:tcPr>
    </w:tblStylePr>
    <w:tblStylePr w:type="lastRow">
      <w:rPr>
        <w:b/>
        <w:bCs/>
      </w:rPr>
      <w:tblPr/>
      <w:tcPr>
        <w:tcBorders>
          <w:top w:val="sing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1Light-Accent5">
    <w:name w:val="List Table 1 Light Accent 5"/>
    <w:basedOn w:val="TableNormal"/>
    <w:uiPriority w:val="46"/>
    <w:rsid w:val="0058629F"/>
    <w:tblPr>
      <w:tblStyleRowBandSize w:val="1"/>
      <w:tblStyleColBandSize w:val="1"/>
    </w:tblPr>
    <w:tblStylePr w:type="firstRow">
      <w:rPr>
        <w:b/>
        <w:bCs/>
      </w:rPr>
      <w:tblPr/>
      <w:tcPr>
        <w:tcBorders>
          <w:bottom w:val="single" w:sz="4" w:space="0" w:color="A3BED9" w:themeColor="accent5" w:themeTint="99"/>
        </w:tcBorders>
      </w:tcPr>
    </w:tblStylePr>
    <w:tblStylePr w:type="lastRow">
      <w:rPr>
        <w:b/>
        <w:bCs/>
      </w:rPr>
      <w:tblPr/>
      <w:tcPr>
        <w:tcBorders>
          <w:top w:val="single" w:sz="4" w:space="0" w:color="A3BED9" w:themeColor="accent5" w:themeTint="99"/>
        </w:tcBorders>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ListTable1Light-Accent6">
    <w:name w:val="List Table 1 Light Accent 6"/>
    <w:basedOn w:val="TableNormal"/>
    <w:uiPriority w:val="46"/>
    <w:rsid w:val="0058629F"/>
    <w:tblPr>
      <w:tblStyleRowBandSize w:val="1"/>
      <w:tblStyleColBandSize w:val="1"/>
    </w:tblPr>
    <w:tblStylePr w:type="firstRow">
      <w:rPr>
        <w:b/>
        <w:bCs/>
      </w:rPr>
      <w:tblPr/>
      <w:tcPr>
        <w:tcBorders>
          <w:bottom w:val="single" w:sz="4" w:space="0" w:color="D4F1F3" w:themeColor="accent6" w:themeTint="99"/>
        </w:tcBorders>
      </w:tcPr>
    </w:tblStylePr>
    <w:tblStylePr w:type="lastRow">
      <w:rPr>
        <w:b/>
        <w:bCs/>
      </w:rPr>
      <w:tblPr/>
      <w:tcPr>
        <w:tcBorders>
          <w:top w:val="single" w:sz="4" w:space="0" w:color="D4F1F3" w:themeColor="accent6" w:themeTint="99"/>
        </w:tcBorders>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ListTable2">
    <w:name w:val="List Table 2"/>
    <w:basedOn w:val="TableNormal"/>
    <w:uiPriority w:val="47"/>
    <w:rsid w:val="0058629F"/>
    <w:tblPr>
      <w:tblStyleRowBandSize w:val="1"/>
      <w:tblStyleColBandSize w:val="1"/>
      <w:tblBorders>
        <w:top w:val="single" w:sz="4" w:space="0" w:color="7C7979" w:themeColor="text1" w:themeTint="99"/>
        <w:bottom w:val="single" w:sz="4" w:space="0" w:color="7C7979" w:themeColor="text1" w:themeTint="99"/>
        <w:insideH w:val="single" w:sz="4" w:space="0" w:color="7C7979"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2-Accent1">
    <w:name w:val="List Table 2 Accent 1"/>
    <w:basedOn w:val="TableNormal"/>
    <w:uiPriority w:val="47"/>
    <w:rsid w:val="0058629F"/>
    <w:tblPr>
      <w:tblStyleRowBandSize w:val="1"/>
      <w:tblStyleColBandSize w:val="1"/>
      <w:tblBorders>
        <w:top w:val="single" w:sz="4" w:space="0" w:color="2793FF" w:themeColor="accent1" w:themeTint="99"/>
        <w:bottom w:val="single" w:sz="4" w:space="0" w:color="2793FF" w:themeColor="accent1" w:themeTint="99"/>
        <w:insideH w:val="single" w:sz="4" w:space="0" w:color="2793FF"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ListTable2-Accent2">
    <w:name w:val="List Table 2 Accent 2"/>
    <w:basedOn w:val="TableNormal"/>
    <w:uiPriority w:val="47"/>
    <w:rsid w:val="0058629F"/>
    <w:tblPr>
      <w:tblStyleRowBandSize w:val="1"/>
      <w:tblStyleColBandSize w:val="1"/>
      <w:tblBorders>
        <w:top w:val="single" w:sz="4" w:space="0" w:color="B7E9EB" w:themeColor="accent2" w:themeTint="99"/>
        <w:bottom w:val="single" w:sz="4" w:space="0" w:color="B7E9EB" w:themeColor="accent2" w:themeTint="99"/>
        <w:insideH w:val="single" w:sz="4" w:space="0" w:color="B7E9EB"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ListTable2-Accent3">
    <w:name w:val="List Table 2 Accent 3"/>
    <w:basedOn w:val="TableNormal"/>
    <w:uiPriority w:val="47"/>
    <w:rsid w:val="0058629F"/>
    <w:tblPr>
      <w:tblStyleRowBandSize w:val="1"/>
      <w:tblStyleColBandSize w:val="1"/>
      <w:tblBorders>
        <w:top w:val="single" w:sz="4" w:space="0" w:color="37FFF4" w:themeColor="accent3" w:themeTint="99"/>
        <w:bottom w:val="single" w:sz="4" w:space="0" w:color="37FFF4" w:themeColor="accent3" w:themeTint="99"/>
        <w:insideH w:val="single" w:sz="4" w:space="0" w:color="37FFF4"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2-Accent4">
    <w:name w:val="List Table 2 Accent 4"/>
    <w:basedOn w:val="TableNormal"/>
    <w:uiPriority w:val="47"/>
    <w:rsid w:val="0058629F"/>
    <w:tblPr>
      <w:tblStyleRowBandSize w:val="1"/>
      <w:tblStyleColBandSize w:val="1"/>
      <w:tblBorders>
        <w:top w:val="single" w:sz="4" w:space="0" w:color="5B3DC5" w:themeColor="accent4" w:themeTint="99"/>
        <w:bottom w:val="single" w:sz="4" w:space="0" w:color="5B3DC5" w:themeColor="accent4" w:themeTint="99"/>
        <w:insideH w:val="single" w:sz="4" w:space="0" w:color="5B3DC5"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2-Accent5">
    <w:name w:val="List Table 2 Accent 5"/>
    <w:basedOn w:val="TableNormal"/>
    <w:uiPriority w:val="47"/>
    <w:rsid w:val="0058629F"/>
    <w:tblPr>
      <w:tblStyleRowBandSize w:val="1"/>
      <w:tblStyleColBandSize w:val="1"/>
      <w:tblBorders>
        <w:top w:val="single" w:sz="4" w:space="0" w:color="A3BED9" w:themeColor="accent5" w:themeTint="99"/>
        <w:bottom w:val="single" w:sz="4" w:space="0" w:color="A3BED9" w:themeColor="accent5" w:themeTint="99"/>
        <w:insideH w:val="single" w:sz="4" w:space="0" w:color="A3BED9"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ListTable2-Accent6">
    <w:name w:val="List Table 2 Accent 6"/>
    <w:basedOn w:val="TableNormal"/>
    <w:uiPriority w:val="47"/>
    <w:rsid w:val="0058629F"/>
    <w:tblPr>
      <w:tblStyleRowBandSize w:val="1"/>
      <w:tblStyleColBandSize w:val="1"/>
      <w:tblBorders>
        <w:top w:val="single" w:sz="4" w:space="0" w:color="D4F1F3" w:themeColor="accent6" w:themeTint="99"/>
        <w:bottom w:val="single" w:sz="4" w:space="0" w:color="D4F1F3" w:themeColor="accent6" w:themeTint="99"/>
        <w:insideH w:val="single" w:sz="4" w:space="0" w:color="D4F1F3"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ListTable3">
    <w:name w:val="List Table 3"/>
    <w:basedOn w:val="TableNormal"/>
    <w:uiPriority w:val="48"/>
    <w:rsid w:val="0058629F"/>
    <w:tblPr>
      <w:tblStyleRowBandSize w:val="1"/>
      <w:tblStyleColBandSize w:val="1"/>
      <w:tblBorders>
        <w:top w:val="single" w:sz="4" w:space="0" w:color="232222" w:themeColor="text1"/>
        <w:left w:val="single" w:sz="4" w:space="0" w:color="232222" w:themeColor="text1"/>
        <w:bottom w:val="single" w:sz="4" w:space="0" w:color="232222" w:themeColor="text1"/>
        <w:right w:val="single" w:sz="4" w:space="0" w:color="232222" w:themeColor="text1"/>
      </w:tblBorders>
    </w:tblPr>
    <w:tblStylePr w:type="firstRow">
      <w:rPr>
        <w:b/>
        <w:bCs/>
        <w:color w:val="FFFFFF" w:themeColor="background1"/>
      </w:rPr>
      <w:tblPr/>
      <w:tcPr>
        <w:shd w:val="clear" w:color="auto" w:fill="232222" w:themeFill="text1"/>
      </w:tcPr>
    </w:tblStylePr>
    <w:tblStylePr w:type="lastRow">
      <w:rPr>
        <w:b/>
        <w:bCs/>
      </w:rPr>
      <w:tblPr/>
      <w:tcPr>
        <w:tcBorders>
          <w:top w:val="double" w:sz="4" w:space="0" w:color="232222"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32222" w:themeColor="text1"/>
          <w:right w:val="single" w:sz="4" w:space="0" w:color="232222" w:themeColor="text1"/>
        </w:tcBorders>
      </w:tcPr>
    </w:tblStylePr>
    <w:tblStylePr w:type="band1Horz">
      <w:tblPr/>
      <w:tcPr>
        <w:tcBorders>
          <w:top w:val="single" w:sz="4" w:space="0" w:color="232222" w:themeColor="text1"/>
          <w:bottom w:val="single" w:sz="4" w:space="0" w:color="232222"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2222" w:themeColor="text1"/>
          <w:left w:val="nil"/>
        </w:tcBorders>
      </w:tcPr>
    </w:tblStylePr>
    <w:tblStylePr w:type="swCell">
      <w:tblPr/>
      <w:tcPr>
        <w:tcBorders>
          <w:top w:val="double" w:sz="4" w:space="0" w:color="232222" w:themeColor="text1"/>
          <w:right w:val="nil"/>
        </w:tcBorders>
      </w:tcPr>
    </w:tblStylePr>
  </w:style>
  <w:style w:type="table" w:styleId="ListTable3-Accent1">
    <w:name w:val="List Table 3 Accent 1"/>
    <w:basedOn w:val="TableNormal"/>
    <w:uiPriority w:val="48"/>
    <w:rsid w:val="0058629F"/>
    <w:tblPr>
      <w:tblStyleRowBandSize w:val="1"/>
      <w:tblStyleColBandSize w:val="1"/>
      <w:tblBorders>
        <w:top w:val="single" w:sz="4" w:space="0" w:color="004C97" w:themeColor="accent1"/>
        <w:left w:val="single" w:sz="4" w:space="0" w:color="004C97" w:themeColor="accent1"/>
        <w:bottom w:val="single" w:sz="4" w:space="0" w:color="004C97" w:themeColor="accent1"/>
        <w:right w:val="single" w:sz="4" w:space="0" w:color="004C97" w:themeColor="accent1"/>
      </w:tblBorders>
    </w:tblPr>
    <w:tblStylePr w:type="firstRow">
      <w:rPr>
        <w:b/>
        <w:bCs/>
        <w:color w:val="FFFFFF" w:themeColor="background1"/>
      </w:rPr>
      <w:tblPr/>
      <w:tcPr>
        <w:shd w:val="clear" w:color="auto" w:fill="004C97" w:themeFill="accent1"/>
      </w:tcPr>
    </w:tblStylePr>
    <w:tblStylePr w:type="lastRow">
      <w:rPr>
        <w:b/>
        <w:bCs/>
      </w:rPr>
      <w:tblPr/>
      <w:tcPr>
        <w:tcBorders>
          <w:top w:val="double" w:sz="4" w:space="0" w:color="004C97"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4C97" w:themeColor="accent1"/>
          <w:right w:val="single" w:sz="4" w:space="0" w:color="004C97" w:themeColor="accent1"/>
        </w:tcBorders>
      </w:tcPr>
    </w:tblStylePr>
    <w:tblStylePr w:type="band1Horz">
      <w:tblPr/>
      <w:tcPr>
        <w:tcBorders>
          <w:top w:val="single" w:sz="4" w:space="0" w:color="004C97" w:themeColor="accent1"/>
          <w:bottom w:val="single" w:sz="4" w:space="0" w:color="004C97"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4C97" w:themeColor="accent1"/>
          <w:left w:val="nil"/>
        </w:tcBorders>
      </w:tcPr>
    </w:tblStylePr>
    <w:tblStylePr w:type="swCell">
      <w:tblPr/>
      <w:tcPr>
        <w:tcBorders>
          <w:top w:val="double" w:sz="4" w:space="0" w:color="004C97" w:themeColor="accent1"/>
          <w:right w:val="nil"/>
        </w:tcBorders>
      </w:tcPr>
    </w:tblStylePr>
  </w:style>
  <w:style w:type="table" w:styleId="ListTable3-Accent2">
    <w:name w:val="List Table 3 Accent 2"/>
    <w:basedOn w:val="TableNormal"/>
    <w:uiPriority w:val="48"/>
    <w:rsid w:val="0058629F"/>
    <w:tblPr>
      <w:tblStyleRowBandSize w:val="1"/>
      <w:tblStyleColBandSize w:val="1"/>
      <w:tblBorders>
        <w:top w:val="single" w:sz="4" w:space="0" w:color="88DBDF" w:themeColor="accent2"/>
        <w:left w:val="single" w:sz="4" w:space="0" w:color="88DBDF" w:themeColor="accent2"/>
        <w:bottom w:val="single" w:sz="4" w:space="0" w:color="88DBDF" w:themeColor="accent2"/>
        <w:right w:val="single" w:sz="4" w:space="0" w:color="88DBDF" w:themeColor="accent2"/>
      </w:tblBorders>
    </w:tblPr>
    <w:tblStylePr w:type="firstRow">
      <w:rPr>
        <w:b/>
        <w:bCs/>
        <w:color w:val="FFFFFF" w:themeColor="background1"/>
      </w:rPr>
      <w:tblPr/>
      <w:tcPr>
        <w:shd w:val="clear" w:color="auto" w:fill="88DBDF" w:themeFill="accent2"/>
      </w:tcPr>
    </w:tblStylePr>
    <w:tblStylePr w:type="lastRow">
      <w:rPr>
        <w:b/>
        <w:bCs/>
      </w:rPr>
      <w:tblPr/>
      <w:tcPr>
        <w:tcBorders>
          <w:top w:val="double" w:sz="4" w:space="0" w:color="88DBDF"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8DBDF" w:themeColor="accent2"/>
          <w:right w:val="single" w:sz="4" w:space="0" w:color="88DBDF" w:themeColor="accent2"/>
        </w:tcBorders>
      </w:tcPr>
    </w:tblStylePr>
    <w:tblStylePr w:type="band1Horz">
      <w:tblPr/>
      <w:tcPr>
        <w:tcBorders>
          <w:top w:val="single" w:sz="4" w:space="0" w:color="88DBDF" w:themeColor="accent2"/>
          <w:bottom w:val="single" w:sz="4" w:space="0" w:color="88DBDF"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8DBDF" w:themeColor="accent2"/>
          <w:left w:val="nil"/>
        </w:tcBorders>
      </w:tcPr>
    </w:tblStylePr>
    <w:tblStylePr w:type="swCell">
      <w:tblPr/>
      <w:tcPr>
        <w:tcBorders>
          <w:top w:val="double" w:sz="4" w:space="0" w:color="88DBDF" w:themeColor="accent2"/>
          <w:right w:val="nil"/>
        </w:tcBorders>
      </w:tcPr>
    </w:tblStylePr>
  </w:style>
  <w:style w:type="table" w:styleId="ListTable3-Accent3">
    <w:name w:val="List Table 3 Accent 3"/>
    <w:basedOn w:val="TableNormal"/>
    <w:uiPriority w:val="48"/>
    <w:rsid w:val="0058629F"/>
    <w:tblPr>
      <w:tblStyleRowBandSize w:val="1"/>
      <w:tblStyleColBandSize w:val="1"/>
      <w:tblBorders>
        <w:top w:val="single" w:sz="4" w:space="0" w:color="00B2A9" w:themeColor="accent3"/>
        <w:left w:val="single" w:sz="4" w:space="0" w:color="00B2A9" w:themeColor="accent3"/>
        <w:bottom w:val="single" w:sz="4" w:space="0" w:color="00B2A9" w:themeColor="accent3"/>
        <w:right w:val="single" w:sz="4" w:space="0" w:color="00B2A9" w:themeColor="accent3"/>
      </w:tblBorders>
    </w:tblPr>
    <w:tblStylePr w:type="firstRow">
      <w:rPr>
        <w:b/>
        <w:bCs/>
        <w:color w:val="FFFFFF" w:themeColor="background1"/>
      </w:rPr>
      <w:tblPr/>
      <w:tcPr>
        <w:shd w:val="clear" w:color="auto" w:fill="00B2A9" w:themeFill="accent3"/>
      </w:tcPr>
    </w:tblStylePr>
    <w:tblStylePr w:type="lastRow">
      <w:rPr>
        <w:b/>
        <w:bCs/>
      </w:rPr>
      <w:tblPr/>
      <w:tcPr>
        <w:tcBorders>
          <w:top w:val="double" w:sz="4" w:space="0" w:color="00B2A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2A9" w:themeColor="accent3"/>
          <w:right w:val="single" w:sz="4" w:space="0" w:color="00B2A9" w:themeColor="accent3"/>
        </w:tcBorders>
      </w:tcPr>
    </w:tblStylePr>
    <w:tblStylePr w:type="band1Horz">
      <w:tblPr/>
      <w:tcPr>
        <w:tcBorders>
          <w:top w:val="single" w:sz="4" w:space="0" w:color="00B2A9" w:themeColor="accent3"/>
          <w:bottom w:val="single" w:sz="4" w:space="0" w:color="00B2A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2A9" w:themeColor="accent3"/>
          <w:left w:val="nil"/>
        </w:tcBorders>
      </w:tcPr>
    </w:tblStylePr>
    <w:tblStylePr w:type="swCell">
      <w:tblPr/>
      <w:tcPr>
        <w:tcBorders>
          <w:top w:val="double" w:sz="4" w:space="0" w:color="00B2A9" w:themeColor="accent3"/>
          <w:right w:val="nil"/>
        </w:tcBorders>
      </w:tcPr>
    </w:tblStylePr>
  </w:style>
  <w:style w:type="table" w:styleId="ListTable3-Accent4">
    <w:name w:val="List Table 3 Accent 4"/>
    <w:basedOn w:val="TableNormal"/>
    <w:uiPriority w:val="48"/>
    <w:rsid w:val="0058629F"/>
    <w:tblPr>
      <w:tblStyleRowBandSize w:val="1"/>
      <w:tblStyleColBandSize w:val="1"/>
      <w:tblBorders>
        <w:top w:val="single" w:sz="4" w:space="0" w:color="201547" w:themeColor="accent4"/>
        <w:left w:val="single" w:sz="4" w:space="0" w:color="201547" w:themeColor="accent4"/>
        <w:bottom w:val="single" w:sz="4" w:space="0" w:color="201547" w:themeColor="accent4"/>
        <w:right w:val="single" w:sz="4" w:space="0" w:color="201547" w:themeColor="accent4"/>
      </w:tblBorders>
    </w:tblPr>
    <w:tblStylePr w:type="firstRow">
      <w:rPr>
        <w:b/>
        <w:bCs/>
        <w:color w:val="FFFFFF" w:themeColor="background1"/>
      </w:rPr>
      <w:tblPr/>
      <w:tcPr>
        <w:shd w:val="clear" w:color="auto" w:fill="201547" w:themeFill="accent4"/>
      </w:tcPr>
    </w:tblStylePr>
    <w:tblStylePr w:type="lastRow">
      <w:rPr>
        <w:b/>
        <w:bCs/>
      </w:rPr>
      <w:tblPr/>
      <w:tcPr>
        <w:tcBorders>
          <w:top w:val="double" w:sz="4" w:space="0" w:color="201547"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01547" w:themeColor="accent4"/>
          <w:right w:val="single" w:sz="4" w:space="0" w:color="201547" w:themeColor="accent4"/>
        </w:tcBorders>
      </w:tcPr>
    </w:tblStylePr>
    <w:tblStylePr w:type="band1Horz">
      <w:tblPr/>
      <w:tcPr>
        <w:tcBorders>
          <w:top w:val="single" w:sz="4" w:space="0" w:color="201547" w:themeColor="accent4"/>
          <w:bottom w:val="single" w:sz="4" w:space="0" w:color="201547"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01547" w:themeColor="accent4"/>
          <w:left w:val="nil"/>
        </w:tcBorders>
      </w:tcPr>
    </w:tblStylePr>
    <w:tblStylePr w:type="swCell">
      <w:tblPr/>
      <w:tcPr>
        <w:tcBorders>
          <w:top w:val="double" w:sz="4" w:space="0" w:color="201547" w:themeColor="accent4"/>
          <w:right w:val="nil"/>
        </w:tcBorders>
      </w:tcPr>
    </w:tblStylePr>
  </w:style>
  <w:style w:type="table" w:styleId="ListTable3-Accent5">
    <w:name w:val="List Table 3 Accent 5"/>
    <w:basedOn w:val="TableNormal"/>
    <w:uiPriority w:val="48"/>
    <w:rsid w:val="0058629F"/>
    <w:tblPr>
      <w:tblStyleRowBandSize w:val="1"/>
      <w:tblStyleColBandSize w:val="1"/>
      <w:tblBorders>
        <w:top w:val="single" w:sz="4" w:space="0" w:color="6694C1" w:themeColor="accent5"/>
        <w:left w:val="single" w:sz="4" w:space="0" w:color="6694C1" w:themeColor="accent5"/>
        <w:bottom w:val="single" w:sz="4" w:space="0" w:color="6694C1" w:themeColor="accent5"/>
        <w:right w:val="single" w:sz="4" w:space="0" w:color="6694C1" w:themeColor="accent5"/>
      </w:tblBorders>
    </w:tblPr>
    <w:tblStylePr w:type="firstRow">
      <w:rPr>
        <w:b/>
        <w:bCs/>
        <w:color w:val="FFFFFF" w:themeColor="background1"/>
      </w:rPr>
      <w:tblPr/>
      <w:tcPr>
        <w:shd w:val="clear" w:color="auto" w:fill="6694C1" w:themeFill="accent5"/>
      </w:tcPr>
    </w:tblStylePr>
    <w:tblStylePr w:type="lastRow">
      <w:rPr>
        <w:b/>
        <w:bCs/>
      </w:rPr>
      <w:tblPr/>
      <w:tcPr>
        <w:tcBorders>
          <w:top w:val="double" w:sz="4" w:space="0" w:color="6694C1"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694C1" w:themeColor="accent5"/>
          <w:right w:val="single" w:sz="4" w:space="0" w:color="6694C1" w:themeColor="accent5"/>
        </w:tcBorders>
      </w:tcPr>
    </w:tblStylePr>
    <w:tblStylePr w:type="band1Horz">
      <w:tblPr/>
      <w:tcPr>
        <w:tcBorders>
          <w:top w:val="single" w:sz="4" w:space="0" w:color="6694C1" w:themeColor="accent5"/>
          <w:bottom w:val="single" w:sz="4" w:space="0" w:color="6694C1"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694C1" w:themeColor="accent5"/>
          <w:left w:val="nil"/>
        </w:tcBorders>
      </w:tcPr>
    </w:tblStylePr>
    <w:tblStylePr w:type="swCell">
      <w:tblPr/>
      <w:tcPr>
        <w:tcBorders>
          <w:top w:val="double" w:sz="4" w:space="0" w:color="6694C1" w:themeColor="accent5"/>
          <w:right w:val="nil"/>
        </w:tcBorders>
      </w:tcPr>
    </w:tblStylePr>
  </w:style>
  <w:style w:type="table" w:styleId="ListTable3-Accent6">
    <w:name w:val="List Table 3 Accent 6"/>
    <w:basedOn w:val="TableNormal"/>
    <w:uiPriority w:val="48"/>
    <w:rsid w:val="0058629F"/>
    <w:tblPr>
      <w:tblStyleRowBandSize w:val="1"/>
      <w:tblStyleColBandSize w:val="1"/>
      <w:tblBorders>
        <w:top w:val="single" w:sz="4" w:space="0" w:color="B8E9EC" w:themeColor="accent6"/>
        <w:left w:val="single" w:sz="4" w:space="0" w:color="B8E9EC" w:themeColor="accent6"/>
        <w:bottom w:val="single" w:sz="4" w:space="0" w:color="B8E9EC" w:themeColor="accent6"/>
        <w:right w:val="single" w:sz="4" w:space="0" w:color="B8E9EC" w:themeColor="accent6"/>
      </w:tblBorders>
    </w:tblPr>
    <w:tblStylePr w:type="firstRow">
      <w:rPr>
        <w:b/>
        <w:bCs/>
        <w:color w:val="FFFFFF" w:themeColor="background1"/>
      </w:rPr>
      <w:tblPr/>
      <w:tcPr>
        <w:shd w:val="clear" w:color="auto" w:fill="B8E9EC" w:themeFill="accent6"/>
      </w:tcPr>
    </w:tblStylePr>
    <w:tblStylePr w:type="lastRow">
      <w:rPr>
        <w:b/>
        <w:bCs/>
      </w:rPr>
      <w:tblPr/>
      <w:tcPr>
        <w:tcBorders>
          <w:top w:val="double" w:sz="4" w:space="0" w:color="B8E9EC"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8E9EC" w:themeColor="accent6"/>
          <w:right w:val="single" w:sz="4" w:space="0" w:color="B8E9EC" w:themeColor="accent6"/>
        </w:tcBorders>
      </w:tcPr>
    </w:tblStylePr>
    <w:tblStylePr w:type="band1Horz">
      <w:tblPr/>
      <w:tcPr>
        <w:tcBorders>
          <w:top w:val="single" w:sz="4" w:space="0" w:color="B8E9EC" w:themeColor="accent6"/>
          <w:bottom w:val="single" w:sz="4" w:space="0" w:color="B8E9EC"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8E9EC" w:themeColor="accent6"/>
          <w:left w:val="nil"/>
        </w:tcBorders>
      </w:tcPr>
    </w:tblStylePr>
    <w:tblStylePr w:type="swCell">
      <w:tblPr/>
      <w:tcPr>
        <w:tcBorders>
          <w:top w:val="double" w:sz="4" w:space="0" w:color="B8E9EC" w:themeColor="accent6"/>
          <w:right w:val="nil"/>
        </w:tcBorders>
      </w:tcPr>
    </w:tblStylePr>
  </w:style>
  <w:style w:type="table" w:styleId="ListTable4">
    <w:name w:val="List Table 4"/>
    <w:basedOn w:val="TableNormal"/>
    <w:uiPriority w:val="49"/>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tblBorders>
    </w:tblPr>
    <w:tblStylePr w:type="firstRow">
      <w:rPr>
        <w:b/>
        <w:bCs/>
        <w:color w:val="FFFFFF" w:themeColor="background1"/>
      </w:rPr>
      <w:tblPr/>
      <w:tcPr>
        <w:tcBorders>
          <w:top w:val="single" w:sz="4" w:space="0" w:color="232222" w:themeColor="text1"/>
          <w:left w:val="single" w:sz="4" w:space="0" w:color="232222" w:themeColor="text1"/>
          <w:bottom w:val="single" w:sz="4" w:space="0" w:color="232222" w:themeColor="text1"/>
          <w:right w:val="single" w:sz="4" w:space="0" w:color="232222" w:themeColor="text1"/>
          <w:insideH w:val="nil"/>
        </w:tcBorders>
        <w:shd w:val="clear" w:color="auto" w:fill="232222" w:themeFill="text1"/>
      </w:tcPr>
    </w:tblStylePr>
    <w:tblStylePr w:type="lastRow">
      <w:rPr>
        <w:b/>
        <w:bCs/>
      </w:rPr>
      <w:tblPr/>
      <w:tcPr>
        <w:tcBorders>
          <w:top w:val="doub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4-Accent1">
    <w:name w:val="List Table 4 Accent 1"/>
    <w:basedOn w:val="TableNormal"/>
    <w:uiPriority w:val="49"/>
    <w:rsid w:val="0058629F"/>
    <w:tblPr>
      <w:tblStyleRowBandSize w:val="1"/>
      <w:tblStyleColBandSize w:val="1"/>
      <w:tblBorders>
        <w:top w:val="single" w:sz="4" w:space="0" w:color="2793FF" w:themeColor="accent1" w:themeTint="99"/>
        <w:left w:val="single" w:sz="4" w:space="0" w:color="2793FF" w:themeColor="accent1" w:themeTint="99"/>
        <w:bottom w:val="single" w:sz="4" w:space="0" w:color="2793FF" w:themeColor="accent1" w:themeTint="99"/>
        <w:right w:val="single" w:sz="4" w:space="0" w:color="2793FF" w:themeColor="accent1" w:themeTint="99"/>
        <w:insideH w:val="single" w:sz="4" w:space="0" w:color="2793FF" w:themeColor="accent1" w:themeTint="99"/>
      </w:tblBorders>
    </w:tblPr>
    <w:tblStylePr w:type="firstRow">
      <w:rPr>
        <w:b/>
        <w:bCs/>
        <w:color w:val="FFFFFF" w:themeColor="background1"/>
      </w:rPr>
      <w:tblPr/>
      <w:tcPr>
        <w:tcBorders>
          <w:top w:val="single" w:sz="4" w:space="0" w:color="004C97" w:themeColor="accent1"/>
          <w:left w:val="single" w:sz="4" w:space="0" w:color="004C97" w:themeColor="accent1"/>
          <w:bottom w:val="single" w:sz="4" w:space="0" w:color="004C97" w:themeColor="accent1"/>
          <w:right w:val="single" w:sz="4" w:space="0" w:color="004C97" w:themeColor="accent1"/>
          <w:insideH w:val="nil"/>
        </w:tcBorders>
        <w:shd w:val="clear" w:color="auto" w:fill="004C97" w:themeFill="accent1"/>
      </w:tcPr>
    </w:tblStylePr>
    <w:tblStylePr w:type="lastRow">
      <w:rPr>
        <w:b/>
        <w:bCs/>
      </w:rPr>
      <w:tblPr/>
      <w:tcPr>
        <w:tcBorders>
          <w:top w:val="double" w:sz="4" w:space="0" w:color="2793FF" w:themeColor="accent1" w:themeTint="99"/>
        </w:tcBorders>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ListTable4-Accent2">
    <w:name w:val="List Table 4 Accent 2"/>
    <w:basedOn w:val="TableNormal"/>
    <w:uiPriority w:val="49"/>
    <w:rsid w:val="0058629F"/>
    <w:tblPr>
      <w:tblStyleRowBandSize w:val="1"/>
      <w:tblStyleColBandSize w:val="1"/>
      <w:tblBorders>
        <w:top w:val="single" w:sz="4" w:space="0" w:color="B7E9EB" w:themeColor="accent2" w:themeTint="99"/>
        <w:left w:val="single" w:sz="4" w:space="0" w:color="B7E9EB" w:themeColor="accent2" w:themeTint="99"/>
        <w:bottom w:val="single" w:sz="4" w:space="0" w:color="B7E9EB" w:themeColor="accent2" w:themeTint="99"/>
        <w:right w:val="single" w:sz="4" w:space="0" w:color="B7E9EB" w:themeColor="accent2" w:themeTint="99"/>
        <w:insideH w:val="single" w:sz="4" w:space="0" w:color="B7E9EB" w:themeColor="accent2" w:themeTint="99"/>
      </w:tblBorders>
    </w:tblPr>
    <w:tblStylePr w:type="firstRow">
      <w:rPr>
        <w:b/>
        <w:bCs/>
        <w:color w:val="FFFFFF" w:themeColor="background1"/>
      </w:rPr>
      <w:tblPr/>
      <w:tcPr>
        <w:tcBorders>
          <w:top w:val="single" w:sz="4" w:space="0" w:color="88DBDF" w:themeColor="accent2"/>
          <w:left w:val="single" w:sz="4" w:space="0" w:color="88DBDF" w:themeColor="accent2"/>
          <w:bottom w:val="single" w:sz="4" w:space="0" w:color="88DBDF" w:themeColor="accent2"/>
          <w:right w:val="single" w:sz="4" w:space="0" w:color="88DBDF" w:themeColor="accent2"/>
          <w:insideH w:val="nil"/>
        </w:tcBorders>
        <w:shd w:val="clear" w:color="auto" w:fill="88DBDF" w:themeFill="accent2"/>
      </w:tcPr>
    </w:tblStylePr>
    <w:tblStylePr w:type="lastRow">
      <w:rPr>
        <w:b/>
        <w:bCs/>
      </w:rPr>
      <w:tblPr/>
      <w:tcPr>
        <w:tcBorders>
          <w:top w:val="double" w:sz="4" w:space="0" w:color="B7E9EB" w:themeColor="accent2" w:themeTint="99"/>
        </w:tcBorders>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ListTable4-Accent3">
    <w:name w:val="List Table 4 Accent 3"/>
    <w:basedOn w:val="TableNormal"/>
    <w:uiPriority w:val="49"/>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tblBorders>
    </w:tblPr>
    <w:tblStylePr w:type="firstRow">
      <w:rPr>
        <w:b/>
        <w:bCs/>
        <w:color w:val="FFFFFF" w:themeColor="background1"/>
      </w:rPr>
      <w:tblPr/>
      <w:tcPr>
        <w:tcBorders>
          <w:top w:val="single" w:sz="4" w:space="0" w:color="00B2A9" w:themeColor="accent3"/>
          <w:left w:val="single" w:sz="4" w:space="0" w:color="00B2A9" w:themeColor="accent3"/>
          <w:bottom w:val="single" w:sz="4" w:space="0" w:color="00B2A9" w:themeColor="accent3"/>
          <w:right w:val="single" w:sz="4" w:space="0" w:color="00B2A9" w:themeColor="accent3"/>
          <w:insideH w:val="nil"/>
        </w:tcBorders>
        <w:shd w:val="clear" w:color="auto" w:fill="00B2A9" w:themeFill="accent3"/>
      </w:tcPr>
    </w:tblStylePr>
    <w:tblStylePr w:type="lastRow">
      <w:rPr>
        <w:b/>
        <w:bCs/>
      </w:rPr>
      <w:tblPr/>
      <w:tcPr>
        <w:tcBorders>
          <w:top w:val="doub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4-Accent4">
    <w:name w:val="List Table 4 Accent 4"/>
    <w:basedOn w:val="TableNormal"/>
    <w:uiPriority w:val="49"/>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tblBorders>
    </w:tblPr>
    <w:tblStylePr w:type="firstRow">
      <w:rPr>
        <w:b/>
        <w:bCs/>
        <w:color w:val="FFFFFF" w:themeColor="background1"/>
      </w:rPr>
      <w:tblPr/>
      <w:tcPr>
        <w:tcBorders>
          <w:top w:val="single" w:sz="4" w:space="0" w:color="201547" w:themeColor="accent4"/>
          <w:left w:val="single" w:sz="4" w:space="0" w:color="201547" w:themeColor="accent4"/>
          <w:bottom w:val="single" w:sz="4" w:space="0" w:color="201547" w:themeColor="accent4"/>
          <w:right w:val="single" w:sz="4" w:space="0" w:color="201547" w:themeColor="accent4"/>
          <w:insideH w:val="nil"/>
        </w:tcBorders>
        <w:shd w:val="clear" w:color="auto" w:fill="201547" w:themeFill="accent4"/>
      </w:tcPr>
    </w:tblStylePr>
    <w:tblStylePr w:type="lastRow">
      <w:rPr>
        <w:b/>
        <w:bCs/>
      </w:rPr>
      <w:tblPr/>
      <w:tcPr>
        <w:tcBorders>
          <w:top w:val="doub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4-Accent5">
    <w:name w:val="List Table 4 Accent 5"/>
    <w:basedOn w:val="TableNormal"/>
    <w:uiPriority w:val="49"/>
    <w:rsid w:val="0058629F"/>
    <w:tblPr>
      <w:tblStyleRowBandSize w:val="1"/>
      <w:tblStyleColBandSize w:val="1"/>
      <w:tblBorders>
        <w:top w:val="single" w:sz="4" w:space="0" w:color="A3BED9" w:themeColor="accent5" w:themeTint="99"/>
        <w:left w:val="single" w:sz="4" w:space="0" w:color="A3BED9" w:themeColor="accent5" w:themeTint="99"/>
        <w:bottom w:val="single" w:sz="4" w:space="0" w:color="A3BED9" w:themeColor="accent5" w:themeTint="99"/>
        <w:right w:val="single" w:sz="4" w:space="0" w:color="A3BED9" w:themeColor="accent5" w:themeTint="99"/>
        <w:insideH w:val="single" w:sz="4" w:space="0" w:color="A3BED9" w:themeColor="accent5" w:themeTint="99"/>
      </w:tblBorders>
    </w:tblPr>
    <w:tblStylePr w:type="firstRow">
      <w:rPr>
        <w:b/>
        <w:bCs/>
        <w:color w:val="FFFFFF" w:themeColor="background1"/>
      </w:rPr>
      <w:tblPr/>
      <w:tcPr>
        <w:tcBorders>
          <w:top w:val="single" w:sz="4" w:space="0" w:color="6694C1" w:themeColor="accent5"/>
          <w:left w:val="single" w:sz="4" w:space="0" w:color="6694C1" w:themeColor="accent5"/>
          <w:bottom w:val="single" w:sz="4" w:space="0" w:color="6694C1" w:themeColor="accent5"/>
          <w:right w:val="single" w:sz="4" w:space="0" w:color="6694C1" w:themeColor="accent5"/>
          <w:insideH w:val="nil"/>
        </w:tcBorders>
        <w:shd w:val="clear" w:color="auto" w:fill="6694C1" w:themeFill="accent5"/>
      </w:tcPr>
    </w:tblStylePr>
    <w:tblStylePr w:type="lastRow">
      <w:rPr>
        <w:b/>
        <w:bCs/>
      </w:rPr>
      <w:tblPr/>
      <w:tcPr>
        <w:tcBorders>
          <w:top w:val="double" w:sz="4" w:space="0" w:color="A3BED9" w:themeColor="accent5" w:themeTint="99"/>
        </w:tcBorders>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ListTable4-Accent6">
    <w:name w:val="List Table 4 Accent 6"/>
    <w:basedOn w:val="TableNormal"/>
    <w:uiPriority w:val="49"/>
    <w:rsid w:val="0058629F"/>
    <w:tblPr>
      <w:tblStyleRowBandSize w:val="1"/>
      <w:tblStyleColBandSize w:val="1"/>
      <w:tblBorders>
        <w:top w:val="single" w:sz="4" w:space="0" w:color="D4F1F3" w:themeColor="accent6" w:themeTint="99"/>
        <w:left w:val="single" w:sz="4" w:space="0" w:color="D4F1F3" w:themeColor="accent6" w:themeTint="99"/>
        <w:bottom w:val="single" w:sz="4" w:space="0" w:color="D4F1F3" w:themeColor="accent6" w:themeTint="99"/>
        <w:right w:val="single" w:sz="4" w:space="0" w:color="D4F1F3" w:themeColor="accent6" w:themeTint="99"/>
        <w:insideH w:val="single" w:sz="4" w:space="0" w:color="D4F1F3" w:themeColor="accent6" w:themeTint="99"/>
      </w:tblBorders>
    </w:tblPr>
    <w:tblStylePr w:type="firstRow">
      <w:rPr>
        <w:b/>
        <w:bCs/>
        <w:color w:val="FFFFFF" w:themeColor="background1"/>
      </w:rPr>
      <w:tblPr/>
      <w:tcPr>
        <w:tcBorders>
          <w:top w:val="single" w:sz="4" w:space="0" w:color="B8E9EC" w:themeColor="accent6"/>
          <w:left w:val="single" w:sz="4" w:space="0" w:color="B8E9EC" w:themeColor="accent6"/>
          <w:bottom w:val="single" w:sz="4" w:space="0" w:color="B8E9EC" w:themeColor="accent6"/>
          <w:right w:val="single" w:sz="4" w:space="0" w:color="B8E9EC" w:themeColor="accent6"/>
          <w:insideH w:val="nil"/>
        </w:tcBorders>
        <w:shd w:val="clear" w:color="auto" w:fill="B8E9EC" w:themeFill="accent6"/>
      </w:tcPr>
    </w:tblStylePr>
    <w:tblStylePr w:type="lastRow">
      <w:rPr>
        <w:b/>
        <w:bCs/>
      </w:rPr>
      <w:tblPr/>
      <w:tcPr>
        <w:tcBorders>
          <w:top w:val="double" w:sz="4" w:space="0" w:color="D4F1F3" w:themeColor="accent6" w:themeTint="99"/>
        </w:tcBorders>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ListTable5Dark">
    <w:name w:val="List Table 5 Dark"/>
    <w:basedOn w:val="TableNormal"/>
    <w:uiPriority w:val="50"/>
    <w:rsid w:val="0058629F"/>
    <w:rPr>
      <w:color w:val="FFFFFF" w:themeColor="background1"/>
    </w:rPr>
    <w:tblPr>
      <w:tblStyleRowBandSize w:val="1"/>
      <w:tblStyleColBandSize w:val="1"/>
      <w:tblBorders>
        <w:top w:val="single" w:sz="24" w:space="0" w:color="232222" w:themeColor="text1"/>
        <w:left w:val="single" w:sz="24" w:space="0" w:color="232222" w:themeColor="text1"/>
        <w:bottom w:val="single" w:sz="24" w:space="0" w:color="232222" w:themeColor="text1"/>
        <w:right w:val="single" w:sz="24" w:space="0" w:color="232222" w:themeColor="text1"/>
      </w:tblBorders>
    </w:tblPr>
    <w:tcPr>
      <w:shd w:val="clear" w:color="auto" w:fill="232222"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58629F"/>
    <w:rPr>
      <w:color w:val="FFFFFF" w:themeColor="background1"/>
    </w:rPr>
    <w:tblPr>
      <w:tblStyleRowBandSize w:val="1"/>
      <w:tblStyleColBandSize w:val="1"/>
      <w:tblBorders>
        <w:top w:val="single" w:sz="24" w:space="0" w:color="004C97" w:themeColor="accent1"/>
        <w:left w:val="single" w:sz="24" w:space="0" w:color="004C97" w:themeColor="accent1"/>
        <w:bottom w:val="single" w:sz="24" w:space="0" w:color="004C97" w:themeColor="accent1"/>
        <w:right w:val="single" w:sz="24" w:space="0" w:color="004C97" w:themeColor="accent1"/>
      </w:tblBorders>
    </w:tblPr>
    <w:tcPr>
      <w:shd w:val="clear" w:color="auto" w:fill="004C97"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58629F"/>
    <w:rPr>
      <w:color w:val="FFFFFF" w:themeColor="background1"/>
    </w:rPr>
    <w:tblPr>
      <w:tblStyleRowBandSize w:val="1"/>
      <w:tblStyleColBandSize w:val="1"/>
      <w:tblBorders>
        <w:top w:val="single" w:sz="24" w:space="0" w:color="88DBDF" w:themeColor="accent2"/>
        <w:left w:val="single" w:sz="24" w:space="0" w:color="88DBDF" w:themeColor="accent2"/>
        <w:bottom w:val="single" w:sz="24" w:space="0" w:color="88DBDF" w:themeColor="accent2"/>
        <w:right w:val="single" w:sz="24" w:space="0" w:color="88DBDF" w:themeColor="accent2"/>
      </w:tblBorders>
    </w:tblPr>
    <w:tcPr>
      <w:shd w:val="clear" w:color="auto" w:fill="88DBDF"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58629F"/>
    <w:rPr>
      <w:color w:val="FFFFFF" w:themeColor="background1"/>
    </w:rPr>
    <w:tblPr>
      <w:tblStyleRowBandSize w:val="1"/>
      <w:tblStyleColBandSize w:val="1"/>
      <w:tblBorders>
        <w:top w:val="single" w:sz="24" w:space="0" w:color="00B2A9" w:themeColor="accent3"/>
        <w:left w:val="single" w:sz="24" w:space="0" w:color="00B2A9" w:themeColor="accent3"/>
        <w:bottom w:val="single" w:sz="24" w:space="0" w:color="00B2A9" w:themeColor="accent3"/>
        <w:right w:val="single" w:sz="24" w:space="0" w:color="00B2A9" w:themeColor="accent3"/>
      </w:tblBorders>
    </w:tblPr>
    <w:tcPr>
      <w:shd w:val="clear" w:color="auto" w:fill="00B2A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58629F"/>
    <w:rPr>
      <w:color w:val="FFFFFF" w:themeColor="background1"/>
    </w:rPr>
    <w:tblPr>
      <w:tblStyleRowBandSize w:val="1"/>
      <w:tblStyleColBandSize w:val="1"/>
      <w:tblBorders>
        <w:top w:val="single" w:sz="24" w:space="0" w:color="201547" w:themeColor="accent4"/>
        <w:left w:val="single" w:sz="24" w:space="0" w:color="201547" w:themeColor="accent4"/>
        <w:bottom w:val="single" w:sz="24" w:space="0" w:color="201547" w:themeColor="accent4"/>
        <w:right w:val="single" w:sz="24" w:space="0" w:color="201547" w:themeColor="accent4"/>
      </w:tblBorders>
    </w:tblPr>
    <w:tcPr>
      <w:shd w:val="clear" w:color="auto" w:fill="201547"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58629F"/>
    <w:rPr>
      <w:color w:val="FFFFFF" w:themeColor="background1"/>
    </w:rPr>
    <w:tblPr>
      <w:tblStyleRowBandSize w:val="1"/>
      <w:tblStyleColBandSize w:val="1"/>
      <w:tblBorders>
        <w:top w:val="single" w:sz="24" w:space="0" w:color="6694C1" w:themeColor="accent5"/>
        <w:left w:val="single" w:sz="24" w:space="0" w:color="6694C1" w:themeColor="accent5"/>
        <w:bottom w:val="single" w:sz="24" w:space="0" w:color="6694C1" w:themeColor="accent5"/>
        <w:right w:val="single" w:sz="24" w:space="0" w:color="6694C1" w:themeColor="accent5"/>
      </w:tblBorders>
    </w:tblPr>
    <w:tcPr>
      <w:shd w:val="clear" w:color="auto" w:fill="6694C1"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58629F"/>
    <w:rPr>
      <w:color w:val="FFFFFF" w:themeColor="background1"/>
    </w:rPr>
    <w:tblPr>
      <w:tblStyleRowBandSize w:val="1"/>
      <w:tblStyleColBandSize w:val="1"/>
      <w:tblBorders>
        <w:top w:val="single" w:sz="24" w:space="0" w:color="B8E9EC" w:themeColor="accent6"/>
        <w:left w:val="single" w:sz="24" w:space="0" w:color="B8E9EC" w:themeColor="accent6"/>
        <w:bottom w:val="single" w:sz="24" w:space="0" w:color="B8E9EC" w:themeColor="accent6"/>
        <w:right w:val="single" w:sz="24" w:space="0" w:color="B8E9EC" w:themeColor="accent6"/>
      </w:tblBorders>
    </w:tblPr>
    <w:tcPr>
      <w:shd w:val="clear" w:color="auto" w:fill="B8E9EC"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58629F"/>
    <w:tblPr>
      <w:tblStyleRowBandSize w:val="1"/>
      <w:tblStyleColBandSize w:val="1"/>
      <w:tblBorders>
        <w:top w:val="single" w:sz="4" w:space="0" w:color="232222" w:themeColor="text1"/>
        <w:bottom w:val="single" w:sz="4" w:space="0" w:color="232222" w:themeColor="text1"/>
      </w:tblBorders>
    </w:tblPr>
    <w:tblStylePr w:type="firstRow">
      <w:rPr>
        <w:b/>
        <w:bCs/>
      </w:rPr>
      <w:tblPr/>
      <w:tcPr>
        <w:tcBorders>
          <w:bottom w:val="single" w:sz="4" w:space="0" w:color="232222" w:themeColor="text1"/>
        </w:tcBorders>
      </w:tcPr>
    </w:tblStylePr>
    <w:tblStylePr w:type="lastRow">
      <w:rPr>
        <w:b/>
        <w:bCs/>
      </w:rPr>
      <w:tblPr/>
      <w:tcPr>
        <w:tcBorders>
          <w:top w:val="double" w:sz="4" w:space="0" w:color="232222" w:themeColor="text1"/>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6Colorful-Accent1">
    <w:name w:val="List Table 6 Colorful Accent 1"/>
    <w:basedOn w:val="TableNormal"/>
    <w:uiPriority w:val="51"/>
    <w:rsid w:val="0058629F"/>
    <w:rPr>
      <w:color w:val="003871" w:themeColor="accent1" w:themeShade="BF"/>
    </w:rPr>
    <w:tblPr>
      <w:tblStyleRowBandSize w:val="1"/>
      <w:tblStyleColBandSize w:val="1"/>
      <w:tblBorders>
        <w:top w:val="single" w:sz="4" w:space="0" w:color="004C97" w:themeColor="accent1"/>
        <w:bottom w:val="single" w:sz="4" w:space="0" w:color="004C97" w:themeColor="accent1"/>
      </w:tblBorders>
    </w:tblPr>
    <w:tblStylePr w:type="firstRow">
      <w:rPr>
        <w:b/>
        <w:bCs/>
      </w:rPr>
      <w:tblPr/>
      <w:tcPr>
        <w:tcBorders>
          <w:bottom w:val="single" w:sz="4" w:space="0" w:color="004C97" w:themeColor="accent1"/>
        </w:tcBorders>
      </w:tcPr>
    </w:tblStylePr>
    <w:tblStylePr w:type="lastRow">
      <w:rPr>
        <w:b/>
        <w:bCs/>
      </w:rPr>
      <w:tblPr/>
      <w:tcPr>
        <w:tcBorders>
          <w:top w:val="double" w:sz="4" w:space="0" w:color="004C97" w:themeColor="accent1"/>
        </w:tcBorders>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ListTable6Colorful-Accent2">
    <w:name w:val="List Table 6 Colorful Accent 2"/>
    <w:basedOn w:val="TableNormal"/>
    <w:uiPriority w:val="51"/>
    <w:rsid w:val="0058629F"/>
    <w:rPr>
      <w:color w:val="40C5CB" w:themeColor="accent2" w:themeShade="BF"/>
    </w:rPr>
    <w:tblPr>
      <w:tblStyleRowBandSize w:val="1"/>
      <w:tblStyleColBandSize w:val="1"/>
      <w:tblBorders>
        <w:top w:val="single" w:sz="4" w:space="0" w:color="88DBDF" w:themeColor="accent2"/>
        <w:bottom w:val="single" w:sz="4" w:space="0" w:color="88DBDF" w:themeColor="accent2"/>
      </w:tblBorders>
    </w:tblPr>
    <w:tblStylePr w:type="firstRow">
      <w:rPr>
        <w:b/>
        <w:bCs/>
      </w:rPr>
      <w:tblPr/>
      <w:tcPr>
        <w:tcBorders>
          <w:bottom w:val="single" w:sz="4" w:space="0" w:color="88DBDF" w:themeColor="accent2"/>
        </w:tcBorders>
      </w:tcPr>
    </w:tblStylePr>
    <w:tblStylePr w:type="lastRow">
      <w:rPr>
        <w:b/>
        <w:bCs/>
      </w:rPr>
      <w:tblPr/>
      <w:tcPr>
        <w:tcBorders>
          <w:top w:val="double" w:sz="4" w:space="0" w:color="88DBDF" w:themeColor="accent2"/>
        </w:tcBorders>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ListTable6Colorful-Accent3">
    <w:name w:val="List Table 6 Colorful Accent 3"/>
    <w:basedOn w:val="TableNormal"/>
    <w:uiPriority w:val="51"/>
    <w:rsid w:val="0058629F"/>
    <w:rPr>
      <w:color w:val="00857E" w:themeColor="accent3" w:themeShade="BF"/>
    </w:rPr>
    <w:tblPr>
      <w:tblStyleRowBandSize w:val="1"/>
      <w:tblStyleColBandSize w:val="1"/>
      <w:tblBorders>
        <w:top w:val="single" w:sz="4" w:space="0" w:color="00B2A9" w:themeColor="accent3"/>
        <w:bottom w:val="single" w:sz="4" w:space="0" w:color="00B2A9" w:themeColor="accent3"/>
      </w:tblBorders>
    </w:tblPr>
    <w:tblStylePr w:type="firstRow">
      <w:rPr>
        <w:b/>
        <w:bCs/>
      </w:rPr>
      <w:tblPr/>
      <w:tcPr>
        <w:tcBorders>
          <w:bottom w:val="single" w:sz="4" w:space="0" w:color="00B2A9" w:themeColor="accent3"/>
        </w:tcBorders>
      </w:tcPr>
    </w:tblStylePr>
    <w:tblStylePr w:type="lastRow">
      <w:rPr>
        <w:b/>
        <w:bCs/>
      </w:rPr>
      <w:tblPr/>
      <w:tcPr>
        <w:tcBorders>
          <w:top w:val="double" w:sz="4" w:space="0" w:color="00B2A9" w:themeColor="accent3"/>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6Colorful-Accent4">
    <w:name w:val="List Table 6 Colorful Accent 4"/>
    <w:basedOn w:val="TableNormal"/>
    <w:uiPriority w:val="51"/>
    <w:rsid w:val="0058629F"/>
    <w:rPr>
      <w:color w:val="170F34" w:themeColor="accent4" w:themeShade="BF"/>
    </w:rPr>
    <w:tblPr>
      <w:tblStyleRowBandSize w:val="1"/>
      <w:tblStyleColBandSize w:val="1"/>
      <w:tblBorders>
        <w:top w:val="single" w:sz="4" w:space="0" w:color="201547" w:themeColor="accent4"/>
        <w:bottom w:val="single" w:sz="4" w:space="0" w:color="201547" w:themeColor="accent4"/>
      </w:tblBorders>
    </w:tblPr>
    <w:tblStylePr w:type="firstRow">
      <w:rPr>
        <w:b/>
        <w:bCs/>
      </w:rPr>
      <w:tblPr/>
      <w:tcPr>
        <w:tcBorders>
          <w:bottom w:val="single" w:sz="4" w:space="0" w:color="201547" w:themeColor="accent4"/>
        </w:tcBorders>
      </w:tcPr>
    </w:tblStylePr>
    <w:tblStylePr w:type="lastRow">
      <w:rPr>
        <w:b/>
        <w:bCs/>
      </w:rPr>
      <w:tblPr/>
      <w:tcPr>
        <w:tcBorders>
          <w:top w:val="double" w:sz="4" w:space="0" w:color="201547" w:themeColor="accent4"/>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6Colorful-Accent5">
    <w:name w:val="List Table 6 Colorful Accent 5"/>
    <w:basedOn w:val="TableNormal"/>
    <w:uiPriority w:val="51"/>
    <w:rsid w:val="0058629F"/>
    <w:rPr>
      <w:color w:val="3F6E9C" w:themeColor="accent5" w:themeShade="BF"/>
    </w:rPr>
    <w:tblPr>
      <w:tblStyleRowBandSize w:val="1"/>
      <w:tblStyleColBandSize w:val="1"/>
      <w:tblBorders>
        <w:top w:val="single" w:sz="4" w:space="0" w:color="6694C1" w:themeColor="accent5"/>
        <w:bottom w:val="single" w:sz="4" w:space="0" w:color="6694C1" w:themeColor="accent5"/>
      </w:tblBorders>
    </w:tblPr>
    <w:tblStylePr w:type="firstRow">
      <w:rPr>
        <w:b/>
        <w:bCs/>
      </w:rPr>
      <w:tblPr/>
      <w:tcPr>
        <w:tcBorders>
          <w:bottom w:val="single" w:sz="4" w:space="0" w:color="6694C1" w:themeColor="accent5"/>
        </w:tcBorders>
      </w:tcPr>
    </w:tblStylePr>
    <w:tblStylePr w:type="lastRow">
      <w:rPr>
        <w:b/>
        <w:bCs/>
      </w:rPr>
      <w:tblPr/>
      <w:tcPr>
        <w:tcBorders>
          <w:top w:val="double" w:sz="4" w:space="0" w:color="6694C1" w:themeColor="accent5"/>
        </w:tcBorders>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ListTable6Colorful-Accent6">
    <w:name w:val="List Table 6 Colorful Accent 6"/>
    <w:basedOn w:val="TableNormal"/>
    <w:uiPriority w:val="51"/>
    <w:rsid w:val="0058629F"/>
    <w:rPr>
      <w:color w:val="64CFD5" w:themeColor="accent6" w:themeShade="BF"/>
    </w:rPr>
    <w:tblPr>
      <w:tblStyleRowBandSize w:val="1"/>
      <w:tblStyleColBandSize w:val="1"/>
      <w:tblBorders>
        <w:top w:val="single" w:sz="4" w:space="0" w:color="B8E9EC" w:themeColor="accent6"/>
        <w:bottom w:val="single" w:sz="4" w:space="0" w:color="B8E9EC" w:themeColor="accent6"/>
      </w:tblBorders>
    </w:tblPr>
    <w:tblStylePr w:type="firstRow">
      <w:rPr>
        <w:b/>
        <w:bCs/>
      </w:rPr>
      <w:tblPr/>
      <w:tcPr>
        <w:tcBorders>
          <w:bottom w:val="single" w:sz="4" w:space="0" w:color="B8E9EC" w:themeColor="accent6"/>
        </w:tcBorders>
      </w:tcPr>
    </w:tblStylePr>
    <w:tblStylePr w:type="lastRow">
      <w:rPr>
        <w:b/>
        <w:bCs/>
      </w:rPr>
      <w:tblPr/>
      <w:tcPr>
        <w:tcBorders>
          <w:top w:val="double" w:sz="4" w:space="0" w:color="B8E9EC" w:themeColor="accent6"/>
        </w:tcBorders>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ListTable7Colorful">
    <w:name w:val="List Table 7 Colorful"/>
    <w:basedOn w:val="TableNormal"/>
    <w:uiPriority w:val="52"/>
    <w:rsid w:val="0058629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32222"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32222"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32222"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32222" w:themeColor="text1"/>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58629F"/>
    <w:rPr>
      <w:color w:val="003871"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4C97"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4C97"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4C97"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4C97" w:themeColor="accent1"/>
        </w:tcBorders>
        <w:shd w:val="clear" w:color="auto" w:fill="FFFFFF" w:themeFill="background1"/>
      </w:tcPr>
    </w:tblStylePr>
    <w:tblStylePr w:type="band1Vert">
      <w:tblPr/>
      <w:tcPr>
        <w:shd w:val="clear" w:color="auto" w:fill="B7DBFF" w:themeFill="accent1" w:themeFillTint="33"/>
      </w:tcPr>
    </w:tblStylePr>
    <w:tblStylePr w:type="band1Horz">
      <w:tblPr/>
      <w:tcPr>
        <w:shd w:val="clear" w:color="auto" w:fill="B7DBF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58629F"/>
    <w:rPr>
      <w:color w:val="40C5CB"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8DBDF"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8DBDF"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8DBDF"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8DBDF" w:themeColor="accent2"/>
        </w:tcBorders>
        <w:shd w:val="clear" w:color="auto" w:fill="FFFFFF" w:themeFill="background1"/>
      </w:tcPr>
    </w:tblStylePr>
    <w:tblStylePr w:type="band1Vert">
      <w:tblPr/>
      <w:tcPr>
        <w:shd w:val="clear" w:color="auto" w:fill="E7F7F8" w:themeFill="accent2" w:themeFillTint="33"/>
      </w:tcPr>
    </w:tblStylePr>
    <w:tblStylePr w:type="band1Horz">
      <w:tblPr/>
      <w:tcPr>
        <w:shd w:val="clear" w:color="auto" w:fill="E7F7F8"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58629F"/>
    <w:rPr>
      <w:color w:val="00857E"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B2A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2A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2A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2A9" w:themeColor="accent3"/>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58629F"/>
    <w:rPr>
      <w:color w:val="170F34"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01547"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01547"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01547"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01547" w:themeColor="accent4"/>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58629F"/>
    <w:rPr>
      <w:color w:val="3F6E9C"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694C1"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694C1"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694C1"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694C1" w:themeColor="accent5"/>
        </w:tcBorders>
        <w:shd w:val="clear" w:color="auto" w:fill="FFFFFF" w:themeFill="background1"/>
      </w:tcPr>
    </w:tblStylePr>
    <w:tblStylePr w:type="band1Vert">
      <w:tblPr/>
      <w:tcPr>
        <w:shd w:val="clear" w:color="auto" w:fill="E0E9F2" w:themeFill="accent5" w:themeFillTint="33"/>
      </w:tcPr>
    </w:tblStylePr>
    <w:tblStylePr w:type="band1Horz">
      <w:tblPr/>
      <w:tcPr>
        <w:shd w:val="clear" w:color="auto" w:fill="E0E9F2"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58629F"/>
    <w:rPr>
      <w:color w:val="64CFD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B8E9EC"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B8E9EC"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B8E9EC"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B8E9EC" w:themeColor="accent6"/>
        </w:tcBorders>
        <w:shd w:val="clear" w:color="auto" w:fill="FFFFFF" w:themeFill="background1"/>
      </w:tcPr>
    </w:tblStylePr>
    <w:tblStylePr w:type="band1Vert">
      <w:tblPr/>
      <w:tcPr>
        <w:shd w:val="clear" w:color="auto" w:fill="F0FAFB" w:themeFill="accent6" w:themeFillTint="33"/>
      </w:tcPr>
    </w:tblStylePr>
    <w:tblStylePr w:type="band1Horz">
      <w:tblPr/>
      <w:tcPr>
        <w:shd w:val="clear" w:color="auto" w:fill="F0FAFB"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58629F"/>
    <w:tblPr>
      <w:tblStyleRowBandSize w:val="1"/>
      <w:tblStyleColBandSize w:val="1"/>
      <w:tbl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single" w:sz="8" w:space="0" w:color="5B5858" w:themeColor="text1" w:themeTint="BF"/>
        <w:insideV w:val="single" w:sz="8" w:space="0" w:color="5B5858" w:themeColor="text1" w:themeTint="BF"/>
      </w:tblBorders>
    </w:tblPr>
    <w:tcPr>
      <w:shd w:val="clear" w:color="auto" w:fill="C9C7C7" w:themeFill="text1" w:themeFillTint="3F"/>
    </w:tcPr>
    <w:tblStylePr w:type="firstRow">
      <w:rPr>
        <w:b/>
        <w:bCs/>
      </w:rPr>
    </w:tblStylePr>
    <w:tblStylePr w:type="lastRow">
      <w:rPr>
        <w:b/>
        <w:bCs/>
      </w:rPr>
      <w:tblPr/>
      <w:tcPr>
        <w:tcBorders>
          <w:top w:val="single" w:sz="18" w:space="0" w:color="5B5858" w:themeColor="text1" w:themeTint="BF"/>
        </w:tcBorders>
      </w:tcPr>
    </w:tblStylePr>
    <w:tblStylePr w:type="firstCol">
      <w:rPr>
        <w:b/>
        <w:bCs/>
      </w:rPr>
    </w:tblStylePr>
    <w:tblStylePr w:type="lastCol">
      <w:rPr>
        <w:b/>
        <w:bCs/>
      </w:rPr>
    </w:tblStylePr>
    <w:tblStylePr w:type="band1Vert">
      <w:tblPr/>
      <w:tcPr>
        <w:shd w:val="clear" w:color="auto" w:fill="928F8F" w:themeFill="text1" w:themeFillTint="7F"/>
      </w:tcPr>
    </w:tblStylePr>
    <w:tblStylePr w:type="band1Horz">
      <w:tblPr/>
      <w:tcPr>
        <w:shd w:val="clear" w:color="auto" w:fill="928F8F" w:themeFill="text1" w:themeFillTint="7F"/>
      </w:tcPr>
    </w:tblStylePr>
  </w:style>
  <w:style w:type="table" w:styleId="MediumGrid1-Accent1">
    <w:name w:val="Medium Grid 1 Accent 1"/>
    <w:basedOn w:val="TableNormal"/>
    <w:uiPriority w:val="67"/>
    <w:semiHidden/>
    <w:rsid w:val="0058629F"/>
    <w:tblPr>
      <w:tblStyleRowBandSize w:val="1"/>
      <w:tblStyleColBandSize w:val="1"/>
      <w:tblBorders>
        <w:top w:val="single" w:sz="8" w:space="0" w:color="0078F1" w:themeColor="accent1" w:themeTint="BF"/>
        <w:left w:val="single" w:sz="8" w:space="0" w:color="0078F1" w:themeColor="accent1" w:themeTint="BF"/>
        <w:bottom w:val="single" w:sz="8" w:space="0" w:color="0078F1" w:themeColor="accent1" w:themeTint="BF"/>
        <w:right w:val="single" w:sz="8" w:space="0" w:color="0078F1" w:themeColor="accent1" w:themeTint="BF"/>
        <w:insideH w:val="single" w:sz="8" w:space="0" w:color="0078F1" w:themeColor="accent1" w:themeTint="BF"/>
        <w:insideV w:val="single" w:sz="8" w:space="0" w:color="0078F1" w:themeColor="accent1" w:themeTint="BF"/>
      </w:tblBorders>
    </w:tblPr>
    <w:tcPr>
      <w:shd w:val="clear" w:color="auto" w:fill="A6D2FF" w:themeFill="accent1" w:themeFillTint="3F"/>
    </w:tcPr>
    <w:tblStylePr w:type="firstRow">
      <w:rPr>
        <w:b/>
        <w:bCs/>
      </w:rPr>
    </w:tblStylePr>
    <w:tblStylePr w:type="lastRow">
      <w:rPr>
        <w:b/>
        <w:bCs/>
      </w:rPr>
      <w:tblPr/>
      <w:tcPr>
        <w:tcBorders>
          <w:top w:val="single" w:sz="18" w:space="0" w:color="0078F1" w:themeColor="accent1" w:themeTint="BF"/>
        </w:tcBorders>
      </w:tcPr>
    </w:tblStylePr>
    <w:tblStylePr w:type="firstCol">
      <w:rPr>
        <w:b/>
        <w:bCs/>
      </w:rPr>
    </w:tblStylePr>
    <w:tblStylePr w:type="lastCol">
      <w:rPr>
        <w:b/>
        <w:bCs/>
      </w:rPr>
    </w:tblStylePr>
    <w:tblStylePr w:type="band1Vert">
      <w:tblPr/>
      <w:tcPr>
        <w:shd w:val="clear" w:color="auto" w:fill="4CA5FF" w:themeFill="accent1" w:themeFillTint="7F"/>
      </w:tcPr>
    </w:tblStylePr>
    <w:tblStylePr w:type="band1Horz">
      <w:tblPr/>
      <w:tcPr>
        <w:shd w:val="clear" w:color="auto" w:fill="4CA5FF" w:themeFill="accent1" w:themeFillTint="7F"/>
      </w:tcPr>
    </w:tblStylePr>
  </w:style>
  <w:style w:type="table" w:styleId="MediumGrid1-Accent2">
    <w:name w:val="Medium Grid 1 Accent 2"/>
    <w:basedOn w:val="TableNormal"/>
    <w:uiPriority w:val="67"/>
    <w:semiHidden/>
    <w:rsid w:val="0058629F"/>
    <w:tblPr>
      <w:tblStyleRowBandSize w:val="1"/>
      <w:tblStyleColBandSize w:val="1"/>
      <w:tblBorders>
        <w:top w:val="single" w:sz="8" w:space="0" w:color="A5E3E7" w:themeColor="accent2" w:themeTint="BF"/>
        <w:left w:val="single" w:sz="8" w:space="0" w:color="A5E3E7" w:themeColor="accent2" w:themeTint="BF"/>
        <w:bottom w:val="single" w:sz="8" w:space="0" w:color="A5E3E7" w:themeColor="accent2" w:themeTint="BF"/>
        <w:right w:val="single" w:sz="8" w:space="0" w:color="A5E3E7" w:themeColor="accent2" w:themeTint="BF"/>
        <w:insideH w:val="single" w:sz="8" w:space="0" w:color="A5E3E7" w:themeColor="accent2" w:themeTint="BF"/>
        <w:insideV w:val="single" w:sz="8" w:space="0" w:color="A5E3E7" w:themeColor="accent2" w:themeTint="BF"/>
      </w:tblBorders>
    </w:tblPr>
    <w:tcPr>
      <w:shd w:val="clear" w:color="auto" w:fill="E1F6F7" w:themeFill="accent2" w:themeFillTint="3F"/>
    </w:tcPr>
    <w:tblStylePr w:type="firstRow">
      <w:rPr>
        <w:b/>
        <w:bCs/>
      </w:rPr>
    </w:tblStylePr>
    <w:tblStylePr w:type="lastRow">
      <w:rPr>
        <w:b/>
        <w:bCs/>
      </w:rPr>
      <w:tblPr/>
      <w:tcPr>
        <w:tcBorders>
          <w:top w:val="single" w:sz="18" w:space="0" w:color="A5E3E7" w:themeColor="accent2" w:themeTint="BF"/>
        </w:tcBorders>
      </w:tcPr>
    </w:tblStylePr>
    <w:tblStylePr w:type="firstCol">
      <w:rPr>
        <w:b/>
        <w:bCs/>
      </w:rPr>
    </w:tblStylePr>
    <w:tblStylePr w:type="lastCol">
      <w:rPr>
        <w:b/>
        <w:bCs/>
      </w:rPr>
    </w:tblStylePr>
    <w:tblStylePr w:type="band1Vert">
      <w:tblPr/>
      <w:tcPr>
        <w:shd w:val="clear" w:color="auto" w:fill="C3EDEF" w:themeFill="accent2" w:themeFillTint="7F"/>
      </w:tcPr>
    </w:tblStylePr>
    <w:tblStylePr w:type="band1Horz">
      <w:tblPr/>
      <w:tcPr>
        <w:shd w:val="clear" w:color="auto" w:fill="C3EDEF" w:themeFill="accent2" w:themeFillTint="7F"/>
      </w:tcPr>
    </w:tblStylePr>
  </w:style>
  <w:style w:type="table" w:styleId="MediumGrid1-Accent3">
    <w:name w:val="Medium Grid 1 Accent 3"/>
    <w:basedOn w:val="TableNormal"/>
    <w:uiPriority w:val="67"/>
    <w:semiHidden/>
    <w:rsid w:val="0058629F"/>
    <w:tblPr>
      <w:tblStyleRowBandSize w:val="1"/>
      <w:tblStyleColBandSize w:val="1"/>
      <w:tbl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single" w:sz="8" w:space="0" w:color="06FFF2" w:themeColor="accent3" w:themeTint="BF"/>
        <w:insideV w:val="single" w:sz="8" w:space="0" w:color="06FFF2" w:themeColor="accent3" w:themeTint="BF"/>
      </w:tblBorders>
    </w:tblPr>
    <w:tcPr>
      <w:shd w:val="clear" w:color="auto" w:fill="ACFFFA" w:themeFill="accent3" w:themeFillTint="3F"/>
    </w:tcPr>
    <w:tblStylePr w:type="firstRow">
      <w:rPr>
        <w:b/>
        <w:bCs/>
      </w:rPr>
    </w:tblStylePr>
    <w:tblStylePr w:type="lastRow">
      <w:rPr>
        <w:b/>
        <w:bCs/>
      </w:rPr>
      <w:tblPr/>
      <w:tcPr>
        <w:tcBorders>
          <w:top w:val="single" w:sz="18" w:space="0" w:color="06FFF2" w:themeColor="accent3" w:themeTint="BF"/>
        </w:tcBorders>
      </w:tcPr>
    </w:tblStylePr>
    <w:tblStylePr w:type="firstCol">
      <w:rPr>
        <w:b/>
        <w:bCs/>
      </w:rPr>
    </w:tblStylePr>
    <w:tblStylePr w:type="lastCol">
      <w:rPr>
        <w:b/>
        <w:bCs/>
      </w:rPr>
    </w:tblStylePr>
    <w:tblStylePr w:type="band1Vert">
      <w:tblPr/>
      <w:tcPr>
        <w:shd w:val="clear" w:color="auto" w:fill="59FFF6" w:themeFill="accent3" w:themeFillTint="7F"/>
      </w:tcPr>
    </w:tblStylePr>
    <w:tblStylePr w:type="band1Horz">
      <w:tblPr/>
      <w:tcPr>
        <w:shd w:val="clear" w:color="auto" w:fill="59FFF6" w:themeFill="accent3" w:themeFillTint="7F"/>
      </w:tcPr>
    </w:tblStylePr>
  </w:style>
  <w:style w:type="table" w:styleId="MediumGrid1-Accent4">
    <w:name w:val="Medium Grid 1 Accent 4"/>
    <w:basedOn w:val="TableNormal"/>
    <w:uiPriority w:val="67"/>
    <w:semiHidden/>
    <w:rsid w:val="0058629F"/>
    <w:tblPr>
      <w:tblStyleRowBandSize w:val="1"/>
      <w:tblStyleColBandSize w:val="1"/>
      <w:tbl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single" w:sz="8" w:space="0" w:color="442D97" w:themeColor="accent4" w:themeTint="BF"/>
        <w:insideV w:val="single" w:sz="8" w:space="0" w:color="442D97" w:themeColor="accent4" w:themeTint="BF"/>
      </w:tblBorders>
    </w:tblPr>
    <w:tcPr>
      <w:shd w:val="clear" w:color="auto" w:fill="BBAFE7" w:themeFill="accent4" w:themeFillTint="3F"/>
    </w:tcPr>
    <w:tblStylePr w:type="firstRow">
      <w:rPr>
        <w:b/>
        <w:bCs/>
      </w:rPr>
    </w:tblStylePr>
    <w:tblStylePr w:type="lastRow">
      <w:rPr>
        <w:b/>
        <w:bCs/>
      </w:rPr>
      <w:tblPr/>
      <w:tcPr>
        <w:tcBorders>
          <w:top w:val="single" w:sz="18" w:space="0" w:color="442D97" w:themeColor="accent4" w:themeTint="BF"/>
        </w:tcBorders>
      </w:tcPr>
    </w:tblStylePr>
    <w:tblStylePr w:type="firstCol">
      <w:rPr>
        <w:b/>
        <w:bCs/>
      </w:rPr>
    </w:tblStylePr>
    <w:tblStylePr w:type="lastCol">
      <w:rPr>
        <w:b/>
        <w:bCs/>
      </w:rPr>
    </w:tblStylePr>
    <w:tblStylePr w:type="band1Vert">
      <w:tblPr/>
      <w:tcPr>
        <w:shd w:val="clear" w:color="auto" w:fill="775ECF" w:themeFill="accent4" w:themeFillTint="7F"/>
      </w:tcPr>
    </w:tblStylePr>
    <w:tblStylePr w:type="band1Horz">
      <w:tblPr/>
      <w:tcPr>
        <w:shd w:val="clear" w:color="auto" w:fill="775ECF" w:themeFill="accent4" w:themeFillTint="7F"/>
      </w:tcPr>
    </w:tblStylePr>
  </w:style>
  <w:style w:type="table" w:styleId="MediumGrid1-Accent5">
    <w:name w:val="Medium Grid 1 Accent 5"/>
    <w:basedOn w:val="TableNormal"/>
    <w:uiPriority w:val="67"/>
    <w:semiHidden/>
    <w:rsid w:val="0058629F"/>
    <w:tblPr>
      <w:tblStyleRowBandSize w:val="1"/>
      <w:tblStyleColBandSize w:val="1"/>
      <w:tblBorders>
        <w:top w:val="single" w:sz="8" w:space="0" w:color="8CAED0" w:themeColor="accent5" w:themeTint="BF"/>
        <w:left w:val="single" w:sz="8" w:space="0" w:color="8CAED0" w:themeColor="accent5" w:themeTint="BF"/>
        <w:bottom w:val="single" w:sz="8" w:space="0" w:color="8CAED0" w:themeColor="accent5" w:themeTint="BF"/>
        <w:right w:val="single" w:sz="8" w:space="0" w:color="8CAED0" w:themeColor="accent5" w:themeTint="BF"/>
        <w:insideH w:val="single" w:sz="8" w:space="0" w:color="8CAED0" w:themeColor="accent5" w:themeTint="BF"/>
        <w:insideV w:val="single" w:sz="8" w:space="0" w:color="8CAED0" w:themeColor="accent5" w:themeTint="BF"/>
      </w:tblBorders>
    </w:tblPr>
    <w:tcPr>
      <w:shd w:val="clear" w:color="auto" w:fill="D9E4EF" w:themeFill="accent5" w:themeFillTint="3F"/>
    </w:tcPr>
    <w:tblStylePr w:type="firstRow">
      <w:rPr>
        <w:b/>
        <w:bCs/>
      </w:rPr>
    </w:tblStylePr>
    <w:tblStylePr w:type="lastRow">
      <w:rPr>
        <w:b/>
        <w:bCs/>
      </w:rPr>
      <w:tblPr/>
      <w:tcPr>
        <w:tcBorders>
          <w:top w:val="single" w:sz="18" w:space="0" w:color="8CAED0" w:themeColor="accent5" w:themeTint="BF"/>
        </w:tcBorders>
      </w:tcPr>
    </w:tblStylePr>
    <w:tblStylePr w:type="firstCol">
      <w:rPr>
        <w:b/>
        <w:bCs/>
      </w:rPr>
    </w:tblStylePr>
    <w:tblStylePr w:type="lastCol">
      <w:rPr>
        <w:b/>
        <w:bCs/>
      </w:rPr>
    </w:tblStylePr>
    <w:tblStylePr w:type="band1Vert">
      <w:tblPr/>
      <w:tcPr>
        <w:shd w:val="clear" w:color="auto" w:fill="B2C9E0" w:themeFill="accent5" w:themeFillTint="7F"/>
      </w:tcPr>
    </w:tblStylePr>
    <w:tblStylePr w:type="band1Horz">
      <w:tblPr/>
      <w:tcPr>
        <w:shd w:val="clear" w:color="auto" w:fill="B2C9E0" w:themeFill="accent5" w:themeFillTint="7F"/>
      </w:tcPr>
    </w:tblStylePr>
  </w:style>
  <w:style w:type="table" w:styleId="MediumGrid1-Accent6">
    <w:name w:val="Medium Grid 1 Accent 6"/>
    <w:basedOn w:val="TableNormal"/>
    <w:uiPriority w:val="67"/>
    <w:semiHidden/>
    <w:rsid w:val="0058629F"/>
    <w:tblPr>
      <w:tblStyleRowBandSize w:val="1"/>
      <w:tblStyleColBandSize w:val="1"/>
      <w:tblBorders>
        <w:top w:val="single" w:sz="8" w:space="0" w:color="C9EEF0" w:themeColor="accent6" w:themeTint="BF"/>
        <w:left w:val="single" w:sz="8" w:space="0" w:color="C9EEF0" w:themeColor="accent6" w:themeTint="BF"/>
        <w:bottom w:val="single" w:sz="8" w:space="0" w:color="C9EEF0" w:themeColor="accent6" w:themeTint="BF"/>
        <w:right w:val="single" w:sz="8" w:space="0" w:color="C9EEF0" w:themeColor="accent6" w:themeTint="BF"/>
        <w:insideH w:val="single" w:sz="8" w:space="0" w:color="C9EEF0" w:themeColor="accent6" w:themeTint="BF"/>
        <w:insideV w:val="single" w:sz="8" w:space="0" w:color="C9EEF0" w:themeColor="accent6" w:themeTint="BF"/>
      </w:tblBorders>
    </w:tblPr>
    <w:tcPr>
      <w:shd w:val="clear" w:color="auto" w:fill="EDF9FA" w:themeFill="accent6" w:themeFillTint="3F"/>
    </w:tcPr>
    <w:tblStylePr w:type="firstRow">
      <w:rPr>
        <w:b/>
        <w:bCs/>
      </w:rPr>
    </w:tblStylePr>
    <w:tblStylePr w:type="lastRow">
      <w:rPr>
        <w:b/>
        <w:bCs/>
      </w:rPr>
      <w:tblPr/>
      <w:tcPr>
        <w:tcBorders>
          <w:top w:val="single" w:sz="18" w:space="0" w:color="C9EEF0" w:themeColor="accent6" w:themeTint="BF"/>
        </w:tcBorders>
      </w:tcPr>
    </w:tblStylePr>
    <w:tblStylePr w:type="firstCol">
      <w:rPr>
        <w:b/>
        <w:bCs/>
      </w:rPr>
    </w:tblStylePr>
    <w:tblStylePr w:type="lastCol">
      <w:rPr>
        <w:b/>
        <w:bCs/>
      </w:rPr>
    </w:tblStylePr>
    <w:tblStylePr w:type="band1Vert">
      <w:tblPr/>
      <w:tcPr>
        <w:shd w:val="clear" w:color="auto" w:fill="DBF3F5" w:themeFill="accent6" w:themeFillTint="7F"/>
      </w:tcPr>
    </w:tblStylePr>
    <w:tblStylePr w:type="band1Horz">
      <w:tblPr/>
      <w:tcPr>
        <w:shd w:val="clear" w:color="auto" w:fill="DBF3F5" w:themeFill="accent6" w:themeFillTint="7F"/>
      </w:tcPr>
    </w:tblStylePr>
  </w:style>
  <w:style w:type="table" w:styleId="MediumGrid2">
    <w:name w:val="Medium Grid 2"/>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insideH w:val="single" w:sz="8" w:space="0" w:color="232222" w:themeColor="text1"/>
        <w:insideV w:val="single" w:sz="8" w:space="0" w:color="232222" w:themeColor="text1"/>
      </w:tblBorders>
    </w:tblPr>
    <w:tcPr>
      <w:shd w:val="clear" w:color="auto" w:fill="C9C7C7" w:themeFill="text1" w:themeFillTint="3F"/>
    </w:tcPr>
    <w:tblStylePr w:type="firstRow">
      <w:rPr>
        <w:b/>
        <w:bCs/>
        <w:color w:val="232222" w:themeColor="text1"/>
      </w:rPr>
      <w:tblPr/>
      <w:tcPr>
        <w:shd w:val="clear" w:color="auto" w:fill="E9E9E9" w:themeFill="text1"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D3D2D2" w:themeFill="text1" w:themeFillTint="33"/>
      </w:tcPr>
    </w:tblStylePr>
    <w:tblStylePr w:type="band1Vert">
      <w:tblPr/>
      <w:tcPr>
        <w:shd w:val="clear" w:color="auto" w:fill="928F8F" w:themeFill="text1" w:themeFillTint="7F"/>
      </w:tcPr>
    </w:tblStylePr>
    <w:tblStylePr w:type="band1Horz">
      <w:tblPr/>
      <w:tcPr>
        <w:tcBorders>
          <w:insideH w:val="single" w:sz="6" w:space="0" w:color="232222" w:themeColor="text1"/>
          <w:insideV w:val="single" w:sz="6" w:space="0" w:color="232222" w:themeColor="text1"/>
        </w:tcBorders>
        <w:shd w:val="clear" w:color="auto" w:fill="928F8F"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004C97" w:themeColor="accent1"/>
        <w:left w:val="single" w:sz="8" w:space="0" w:color="004C97" w:themeColor="accent1"/>
        <w:bottom w:val="single" w:sz="8" w:space="0" w:color="004C97" w:themeColor="accent1"/>
        <w:right w:val="single" w:sz="8" w:space="0" w:color="004C97" w:themeColor="accent1"/>
        <w:insideH w:val="single" w:sz="8" w:space="0" w:color="004C97" w:themeColor="accent1"/>
        <w:insideV w:val="single" w:sz="8" w:space="0" w:color="004C97" w:themeColor="accent1"/>
      </w:tblBorders>
    </w:tblPr>
    <w:tcPr>
      <w:shd w:val="clear" w:color="auto" w:fill="A6D2FF" w:themeFill="accent1" w:themeFillTint="3F"/>
    </w:tcPr>
    <w:tblStylePr w:type="firstRow">
      <w:rPr>
        <w:b/>
        <w:bCs/>
        <w:color w:val="232222" w:themeColor="text1"/>
      </w:rPr>
      <w:tblPr/>
      <w:tcPr>
        <w:shd w:val="clear" w:color="auto" w:fill="DBEDFF" w:themeFill="accent1"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B7DBFF" w:themeFill="accent1" w:themeFillTint="33"/>
      </w:tcPr>
    </w:tblStylePr>
    <w:tblStylePr w:type="band1Vert">
      <w:tblPr/>
      <w:tcPr>
        <w:shd w:val="clear" w:color="auto" w:fill="4CA5FF" w:themeFill="accent1" w:themeFillTint="7F"/>
      </w:tcPr>
    </w:tblStylePr>
    <w:tblStylePr w:type="band1Horz">
      <w:tblPr/>
      <w:tcPr>
        <w:tcBorders>
          <w:insideH w:val="single" w:sz="6" w:space="0" w:color="004C97" w:themeColor="accent1"/>
          <w:insideV w:val="single" w:sz="6" w:space="0" w:color="004C97" w:themeColor="accent1"/>
        </w:tcBorders>
        <w:shd w:val="clear" w:color="auto" w:fill="4CA5FF"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88DBDF" w:themeColor="accent2"/>
        <w:left w:val="single" w:sz="8" w:space="0" w:color="88DBDF" w:themeColor="accent2"/>
        <w:bottom w:val="single" w:sz="8" w:space="0" w:color="88DBDF" w:themeColor="accent2"/>
        <w:right w:val="single" w:sz="8" w:space="0" w:color="88DBDF" w:themeColor="accent2"/>
        <w:insideH w:val="single" w:sz="8" w:space="0" w:color="88DBDF" w:themeColor="accent2"/>
        <w:insideV w:val="single" w:sz="8" w:space="0" w:color="88DBDF" w:themeColor="accent2"/>
      </w:tblBorders>
    </w:tblPr>
    <w:tcPr>
      <w:shd w:val="clear" w:color="auto" w:fill="E1F6F7" w:themeFill="accent2" w:themeFillTint="3F"/>
    </w:tcPr>
    <w:tblStylePr w:type="firstRow">
      <w:rPr>
        <w:b/>
        <w:bCs/>
        <w:color w:val="232222" w:themeColor="text1"/>
      </w:rPr>
      <w:tblPr/>
      <w:tcPr>
        <w:shd w:val="clear" w:color="auto" w:fill="F3FBFB" w:themeFill="accent2"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E7F7F8" w:themeFill="accent2" w:themeFillTint="33"/>
      </w:tcPr>
    </w:tblStylePr>
    <w:tblStylePr w:type="band1Vert">
      <w:tblPr/>
      <w:tcPr>
        <w:shd w:val="clear" w:color="auto" w:fill="C3EDEF" w:themeFill="accent2" w:themeFillTint="7F"/>
      </w:tcPr>
    </w:tblStylePr>
    <w:tblStylePr w:type="band1Horz">
      <w:tblPr/>
      <w:tcPr>
        <w:tcBorders>
          <w:insideH w:val="single" w:sz="6" w:space="0" w:color="88DBDF" w:themeColor="accent2"/>
          <w:insideV w:val="single" w:sz="6" w:space="0" w:color="88DBDF" w:themeColor="accent2"/>
        </w:tcBorders>
        <w:shd w:val="clear" w:color="auto" w:fill="C3EDEF"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insideH w:val="single" w:sz="8" w:space="0" w:color="00B2A9" w:themeColor="accent3"/>
        <w:insideV w:val="single" w:sz="8" w:space="0" w:color="00B2A9" w:themeColor="accent3"/>
      </w:tblBorders>
    </w:tblPr>
    <w:tcPr>
      <w:shd w:val="clear" w:color="auto" w:fill="ACFFFA" w:themeFill="accent3" w:themeFillTint="3F"/>
    </w:tcPr>
    <w:tblStylePr w:type="firstRow">
      <w:rPr>
        <w:b/>
        <w:bCs/>
        <w:color w:val="232222" w:themeColor="text1"/>
      </w:rPr>
      <w:tblPr/>
      <w:tcPr>
        <w:shd w:val="clear" w:color="auto" w:fill="DEFFFD" w:themeFill="accent3"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BCFFFB" w:themeFill="accent3" w:themeFillTint="33"/>
      </w:tcPr>
    </w:tblStylePr>
    <w:tblStylePr w:type="band1Vert">
      <w:tblPr/>
      <w:tcPr>
        <w:shd w:val="clear" w:color="auto" w:fill="59FFF6" w:themeFill="accent3" w:themeFillTint="7F"/>
      </w:tcPr>
    </w:tblStylePr>
    <w:tblStylePr w:type="band1Horz">
      <w:tblPr/>
      <w:tcPr>
        <w:tcBorders>
          <w:insideH w:val="single" w:sz="6" w:space="0" w:color="00B2A9" w:themeColor="accent3"/>
          <w:insideV w:val="single" w:sz="6" w:space="0" w:color="00B2A9" w:themeColor="accent3"/>
        </w:tcBorders>
        <w:shd w:val="clear" w:color="auto" w:fill="59FFF6"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insideH w:val="single" w:sz="8" w:space="0" w:color="201547" w:themeColor="accent4"/>
        <w:insideV w:val="single" w:sz="8" w:space="0" w:color="201547" w:themeColor="accent4"/>
      </w:tblBorders>
    </w:tblPr>
    <w:tcPr>
      <w:shd w:val="clear" w:color="auto" w:fill="BBAFE7" w:themeFill="accent4" w:themeFillTint="3F"/>
    </w:tcPr>
    <w:tblStylePr w:type="firstRow">
      <w:rPr>
        <w:b/>
        <w:bCs/>
        <w:color w:val="232222" w:themeColor="text1"/>
      </w:rPr>
      <w:tblPr/>
      <w:tcPr>
        <w:shd w:val="clear" w:color="auto" w:fill="E4DFF5" w:themeFill="accent4"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C8BEEC" w:themeFill="accent4" w:themeFillTint="33"/>
      </w:tcPr>
    </w:tblStylePr>
    <w:tblStylePr w:type="band1Vert">
      <w:tblPr/>
      <w:tcPr>
        <w:shd w:val="clear" w:color="auto" w:fill="775ECF" w:themeFill="accent4" w:themeFillTint="7F"/>
      </w:tcPr>
    </w:tblStylePr>
    <w:tblStylePr w:type="band1Horz">
      <w:tblPr/>
      <w:tcPr>
        <w:tcBorders>
          <w:insideH w:val="single" w:sz="6" w:space="0" w:color="201547" w:themeColor="accent4"/>
          <w:insideV w:val="single" w:sz="6" w:space="0" w:color="201547" w:themeColor="accent4"/>
        </w:tcBorders>
        <w:shd w:val="clear" w:color="auto" w:fill="775ECF"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6694C1" w:themeColor="accent5"/>
        <w:left w:val="single" w:sz="8" w:space="0" w:color="6694C1" w:themeColor="accent5"/>
        <w:bottom w:val="single" w:sz="8" w:space="0" w:color="6694C1" w:themeColor="accent5"/>
        <w:right w:val="single" w:sz="8" w:space="0" w:color="6694C1" w:themeColor="accent5"/>
        <w:insideH w:val="single" w:sz="8" w:space="0" w:color="6694C1" w:themeColor="accent5"/>
        <w:insideV w:val="single" w:sz="8" w:space="0" w:color="6694C1" w:themeColor="accent5"/>
      </w:tblBorders>
    </w:tblPr>
    <w:tcPr>
      <w:shd w:val="clear" w:color="auto" w:fill="D9E4EF" w:themeFill="accent5" w:themeFillTint="3F"/>
    </w:tcPr>
    <w:tblStylePr w:type="firstRow">
      <w:rPr>
        <w:b/>
        <w:bCs/>
        <w:color w:val="232222" w:themeColor="text1"/>
      </w:rPr>
      <w:tblPr/>
      <w:tcPr>
        <w:shd w:val="clear" w:color="auto" w:fill="EFF4F9" w:themeFill="accent5"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E0E9F2" w:themeFill="accent5" w:themeFillTint="33"/>
      </w:tcPr>
    </w:tblStylePr>
    <w:tblStylePr w:type="band1Vert">
      <w:tblPr/>
      <w:tcPr>
        <w:shd w:val="clear" w:color="auto" w:fill="B2C9E0" w:themeFill="accent5" w:themeFillTint="7F"/>
      </w:tcPr>
    </w:tblStylePr>
    <w:tblStylePr w:type="band1Horz">
      <w:tblPr/>
      <w:tcPr>
        <w:tcBorders>
          <w:insideH w:val="single" w:sz="6" w:space="0" w:color="6694C1" w:themeColor="accent5"/>
          <w:insideV w:val="single" w:sz="6" w:space="0" w:color="6694C1" w:themeColor="accent5"/>
        </w:tcBorders>
        <w:shd w:val="clear" w:color="auto" w:fill="B2C9E0"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B8E9EC" w:themeColor="accent6"/>
        <w:left w:val="single" w:sz="8" w:space="0" w:color="B8E9EC" w:themeColor="accent6"/>
        <w:bottom w:val="single" w:sz="8" w:space="0" w:color="B8E9EC" w:themeColor="accent6"/>
        <w:right w:val="single" w:sz="8" w:space="0" w:color="B8E9EC" w:themeColor="accent6"/>
        <w:insideH w:val="single" w:sz="8" w:space="0" w:color="B8E9EC" w:themeColor="accent6"/>
        <w:insideV w:val="single" w:sz="8" w:space="0" w:color="B8E9EC" w:themeColor="accent6"/>
      </w:tblBorders>
    </w:tblPr>
    <w:tcPr>
      <w:shd w:val="clear" w:color="auto" w:fill="EDF9FA" w:themeFill="accent6" w:themeFillTint="3F"/>
    </w:tcPr>
    <w:tblStylePr w:type="firstRow">
      <w:rPr>
        <w:b/>
        <w:bCs/>
        <w:color w:val="232222" w:themeColor="text1"/>
      </w:rPr>
      <w:tblPr/>
      <w:tcPr>
        <w:shd w:val="clear" w:color="auto" w:fill="F7FCFD" w:themeFill="accent6"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F0FAFB" w:themeFill="accent6" w:themeFillTint="33"/>
      </w:tcPr>
    </w:tblStylePr>
    <w:tblStylePr w:type="band1Vert">
      <w:tblPr/>
      <w:tcPr>
        <w:shd w:val="clear" w:color="auto" w:fill="DBF3F5" w:themeFill="accent6" w:themeFillTint="7F"/>
      </w:tcPr>
    </w:tblStylePr>
    <w:tblStylePr w:type="band1Horz">
      <w:tblPr/>
      <w:tcPr>
        <w:tcBorders>
          <w:insideH w:val="single" w:sz="6" w:space="0" w:color="B8E9EC" w:themeColor="accent6"/>
          <w:insideV w:val="single" w:sz="6" w:space="0" w:color="B8E9EC" w:themeColor="accent6"/>
        </w:tcBorders>
        <w:shd w:val="clear" w:color="auto" w:fill="DBF3F5"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9C7C7"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32222"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32222"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32222"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32222"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28F8F"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28F8F" w:themeFill="text1" w:themeFillTint="7F"/>
      </w:tcPr>
    </w:tblStylePr>
  </w:style>
  <w:style w:type="table" w:styleId="MediumGrid3-Accent1">
    <w:name w:val="Medium Grid 3 Accent 1"/>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6D2FF"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4C97"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4C97"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4C97"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4C97"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4CA5FF"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4CA5FF" w:themeFill="accent1" w:themeFillTint="7F"/>
      </w:tcPr>
    </w:tblStylePr>
  </w:style>
  <w:style w:type="table" w:styleId="MediumGrid3-Accent2">
    <w:name w:val="Medium Grid 3 Accent 2"/>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1F6F7"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8DBDF"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8DBDF"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8DBDF"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8DBDF"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3EDE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3EDEF" w:themeFill="accent2" w:themeFillTint="7F"/>
      </w:tcPr>
    </w:tblStylePr>
  </w:style>
  <w:style w:type="table" w:styleId="MediumGrid3-Accent3">
    <w:name w:val="Medium Grid 3 Accent 3"/>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CFFF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2A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2A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2A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2A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9FFF6"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9FFF6" w:themeFill="accent3" w:themeFillTint="7F"/>
      </w:tcPr>
    </w:tblStylePr>
  </w:style>
  <w:style w:type="table" w:styleId="MediumGrid3-Accent4">
    <w:name w:val="Medium Grid 3 Accent 4"/>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BAFE7"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01547"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01547"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01547"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01547"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75ECF"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75ECF" w:themeFill="accent4" w:themeFillTint="7F"/>
      </w:tcPr>
    </w:tblStylePr>
  </w:style>
  <w:style w:type="table" w:styleId="MediumGrid3-Accent5">
    <w:name w:val="Medium Grid 3 Accent 5"/>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9E4E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694C1"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694C1"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694C1"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694C1"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2C9E0"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2C9E0" w:themeFill="accent5" w:themeFillTint="7F"/>
      </w:tcPr>
    </w:tblStylePr>
  </w:style>
  <w:style w:type="table" w:styleId="MediumGrid3-Accent6">
    <w:name w:val="Medium Grid 3 Accent 6"/>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DF9FA"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8E9EC"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8E9EC"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8E9EC"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8E9EC"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BF3F5"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BF3F5" w:themeFill="accent6" w:themeFillTint="7F"/>
      </w:tcPr>
    </w:tblStylePr>
  </w:style>
  <w:style w:type="table" w:styleId="MediumList1">
    <w:name w:val="Medium List 1"/>
    <w:basedOn w:val="TableNormal"/>
    <w:uiPriority w:val="65"/>
    <w:semiHidden/>
    <w:rsid w:val="0058629F"/>
    <w:tblPr>
      <w:tblStyleRowBandSize w:val="1"/>
      <w:tblStyleColBandSize w:val="1"/>
      <w:tblBorders>
        <w:top w:val="single" w:sz="8" w:space="0" w:color="232222" w:themeColor="text1"/>
        <w:bottom w:val="single" w:sz="8" w:space="0" w:color="232222" w:themeColor="text1"/>
      </w:tblBorders>
    </w:tblPr>
    <w:tblStylePr w:type="firstRow">
      <w:rPr>
        <w:rFonts w:asciiTheme="majorHAnsi" w:eastAsiaTheme="majorEastAsia" w:hAnsiTheme="majorHAnsi" w:cstheme="majorBidi"/>
      </w:rPr>
      <w:tblPr/>
      <w:tcPr>
        <w:tcBorders>
          <w:top w:val="nil"/>
          <w:bottom w:val="single" w:sz="8" w:space="0" w:color="232222" w:themeColor="text1"/>
        </w:tcBorders>
      </w:tcPr>
    </w:tblStylePr>
    <w:tblStylePr w:type="lastRow">
      <w:rPr>
        <w:b/>
        <w:bCs/>
        <w:color w:val="201547" w:themeColor="text2"/>
      </w:rPr>
      <w:tblPr/>
      <w:tcPr>
        <w:tcBorders>
          <w:top w:val="single" w:sz="8" w:space="0" w:color="232222" w:themeColor="text1"/>
          <w:bottom w:val="single" w:sz="8" w:space="0" w:color="232222" w:themeColor="text1"/>
        </w:tcBorders>
      </w:tcPr>
    </w:tblStylePr>
    <w:tblStylePr w:type="firstCol">
      <w:rPr>
        <w:b/>
        <w:bCs/>
      </w:rPr>
    </w:tblStylePr>
    <w:tblStylePr w:type="lastCol">
      <w:rPr>
        <w:b/>
        <w:bCs/>
      </w:rPr>
      <w:tblPr/>
      <w:tcPr>
        <w:tcBorders>
          <w:top w:val="single" w:sz="8" w:space="0" w:color="232222" w:themeColor="text1"/>
          <w:bottom w:val="single" w:sz="8" w:space="0" w:color="232222" w:themeColor="text1"/>
        </w:tcBorders>
      </w:tcPr>
    </w:tblStylePr>
    <w:tblStylePr w:type="band1Vert">
      <w:tblPr/>
      <w:tcPr>
        <w:shd w:val="clear" w:color="auto" w:fill="C9C7C7" w:themeFill="text1" w:themeFillTint="3F"/>
      </w:tcPr>
    </w:tblStylePr>
    <w:tblStylePr w:type="band1Horz">
      <w:tblPr/>
      <w:tcPr>
        <w:shd w:val="clear" w:color="auto" w:fill="C9C7C7" w:themeFill="text1" w:themeFillTint="3F"/>
      </w:tcPr>
    </w:tblStylePr>
  </w:style>
  <w:style w:type="table" w:styleId="MediumList1-Accent1">
    <w:name w:val="Medium List 1 Accent 1"/>
    <w:basedOn w:val="TableNormal"/>
    <w:uiPriority w:val="65"/>
    <w:semiHidden/>
    <w:rsid w:val="0058629F"/>
    <w:tblPr>
      <w:tblStyleRowBandSize w:val="1"/>
      <w:tblStyleColBandSize w:val="1"/>
      <w:tblBorders>
        <w:top w:val="single" w:sz="8" w:space="0" w:color="004C97" w:themeColor="accent1"/>
        <w:bottom w:val="single" w:sz="8" w:space="0" w:color="004C97" w:themeColor="accent1"/>
      </w:tblBorders>
    </w:tblPr>
    <w:tblStylePr w:type="firstRow">
      <w:rPr>
        <w:rFonts w:asciiTheme="majorHAnsi" w:eastAsiaTheme="majorEastAsia" w:hAnsiTheme="majorHAnsi" w:cstheme="majorBidi"/>
      </w:rPr>
      <w:tblPr/>
      <w:tcPr>
        <w:tcBorders>
          <w:top w:val="nil"/>
          <w:bottom w:val="single" w:sz="8" w:space="0" w:color="004C97" w:themeColor="accent1"/>
        </w:tcBorders>
      </w:tcPr>
    </w:tblStylePr>
    <w:tblStylePr w:type="lastRow">
      <w:rPr>
        <w:b/>
        <w:bCs/>
        <w:color w:val="201547" w:themeColor="text2"/>
      </w:rPr>
      <w:tblPr/>
      <w:tcPr>
        <w:tcBorders>
          <w:top w:val="single" w:sz="8" w:space="0" w:color="004C97" w:themeColor="accent1"/>
          <w:bottom w:val="single" w:sz="8" w:space="0" w:color="004C97" w:themeColor="accent1"/>
        </w:tcBorders>
      </w:tcPr>
    </w:tblStylePr>
    <w:tblStylePr w:type="firstCol">
      <w:rPr>
        <w:b/>
        <w:bCs/>
      </w:rPr>
    </w:tblStylePr>
    <w:tblStylePr w:type="lastCol">
      <w:rPr>
        <w:b/>
        <w:bCs/>
      </w:rPr>
      <w:tblPr/>
      <w:tcPr>
        <w:tcBorders>
          <w:top w:val="single" w:sz="8" w:space="0" w:color="004C97" w:themeColor="accent1"/>
          <w:bottom w:val="single" w:sz="8" w:space="0" w:color="004C97" w:themeColor="accent1"/>
        </w:tcBorders>
      </w:tcPr>
    </w:tblStylePr>
    <w:tblStylePr w:type="band1Vert">
      <w:tblPr/>
      <w:tcPr>
        <w:shd w:val="clear" w:color="auto" w:fill="A6D2FF" w:themeFill="accent1" w:themeFillTint="3F"/>
      </w:tcPr>
    </w:tblStylePr>
    <w:tblStylePr w:type="band1Horz">
      <w:tblPr/>
      <w:tcPr>
        <w:shd w:val="clear" w:color="auto" w:fill="A6D2FF" w:themeFill="accent1" w:themeFillTint="3F"/>
      </w:tcPr>
    </w:tblStylePr>
  </w:style>
  <w:style w:type="table" w:styleId="MediumList1-Accent2">
    <w:name w:val="Medium List 1 Accent 2"/>
    <w:basedOn w:val="TableNormal"/>
    <w:uiPriority w:val="65"/>
    <w:semiHidden/>
    <w:rsid w:val="0058629F"/>
    <w:tblPr>
      <w:tblStyleRowBandSize w:val="1"/>
      <w:tblStyleColBandSize w:val="1"/>
      <w:tblBorders>
        <w:top w:val="single" w:sz="8" w:space="0" w:color="88DBDF" w:themeColor="accent2"/>
        <w:bottom w:val="single" w:sz="8" w:space="0" w:color="88DBDF" w:themeColor="accent2"/>
      </w:tblBorders>
    </w:tblPr>
    <w:tblStylePr w:type="firstRow">
      <w:rPr>
        <w:rFonts w:asciiTheme="majorHAnsi" w:eastAsiaTheme="majorEastAsia" w:hAnsiTheme="majorHAnsi" w:cstheme="majorBidi"/>
      </w:rPr>
      <w:tblPr/>
      <w:tcPr>
        <w:tcBorders>
          <w:top w:val="nil"/>
          <w:bottom w:val="single" w:sz="8" w:space="0" w:color="88DBDF" w:themeColor="accent2"/>
        </w:tcBorders>
      </w:tcPr>
    </w:tblStylePr>
    <w:tblStylePr w:type="lastRow">
      <w:rPr>
        <w:b/>
        <w:bCs/>
        <w:color w:val="201547" w:themeColor="text2"/>
      </w:rPr>
      <w:tblPr/>
      <w:tcPr>
        <w:tcBorders>
          <w:top w:val="single" w:sz="8" w:space="0" w:color="88DBDF" w:themeColor="accent2"/>
          <w:bottom w:val="single" w:sz="8" w:space="0" w:color="88DBDF" w:themeColor="accent2"/>
        </w:tcBorders>
      </w:tcPr>
    </w:tblStylePr>
    <w:tblStylePr w:type="firstCol">
      <w:rPr>
        <w:b/>
        <w:bCs/>
      </w:rPr>
    </w:tblStylePr>
    <w:tblStylePr w:type="lastCol">
      <w:rPr>
        <w:b/>
        <w:bCs/>
      </w:rPr>
      <w:tblPr/>
      <w:tcPr>
        <w:tcBorders>
          <w:top w:val="single" w:sz="8" w:space="0" w:color="88DBDF" w:themeColor="accent2"/>
          <w:bottom w:val="single" w:sz="8" w:space="0" w:color="88DBDF" w:themeColor="accent2"/>
        </w:tcBorders>
      </w:tcPr>
    </w:tblStylePr>
    <w:tblStylePr w:type="band1Vert">
      <w:tblPr/>
      <w:tcPr>
        <w:shd w:val="clear" w:color="auto" w:fill="E1F6F7" w:themeFill="accent2" w:themeFillTint="3F"/>
      </w:tcPr>
    </w:tblStylePr>
    <w:tblStylePr w:type="band1Horz">
      <w:tblPr/>
      <w:tcPr>
        <w:shd w:val="clear" w:color="auto" w:fill="E1F6F7" w:themeFill="accent2" w:themeFillTint="3F"/>
      </w:tcPr>
    </w:tblStylePr>
  </w:style>
  <w:style w:type="table" w:styleId="MediumList1-Accent3">
    <w:name w:val="Medium List 1 Accent 3"/>
    <w:basedOn w:val="TableNormal"/>
    <w:uiPriority w:val="65"/>
    <w:semiHidden/>
    <w:rsid w:val="0058629F"/>
    <w:tblPr>
      <w:tblStyleRowBandSize w:val="1"/>
      <w:tblStyleColBandSize w:val="1"/>
      <w:tblBorders>
        <w:top w:val="single" w:sz="8" w:space="0" w:color="00B2A9" w:themeColor="accent3"/>
        <w:bottom w:val="single" w:sz="8" w:space="0" w:color="00B2A9" w:themeColor="accent3"/>
      </w:tblBorders>
    </w:tblPr>
    <w:tblStylePr w:type="firstRow">
      <w:rPr>
        <w:rFonts w:asciiTheme="majorHAnsi" w:eastAsiaTheme="majorEastAsia" w:hAnsiTheme="majorHAnsi" w:cstheme="majorBidi"/>
      </w:rPr>
      <w:tblPr/>
      <w:tcPr>
        <w:tcBorders>
          <w:top w:val="nil"/>
          <w:bottom w:val="single" w:sz="8" w:space="0" w:color="00B2A9" w:themeColor="accent3"/>
        </w:tcBorders>
      </w:tcPr>
    </w:tblStylePr>
    <w:tblStylePr w:type="lastRow">
      <w:rPr>
        <w:b/>
        <w:bCs/>
        <w:color w:val="201547" w:themeColor="text2"/>
      </w:rPr>
      <w:tblPr/>
      <w:tcPr>
        <w:tcBorders>
          <w:top w:val="single" w:sz="8" w:space="0" w:color="00B2A9" w:themeColor="accent3"/>
          <w:bottom w:val="single" w:sz="8" w:space="0" w:color="00B2A9" w:themeColor="accent3"/>
        </w:tcBorders>
      </w:tcPr>
    </w:tblStylePr>
    <w:tblStylePr w:type="firstCol">
      <w:rPr>
        <w:b/>
        <w:bCs/>
      </w:rPr>
    </w:tblStylePr>
    <w:tblStylePr w:type="lastCol">
      <w:rPr>
        <w:b/>
        <w:bCs/>
      </w:rPr>
      <w:tblPr/>
      <w:tcPr>
        <w:tcBorders>
          <w:top w:val="single" w:sz="8" w:space="0" w:color="00B2A9" w:themeColor="accent3"/>
          <w:bottom w:val="single" w:sz="8" w:space="0" w:color="00B2A9" w:themeColor="accent3"/>
        </w:tcBorders>
      </w:tcPr>
    </w:tblStylePr>
    <w:tblStylePr w:type="band1Vert">
      <w:tblPr/>
      <w:tcPr>
        <w:shd w:val="clear" w:color="auto" w:fill="ACFFFA" w:themeFill="accent3" w:themeFillTint="3F"/>
      </w:tcPr>
    </w:tblStylePr>
    <w:tblStylePr w:type="band1Horz">
      <w:tblPr/>
      <w:tcPr>
        <w:shd w:val="clear" w:color="auto" w:fill="ACFFFA" w:themeFill="accent3" w:themeFillTint="3F"/>
      </w:tcPr>
    </w:tblStylePr>
  </w:style>
  <w:style w:type="table" w:styleId="MediumList1-Accent4">
    <w:name w:val="Medium List 1 Accent 4"/>
    <w:basedOn w:val="TableNormal"/>
    <w:uiPriority w:val="65"/>
    <w:semiHidden/>
    <w:rsid w:val="0058629F"/>
    <w:tblPr>
      <w:tblStyleRowBandSize w:val="1"/>
      <w:tblStyleColBandSize w:val="1"/>
      <w:tblBorders>
        <w:top w:val="single" w:sz="8" w:space="0" w:color="201547" w:themeColor="accent4"/>
        <w:bottom w:val="single" w:sz="8" w:space="0" w:color="201547" w:themeColor="accent4"/>
      </w:tblBorders>
    </w:tblPr>
    <w:tblStylePr w:type="firstRow">
      <w:rPr>
        <w:rFonts w:asciiTheme="majorHAnsi" w:eastAsiaTheme="majorEastAsia" w:hAnsiTheme="majorHAnsi" w:cstheme="majorBidi"/>
      </w:rPr>
      <w:tblPr/>
      <w:tcPr>
        <w:tcBorders>
          <w:top w:val="nil"/>
          <w:bottom w:val="single" w:sz="8" w:space="0" w:color="201547" w:themeColor="accent4"/>
        </w:tcBorders>
      </w:tcPr>
    </w:tblStylePr>
    <w:tblStylePr w:type="lastRow">
      <w:rPr>
        <w:b/>
        <w:bCs/>
        <w:color w:val="201547" w:themeColor="text2"/>
      </w:rPr>
      <w:tblPr/>
      <w:tcPr>
        <w:tcBorders>
          <w:top w:val="single" w:sz="8" w:space="0" w:color="201547" w:themeColor="accent4"/>
          <w:bottom w:val="single" w:sz="8" w:space="0" w:color="201547" w:themeColor="accent4"/>
        </w:tcBorders>
      </w:tcPr>
    </w:tblStylePr>
    <w:tblStylePr w:type="firstCol">
      <w:rPr>
        <w:b/>
        <w:bCs/>
      </w:rPr>
    </w:tblStylePr>
    <w:tblStylePr w:type="lastCol">
      <w:rPr>
        <w:b/>
        <w:bCs/>
      </w:rPr>
      <w:tblPr/>
      <w:tcPr>
        <w:tcBorders>
          <w:top w:val="single" w:sz="8" w:space="0" w:color="201547" w:themeColor="accent4"/>
          <w:bottom w:val="single" w:sz="8" w:space="0" w:color="201547" w:themeColor="accent4"/>
        </w:tcBorders>
      </w:tcPr>
    </w:tblStylePr>
    <w:tblStylePr w:type="band1Vert">
      <w:tblPr/>
      <w:tcPr>
        <w:shd w:val="clear" w:color="auto" w:fill="BBAFE7" w:themeFill="accent4" w:themeFillTint="3F"/>
      </w:tcPr>
    </w:tblStylePr>
    <w:tblStylePr w:type="band1Horz">
      <w:tblPr/>
      <w:tcPr>
        <w:shd w:val="clear" w:color="auto" w:fill="BBAFE7" w:themeFill="accent4" w:themeFillTint="3F"/>
      </w:tcPr>
    </w:tblStylePr>
  </w:style>
  <w:style w:type="table" w:styleId="MediumList1-Accent5">
    <w:name w:val="Medium List 1 Accent 5"/>
    <w:basedOn w:val="TableNormal"/>
    <w:uiPriority w:val="65"/>
    <w:semiHidden/>
    <w:rsid w:val="0058629F"/>
    <w:tblPr>
      <w:tblStyleRowBandSize w:val="1"/>
      <w:tblStyleColBandSize w:val="1"/>
      <w:tblBorders>
        <w:top w:val="single" w:sz="8" w:space="0" w:color="6694C1" w:themeColor="accent5"/>
        <w:bottom w:val="single" w:sz="8" w:space="0" w:color="6694C1" w:themeColor="accent5"/>
      </w:tblBorders>
    </w:tblPr>
    <w:tblStylePr w:type="firstRow">
      <w:rPr>
        <w:rFonts w:asciiTheme="majorHAnsi" w:eastAsiaTheme="majorEastAsia" w:hAnsiTheme="majorHAnsi" w:cstheme="majorBidi"/>
      </w:rPr>
      <w:tblPr/>
      <w:tcPr>
        <w:tcBorders>
          <w:top w:val="nil"/>
          <w:bottom w:val="single" w:sz="8" w:space="0" w:color="6694C1" w:themeColor="accent5"/>
        </w:tcBorders>
      </w:tcPr>
    </w:tblStylePr>
    <w:tblStylePr w:type="lastRow">
      <w:rPr>
        <w:b/>
        <w:bCs/>
        <w:color w:val="201547" w:themeColor="text2"/>
      </w:rPr>
      <w:tblPr/>
      <w:tcPr>
        <w:tcBorders>
          <w:top w:val="single" w:sz="8" w:space="0" w:color="6694C1" w:themeColor="accent5"/>
          <w:bottom w:val="single" w:sz="8" w:space="0" w:color="6694C1" w:themeColor="accent5"/>
        </w:tcBorders>
      </w:tcPr>
    </w:tblStylePr>
    <w:tblStylePr w:type="firstCol">
      <w:rPr>
        <w:b/>
        <w:bCs/>
      </w:rPr>
    </w:tblStylePr>
    <w:tblStylePr w:type="lastCol">
      <w:rPr>
        <w:b/>
        <w:bCs/>
      </w:rPr>
      <w:tblPr/>
      <w:tcPr>
        <w:tcBorders>
          <w:top w:val="single" w:sz="8" w:space="0" w:color="6694C1" w:themeColor="accent5"/>
          <w:bottom w:val="single" w:sz="8" w:space="0" w:color="6694C1" w:themeColor="accent5"/>
        </w:tcBorders>
      </w:tcPr>
    </w:tblStylePr>
    <w:tblStylePr w:type="band1Vert">
      <w:tblPr/>
      <w:tcPr>
        <w:shd w:val="clear" w:color="auto" w:fill="D9E4EF" w:themeFill="accent5" w:themeFillTint="3F"/>
      </w:tcPr>
    </w:tblStylePr>
    <w:tblStylePr w:type="band1Horz">
      <w:tblPr/>
      <w:tcPr>
        <w:shd w:val="clear" w:color="auto" w:fill="D9E4EF" w:themeFill="accent5" w:themeFillTint="3F"/>
      </w:tcPr>
    </w:tblStylePr>
  </w:style>
  <w:style w:type="table" w:styleId="MediumList1-Accent6">
    <w:name w:val="Medium List 1 Accent 6"/>
    <w:basedOn w:val="TableNormal"/>
    <w:uiPriority w:val="65"/>
    <w:semiHidden/>
    <w:rsid w:val="0058629F"/>
    <w:tblPr>
      <w:tblStyleRowBandSize w:val="1"/>
      <w:tblStyleColBandSize w:val="1"/>
      <w:tblBorders>
        <w:top w:val="single" w:sz="8" w:space="0" w:color="B8E9EC" w:themeColor="accent6"/>
        <w:bottom w:val="single" w:sz="8" w:space="0" w:color="B8E9EC" w:themeColor="accent6"/>
      </w:tblBorders>
    </w:tblPr>
    <w:tblStylePr w:type="firstRow">
      <w:rPr>
        <w:rFonts w:asciiTheme="majorHAnsi" w:eastAsiaTheme="majorEastAsia" w:hAnsiTheme="majorHAnsi" w:cstheme="majorBidi"/>
      </w:rPr>
      <w:tblPr/>
      <w:tcPr>
        <w:tcBorders>
          <w:top w:val="nil"/>
          <w:bottom w:val="single" w:sz="8" w:space="0" w:color="B8E9EC" w:themeColor="accent6"/>
        </w:tcBorders>
      </w:tcPr>
    </w:tblStylePr>
    <w:tblStylePr w:type="lastRow">
      <w:rPr>
        <w:b/>
        <w:bCs/>
        <w:color w:val="201547" w:themeColor="text2"/>
      </w:rPr>
      <w:tblPr/>
      <w:tcPr>
        <w:tcBorders>
          <w:top w:val="single" w:sz="8" w:space="0" w:color="B8E9EC" w:themeColor="accent6"/>
          <w:bottom w:val="single" w:sz="8" w:space="0" w:color="B8E9EC" w:themeColor="accent6"/>
        </w:tcBorders>
      </w:tcPr>
    </w:tblStylePr>
    <w:tblStylePr w:type="firstCol">
      <w:rPr>
        <w:b/>
        <w:bCs/>
      </w:rPr>
    </w:tblStylePr>
    <w:tblStylePr w:type="lastCol">
      <w:rPr>
        <w:b/>
        <w:bCs/>
      </w:rPr>
      <w:tblPr/>
      <w:tcPr>
        <w:tcBorders>
          <w:top w:val="single" w:sz="8" w:space="0" w:color="B8E9EC" w:themeColor="accent6"/>
          <w:bottom w:val="single" w:sz="8" w:space="0" w:color="B8E9EC" w:themeColor="accent6"/>
        </w:tcBorders>
      </w:tcPr>
    </w:tblStylePr>
    <w:tblStylePr w:type="band1Vert">
      <w:tblPr/>
      <w:tcPr>
        <w:shd w:val="clear" w:color="auto" w:fill="EDF9FA" w:themeFill="accent6" w:themeFillTint="3F"/>
      </w:tcPr>
    </w:tblStylePr>
    <w:tblStylePr w:type="band1Horz">
      <w:tblPr/>
      <w:tcPr>
        <w:shd w:val="clear" w:color="auto" w:fill="EDF9FA" w:themeFill="accent6" w:themeFillTint="3F"/>
      </w:tcPr>
    </w:tblStylePr>
  </w:style>
  <w:style w:type="table" w:styleId="MediumList2">
    <w:name w:val="Medium List 2"/>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tblBorders>
    </w:tblPr>
    <w:tblStylePr w:type="firstRow">
      <w:rPr>
        <w:sz w:val="24"/>
        <w:szCs w:val="24"/>
      </w:rPr>
      <w:tblPr/>
      <w:tcPr>
        <w:tcBorders>
          <w:top w:val="nil"/>
          <w:left w:val="nil"/>
          <w:bottom w:val="single" w:sz="24" w:space="0" w:color="232222" w:themeColor="text1"/>
          <w:right w:val="nil"/>
          <w:insideH w:val="nil"/>
          <w:insideV w:val="nil"/>
        </w:tcBorders>
        <w:shd w:val="clear" w:color="auto" w:fill="FFFFFF" w:themeFill="background1"/>
      </w:tcPr>
    </w:tblStylePr>
    <w:tblStylePr w:type="lastRow">
      <w:tblPr/>
      <w:tcPr>
        <w:tcBorders>
          <w:top w:val="single" w:sz="8" w:space="0" w:color="232222"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32222" w:themeColor="text1"/>
          <w:insideH w:val="nil"/>
          <w:insideV w:val="nil"/>
        </w:tcBorders>
        <w:shd w:val="clear" w:color="auto" w:fill="FFFFFF" w:themeFill="background1"/>
      </w:tcPr>
    </w:tblStylePr>
    <w:tblStylePr w:type="lastCol">
      <w:tblPr/>
      <w:tcPr>
        <w:tcBorders>
          <w:top w:val="nil"/>
          <w:left w:val="single" w:sz="8" w:space="0" w:color="232222"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9C7C7" w:themeFill="text1" w:themeFillTint="3F"/>
      </w:tcPr>
    </w:tblStylePr>
    <w:tblStylePr w:type="band1Horz">
      <w:tblPr/>
      <w:tcPr>
        <w:tcBorders>
          <w:top w:val="nil"/>
          <w:bottom w:val="nil"/>
          <w:insideH w:val="nil"/>
          <w:insideV w:val="nil"/>
        </w:tcBorders>
        <w:shd w:val="clear" w:color="auto" w:fill="C9C7C7"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004C97" w:themeColor="accent1"/>
        <w:left w:val="single" w:sz="8" w:space="0" w:color="004C97" w:themeColor="accent1"/>
        <w:bottom w:val="single" w:sz="8" w:space="0" w:color="004C97" w:themeColor="accent1"/>
        <w:right w:val="single" w:sz="8" w:space="0" w:color="004C97" w:themeColor="accent1"/>
      </w:tblBorders>
    </w:tblPr>
    <w:tblStylePr w:type="firstRow">
      <w:rPr>
        <w:sz w:val="24"/>
        <w:szCs w:val="24"/>
      </w:rPr>
      <w:tblPr/>
      <w:tcPr>
        <w:tcBorders>
          <w:top w:val="nil"/>
          <w:left w:val="nil"/>
          <w:bottom w:val="single" w:sz="24" w:space="0" w:color="004C97" w:themeColor="accent1"/>
          <w:right w:val="nil"/>
          <w:insideH w:val="nil"/>
          <w:insideV w:val="nil"/>
        </w:tcBorders>
        <w:shd w:val="clear" w:color="auto" w:fill="FFFFFF" w:themeFill="background1"/>
      </w:tcPr>
    </w:tblStylePr>
    <w:tblStylePr w:type="lastRow">
      <w:tblPr/>
      <w:tcPr>
        <w:tcBorders>
          <w:top w:val="single" w:sz="8" w:space="0" w:color="004C97"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4C97" w:themeColor="accent1"/>
          <w:insideH w:val="nil"/>
          <w:insideV w:val="nil"/>
        </w:tcBorders>
        <w:shd w:val="clear" w:color="auto" w:fill="FFFFFF" w:themeFill="background1"/>
      </w:tcPr>
    </w:tblStylePr>
    <w:tblStylePr w:type="lastCol">
      <w:tblPr/>
      <w:tcPr>
        <w:tcBorders>
          <w:top w:val="nil"/>
          <w:left w:val="single" w:sz="8" w:space="0" w:color="004C97"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6D2FF" w:themeFill="accent1" w:themeFillTint="3F"/>
      </w:tcPr>
    </w:tblStylePr>
    <w:tblStylePr w:type="band1Horz">
      <w:tblPr/>
      <w:tcPr>
        <w:tcBorders>
          <w:top w:val="nil"/>
          <w:bottom w:val="nil"/>
          <w:insideH w:val="nil"/>
          <w:insideV w:val="nil"/>
        </w:tcBorders>
        <w:shd w:val="clear" w:color="auto" w:fill="A6D2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88DBDF" w:themeColor="accent2"/>
        <w:left w:val="single" w:sz="8" w:space="0" w:color="88DBDF" w:themeColor="accent2"/>
        <w:bottom w:val="single" w:sz="8" w:space="0" w:color="88DBDF" w:themeColor="accent2"/>
        <w:right w:val="single" w:sz="8" w:space="0" w:color="88DBDF" w:themeColor="accent2"/>
      </w:tblBorders>
    </w:tblPr>
    <w:tblStylePr w:type="firstRow">
      <w:rPr>
        <w:sz w:val="24"/>
        <w:szCs w:val="24"/>
      </w:rPr>
      <w:tblPr/>
      <w:tcPr>
        <w:tcBorders>
          <w:top w:val="nil"/>
          <w:left w:val="nil"/>
          <w:bottom w:val="single" w:sz="24" w:space="0" w:color="88DBDF" w:themeColor="accent2"/>
          <w:right w:val="nil"/>
          <w:insideH w:val="nil"/>
          <w:insideV w:val="nil"/>
        </w:tcBorders>
        <w:shd w:val="clear" w:color="auto" w:fill="FFFFFF" w:themeFill="background1"/>
      </w:tcPr>
    </w:tblStylePr>
    <w:tblStylePr w:type="lastRow">
      <w:tblPr/>
      <w:tcPr>
        <w:tcBorders>
          <w:top w:val="single" w:sz="8" w:space="0" w:color="88DBDF"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8DBDF" w:themeColor="accent2"/>
          <w:insideH w:val="nil"/>
          <w:insideV w:val="nil"/>
        </w:tcBorders>
        <w:shd w:val="clear" w:color="auto" w:fill="FFFFFF" w:themeFill="background1"/>
      </w:tcPr>
    </w:tblStylePr>
    <w:tblStylePr w:type="lastCol">
      <w:tblPr/>
      <w:tcPr>
        <w:tcBorders>
          <w:top w:val="nil"/>
          <w:left w:val="single" w:sz="8" w:space="0" w:color="88DBDF"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1F6F7" w:themeFill="accent2" w:themeFillTint="3F"/>
      </w:tcPr>
    </w:tblStylePr>
    <w:tblStylePr w:type="band1Horz">
      <w:tblPr/>
      <w:tcPr>
        <w:tcBorders>
          <w:top w:val="nil"/>
          <w:bottom w:val="nil"/>
          <w:insideH w:val="nil"/>
          <w:insideV w:val="nil"/>
        </w:tcBorders>
        <w:shd w:val="clear" w:color="auto" w:fill="E1F6F7"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tblBorders>
    </w:tblPr>
    <w:tblStylePr w:type="firstRow">
      <w:rPr>
        <w:sz w:val="24"/>
        <w:szCs w:val="24"/>
      </w:rPr>
      <w:tblPr/>
      <w:tcPr>
        <w:tcBorders>
          <w:top w:val="nil"/>
          <w:left w:val="nil"/>
          <w:bottom w:val="single" w:sz="24" w:space="0" w:color="00B2A9" w:themeColor="accent3"/>
          <w:right w:val="nil"/>
          <w:insideH w:val="nil"/>
          <w:insideV w:val="nil"/>
        </w:tcBorders>
        <w:shd w:val="clear" w:color="auto" w:fill="FFFFFF" w:themeFill="background1"/>
      </w:tcPr>
    </w:tblStylePr>
    <w:tblStylePr w:type="lastRow">
      <w:tblPr/>
      <w:tcPr>
        <w:tcBorders>
          <w:top w:val="single" w:sz="8" w:space="0" w:color="00B2A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2A9" w:themeColor="accent3"/>
          <w:insideH w:val="nil"/>
          <w:insideV w:val="nil"/>
        </w:tcBorders>
        <w:shd w:val="clear" w:color="auto" w:fill="FFFFFF" w:themeFill="background1"/>
      </w:tcPr>
    </w:tblStylePr>
    <w:tblStylePr w:type="lastCol">
      <w:tblPr/>
      <w:tcPr>
        <w:tcBorders>
          <w:top w:val="nil"/>
          <w:left w:val="single" w:sz="8" w:space="0" w:color="00B2A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FA" w:themeFill="accent3" w:themeFillTint="3F"/>
      </w:tcPr>
    </w:tblStylePr>
    <w:tblStylePr w:type="band1Horz">
      <w:tblPr/>
      <w:tcPr>
        <w:tcBorders>
          <w:top w:val="nil"/>
          <w:bottom w:val="nil"/>
          <w:insideH w:val="nil"/>
          <w:insideV w:val="nil"/>
        </w:tcBorders>
        <w:shd w:val="clear" w:color="auto" w:fill="ACFFFA"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tblBorders>
    </w:tblPr>
    <w:tblStylePr w:type="firstRow">
      <w:rPr>
        <w:sz w:val="24"/>
        <w:szCs w:val="24"/>
      </w:rPr>
      <w:tblPr/>
      <w:tcPr>
        <w:tcBorders>
          <w:top w:val="nil"/>
          <w:left w:val="nil"/>
          <w:bottom w:val="single" w:sz="24" w:space="0" w:color="201547" w:themeColor="accent4"/>
          <w:right w:val="nil"/>
          <w:insideH w:val="nil"/>
          <w:insideV w:val="nil"/>
        </w:tcBorders>
        <w:shd w:val="clear" w:color="auto" w:fill="FFFFFF" w:themeFill="background1"/>
      </w:tcPr>
    </w:tblStylePr>
    <w:tblStylePr w:type="lastRow">
      <w:tblPr/>
      <w:tcPr>
        <w:tcBorders>
          <w:top w:val="single" w:sz="8" w:space="0" w:color="201547"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01547" w:themeColor="accent4"/>
          <w:insideH w:val="nil"/>
          <w:insideV w:val="nil"/>
        </w:tcBorders>
        <w:shd w:val="clear" w:color="auto" w:fill="FFFFFF" w:themeFill="background1"/>
      </w:tcPr>
    </w:tblStylePr>
    <w:tblStylePr w:type="lastCol">
      <w:tblPr/>
      <w:tcPr>
        <w:tcBorders>
          <w:top w:val="nil"/>
          <w:left w:val="single" w:sz="8" w:space="0" w:color="201547"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BAFE7" w:themeFill="accent4" w:themeFillTint="3F"/>
      </w:tcPr>
    </w:tblStylePr>
    <w:tblStylePr w:type="band1Horz">
      <w:tblPr/>
      <w:tcPr>
        <w:tcBorders>
          <w:top w:val="nil"/>
          <w:bottom w:val="nil"/>
          <w:insideH w:val="nil"/>
          <w:insideV w:val="nil"/>
        </w:tcBorders>
        <w:shd w:val="clear" w:color="auto" w:fill="BBAFE7"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6694C1" w:themeColor="accent5"/>
        <w:left w:val="single" w:sz="8" w:space="0" w:color="6694C1" w:themeColor="accent5"/>
        <w:bottom w:val="single" w:sz="8" w:space="0" w:color="6694C1" w:themeColor="accent5"/>
        <w:right w:val="single" w:sz="8" w:space="0" w:color="6694C1" w:themeColor="accent5"/>
      </w:tblBorders>
    </w:tblPr>
    <w:tblStylePr w:type="firstRow">
      <w:rPr>
        <w:sz w:val="24"/>
        <w:szCs w:val="24"/>
      </w:rPr>
      <w:tblPr/>
      <w:tcPr>
        <w:tcBorders>
          <w:top w:val="nil"/>
          <w:left w:val="nil"/>
          <w:bottom w:val="single" w:sz="24" w:space="0" w:color="6694C1" w:themeColor="accent5"/>
          <w:right w:val="nil"/>
          <w:insideH w:val="nil"/>
          <w:insideV w:val="nil"/>
        </w:tcBorders>
        <w:shd w:val="clear" w:color="auto" w:fill="FFFFFF" w:themeFill="background1"/>
      </w:tcPr>
    </w:tblStylePr>
    <w:tblStylePr w:type="lastRow">
      <w:tblPr/>
      <w:tcPr>
        <w:tcBorders>
          <w:top w:val="single" w:sz="8" w:space="0" w:color="6694C1"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694C1" w:themeColor="accent5"/>
          <w:insideH w:val="nil"/>
          <w:insideV w:val="nil"/>
        </w:tcBorders>
        <w:shd w:val="clear" w:color="auto" w:fill="FFFFFF" w:themeFill="background1"/>
      </w:tcPr>
    </w:tblStylePr>
    <w:tblStylePr w:type="lastCol">
      <w:tblPr/>
      <w:tcPr>
        <w:tcBorders>
          <w:top w:val="nil"/>
          <w:left w:val="single" w:sz="8" w:space="0" w:color="6694C1"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9E4EF" w:themeFill="accent5" w:themeFillTint="3F"/>
      </w:tcPr>
    </w:tblStylePr>
    <w:tblStylePr w:type="band1Horz">
      <w:tblPr/>
      <w:tcPr>
        <w:tcBorders>
          <w:top w:val="nil"/>
          <w:bottom w:val="nil"/>
          <w:insideH w:val="nil"/>
          <w:insideV w:val="nil"/>
        </w:tcBorders>
        <w:shd w:val="clear" w:color="auto" w:fill="D9E4E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B8E9EC" w:themeColor="accent6"/>
        <w:left w:val="single" w:sz="8" w:space="0" w:color="B8E9EC" w:themeColor="accent6"/>
        <w:bottom w:val="single" w:sz="8" w:space="0" w:color="B8E9EC" w:themeColor="accent6"/>
        <w:right w:val="single" w:sz="8" w:space="0" w:color="B8E9EC" w:themeColor="accent6"/>
      </w:tblBorders>
    </w:tblPr>
    <w:tblStylePr w:type="firstRow">
      <w:rPr>
        <w:sz w:val="24"/>
        <w:szCs w:val="24"/>
      </w:rPr>
      <w:tblPr/>
      <w:tcPr>
        <w:tcBorders>
          <w:top w:val="nil"/>
          <w:left w:val="nil"/>
          <w:bottom w:val="single" w:sz="24" w:space="0" w:color="B8E9EC" w:themeColor="accent6"/>
          <w:right w:val="nil"/>
          <w:insideH w:val="nil"/>
          <w:insideV w:val="nil"/>
        </w:tcBorders>
        <w:shd w:val="clear" w:color="auto" w:fill="FFFFFF" w:themeFill="background1"/>
      </w:tcPr>
    </w:tblStylePr>
    <w:tblStylePr w:type="lastRow">
      <w:tblPr/>
      <w:tcPr>
        <w:tcBorders>
          <w:top w:val="single" w:sz="8" w:space="0" w:color="B8E9EC"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8E9EC" w:themeColor="accent6"/>
          <w:insideH w:val="nil"/>
          <w:insideV w:val="nil"/>
        </w:tcBorders>
        <w:shd w:val="clear" w:color="auto" w:fill="FFFFFF" w:themeFill="background1"/>
      </w:tcPr>
    </w:tblStylePr>
    <w:tblStylePr w:type="lastCol">
      <w:tblPr/>
      <w:tcPr>
        <w:tcBorders>
          <w:top w:val="nil"/>
          <w:left w:val="single" w:sz="8" w:space="0" w:color="B8E9EC"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DF9FA" w:themeFill="accent6" w:themeFillTint="3F"/>
      </w:tcPr>
    </w:tblStylePr>
    <w:tblStylePr w:type="band1Horz">
      <w:tblPr/>
      <w:tcPr>
        <w:tcBorders>
          <w:top w:val="nil"/>
          <w:bottom w:val="nil"/>
          <w:insideH w:val="nil"/>
          <w:insideV w:val="nil"/>
        </w:tcBorders>
        <w:shd w:val="clear" w:color="auto" w:fill="EDF9FA"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58629F"/>
    <w:tblPr>
      <w:tblStyleRowBandSize w:val="1"/>
      <w:tblStyleColBandSize w:val="1"/>
      <w:tbl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single" w:sz="8" w:space="0" w:color="5B5858" w:themeColor="text1" w:themeTint="BF"/>
      </w:tblBorders>
    </w:tblPr>
    <w:tblStylePr w:type="firstRow">
      <w:pPr>
        <w:spacing w:before="0" w:after="0" w:line="240" w:lineRule="auto"/>
      </w:pPr>
      <w:rPr>
        <w:b/>
        <w:bCs/>
        <w:color w:val="FFFFFF" w:themeColor="background1"/>
      </w:rPr>
      <w:tblPr/>
      <w:tcPr>
        <w:tc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nil"/>
          <w:insideV w:val="nil"/>
        </w:tcBorders>
        <w:shd w:val="clear" w:color="auto" w:fill="232222" w:themeFill="text1"/>
      </w:tcPr>
    </w:tblStylePr>
    <w:tblStylePr w:type="lastRow">
      <w:pPr>
        <w:spacing w:before="0" w:after="0" w:line="240" w:lineRule="auto"/>
      </w:pPr>
      <w:rPr>
        <w:b/>
        <w:bCs/>
      </w:rPr>
      <w:tblPr/>
      <w:tcPr>
        <w:tcBorders>
          <w:top w:val="double" w:sz="6"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nil"/>
          <w:insideV w:val="nil"/>
        </w:tcBorders>
      </w:tcPr>
    </w:tblStylePr>
    <w:tblStylePr w:type="firstCol">
      <w:rPr>
        <w:b/>
        <w:bCs/>
      </w:rPr>
    </w:tblStylePr>
    <w:tblStylePr w:type="lastCol">
      <w:rPr>
        <w:b/>
        <w:bCs/>
      </w:rPr>
    </w:tblStylePr>
    <w:tblStylePr w:type="band1Vert">
      <w:tblPr/>
      <w:tcPr>
        <w:shd w:val="clear" w:color="auto" w:fill="C9C7C7" w:themeFill="text1" w:themeFillTint="3F"/>
      </w:tcPr>
    </w:tblStylePr>
    <w:tblStylePr w:type="band1Horz">
      <w:tblPr/>
      <w:tcPr>
        <w:tcBorders>
          <w:insideH w:val="nil"/>
          <w:insideV w:val="nil"/>
        </w:tcBorders>
        <w:shd w:val="clear" w:color="auto" w:fill="C9C7C7"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58629F"/>
    <w:tblPr>
      <w:tblStyleRowBandSize w:val="1"/>
      <w:tblStyleColBandSize w:val="1"/>
      <w:tblBorders>
        <w:top w:val="single" w:sz="8" w:space="0" w:color="0078F1" w:themeColor="accent1" w:themeTint="BF"/>
        <w:left w:val="single" w:sz="8" w:space="0" w:color="0078F1" w:themeColor="accent1" w:themeTint="BF"/>
        <w:bottom w:val="single" w:sz="8" w:space="0" w:color="0078F1" w:themeColor="accent1" w:themeTint="BF"/>
        <w:right w:val="single" w:sz="8" w:space="0" w:color="0078F1" w:themeColor="accent1" w:themeTint="BF"/>
        <w:insideH w:val="single" w:sz="8" w:space="0" w:color="0078F1" w:themeColor="accent1" w:themeTint="BF"/>
      </w:tblBorders>
    </w:tblPr>
    <w:tblStylePr w:type="firstRow">
      <w:pPr>
        <w:spacing w:before="0" w:after="0" w:line="240" w:lineRule="auto"/>
      </w:pPr>
      <w:rPr>
        <w:b/>
        <w:bCs/>
        <w:color w:val="FFFFFF" w:themeColor="background1"/>
      </w:rPr>
      <w:tblPr/>
      <w:tcPr>
        <w:tcBorders>
          <w:top w:val="single" w:sz="8" w:space="0" w:color="0078F1" w:themeColor="accent1" w:themeTint="BF"/>
          <w:left w:val="single" w:sz="8" w:space="0" w:color="0078F1" w:themeColor="accent1" w:themeTint="BF"/>
          <w:bottom w:val="single" w:sz="8" w:space="0" w:color="0078F1" w:themeColor="accent1" w:themeTint="BF"/>
          <w:right w:val="single" w:sz="8" w:space="0" w:color="0078F1" w:themeColor="accent1" w:themeTint="BF"/>
          <w:insideH w:val="nil"/>
          <w:insideV w:val="nil"/>
        </w:tcBorders>
        <w:shd w:val="clear" w:color="auto" w:fill="004C97" w:themeFill="accent1"/>
      </w:tcPr>
    </w:tblStylePr>
    <w:tblStylePr w:type="lastRow">
      <w:pPr>
        <w:spacing w:before="0" w:after="0" w:line="240" w:lineRule="auto"/>
      </w:pPr>
      <w:rPr>
        <w:b/>
        <w:bCs/>
      </w:rPr>
      <w:tblPr/>
      <w:tcPr>
        <w:tcBorders>
          <w:top w:val="double" w:sz="6" w:space="0" w:color="0078F1" w:themeColor="accent1" w:themeTint="BF"/>
          <w:left w:val="single" w:sz="8" w:space="0" w:color="0078F1" w:themeColor="accent1" w:themeTint="BF"/>
          <w:bottom w:val="single" w:sz="8" w:space="0" w:color="0078F1" w:themeColor="accent1" w:themeTint="BF"/>
          <w:right w:val="single" w:sz="8" w:space="0" w:color="0078F1" w:themeColor="accent1" w:themeTint="BF"/>
          <w:insideH w:val="nil"/>
          <w:insideV w:val="nil"/>
        </w:tcBorders>
      </w:tcPr>
    </w:tblStylePr>
    <w:tblStylePr w:type="firstCol">
      <w:rPr>
        <w:b/>
        <w:bCs/>
      </w:rPr>
    </w:tblStylePr>
    <w:tblStylePr w:type="lastCol">
      <w:rPr>
        <w:b/>
        <w:bCs/>
      </w:rPr>
    </w:tblStylePr>
    <w:tblStylePr w:type="band1Vert">
      <w:tblPr/>
      <w:tcPr>
        <w:shd w:val="clear" w:color="auto" w:fill="A6D2FF" w:themeFill="accent1" w:themeFillTint="3F"/>
      </w:tcPr>
    </w:tblStylePr>
    <w:tblStylePr w:type="band1Horz">
      <w:tblPr/>
      <w:tcPr>
        <w:tcBorders>
          <w:insideH w:val="nil"/>
          <w:insideV w:val="nil"/>
        </w:tcBorders>
        <w:shd w:val="clear" w:color="auto" w:fill="A6D2FF"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58629F"/>
    <w:tblPr>
      <w:tblStyleRowBandSize w:val="1"/>
      <w:tblStyleColBandSize w:val="1"/>
      <w:tblBorders>
        <w:top w:val="single" w:sz="8" w:space="0" w:color="A5E3E7" w:themeColor="accent2" w:themeTint="BF"/>
        <w:left w:val="single" w:sz="8" w:space="0" w:color="A5E3E7" w:themeColor="accent2" w:themeTint="BF"/>
        <w:bottom w:val="single" w:sz="8" w:space="0" w:color="A5E3E7" w:themeColor="accent2" w:themeTint="BF"/>
        <w:right w:val="single" w:sz="8" w:space="0" w:color="A5E3E7" w:themeColor="accent2" w:themeTint="BF"/>
        <w:insideH w:val="single" w:sz="8" w:space="0" w:color="A5E3E7" w:themeColor="accent2" w:themeTint="BF"/>
      </w:tblBorders>
    </w:tblPr>
    <w:tblStylePr w:type="firstRow">
      <w:pPr>
        <w:spacing w:before="0" w:after="0" w:line="240" w:lineRule="auto"/>
      </w:pPr>
      <w:rPr>
        <w:b/>
        <w:bCs/>
        <w:color w:val="FFFFFF" w:themeColor="background1"/>
      </w:rPr>
      <w:tblPr/>
      <w:tcPr>
        <w:tcBorders>
          <w:top w:val="single" w:sz="8" w:space="0" w:color="A5E3E7" w:themeColor="accent2" w:themeTint="BF"/>
          <w:left w:val="single" w:sz="8" w:space="0" w:color="A5E3E7" w:themeColor="accent2" w:themeTint="BF"/>
          <w:bottom w:val="single" w:sz="8" w:space="0" w:color="A5E3E7" w:themeColor="accent2" w:themeTint="BF"/>
          <w:right w:val="single" w:sz="8" w:space="0" w:color="A5E3E7" w:themeColor="accent2" w:themeTint="BF"/>
          <w:insideH w:val="nil"/>
          <w:insideV w:val="nil"/>
        </w:tcBorders>
        <w:shd w:val="clear" w:color="auto" w:fill="88DBDF" w:themeFill="accent2"/>
      </w:tcPr>
    </w:tblStylePr>
    <w:tblStylePr w:type="lastRow">
      <w:pPr>
        <w:spacing w:before="0" w:after="0" w:line="240" w:lineRule="auto"/>
      </w:pPr>
      <w:rPr>
        <w:b/>
        <w:bCs/>
      </w:rPr>
      <w:tblPr/>
      <w:tcPr>
        <w:tcBorders>
          <w:top w:val="double" w:sz="6" w:space="0" w:color="A5E3E7" w:themeColor="accent2" w:themeTint="BF"/>
          <w:left w:val="single" w:sz="8" w:space="0" w:color="A5E3E7" w:themeColor="accent2" w:themeTint="BF"/>
          <w:bottom w:val="single" w:sz="8" w:space="0" w:color="A5E3E7" w:themeColor="accent2" w:themeTint="BF"/>
          <w:right w:val="single" w:sz="8" w:space="0" w:color="A5E3E7" w:themeColor="accent2" w:themeTint="BF"/>
          <w:insideH w:val="nil"/>
          <w:insideV w:val="nil"/>
        </w:tcBorders>
      </w:tcPr>
    </w:tblStylePr>
    <w:tblStylePr w:type="firstCol">
      <w:rPr>
        <w:b/>
        <w:bCs/>
      </w:rPr>
    </w:tblStylePr>
    <w:tblStylePr w:type="lastCol">
      <w:rPr>
        <w:b/>
        <w:bCs/>
      </w:rPr>
    </w:tblStylePr>
    <w:tblStylePr w:type="band1Vert">
      <w:tblPr/>
      <w:tcPr>
        <w:shd w:val="clear" w:color="auto" w:fill="E1F6F7" w:themeFill="accent2" w:themeFillTint="3F"/>
      </w:tcPr>
    </w:tblStylePr>
    <w:tblStylePr w:type="band1Horz">
      <w:tblPr/>
      <w:tcPr>
        <w:tcBorders>
          <w:insideH w:val="nil"/>
          <w:insideV w:val="nil"/>
        </w:tcBorders>
        <w:shd w:val="clear" w:color="auto" w:fill="E1F6F7"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58629F"/>
    <w:tblPr>
      <w:tblStyleRowBandSize w:val="1"/>
      <w:tblStyleColBandSize w:val="1"/>
      <w:tbl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single" w:sz="8" w:space="0" w:color="06FFF2" w:themeColor="accent3" w:themeTint="BF"/>
      </w:tblBorders>
    </w:tblPr>
    <w:tblStylePr w:type="firstRow">
      <w:pPr>
        <w:spacing w:before="0" w:after="0" w:line="240" w:lineRule="auto"/>
      </w:pPr>
      <w:rPr>
        <w:b/>
        <w:bCs/>
        <w:color w:val="FFFFFF" w:themeColor="background1"/>
      </w:rPr>
      <w:tblPr/>
      <w:tcPr>
        <w:tc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nil"/>
          <w:insideV w:val="nil"/>
        </w:tcBorders>
        <w:shd w:val="clear" w:color="auto" w:fill="00B2A9" w:themeFill="accent3"/>
      </w:tcPr>
    </w:tblStylePr>
    <w:tblStylePr w:type="lastRow">
      <w:pPr>
        <w:spacing w:before="0" w:after="0" w:line="240" w:lineRule="auto"/>
      </w:pPr>
      <w:rPr>
        <w:b/>
        <w:bCs/>
      </w:rPr>
      <w:tblPr/>
      <w:tcPr>
        <w:tcBorders>
          <w:top w:val="double" w:sz="6"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nil"/>
          <w:insideV w:val="nil"/>
        </w:tcBorders>
      </w:tcPr>
    </w:tblStylePr>
    <w:tblStylePr w:type="firstCol">
      <w:rPr>
        <w:b/>
        <w:bCs/>
      </w:rPr>
    </w:tblStylePr>
    <w:tblStylePr w:type="lastCol">
      <w:rPr>
        <w:b/>
        <w:bCs/>
      </w:rPr>
    </w:tblStylePr>
    <w:tblStylePr w:type="band1Vert">
      <w:tblPr/>
      <w:tcPr>
        <w:shd w:val="clear" w:color="auto" w:fill="ACFFFA" w:themeFill="accent3" w:themeFillTint="3F"/>
      </w:tcPr>
    </w:tblStylePr>
    <w:tblStylePr w:type="band1Horz">
      <w:tblPr/>
      <w:tcPr>
        <w:tcBorders>
          <w:insideH w:val="nil"/>
          <w:insideV w:val="nil"/>
        </w:tcBorders>
        <w:shd w:val="clear" w:color="auto" w:fill="ACFFFA"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58629F"/>
    <w:tblPr>
      <w:tblStyleRowBandSize w:val="1"/>
      <w:tblStyleColBandSize w:val="1"/>
      <w:tbl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single" w:sz="8" w:space="0" w:color="442D97" w:themeColor="accent4" w:themeTint="BF"/>
      </w:tblBorders>
    </w:tblPr>
    <w:tblStylePr w:type="firstRow">
      <w:pPr>
        <w:spacing w:before="0" w:after="0" w:line="240" w:lineRule="auto"/>
      </w:pPr>
      <w:rPr>
        <w:b/>
        <w:bCs/>
        <w:color w:val="FFFFFF" w:themeColor="background1"/>
      </w:rPr>
      <w:tblPr/>
      <w:tcPr>
        <w:tc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nil"/>
          <w:insideV w:val="nil"/>
        </w:tcBorders>
        <w:shd w:val="clear" w:color="auto" w:fill="201547" w:themeFill="accent4"/>
      </w:tcPr>
    </w:tblStylePr>
    <w:tblStylePr w:type="lastRow">
      <w:pPr>
        <w:spacing w:before="0" w:after="0" w:line="240" w:lineRule="auto"/>
      </w:pPr>
      <w:rPr>
        <w:b/>
        <w:bCs/>
      </w:rPr>
      <w:tblPr/>
      <w:tcPr>
        <w:tcBorders>
          <w:top w:val="double" w:sz="6"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nil"/>
          <w:insideV w:val="nil"/>
        </w:tcBorders>
      </w:tcPr>
    </w:tblStylePr>
    <w:tblStylePr w:type="firstCol">
      <w:rPr>
        <w:b/>
        <w:bCs/>
      </w:rPr>
    </w:tblStylePr>
    <w:tblStylePr w:type="lastCol">
      <w:rPr>
        <w:b/>
        <w:bCs/>
      </w:rPr>
    </w:tblStylePr>
    <w:tblStylePr w:type="band1Vert">
      <w:tblPr/>
      <w:tcPr>
        <w:shd w:val="clear" w:color="auto" w:fill="BBAFE7" w:themeFill="accent4" w:themeFillTint="3F"/>
      </w:tcPr>
    </w:tblStylePr>
    <w:tblStylePr w:type="band1Horz">
      <w:tblPr/>
      <w:tcPr>
        <w:tcBorders>
          <w:insideH w:val="nil"/>
          <w:insideV w:val="nil"/>
        </w:tcBorders>
        <w:shd w:val="clear" w:color="auto" w:fill="BBAFE7"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58629F"/>
    <w:tblPr>
      <w:tblStyleRowBandSize w:val="1"/>
      <w:tblStyleColBandSize w:val="1"/>
      <w:tblBorders>
        <w:top w:val="single" w:sz="8" w:space="0" w:color="8CAED0" w:themeColor="accent5" w:themeTint="BF"/>
        <w:left w:val="single" w:sz="8" w:space="0" w:color="8CAED0" w:themeColor="accent5" w:themeTint="BF"/>
        <w:bottom w:val="single" w:sz="8" w:space="0" w:color="8CAED0" w:themeColor="accent5" w:themeTint="BF"/>
        <w:right w:val="single" w:sz="8" w:space="0" w:color="8CAED0" w:themeColor="accent5" w:themeTint="BF"/>
        <w:insideH w:val="single" w:sz="8" w:space="0" w:color="8CAED0" w:themeColor="accent5" w:themeTint="BF"/>
      </w:tblBorders>
    </w:tblPr>
    <w:tblStylePr w:type="firstRow">
      <w:pPr>
        <w:spacing w:before="0" w:after="0" w:line="240" w:lineRule="auto"/>
      </w:pPr>
      <w:rPr>
        <w:b/>
        <w:bCs/>
        <w:color w:val="FFFFFF" w:themeColor="background1"/>
      </w:rPr>
      <w:tblPr/>
      <w:tcPr>
        <w:tcBorders>
          <w:top w:val="single" w:sz="8" w:space="0" w:color="8CAED0" w:themeColor="accent5" w:themeTint="BF"/>
          <w:left w:val="single" w:sz="8" w:space="0" w:color="8CAED0" w:themeColor="accent5" w:themeTint="BF"/>
          <w:bottom w:val="single" w:sz="8" w:space="0" w:color="8CAED0" w:themeColor="accent5" w:themeTint="BF"/>
          <w:right w:val="single" w:sz="8" w:space="0" w:color="8CAED0" w:themeColor="accent5" w:themeTint="BF"/>
          <w:insideH w:val="nil"/>
          <w:insideV w:val="nil"/>
        </w:tcBorders>
        <w:shd w:val="clear" w:color="auto" w:fill="6694C1" w:themeFill="accent5"/>
      </w:tcPr>
    </w:tblStylePr>
    <w:tblStylePr w:type="lastRow">
      <w:pPr>
        <w:spacing w:before="0" w:after="0" w:line="240" w:lineRule="auto"/>
      </w:pPr>
      <w:rPr>
        <w:b/>
        <w:bCs/>
      </w:rPr>
      <w:tblPr/>
      <w:tcPr>
        <w:tcBorders>
          <w:top w:val="double" w:sz="6" w:space="0" w:color="8CAED0" w:themeColor="accent5" w:themeTint="BF"/>
          <w:left w:val="single" w:sz="8" w:space="0" w:color="8CAED0" w:themeColor="accent5" w:themeTint="BF"/>
          <w:bottom w:val="single" w:sz="8" w:space="0" w:color="8CAED0" w:themeColor="accent5" w:themeTint="BF"/>
          <w:right w:val="single" w:sz="8" w:space="0" w:color="8CAED0" w:themeColor="accent5" w:themeTint="BF"/>
          <w:insideH w:val="nil"/>
          <w:insideV w:val="nil"/>
        </w:tcBorders>
      </w:tcPr>
    </w:tblStylePr>
    <w:tblStylePr w:type="firstCol">
      <w:rPr>
        <w:b/>
        <w:bCs/>
      </w:rPr>
    </w:tblStylePr>
    <w:tblStylePr w:type="lastCol">
      <w:rPr>
        <w:b/>
        <w:bCs/>
      </w:rPr>
    </w:tblStylePr>
    <w:tblStylePr w:type="band1Vert">
      <w:tblPr/>
      <w:tcPr>
        <w:shd w:val="clear" w:color="auto" w:fill="D9E4EF" w:themeFill="accent5" w:themeFillTint="3F"/>
      </w:tcPr>
    </w:tblStylePr>
    <w:tblStylePr w:type="band1Horz">
      <w:tblPr/>
      <w:tcPr>
        <w:tcBorders>
          <w:insideH w:val="nil"/>
          <w:insideV w:val="nil"/>
        </w:tcBorders>
        <w:shd w:val="clear" w:color="auto" w:fill="D9E4EF"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58629F"/>
    <w:tblPr>
      <w:tblStyleRowBandSize w:val="1"/>
      <w:tblStyleColBandSize w:val="1"/>
      <w:tblBorders>
        <w:top w:val="single" w:sz="8" w:space="0" w:color="C9EEF0" w:themeColor="accent6" w:themeTint="BF"/>
        <w:left w:val="single" w:sz="8" w:space="0" w:color="C9EEF0" w:themeColor="accent6" w:themeTint="BF"/>
        <w:bottom w:val="single" w:sz="8" w:space="0" w:color="C9EEF0" w:themeColor="accent6" w:themeTint="BF"/>
        <w:right w:val="single" w:sz="8" w:space="0" w:color="C9EEF0" w:themeColor="accent6" w:themeTint="BF"/>
        <w:insideH w:val="single" w:sz="8" w:space="0" w:color="C9EEF0" w:themeColor="accent6" w:themeTint="BF"/>
      </w:tblBorders>
    </w:tblPr>
    <w:tblStylePr w:type="firstRow">
      <w:pPr>
        <w:spacing w:before="0" w:after="0" w:line="240" w:lineRule="auto"/>
      </w:pPr>
      <w:rPr>
        <w:b/>
        <w:bCs/>
        <w:color w:val="FFFFFF" w:themeColor="background1"/>
      </w:rPr>
      <w:tblPr/>
      <w:tcPr>
        <w:tcBorders>
          <w:top w:val="single" w:sz="8" w:space="0" w:color="C9EEF0" w:themeColor="accent6" w:themeTint="BF"/>
          <w:left w:val="single" w:sz="8" w:space="0" w:color="C9EEF0" w:themeColor="accent6" w:themeTint="BF"/>
          <w:bottom w:val="single" w:sz="8" w:space="0" w:color="C9EEF0" w:themeColor="accent6" w:themeTint="BF"/>
          <w:right w:val="single" w:sz="8" w:space="0" w:color="C9EEF0" w:themeColor="accent6" w:themeTint="BF"/>
          <w:insideH w:val="nil"/>
          <w:insideV w:val="nil"/>
        </w:tcBorders>
        <w:shd w:val="clear" w:color="auto" w:fill="B8E9EC" w:themeFill="accent6"/>
      </w:tcPr>
    </w:tblStylePr>
    <w:tblStylePr w:type="lastRow">
      <w:pPr>
        <w:spacing w:before="0" w:after="0" w:line="240" w:lineRule="auto"/>
      </w:pPr>
      <w:rPr>
        <w:b/>
        <w:bCs/>
      </w:rPr>
      <w:tblPr/>
      <w:tcPr>
        <w:tcBorders>
          <w:top w:val="double" w:sz="6" w:space="0" w:color="C9EEF0" w:themeColor="accent6" w:themeTint="BF"/>
          <w:left w:val="single" w:sz="8" w:space="0" w:color="C9EEF0" w:themeColor="accent6" w:themeTint="BF"/>
          <w:bottom w:val="single" w:sz="8" w:space="0" w:color="C9EEF0" w:themeColor="accent6" w:themeTint="BF"/>
          <w:right w:val="single" w:sz="8" w:space="0" w:color="C9EEF0" w:themeColor="accent6" w:themeTint="BF"/>
          <w:insideH w:val="nil"/>
          <w:insideV w:val="nil"/>
        </w:tcBorders>
      </w:tcPr>
    </w:tblStylePr>
    <w:tblStylePr w:type="firstCol">
      <w:rPr>
        <w:b/>
        <w:bCs/>
      </w:rPr>
    </w:tblStylePr>
    <w:tblStylePr w:type="lastCol">
      <w:rPr>
        <w:b/>
        <w:bCs/>
      </w:rPr>
    </w:tblStylePr>
    <w:tblStylePr w:type="band1Vert">
      <w:tblPr/>
      <w:tcPr>
        <w:shd w:val="clear" w:color="auto" w:fill="EDF9FA" w:themeFill="accent6" w:themeFillTint="3F"/>
      </w:tcPr>
    </w:tblStylePr>
    <w:tblStylePr w:type="band1Horz">
      <w:tblPr/>
      <w:tcPr>
        <w:tcBorders>
          <w:insideH w:val="nil"/>
          <w:insideV w:val="nil"/>
        </w:tcBorders>
        <w:shd w:val="clear" w:color="auto" w:fill="EDF9FA"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32222"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32222" w:themeFill="text1"/>
      </w:tcPr>
    </w:tblStylePr>
    <w:tblStylePr w:type="lastCol">
      <w:rPr>
        <w:b/>
        <w:bCs/>
        <w:color w:val="FFFFFF" w:themeColor="background1"/>
      </w:rPr>
      <w:tblPr/>
      <w:tcPr>
        <w:tcBorders>
          <w:left w:val="nil"/>
          <w:right w:val="nil"/>
          <w:insideH w:val="nil"/>
          <w:insideV w:val="nil"/>
        </w:tcBorders>
        <w:shd w:val="clear" w:color="auto" w:fill="232222"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4C97"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4C97" w:themeFill="accent1"/>
      </w:tcPr>
    </w:tblStylePr>
    <w:tblStylePr w:type="lastCol">
      <w:rPr>
        <w:b/>
        <w:bCs/>
        <w:color w:val="FFFFFF" w:themeColor="background1"/>
      </w:rPr>
      <w:tblPr/>
      <w:tcPr>
        <w:tcBorders>
          <w:left w:val="nil"/>
          <w:right w:val="nil"/>
          <w:insideH w:val="nil"/>
          <w:insideV w:val="nil"/>
        </w:tcBorders>
        <w:shd w:val="clear" w:color="auto" w:fill="004C97"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8DBDF"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8DBDF" w:themeFill="accent2"/>
      </w:tcPr>
    </w:tblStylePr>
    <w:tblStylePr w:type="lastCol">
      <w:rPr>
        <w:b/>
        <w:bCs/>
        <w:color w:val="FFFFFF" w:themeColor="background1"/>
      </w:rPr>
      <w:tblPr/>
      <w:tcPr>
        <w:tcBorders>
          <w:left w:val="nil"/>
          <w:right w:val="nil"/>
          <w:insideH w:val="nil"/>
          <w:insideV w:val="nil"/>
        </w:tcBorders>
        <w:shd w:val="clear" w:color="auto" w:fill="88DBDF"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2A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B2A9" w:themeFill="accent3"/>
      </w:tcPr>
    </w:tblStylePr>
    <w:tblStylePr w:type="lastCol">
      <w:rPr>
        <w:b/>
        <w:bCs/>
        <w:color w:val="FFFFFF" w:themeColor="background1"/>
      </w:rPr>
      <w:tblPr/>
      <w:tcPr>
        <w:tcBorders>
          <w:left w:val="nil"/>
          <w:right w:val="nil"/>
          <w:insideH w:val="nil"/>
          <w:insideV w:val="nil"/>
        </w:tcBorders>
        <w:shd w:val="clear" w:color="auto" w:fill="00B2A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01547"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01547" w:themeFill="accent4"/>
      </w:tcPr>
    </w:tblStylePr>
    <w:tblStylePr w:type="lastCol">
      <w:rPr>
        <w:b/>
        <w:bCs/>
        <w:color w:val="FFFFFF" w:themeColor="background1"/>
      </w:rPr>
      <w:tblPr/>
      <w:tcPr>
        <w:tcBorders>
          <w:left w:val="nil"/>
          <w:right w:val="nil"/>
          <w:insideH w:val="nil"/>
          <w:insideV w:val="nil"/>
        </w:tcBorders>
        <w:shd w:val="clear" w:color="auto" w:fill="201547"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694C1"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6694C1" w:themeFill="accent5"/>
      </w:tcPr>
    </w:tblStylePr>
    <w:tblStylePr w:type="lastCol">
      <w:rPr>
        <w:b/>
        <w:bCs/>
        <w:color w:val="FFFFFF" w:themeColor="background1"/>
      </w:rPr>
      <w:tblPr/>
      <w:tcPr>
        <w:tcBorders>
          <w:left w:val="nil"/>
          <w:right w:val="nil"/>
          <w:insideH w:val="nil"/>
          <w:insideV w:val="nil"/>
        </w:tcBorders>
        <w:shd w:val="clear" w:color="auto" w:fill="6694C1"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8E9EC"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8E9EC" w:themeFill="accent6"/>
      </w:tcPr>
    </w:tblStylePr>
    <w:tblStylePr w:type="lastCol">
      <w:rPr>
        <w:b/>
        <w:bCs/>
        <w:color w:val="FFFFFF" w:themeColor="background1"/>
      </w:rPr>
      <w:tblPr/>
      <w:tcPr>
        <w:tcBorders>
          <w:left w:val="nil"/>
          <w:right w:val="nil"/>
          <w:insideH w:val="nil"/>
          <w:insideV w:val="nil"/>
        </w:tcBorders>
        <w:shd w:val="clear" w:color="auto" w:fill="B8E9EC"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rsid w:val="0058629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58629F"/>
    <w:tblPr>
      <w:tblStyleRowBandSize w:val="1"/>
      <w:tblStyleColBandSize w:val="1"/>
    </w:tblPr>
    <w:tblStylePr w:type="firstRow">
      <w:rPr>
        <w:b/>
        <w:bCs/>
        <w:caps/>
      </w:rPr>
      <w:tblPr/>
      <w:tcPr>
        <w:tcBorders>
          <w:bottom w:val="single" w:sz="4" w:space="0" w:color="918E8E"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18E8E"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58629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58629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18E8E"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18E8E"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18E8E"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18E8E"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3Deffects1">
    <w:name w:val="Table 3D effects 1"/>
    <w:basedOn w:val="TableNormal"/>
    <w:semiHidden/>
    <w:rsid w:val="0058629F"/>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58629F"/>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58629F"/>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58629F"/>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58629F"/>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58629F"/>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58629F"/>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58629F"/>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58629F"/>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58629F"/>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58629F"/>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58629F"/>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58629F"/>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58629F"/>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58629F"/>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58629F"/>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58629F"/>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rsid w:val="0058629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58629F"/>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58629F"/>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58629F"/>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58629F"/>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58629F"/>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58629F"/>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58629F"/>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
    <w:name w:val="Table Grid"/>
    <w:aliases w:val="UDP Grid,Advisian new 5,E&amp;P Style 5,E&amp;P Table Style 4"/>
    <w:basedOn w:val="TableNormal"/>
    <w:uiPriority w:val="39"/>
    <w:rsid w:val="00F51D1A"/>
    <w:pPr>
      <w:spacing w:before="70" w:after="70"/>
    </w:pPr>
    <w:tblPr>
      <w:tblStyleColBandSize w:val="1"/>
      <w:tblBorders>
        <w:top w:val="single" w:sz="4" w:space="0" w:color="auto"/>
        <w:bottom w:val="single" w:sz="4" w:space="0" w:color="auto"/>
        <w:insideH w:val="single" w:sz="4" w:space="0" w:color="auto"/>
      </w:tblBorders>
      <w:tblCellMar>
        <w:left w:w="113" w:type="dxa"/>
        <w:right w:w="113" w:type="dxa"/>
      </w:tblCellMar>
    </w:tblPr>
    <w:tblStylePr w:type="firstRow">
      <w:pPr>
        <w:keepNext/>
        <w:wordWrap/>
      </w:pPr>
      <w:rPr>
        <w:color w:val="FFFFFF"/>
      </w:rPr>
      <w:tblPr/>
      <w:tcPr>
        <w:tcBorders>
          <w:top w:val="nil"/>
          <w:left w:val="nil"/>
          <w:bottom w:val="nil"/>
          <w:right w:val="nil"/>
          <w:insideH w:val="nil"/>
          <w:insideV w:val="nil"/>
        </w:tcBorders>
        <w:shd w:val="clear" w:color="auto" w:fill="004C97" w:themeFill="accent1"/>
      </w:tcPr>
    </w:tblStylePr>
    <w:tblStylePr w:type="firstCol">
      <w:tblPr/>
      <w:tcPr>
        <w:shd w:val="clear" w:color="auto" w:fill="FFFFFF" w:themeFill="background1"/>
      </w:tcPr>
    </w:tblStylePr>
    <w:tblStylePr w:type="band1Vert">
      <w:tblPr/>
      <w:tcPr>
        <w:shd w:val="clear" w:color="auto" w:fill="CCDBEA" w:themeFill="background2"/>
      </w:tcPr>
    </w:tblStylePr>
  </w:style>
  <w:style w:type="table" w:styleId="TableList1">
    <w:name w:val="Table List 1"/>
    <w:basedOn w:val="TableNormal"/>
    <w:semiHidden/>
    <w:rsid w:val="0058629F"/>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58629F"/>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58629F"/>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58629F"/>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58629F"/>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58629F"/>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58629F"/>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58629F"/>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58629F"/>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58629F"/>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58629F"/>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58629F"/>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5862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58629F"/>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58629F"/>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58629F"/>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PlainText">
    <w:name w:val="Plain Text"/>
    <w:basedOn w:val="Normal"/>
    <w:link w:val="PlainTextChar"/>
    <w:uiPriority w:val="99"/>
    <w:unhideWhenUsed/>
    <w:rsid w:val="0058629F"/>
    <w:rPr>
      <w:rFonts w:ascii="Calibri" w:hAnsi="Calibri"/>
      <w:szCs w:val="21"/>
    </w:rPr>
  </w:style>
  <w:style w:type="character" w:customStyle="1" w:styleId="PlainTextChar">
    <w:name w:val="Plain Text Char"/>
    <w:basedOn w:val="DefaultParagraphFont"/>
    <w:link w:val="PlainText"/>
    <w:uiPriority w:val="99"/>
    <w:rsid w:val="0058629F"/>
    <w:rPr>
      <w:rFonts w:ascii="Calibri" w:hAnsi="Calibri"/>
      <w:color w:val="auto"/>
      <w:szCs w:val="21"/>
    </w:rPr>
  </w:style>
  <w:style w:type="character" w:customStyle="1" w:styleId="FootnoteTextChar">
    <w:name w:val="Footnote Text Char"/>
    <w:aliases w:val="Char5 Char,Char Char, Char5 Char,Footnote Text Char1 Char,Footnote Text Char Char Char, Char10 Char Char Char, Char10 Char Char1 Char1 Char,Footnote Text Char Char1 Char,Char10 Char Char,Char Char Char Char Char,Char3 Char,RSK-FT Char"/>
    <w:basedOn w:val="DefaultParagraphFont"/>
    <w:link w:val="FootnoteText"/>
    <w:uiPriority w:val="99"/>
    <w:rsid w:val="005D764F"/>
    <w:rPr>
      <w:sz w:val="18"/>
    </w:rPr>
  </w:style>
  <w:style w:type="character" w:customStyle="1" w:styleId="TOC1Char">
    <w:name w:val="TOC 1 Char"/>
    <w:basedOn w:val="DefaultParagraphFont"/>
    <w:link w:val="TOC1"/>
    <w:uiPriority w:val="39"/>
    <w:rsid w:val="002B63C6"/>
    <w:rPr>
      <w:rFonts w:cs="Arial"/>
      <w:b/>
      <w:noProof/>
      <w:color w:val="201547" w:themeColor="text2"/>
      <w:sz w:val="24"/>
      <w:szCs w:val="24"/>
    </w:rPr>
  </w:style>
  <w:style w:type="paragraph" w:styleId="EndnoteText">
    <w:name w:val="endnote text"/>
    <w:basedOn w:val="Normal"/>
    <w:link w:val="EndnoteTextChar"/>
    <w:semiHidden/>
    <w:unhideWhenUsed/>
    <w:rsid w:val="00CD157B"/>
    <w:pPr>
      <w:tabs>
        <w:tab w:val="left" w:pos="567"/>
      </w:tabs>
      <w:spacing w:before="60" w:after="0"/>
      <w:ind w:left="567" w:hanging="567"/>
    </w:pPr>
  </w:style>
  <w:style w:type="paragraph" w:styleId="ListContinue4">
    <w:name w:val="List Continue 4"/>
    <w:basedOn w:val="Normal"/>
    <w:semiHidden/>
    <w:rsid w:val="00B45695"/>
    <w:pPr>
      <w:spacing w:after="100"/>
      <w:ind w:left="1701"/>
    </w:pPr>
  </w:style>
  <w:style w:type="paragraph" w:styleId="ListContinue5">
    <w:name w:val="List Continue 5"/>
    <w:basedOn w:val="Normal"/>
    <w:semiHidden/>
    <w:rsid w:val="00B45695"/>
    <w:pPr>
      <w:spacing w:after="100"/>
      <w:ind w:left="2041"/>
    </w:pPr>
  </w:style>
  <w:style w:type="paragraph" w:customStyle="1" w:styleId="xWebCoverPage">
    <w:name w:val="xWebCoverPage"/>
    <w:basedOn w:val="Normal"/>
    <w:semiHidden/>
    <w:qFormat/>
    <w:rsid w:val="00783D00"/>
    <w:pPr>
      <w:spacing w:before="0" w:after="0" w:line="240" w:lineRule="auto"/>
    </w:pPr>
    <w:rPr>
      <w:rFonts w:cs="Arial"/>
      <w:b/>
      <w:color w:val="201547" w:themeColor="text2"/>
      <w:spacing w:val="-4"/>
      <w:kern w:val="28"/>
      <w:sz w:val="28"/>
      <w:szCs w:val="42"/>
    </w:rPr>
  </w:style>
  <w:style w:type="paragraph" w:customStyle="1" w:styleId="xPartnerLogo">
    <w:name w:val="xPartnerLogo"/>
    <w:basedOn w:val="NoSpacing"/>
    <w:uiPriority w:val="99"/>
    <w:rsid w:val="00C33BEC"/>
    <w:pPr>
      <w:framePr w:h="709" w:hRule="exact" w:wrap="around" w:vAnchor="page" w:hAnchor="page" w:x="568" w:y="15452"/>
    </w:pPr>
  </w:style>
  <w:style w:type="paragraph" w:customStyle="1" w:styleId="xVicLogo">
    <w:name w:val="xVicLogo"/>
    <w:basedOn w:val="NoSpacing"/>
    <w:uiPriority w:val="99"/>
    <w:rsid w:val="00C33BEC"/>
    <w:pPr>
      <w:framePr w:wrap="around" w:vAnchor="page" w:hAnchor="page" w:x="8602" w:y="15452"/>
    </w:pPr>
  </w:style>
  <w:style w:type="numbering" w:customStyle="1" w:styleId="MyHeadings">
    <w:name w:val="MyHeadings"/>
    <w:uiPriority w:val="99"/>
    <w:rsid w:val="0058629F"/>
    <w:pPr>
      <w:numPr>
        <w:numId w:val="5"/>
      </w:numPr>
    </w:pPr>
  </w:style>
  <w:style w:type="character" w:customStyle="1" w:styleId="EndnoteTextChar">
    <w:name w:val="Endnote Text Char"/>
    <w:basedOn w:val="DefaultParagraphFont"/>
    <w:link w:val="EndnoteText"/>
    <w:semiHidden/>
    <w:rsid w:val="00CD157B"/>
  </w:style>
  <w:style w:type="character" w:styleId="EndnoteReference">
    <w:name w:val="endnote reference"/>
    <w:basedOn w:val="DefaultParagraphFont"/>
    <w:unhideWhenUsed/>
    <w:rsid w:val="00CD157B"/>
    <w:rPr>
      <w:vertAlign w:val="superscript"/>
    </w:rPr>
  </w:style>
  <w:style w:type="paragraph" w:customStyle="1" w:styleId="SectionSubtitle">
    <w:name w:val="Section Subtitle"/>
    <w:basedOn w:val="Normal"/>
    <w:uiPriority w:val="3"/>
    <w:rsid w:val="002F5718"/>
    <w:pPr>
      <w:shd w:val="clear" w:color="auto" w:fill="201547" w:themeFill="text2"/>
      <w:spacing w:before="0" w:after="0" w:line="276" w:lineRule="auto"/>
    </w:pPr>
    <w:rPr>
      <w:color w:val="FFFFFF" w:themeColor="background1"/>
      <w:sz w:val="24"/>
    </w:rPr>
  </w:style>
  <w:style w:type="paragraph" w:customStyle="1" w:styleId="IntroFeatureText">
    <w:name w:val="Intro/Feature Text"/>
    <w:basedOn w:val="Normal"/>
    <w:next w:val="Normal"/>
    <w:qFormat/>
    <w:rsid w:val="00801AD3"/>
    <w:pPr>
      <w:spacing w:before="160" w:after="160"/>
    </w:pPr>
    <w:rPr>
      <w:color w:val="201547" w:themeColor="text2"/>
      <w:spacing w:val="-1"/>
      <w:sz w:val="24"/>
      <w:szCs w:val="24"/>
    </w:rPr>
  </w:style>
  <w:style w:type="paragraph" w:styleId="ListNumber4">
    <w:name w:val="List Number 4"/>
    <w:basedOn w:val="Normal"/>
    <w:unhideWhenUsed/>
    <w:rsid w:val="00B45695"/>
    <w:pPr>
      <w:numPr>
        <w:ilvl w:val="3"/>
        <w:numId w:val="8"/>
      </w:numPr>
    </w:pPr>
  </w:style>
  <w:style w:type="paragraph" w:customStyle="1" w:styleId="Source">
    <w:name w:val="Source"/>
    <w:basedOn w:val="Normal"/>
    <w:next w:val="BodyText"/>
    <w:qFormat/>
    <w:rsid w:val="00853A46"/>
    <w:pPr>
      <w:numPr>
        <w:numId w:val="9"/>
      </w:numPr>
      <w:spacing w:before="60" w:after="60" w:line="240" w:lineRule="auto"/>
    </w:pPr>
    <w:rPr>
      <w:rFonts w:cs="Calibri"/>
      <w:sz w:val="18"/>
      <w:szCs w:val="17"/>
    </w:rPr>
  </w:style>
  <w:style w:type="paragraph" w:styleId="ListNumber5">
    <w:name w:val="List Number 5"/>
    <w:basedOn w:val="Normal"/>
    <w:unhideWhenUsed/>
    <w:rsid w:val="00B45695"/>
    <w:pPr>
      <w:numPr>
        <w:ilvl w:val="4"/>
        <w:numId w:val="8"/>
      </w:numPr>
    </w:pPr>
  </w:style>
  <w:style w:type="paragraph" w:styleId="Subtitle">
    <w:name w:val="Subtitle"/>
    <w:basedOn w:val="Normal"/>
    <w:next w:val="Normal"/>
    <w:link w:val="SubtitleChar"/>
    <w:uiPriority w:val="11"/>
    <w:qFormat/>
    <w:rsid w:val="00576577"/>
    <w:pPr>
      <w:numPr>
        <w:ilvl w:val="1"/>
      </w:numPr>
      <w:spacing w:before="200" w:after="0" w:line="240" w:lineRule="auto"/>
      <w:contextualSpacing/>
    </w:pPr>
    <w:rPr>
      <w:rFonts w:eastAsiaTheme="minorEastAsia" w:cstheme="minorBidi"/>
      <w:color w:val="201547" w:themeColor="text2"/>
      <w:sz w:val="24"/>
      <w:szCs w:val="18"/>
    </w:rPr>
  </w:style>
  <w:style w:type="character" w:customStyle="1" w:styleId="SubtitleChar">
    <w:name w:val="Subtitle Char"/>
    <w:basedOn w:val="DefaultParagraphFont"/>
    <w:link w:val="Subtitle"/>
    <w:uiPriority w:val="11"/>
    <w:rsid w:val="00576577"/>
    <w:rPr>
      <w:rFonts w:eastAsiaTheme="minorEastAsia" w:cstheme="minorBidi"/>
      <w:color w:val="201547" w:themeColor="text2"/>
      <w:sz w:val="24"/>
      <w:szCs w:val="18"/>
    </w:rPr>
  </w:style>
  <w:style w:type="paragraph" w:customStyle="1" w:styleId="xProjectBar">
    <w:name w:val="xProjectBar"/>
    <w:basedOn w:val="Normal"/>
    <w:next w:val="Normal"/>
    <w:uiPriority w:val="99"/>
    <w:rsid w:val="00C33BEC"/>
    <w:pPr>
      <w:framePr w:w="11907" w:h="697" w:hRule="exact" w:wrap="around" w:vAnchor="page" w:hAnchor="page" w:y="3511" w:anchorLock="1"/>
      <w:shd w:val="clear" w:color="auto" w:fill="201547" w:themeFill="text2"/>
      <w:spacing w:before="190" w:after="160"/>
      <w:ind w:left="851" w:right="851"/>
      <w:contextualSpacing/>
    </w:pPr>
    <w:rPr>
      <w:color w:val="FFFFFF" w:themeColor="background1"/>
      <w:spacing w:val="-1"/>
      <w:sz w:val="28"/>
    </w:rPr>
  </w:style>
  <w:style w:type="paragraph" w:customStyle="1" w:styleId="TableTextLeft">
    <w:name w:val="Table Text Left"/>
    <w:basedOn w:val="Normal"/>
    <w:link w:val="TableTextLeftChar"/>
    <w:qFormat/>
    <w:rsid w:val="00222F2D"/>
    <w:pPr>
      <w:spacing w:before="70" w:after="70"/>
    </w:pPr>
  </w:style>
  <w:style w:type="character" w:styleId="PlaceholderText">
    <w:name w:val="Placeholder Text"/>
    <w:basedOn w:val="DefaultParagraphFont"/>
    <w:uiPriority w:val="99"/>
    <w:rsid w:val="009F387A"/>
    <w:rPr>
      <w:color w:val="auto"/>
      <w:bdr w:val="none" w:sz="0" w:space="0" w:color="auto"/>
      <w:shd w:val="clear" w:color="auto" w:fill="FFFF00"/>
    </w:rPr>
  </w:style>
  <w:style w:type="paragraph" w:styleId="NoteHeading">
    <w:name w:val="Note Heading"/>
    <w:basedOn w:val="Normal"/>
    <w:next w:val="NoteNumbered"/>
    <w:link w:val="NoteHeadingChar"/>
    <w:qFormat/>
    <w:rsid w:val="00B954AC"/>
    <w:pPr>
      <w:spacing w:after="60" w:line="240" w:lineRule="auto"/>
    </w:pPr>
    <w:rPr>
      <w:rFonts w:cs="Calibri"/>
      <w:sz w:val="18"/>
      <w:szCs w:val="19"/>
    </w:rPr>
  </w:style>
  <w:style w:type="paragraph" w:styleId="Caption">
    <w:name w:val="caption"/>
    <w:basedOn w:val="Normal"/>
    <w:next w:val="BodyText"/>
    <w:qFormat/>
    <w:rsid w:val="00956CB2"/>
    <w:pPr>
      <w:keepNext/>
      <w:tabs>
        <w:tab w:val="left" w:pos="1191"/>
      </w:tabs>
      <w:spacing w:before="240"/>
    </w:pPr>
    <w:rPr>
      <w:b/>
      <w:szCs w:val="21"/>
      <w14:numSpacing w14:val="tabular"/>
    </w:rPr>
  </w:style>
  <w:style w:type="paragraph" w:styleId="NormalWeb">
    <w:name w:val="Normal (Web)"/>
    <w:basedOn w:val="Normal"/>
    <w:uiPriority w:val="99"/>
    <w:rsid w:val="005F5B06"/>
    <w:pPr>
      <w:spacing w:before="0" w:after="0"/>
    </w:pPr>
    <w:rPr>
      <w:szCs w:val="24"/>
    </w:rPr>
  </w:style>
  <w:style w:type="paragraph" w:customStyle="1" w:styleId="TableTextBullet2">
    <w:name w:val="Table Text Bullet 2"/>
    <w:basedOn w:val="TableTextBullet"/>
    <w:qFormat/>
    <w:rsid w:val="005A5C3A"/>
    <w:pPr>
      <w:numPr>
        <w:ilvl w:val="1"/>
      </w:numPr>
    </w:pPr>
  </w:style>
  <w:style w:type="paragraph" w:styleId="TOC3">
    <w:name w:val="toc 3"/>
    <w:basedOn w:val="Normal"/>
    <w:next w:val="Normal"/>
    <w:uiPriority w:val="39"/>
    <w:rsid w:val="006816E7"/>
    <w:pPr>
      <w:tabs>
        <w:tab w:val="right" w:leader="dot" w:pos="9582"/>
      </w:tabs>
      <w:spacing w:before="60" w:after="60"/>
      <w:ind w:left="227" w:right="851"/>
    </w:pPr>
    <w:rPr>
      <w:rFonts w:eastAsiaTheme="minorEastAsia" w:cstheme="minorBidi"/>
      <w:b/>
      <w:noProof/>
      <w:color w:val="232222"/>
    </w:rPr>
  </w:style>
  <w:style w:type="paragraph" w:customStyle="1" w:styleId="TableTextLeftBold">
    <w:name w:val="Table Text Left Bold"/>
    <w:basedOn w:val="TableTextLeft"/>
    <w:qFormat/>
    <w:rsid w:val="0005578D"/>
    <w:rPr>
      <w:b/>
    </w:rPr>
  </w:style>
  <w:style w:type="character" w:styleId="UnresolvedMention">
    <w:name w:val="Unresolved Mention"/>
    <w:basedOn w:val="DefaultParagraphFont"/>
    <w:uiPriority w:val="99"/>
    <w:unhideWhenUsed/>
    <w:rsid w:val="00E04BF5"/>
    <w:rPr>
      <w:color w:val="605E5C"/>
      <w:shd w:val="clear" w:color="auto" w:fill="E1DFDD"/>
    </w:rPr>
  </w:style>
  <w:style w:type="paragraph" w:customStyle="1" w:styleId="TableTextBullet">
    <w:name w:val="Table Text Bullet"/>
    <w:basedOn w:val="TableTextLeft"/>
    <w:qFormat/>
    <w:rsid w:val="008B2799"/>
    <w:pPr>
      <w:numPr>
        <w:numId w:val="11"/>
      </w:numPr>
    </w:pPr>
  </w:style>
  <w:style w:type="character" w:customStyle="1" w:styleId="NoteHeadingChar">
    <w:name w:val="Note Heading Char"/>
    <w:basedOn w:val="DefaultParagraphFont"/>
    <w:link w:val="NoteHeading"/>
    <w:rsid w:val="00B954AC"/>
    <w:rPr>
      <w:rFonts w:cs="Calibri"/>
      <w:sz w:val="18"/>
      <w:szCs w:val="19"/>
    </w:rPr>
  </w:style>
  <w:style w:type="paragraph" w:customStyle="1" w:styleId="NoteNumbered">
    <w:name w:val="Note Numbered"/>
    <w:basedOn w:val="Normal"/>
    <w:qFormat/>
    <w:rsid w:val="00F72BF1"/>
    <w:pPr>
      <w:numPr>
        <w:numId w:val="10"/>
      </w:numPr>
      <w:spacing w:before="60" w:after="100" w:afterAutospacing="1"/>
      <w:contextualSpacing/>
    </w:pPr>
    <w:rPr>
      <w:rFonts w:cs="Calibri"/>
      <w:sz w:val="18"/>
      <w:szCs w:val="17"/>
    </w:rPr>
  </w:style>
  <w:style w:type="paragraph" w:styleId="ListParagraph">
    <w:name w:val="List Paragraph"/>
    <w:aliases w:val="Bullet List,number List,Bullet list,Bullet 1,table text,bullets"/>
    <w:basedOn w:val="Normal"/>
    <w:link w:val="ListParagraphChar"/>
    <w:uiPriority w:val="34"/>
    <w:qFormat/>
    <w:rsid w:val="00CF04CB"/>
    <w:pPr>
      <w:numPr>
        <w:numId w:val="28"/>
      </w:numPr>
      <w:tabs>
        <w:tab w:val="center" w:pos="4513"/>
        <w:tab w:val="right" w:pos="9026"/>
      </w:tabs>
      <w:adjustRightInd w:val="0"/>
      <w:spacing w:before="0" w:after="0" w:line="276" w:lineRule="auto"/>
      <w:ind w:left="340" w:hanging="227"/>
      <w:contextualSpacing/>
    </w:pPr>
    <w:rPr>
      <w:rFonts w:ascii="Arial" w:hAnsi="Arial"/>
      <w:b/>
      <w:color w:val="111111" w:themeColor="text1" w:themeShade="80"/>
      <w:u w:val="single"/>
    </w:rPr>
  </w:style>
  <w:style w:type="character" w:styleId="Strong">
    <w:name w:val="Strong"/>
    <w:basedOn w:val="DefaultParagraphFont"/>
    <w:uiPriority w:val="22"/>
    <w:rsid w:val="007577B1"/>
    <w:rPr>
      <w:b/>
      <w:bCs/>
    </w:rPr>
  </w:style>
  <w:style w:type="paragraph" w:customStyle="1" w:styleId="TableTextCentre">
    <w:name w:val="Table Text Centre"/>
    <w:basedOn w:val="TableTextLeft"/>
    <w:qFormat/>
    <w:rsid w:val="00F84D40"/>
    <w:pPr>
      <w:jc w:val="center"/>
    </w:pPr>
  </w:style>
  <w:style w:type="paragraph" w:customStyle="1" w:styleId="TableTextRight">
    <w:name w:val="Table Text Right"/>
    <w:basedOn w:val="TableTextCentre"/>
    <w:qFormat/>
    <w:rsid w:val="00F84D40"/>
    <w:pPr>
      <w:jc w:val="right"/>
    </w:pPr>
  </w:style>
  <w:style w:type="paragraph" w:customStyle="1" w:styleId="TableTextNumbered1">
    <w:name w:val="Table Text Numbered 1"/>
    <w:basedOn w:val="TableTextLeft"/>
    <w:qFormat/>
    <w:rsid w:val="00F84D40"/>
    <w:pPr>
      <w:numPr>
        <w:numId w:val="12"/>
      </w:numPr>
    </w:pPr>
  </w:style>
  <w:style w:type="paragraph" w:customStyle="1" w:styleId="TableTextNumbered2">
    <w:name w:val="Table Text Numbered 2"/>
    <w:basedOn w:val="TableTextNumbered1"/>
    <w:qFormat/>
    <w:rsid w:val="00F84D40"/>
    <w:pPr>
      <w:numPr>
        <w:ilvl w:val="1"/>
      </w:numPr>
    </w:pPr>
  </w:style>
  <w:style w:type="paragraph" w:customStyle="1" w:styleId="TableTextNumbered3">
    <w:name w:val="Table Text Numbered 3"/>
    <w:basedOn w:val="TableTextNumbered2"/>
    <w:qFormat/>
    <w:rsid w:val="00F84D40"/>
    <w:pPr>
      <w:numPr>
        <w:ilvl w:val="2"/>
      </w:numPr>
    </w:pPr>
  </w:style>
  <w:style w:type="paragraph" w:customStyle="1" w:styleId="TableTextBullet3">
    <w:name w:val="Table Text Bullet 3"/>
    <w:basedOn w:val="TableTextBullet2"/>
    <w:qFormat/>
    <w:rsid w:val="00F84D40"/>
    <w:pPr>
      <w:numPr>
        <w:ilvl w:val="2"/>
      </w:numPr>
    </w:pPr>
  </w:style>
  <w:style w:type="paragraph" w:styleId="Quote">
    <w:name w:val="Quote"/>
    <w:basedOn w:val="Normal"/>
    <w:next w:val="Normal"/>
    <w:link w:val="QuoteChar"/>
    <w:qFormat/>
    <w:rsid w:val="00896F15"/>
    <w:pPr>
      <w:pBdr>
        <w:top w:val="single" w:sz="4" w:space="10" w:color="004C97" w:themeColor="accent1"/>
      </w:pBdr>
      <w:spacing w:before="200" w:after="160"/>
      <w:ind w:left="284" w:right="284"/>
    </w:pPr>
    <w:rPr>
      <w:iCs/>
      <w:color w:val="232222" w:themeColor="text1"/>
    </w:rPr>
  </w:style>
  <w:style w:type="character" w:customStyle="1" w:styleId="QuoteChar">
    <w:name w:val="Quote Char"/>
    <w:basedOn w:val="DefaultParagraphFont"/>
    <w:link w:val="Quote"/>
    <w:rsid w:val="00896F15"/>
    <w:rPr>
      <w:iCs/>
      <w:color w:val="232222" w:themeColor="text1"/>
    </w:rPr>
  </w:style>
  <w:style w:type="paragraph" w:styleId="TableofFigures">
    <w:name w:val="table of figures"/>
    <w:basedOn w:val="Normal"/>
    <w:next w:val="Normal"/>
    <w:rsid w:val="00166FB5"/>
    <w:pPr>
      <w:tabs>
        <w:tab w:val="right" w:leader="dot" w:pos="9582"/>
      </w:tabs>
      <w:spacing w:before="60" w:after="60"/>
      <w:ind w:right="851"/>
    </w:pPr>
    <w:rPr>
      <w:rFonts w:cs="Arial"/>
      <w:color w:val="232222" w:themeColor="text1"/>
    </w:rPr>
  </w:style>
  <w:style w:type="paragraph" w:customStyle="1" w:styleId="xInLineShape">
    <w:name w:val="xInLineShape"/>
    <w:basedOn w:val="Normal"/>
    <w:next w:val="BodyText"/>
    <w:rsid w:val="0049351D"/>
    <w:pPr>
      <w:spacing w:before="100" w:after="100"/>
    </w:pPr>
  </w:style>
  <w:style w:type="paragraph" w:customStyle="1" w:styleId="FootnoteSeparator">
    <w:name w:val="Footnote Separator"/>
    <w:rsid w:val="005D764F"/>
    <w:pPr>
      <w:pBdr>
        <w:top w:val="dotted" w:sz="4" w:space="1" w:color="auto"/>
      </w:pBdr>
      <w:spacing w:after="0" w:line="120" w:lineRule="exact"/>
    </w:pPr>
    <w:rPr>
      <w:bCs/>
      <w:sz w:val="16"/>
    </w:rPr>
  </w:style>
  <w:style w:type="paragraph" w:customStyle="1" w:styleId="xCoverStatus">
    <w:name w:val="xCoverStatus"/>
    <w:basedOn w:val="Normal"/>
    <w:next w:val="Normal"/>
    <w:semiHidden/>
    <w:rsid w:val="00C33BEC"/>
    <w:pPr>
      <w:framePr w:wrap="around" w:vAnchor="page" w:hAnchor="page" w:x="937" w:y="11931"/>
      <w:pBdr>
        <w:top w:val="single" w:sz="4" w:space="1" w:color="ED2124"/>
        <w:left w:val="single" w:sz="4" w:space="4" w:color="ED2124"/>
        <w:bottom w:val="single" w:sz="4" w:space="1" w:color="ED2124"/>
        <w:right w:val="single" w:sz="4" w:space="4" w:color="ED2124"/>
      </w:pBdr>
      <w:shd w:val="clear" w:color="auto" w:fill="ED2124"/>
      <w:spacing w:before="0" w:after="0"/>
    </w:pPr>
    <w:rPr>
      <w:b/>
      <w:color w:val="FFFFFF" w:themeColor="background1"/>
      <w:sz w:val="48"/>
    </w:rPr>
  </w:style>
  <w:style w:type="paragraph" w:styleId="TOC4">
    <w:name w:val="toc 4"/>
    <w:basedOn w:val="Normal"/>
    <w:uiPriority w:val="39"/>
    <w:rsid w:val="006816E7"/>
    <w:pPr>
      <w:tabs>
        <w:tab w:val="right" w:leader="dot" w:pos="9582"/>
      </w:tabs>
      <w:spacing w:before="60" w:after="60"/>
      <w:ind w:left="454" w:right="851"/>
    </w:pPr>
    <w:rPr>
      <w:rFonts w:cs="Arial"/>
      <w:noProof/>
      <w:color w:val="232222"/>
    </w:rPr>
  </w:style>
  <w:style w:type="paragraph" w:customStyle="1" w:styleId="ListAlpha2">
    <w:name w:val="List Alpha 2"/>
    <w:basedOn w:val="ListAlpha"/>
    <w:qFormat/>
    <w:rsid w:val="007F0D3C"/>
    <w:pPr>
      <w:numPr>
        <w:ilvl w:val="1"/>
      </w:numPr>
    </w:pPr>
  </w:style>
  <w:style w:type="character" w:customStyle="1" w:styleId="SectionTitle">
    <w:name w:val="Section Title"/>
    <w:uiPriority w:val="3"/>
    <w:rsid w:val="00A1606D"/>
    <w:rPr>
      <w:color w:val="FFFFFF" w:themeColor="background1"/>
      <w:bdr w:val="none" w:sz="0" w:space="0" w:color="auto"/>
      <w:shd w:val="clear" w:color="auto" w:fill="auto"/>
    </w:rPr>
  </w:style>
  <w:style w:type="paragraph" w:customStyle="1" w:styleId="BoldBodyText">
    <w:name w:val="Bold Body Text"/>
    <w:basedOn w:val="BodyText"/>
    <w:qFormat/>
    <w:rsid w:val="006614E4"/>
    <w:rPr>
      <w:rFonts w:ascii="Arial Bold" w:hAnsi="Arial Bold"/>
      <w:bCs/>
    </w:rPr>
  </w:style>
  <w:style w:type="table" w:styleId="TableGridLight">
    <w:name w:val="Grid Table Light"/>
    <w:basedOn w:val="TableNormal"/>
    <w:uiPriority w:val="40"/>
    <w:rsid w:val="00924B4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xPartnerLogosInsideCover">
    <w:name w:val="xPartnerLogos_InsideCover"/>
    <w:basedOn w:val="NoSpacing"/>
    <w:next w:val="BodyText"/>
    <w:uiPriority w:val="99"/>
    <w:rsid w:val="00EE4D70"/>
    <w:pPr>
      <w:tabs>
        <w:tab w:val="left" w:pos="2948"/>
        <w:tab w:val="left" w:pos="5897"/>
      </w:tabs>
      <w:spacing w:before="200" w:after="200"/>
    </w:pPr>
  </w:style>
  <w:style w:type="character" w:customStyle="1" w:styleId="NoSpacingChar">
    <w:name w:val="No Spacing Char"/>
    <w:basedOn w:val="DefaultParagraphFont"/>
    <w:link w:val="NoSpacing"/>
    <w:rsid w:val="00D81F03"/>
  </w:style>
  <w:style w:type="paragraph" w:customStyle="1" w:styleId="HighlightBoxBullet">
    <w:name w:val="Highlight Box Bullet"/>
    <w:basedOn w:val="HighlightBoxText"/>
    <w:qFormat/>
    <w:rsid w:val="004B4954"/>
    <w:pPr>
      <w:numPr>
        <w:numId w:val="13"/>
      </w:numPr>
    </w:pPr>
  </w:style>
  <w:style w:type="paragraph" w:customStyle="1" w:styleId="HighlightBoxHeading">
    <w:name w:val="Highlight Box Heading"/>
    <w:basedOn w:val="HighlightBoxText"/>
    <w:next w:val="HighlightBoxText"/>
    <w:qFormat/>
    <w:rsid w:val="003E7083"/>
    <w:rPr>
      <w:b/>
    </w:rPr>
  </w:style>
  <w:style w:type="paragraph" w:customStyle="1" w:styleId="FooterOdd">
    <w:name w:val="Footer Odd"/>
    <w:next w:val="Footer"/>
    <w:uiPriority w:val="99"/>
    <w:rsid w:val="00376EF3"/>
    <w:pPr>
      <w:spacing w:before="0" w:after="0" w:line="200" w:lineRule="atLeast"/>
      <w:jc w:val="right"/>
    </w:pPr>
    <w:rPr>
      <w:rFonts w:cs="Arial"/>
      <w:color w:val="232222" w:themeColor="text1"/>
      <w:spacing w:val="2"/>
      <w:sz w:val="16"/>
    </w:rPr>
  </w:style>
  <w:style w:type="paragraph" w:customStyle="1" w:styleId="FooterOddPageNumber">
    <w:name w:val="Footer Odd Page Number"/>
    <w:basedOn w:val="FooterOdd"/>
    <w:uiPriority w:val="99"/>
    <w:rsid w:val="00E915C8"/>
    <w:pPr>
      <w:ind w:right="28"/>
    </w:pPr>
    <w:rPr>
      <w:b/>
    </w:rPr>
  </w:style>
  <w:style w:type="table" w:customStyle="1" w:styleId="TableAsPlaceholder">
    <w:name w:val="Table As Placeholder"/>
    <w:basedOn w:val="TableNormal"/>
    <w:uiPriority w:val="99"/>
    <w:qFormat/>
    <w:rsid w:val="00376EF3"/>
    <w:pPr>
      <w:spacing w:before="0" w:after="0"/>
    </w:pPr>
    <w:rPr>
      <w:rFonts w:cs="Arial"/>
      <w:color w:val="232222" w:themeColor="text1"/>
    </w:rPr>
    <w:tblPr>
      <w:tblCellMar>
        <w:left w:w="0" w:type="dxa"/>
        <w:right w:w="0" w:type="dxa"/>
      </w:tblCellMar>
    </w:tblPr>
  </w:style>
  <w:style w:type="paragraph" w:customStyle="1" w:styleId="FooterEven">
    <w:name w:val="Footer Even"/>
    <w:next w:val="Footer"/>
    <w:uiPriority w:val="99"/>
    <w:rsid w:val="00376EF3"/>
    <w:pPr>
      <w:spacing w:before="0" w:after="0" w:line="200" w:lineRule="atLeast"/>
    </w:pPr>
    <w:rPr>
      <w:rFonts w:cs="Arial"/>
      <w:color w:val="232222" w:themeColor="text1"/>
      <w:sz w:val="16"/>
    </w:rPr>
  </w:style>
  <w:style w:type="paragraph" w:customStyle="1" w:styleId="FooterEvenPageNumber">
    <w:name w:val="Footer Even Page Number"/>
    <w:basedOn w:val="FooterEven"/>
    <w:uiPriority w:val="99"/>
    <w:rsid w:val="00E915C8"/>
    <w:pPr>
      <w:framePr w:wrap="around" w:vAnchor="page" w:hAnchor="margin" w:yAlign="bottom"/>
    </w:pPr>
    <w:rPr>
      <w:b/>
    </w:rPr>
  </w:style>
  <w:style w:type="paragraph" w:customStyle="1" w:styleId="xDisclaimerText">
    <w:name w:val="xDisclaimer Text"/>
    <w:basedOn w:val="Normal"/>
    <w:rsid w:val="006614E4"/>
    <w:pPr>
      <w:spacing w:after="0" w:line="175" w:lineRule="atLeast"/>
    </w:pPr>
    <w:rPr>
      <w:rFonts w:cs="Arial"/>
      <w:color w:val="232222" w:themeColor="text1"/>
      <w:sz w:val="16"/>
    </w:rPr>
  </w:style>
  <w:style w:type="table" w:customStyle="1" w:styleId="LogoPlaceholder">
    <w:name w:val="Logo Placeholder"/>
    <w:basedOn w:val="TableNormal"/>
    <w:uiPriority w:val="99"/>
    <w:rsid w:val="006614E4"/>
    <w:pPr>
      <w:spacing w:before="0" w:after="0" w:line="240" w:lineRule="auto"/>
    </w:pPr>
    <w:rPr>
      <w:rFonts w:cs="Arial"/>
      <w:color w:val="232222" w:themeColor="text1"/>
    </w:rPr>
    <w:tblPr>
      <w:tblCellSpacing w:w="142" w:type="dxa"/>
      <w:tblCellMar>
        <w:left w:w="0" w:type="dxa"/>
        <w:right w:w="0" w:type="dxa"/>
      </w:tblCellMar>
    </w:tblPr>
    <w:trPr>
      <w:tblCellSpacing w:w="142" w:type="dxa"/>
    </w:trPr>
  </w:style>
  <w:style w:type="paragraph" w:customStyle="1" w:styleId="DisclaimerText">
    <w:name w:val="Disclaimer Text"/>
    <w:basedOn w:val="Normal"/>
    <w:uiPriority w:val="99"/>
    <w:semiHidden/>
    <w:rsid w:val="002A4F2A"/>
    <w:pPr>
      <w:framePr w:hSpace="181" w:wrap="around" w:hAnchor="margin" w:yAlign="bottom"/>
      <w:spacing w:before="0" w:after="90"/>
      <w:suppressOverlap/>
    </w:pPr>
    <w:rPr>
      <w:rFonts w:cs="Arial"/>
      <w:color w:val="232222" w:themeColor="text1"/>
    </w:rPr>
  </w:style>
  <w:style w:type="paragraph" w:customStyle="1" w:styleId="SmallBodyText">
    <w:name w:val="Small Body Text"/>
    <w:basedOn w:val="Normal"/>
    <w:qFormat/>
    <w:rsid w:val="000D04F8"/>
    <w:pPr>
      <w:spacing w:before="80" w:after="80" w:line="245" w:lineRule="auto"/>
    </w:pPr>
    <w:rPr>
      <w:sz w:val="18"/>
    </w:rPr>
  </w:style>
  <w:style w:type="paragraph" w:customStyle="1" w:styleId="ListAlpha3">
    <w:name w:val="List Alpha 3"/>
    <w:basedOn w:val="ListAlpha2"/>
    <w:qFormat/>
    <w:rsid w:val="009569CB"/>
    <w:pPr>
      <w:numPr>
        <w:ilvl w:val="2"/>
      </w:numPr>
    </w:pPr>
  </w:style>
  <w:style w:type="paragraph" w:customStyle="1" w:styleId="NoteNumbered2">
    <w:name w:val="Note Numbered 2"/>
    <w:basedOn w:val="NoteNumbered"/>
    <w:qFormat/>
    <w:rsid w:val="00F72BF1"/>
    <w:pPr>
      <w:numPr>
        <w:ilvl w:val="1"/>
      </w:numPr>
    </w:pPr>
  </w:style>
  <w:style w:type="paragraph" w:customStyle="1" w:styleId="HighlightBoxText">
    <w:name w:val="Highlight Box Text"/>
    <w:basedOn w:val="BodyText"/>
    <w:qFormat/>
    <w:rsid w:val="0053503C"/>
    <w:pPr>
      <w:pBdr>
        <w:top w:val="single" w:sz="4" w:space="14" w:color="004C97" w:themeColor="accent1"/>
        <w:left w:val="single" w:sz="4" w:space="12" w:color="004C97" w:themeColor="accent1"/>
        <w:bottom w:val="single" w:sz="4" w:space="14" w:color="004C97" w:themeColor="accent1"/>
        <w:right w:val="single" w:sz="4" w:space="12" w:color="004C97" w:themeColor="accent1"/>
      </w:pBdr>
      <w:shd w:val="clear" w:color="auto" w:fill="004C97" w:themeFill="accent1"/>
      <w:tabs>
        <w:tab w:val="left" w:pos="2268"/>
        <w:tab w:val="left" w:pos="4536"/>
        <w:tab w:val="left" w:pos="6804"/>
        <w:tab w:val="right" w:pos="9638"/>
      </w:tabs>
      <w:spacing w:line="300" w:lineRule="exact"/>
      <w:ind w:left="227" w:right="227"/>
    </w:pPr>
    <w:rPr>
      <w:color w:val="FFFFFF"/>
      <w:spacing w:val="2"/>
      <w:kern w:val="20"/>
      <w:sz w:val="24"/>
      <w:lang w:eastAsia="fr-CA"/>
    </w:rPr>
  </w:style>
  <w:style w:type="paragraph" w:customStyle="1" w:styleId="BodyText12ptBefore">
    <w:name w:val="Body Text 12pt Before"/>
    <w:basedOn w:val="BodyText"/>
    <w:next w:val="BodyText"/>
    <w:qFormat/>
    <w:rsid w:val="00BB6F0D"/>
    <w:pPr>
      <w:spacing w:before="240"/>
    </w:pPr>
  </w:style>
  <w:style w:type="paragraph" w:customStyle="1" w:styleId="QuoteBullet">
    <w:name w:val="Quote Bullet"/>
    <w:basedOn w:val="Quote"/>
    <w:qFormat/>
    <w:rsid w:val="00AA7DC2"/>
    <w:pPr>
      <w:numPr>
        <w:numId w:val="14"/>
      </w:numPr>
      <w:tabs>
        <w:tab w:val="left" w:pos="1134"/>
      </w:tabs>
      <w:spacing w:before="120" w:after="120"/>
    </w:pPr>
    <w:rPr>
      <w:rFonts w:cs="Arial"/>
    </w:rPr>
  </w:style>
  <w:style w:type="paragraph" w:customStyle="1" w:styleId="QuoteBullet2">
    <w:name w:val="Quote Bullet 2"/>
    <w:basedOn w:val="Quote"/>
    <w:qFormat/>
    <w:rsid w:val="00AC1C83"/>
    <w:pPr>
      <w:numPr>
        <w:ilvl w:val="1"/>
        <w:numId w:val="14"/>
      </w:numPr>
      <w:pBdr>
        <w:top w:val="none" w:sz="0" w:space="0" w:color="auto"/>
      </w:pBdr>
      <w:spacing w:before="120" w:after="120"/>
    </w:pPr>
    <w:rPr>
      <w:rFonts w:cs="Arial"/>
    </w:rPr>
  </w:style>
  <w:style w:type="paragraph" w:customStyle="1" w:styleId="TableHeadingLeft">
    <w:name w:val="Table Heading Left"/>
    <w:basedOn w:val="TableTextLeft"/>
    <w:qFormat/>
    <w:rsid w:val="00D05BC2"/>
    <w:pPr>
      <w:keepNext/>
    </w:pPr>
    <w:rPr>
      <w:b/>
      <w:color w:val="FFFFFF"/>
    </w:rPr>
  </w:style>
  <w:style w:type="paragraph" w:customStyle="1" w:styleId="TableHeadingCentre">
    <w:name w:val="Table Heading Centre"/>
    <w:basedOn w:val="TableTextCentre"/>
    <w:qFormat/>
    <w:rsid w:val="00D05BC2"/>
    <w:pPr>
      <w:keepNext/>
    </w:pPr>
    <w:rPr>
      <w:b/>
      <w:color w:val="FFFFFF"/>
    </w:rPr>
  </w:style>
  <w:style w:type="paragraph" w:customStyle="1" w:styleId="TableHeadingRight">
    <w:name w:val="Table Heading Right"/>
    <w:basedOn w:val="TableTextRight"/>
    <w:qFormat/>
    <w:rsid w:val="00D05BC2"/>
    <w:pPr>
      <w:keepNext/>
    </w:pPr>
    <w:rPr>
      <w:b/>
      <w:color w:val="FFFFFF"/>
    </w:rPr>
  </w:style>
  <w:style w:type="paragraph" w:customStyle="1" w:styleId="xDisclaimerHeading">
    <w:name w:val="xDisclaimer Heading"/>
    <w:basedOn w:val="NoSpacing"/>
    <w:semiHidden/>
    <w:rsid w:val="00064813"/>
    <w:pPr>
      <w:spacing w:before="120" w:after="120"/>
    </w:pPr>
    <w:rPr>
      <w:b/>
    </w:rPr>
  </w:style>
  <w:style w:type="paragraph" w:customStyle="1" w:styleId="DisclaimerTextLeftBold">
    <w:name w:val="Disclaimer Text Left Bold"/>
    <w:basedOn w:val="DisclaimerTextLeft"/>
    <w:next w:val="DisclaimerTextLeft"/>
    <w:uiPriority w:val="99"/>
    <w:semiHidden/>
    <w:rsid w:val="00740ECE"/>
    <w:pPr>
      <w:framePr w:wrap="around"/>
    </w:pPr>
    <w:rPr>
      <w:b/>
    </w:rPr>
  </w:style>
  <w:style w:type="paragraph" w:customStyle="1" w:styleId="DisclaimerTextLeft">
    <w:name w:val="Disclaimer Text Left"/>
    <w:basedOn w:val="DisclaimerText"/>
    <w:uiPriority w:val="99"/>
    <w:semiHidden/>
    <w:rsid w:val="00740ECE"/>
    <w:pPr>
      <w:framePr w:wrap="around"/>
    </w:pPr>
  </w:style>
  <w:style w:type="paragraph" w:customStyle="1" w:styleId="DisclaimerTextRightBold">
    <w:name w:val="Disclaimer Text Right Bold"/>
    <w:basedOn w:val="Normal"/>
    <w:uiPriority w:val="99"/>
    <w:semiHidden/>
    <w:rsid w:val="00740ECE"/>
    <w:pPr>
      <w:framePr w:hSpace="181" w:wrap="around" w:hAnchor="margin" w:yAlign="bottom"/>
      <w:spacing w:before="0" w:after="90"/>
      <w:suppressOverlap/>
    </w:pPr>
    <w:rPr>
      <w:rFonts w:ascii="Arial Bold" w:hAnsi="Arial Bold" w:cs="Arial"/>
      <w:color w:val="232222" w:themeColor="text1"/>
    </w:rPr>
  </w:style>
  <w:style w:type="paragraph" w:customStyle="1" w:styleId="DisclaimerTextRight12pt">
    <w:name w:val="Disclaimer Text Right 12pt"/>
    <w:basedOn w:val="Normal"/>
    <w:uiPriority w:val="99"/>
    <w:semiHidden/>
    <w:rsid w:val="00740ECE"/>
    <w:pPr>
      <w:framePr w:hSpace="181" w:wrap="around" w:hAnchor="margin" w:yAlign="bottom"/>
      <w:spacing w:before="0" w:after="90"/>
      <w:suppressOverlap/>
    </w:pPr>
    <w:rPr>
      <w:rFonts w:cs="Arial"/>
      <w:color w:val="232222" w:themeColor="text1"/>
      <w:sz w:val="24"/>
    </w:rPr>
  </w:style>
  <w:style w:type="paragraph" w:customStyle="1" w:styleId="DisclaimerTextRightBold12pt">
    <w:name w:val="Disclaimer Text Right Bold 12 pt"/>
    <w:basedOn w:val="DisclaimerTextRightBold"/>
    <w:next w:val="DisclaimerTextRight12pt"/>
    <w:uiPriority w:val="99"/>
    <w:semiHidden/>
    <w:rsid w:val="00E4201F"/>
    <w:pPr>
      <w:framePr w:wrap="around"/>
    </w:pPr>
    <w:rPr>
      <w:sz w:val="24"/>
    </w:rPr>
  </w:style>
  <w:style w:type="paragraph" w:customStyle="1" w:styleId="DisclaimerTextRight">
    <w:name w:val="Disclaimer Text Right"/>
    <w:basedOn w:val="DisclaimerText"/>
    <w:uiPriority w:val="99"/>
    <w:semiHidden/>
    <w:rsid w:val="000957C3"/>
    <w:pPr>
      <w:framePr w:wrap="around"/>
    </w:pPr>
  </w:style>
  <w:style w:type="paragraph" w:customStyle="1" w:styleId="xWebBackCover">
    <w:name w:val="xWebBackCover"/>
    <w:basedOn w:val="NoSpacing"/>
    <w:semiHidden/>
    <w:rsid w:val="00E97B47"/>
    <w:pPr>
      <w:shd w:val="clear" w:color="auto" w:fill="201547" w:themeFill="text2"/>
    </w:pPr>
    <w:rPr>
      <w:b/>
      <w:bCs/>
      <w:color w:val="FFFFFF" w:themeColor="background1"/>
      <w:sz w:val="21"/>
      <w:szCs w:val="21"/>
      <w:lang w:val="en-US"/>
    </w:rPr>
  </w:style>
  <w:style w:type="paragraph" w:customStyle="1" w:styleId="Heading1withincontent">
    <w:name w:val="Heading 1 (within content)"/>
    <w:basedOn w:val="Heading1"/>
    <w:qFormat/>
    <w:rsid w:val="00F23160"/>
    <w:pPr>
      <w:spacing w:before="360" w:line="240" w:lineRule="auto"/>
    </w:pPr>
  </w:style>
  <w:style w:type="character" w:customStyle="1" w:styleId="normaltextrun">
    <w:name w:val="normaltextrun"/>
    <w:basedOn w:val="DefaultParagraphFont"/>
    <w:rsid w:val="005E5411"/>
  </w:style>
  <w:style w:type="table" w:customStyle="1" w:styleId="LogoPlaceholder2">
    <w:name w:val="Logo Placeholder2"/>
    <w:basedOn w:val="TableNormal"/>
    <w:uiPriority w:val="99"/>
    <w:rsid w:val="005E5411"/>
    <w:pPr>
      <w:spacing w:before="0" w:after="0" w:line="240" w:lineRule="auto"/>
    </w:pPr>
    <w:rPr>
      <w:rFonts w:cs="Arial"/>
      <w:color w:val="232222" w:themeColor="text1"/>
    </w:rPr>
    <w:tblPr>
      <w:tblCellSpacing w:w="142" w:type="dxa"/>
      <w:tblCellMar>
        <w:left w:w="0" w:type="dxa"/>
        <w:right w:w="0" w:type="dxa"/>
      </w:tblCellMar>
    </w:tblPr>
    <w:trPr>
      <w:tblCellSpacing w:w="142" w:type="dxa"/>
    </w:trPr>
  </w:style>
  <w:style w:type="character" w:styleId="PageNumber">
    <w:name w:val="page number"/>
    <w:basedOn w:val="DefaultParagraphFont"/>
    <w:semiHidden/>
    <w:rsid w:val="00B21991"/>
    <w:rPr>
      <w:rFonts w:ascii="Arial" w:hAnsi="Arial"/>
      <w:b/>
      <w:color w:val="auto"/>
      <w:sz w:val="16"/>
    </w:rPr>
  </w:style>
  <w:style w:type="character" w:styleId="IntenseEmphasis">
    <w:name w:val="Intense Emphasis"/>
    <w:qFormat/>
    <w:rsid w:val="00B21991"/>
    <w:rPr>
      <w:b/>
      <w:bCs/>
      <w:i/>
      <w:iCs/>
      <w:color w:val="auto"/>
    </w:rPr>
  </w:style>
  <w:style w:type="paragraph" w:styleId="IntenseQuote">
    <w:name w:val="Intense Quote"/>
    <w:basedOn w:val="Normal"/>
    <w:next w:val="Normal"/>
    <w:link w:val="IntenseQuoteChar"/>
    <w:qFormat/>
    <w:rsid w:val="00B21991"/>
    <w:pPr>
      <w:pBdr>
        <w:bottom w:val="single" w:sz="4" w:space="4" w:color="004C97" w:themeColor="accent1"/>
      </w:pBdr>
      <w:spacing w:before="200" w:after="280" w:line="276" w:lineRule="auto"/>
      <w:ind w:left="936" w:right="936"/>
      <w:jc w:val="both"/>
    </w:pPr>
    <w:rPr>
      <w:rFonts w:cs="Arial"/>
      <w:b/>
      <w:bCs/>
      <w:i/>
      <w:iCs/>
      <w:color w:val="CCDBEA" w:themeColor="background2"/>
    </w:rPr>
  </w:style>
  <w:style w:type="character" w:customStyle="1" w:styleId="IntenseQuoteChar">
    <w:name w:val="Intense Quote Char"/>
    <w:basedOn w:val="DefaultParagraphFont"/>
    <w:link w:val="IntenseQuote"/>
    <w:rsid w:val="00B21991"/>
    <w:rPr>
      <w:rFonts w:cs="Arial"/>
      <w:b/>
      <w:bCs/>
      <w:i/>
      <w:iCs/>
      <w:color w:val="CCDBEA" w:themeColor="background2"/>
    </w:rPr>
  </w:style>
  <w:style w:type="character" w:styleId="Emphasis">
    <w:name w:val="Emphasis"/>
    <w:basedOn w:val="DefaultParagraphFont"/>
    <w:uiPriority w:val="20"/>
    <w:qFormat/>
    <w:rsid w:val="00B21991"/>
    <w:rPr>
      <w:i/>
      <w:iCs/>
    </w:rPr>
  </w:style>
  <w:style w:type="character" w:styleId="Mention">
    <w:name w:val="Mention"/>
    <w:basedOn w:val="DefaultParagraphFont"/>
    <w:uiPriority w:val="99"/>
    <w:unhideWhenUsed/>
    <w:rsid w:val="00B21991"/>
    <w:rPr>
      <w:color w:val="2B579A"/>
      <w:shd w:val="clear" w:color="auto" w:fill="E1DFDD"/>
    </w:rPr>
  </w:style>
  <w:style w:type="paragraph" w:styleId="TOC9">
    <w:name w:val="toc 9"/>
    <w:basedOn w:val="Normal"/>
    <w:next w:val="Normal"/>
    <w:autoRedefine/>
    <w:uiPriority w:val="39"/>
    <w:unhideWhenUsed/>
    <w:rsid w:val="00B21991"/>
    <w:pPr>
      <w:spacing w:before="0" w:after="100" w:line="259" w:lineRule="auto"/>
      <w:ind w:left="1760"/>
    </w:pPr>
    <w:rPr>
      <w:rFonts w:eastAsiaTheme="minorEastAsia" w:cstheme="minorBidi"/>
      <w:sz w:val="22"/>
      <w:szCs w:val="22"/>
    </w:rPr>
  </w:style>
  <w:style w:type="paragraph" w:styleId="DocumentMap">
    <w:name w:val="Document Map"/>
    <w:basedOn w:val="Normal"/>
    <w:link w:val="DocumentMapChar"/>
    <w:uiPriority w:val="39"/>
    <w:semiHidden/>
    <w:unhideWhenUsed/>
    <w:rsid w:val="00B21991"/>
    <w:pPr>
      <w:spacing w:before="0" w:after="0" w:line="240" w:lineRule="auto"/>
    </w:pPr>
    <w:rPr>
      <w:rFonts w:ascii="Segoe UI" w:hAnsi="Segoe UI" w:cs="Segoe UI"/>
      <w:sz w:val="16"/>
      <w:szCs w:val="16"/>
    </w:rPr>
  </w:style>
  <w:style w:type="character" w:customStyle="1" w:styleId="DocumentMapChar">
    <w:name w:val="Document Map Char"/>
    <w:basedOn w:val="DefaultParagraphFont"/>
    <w:link w:val="DocumentMap"/>
    <w:semiHidden/>
    <w:rsid w:val="00B21991"/>
    <w:rPr>
      <w:rFonts w:ascii="Segoe UI" w:hAnsi="Segoe UI" w:cs="Segoe UI"/>
      <w:sz w:val="16"/>
      <w:szCs w:val="16"/>
    </w:rPr>
  </w:style>
  <w:style w:type="table" w:customStyle="1" w:styleId="EPTableStyle41">
    <w:name w:val="E&amp;P Table Style 41"/>
    <w:basedOn w:val="TableNormal"/>
    <w:next w:val="TableGrid"/>
    <w:uiPriority w:val="39"/>
    <w:rsid w:val="00F6775D"/>
    <w:pPr>
      <w:spacing w:before="60" w:after="60" w:line="220" w:lineRule="atLeast"/>
      <w:ind w:left="113" w:right="113"/>
    </w:pPr>
    <w:rPr>
      <w:color w:val="363534"/>
      <w:sz w:val="18"/>
    </w:rPr>
    <w:tblPr>
      <w:tblStyleColBandSize w:val="1"/>
      <w:tblBorders>
        <w:top w:val="single" w:sz="8" w:space="0" w:color="00B2A9"/>
        <w:bottom w:val="single" w:sz="8" w:space="0" w:color="00B2A9"/>
        <w:insideH w:val="single" w:sz="8" w:space="0" w:color="00B2A9"/>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Arial" w:hAnsi="Arial"/>
        <w:b w:val="0"/>
        <w:color w:val="363534"/>
        <w:sz w:val="18"/>
      </w:rPr>
      <w:tblPr/>
      <w:tcPr>
        <w:shd w:val="clear" w:color="auto" w:fill="00B2A9"/>
      </w:tcPr>
    </w:tblStylePr>
    <w:tblStylePr w:type="lastRow">
      <w:rPr>
        <w:b w:val="0"/>
      </w:rPr>
    </w:tblStylePr>
    <w:tblStylePr w:type="lastCol">
      <w:pPr>
        <w:jc w:val="left"/>
      </w:pPr>
    </w:tblStylePr>
    <w:tblStylePr w:type="band1Vert">
      <w:tblPr/>
      <w:tcPr>
        <w:shd w:val="clear" w:color="auto" w:fill="E5F7F6"/>
      </w:tcPr>
    </w:tblStylePr>
    <w:tblStylePr w:type="nwCell">
      <w:pPr>
        <w:jc w:val="left"/>
      </w:pPr>
      <w:tblPr/>
      <w:tcPr>
        <w:vAlign w:val="center"/>
      </w:tcPr>
    </w:tblStylePr>
  </w:style>
  <w:style w:type="character" w:customStyle="1" w:styleId="ListParagraphChar">
    <w:name w:val="List Paragraph Char"/>
    <w:aliases w:val="Bullet List Char,number List Char,Bullet list Char,Bullet 1 Char,table text Char,bullets Char"/>
    <w:basedOn w:val="DefaultParagraphFont"/>
    <w:link w:val="ListParagraph"/>
    <w:uiPriority w:val="34"/>
    <w:qFormat/>
    <w:locked/>
    <w:rsid w:val="00CF04CB"/>
    <w:rPr>
      <w:rFonts w:ascii="Arial" w:hAnsi="Arial"/>
      <w:b/>
      <w:color w:val="111111" w:themeColor="text1" w:themeShade="80"/>
      <w:u w:val="single"/>
    </w:rPr>
  </w:style>
  <w:style w:type="paragraph" w:customStyle="1" w:styleId="AlphaHeading4">
    <w:name w:val="Alpha Heading 4"/>
    <w:basedOn w:val="BodyText"/>
    <w:next w:val="BodyText"/>
    <w:qFormat/>
    <w:rsid w:val="00A2745D"/>
    <w:pPr>
      <w:numPr>
        <w:numId w:val="49"/>
      </w:numPr>
      <w:snapToGrid w:val="0"/>
      <w:spacing w:before="240" w:after="240"/>
      <w:jc w:val="both"/>
    </w:pPr>
    <w:rPr>
      <w:rFonts w:eastAsia="Calibri"/>
      <w:b/>
      <w:bCs/>
      <w:sz w:val="24"/>
      <w:szCs w:val="24"/>
    </w:rPr>
  </w:style>
  <w:style w:type="paragraph" w:customStyle="1" w:styleId="AlphaHeading5">
    <w:name w:val="Alpha Heading 5"/>
    <w:next w:val="BodyText"/>
    <w:qFormat/>
    <w:rsid w:val="00A2745D"/>
    <w:pPr>
      <w:numPr>
        <w:numId w:val="34"/>
      </w:numPr>
      <w:spacing w:before="240"/>
      <w:ind w:left="454" w:hanging="454"/>
    </w:pPr>
    <w:rPr>
      <w:color w:val="201547" w:themeColor="text2"/>
      <w:sz w:val="24"/>
      <w:szCs w:val="24"/>
    </w:rPr>
  </w:style>
  <w:style w:type="numbering" w:customStyle="1" w:styleId="CurrentList1">
    <w:name w:val="Current List1"/>
    <w:uiPriority w:val="99"/>
    <w:rsid w:val="000C410E"/>
    <w:pPr>
      <w:numPr>
        <w:numId w:val="33"/>
      </w:numPr>
    </w:pPr>
  </w:style>
  <w:style w:type="numbering" w:customStyle="1" w:styleId="CurrentList2">
    <w:name w:val="Current List2"/>
    <w:uiPriority w:val="99"/>
    <w:rsid w:val="0004232F"/>
    <w:pPr>
      <w:numPr>
        <w:numId w:val="38"/>
      </w:numPr>
    </w:pPr>
  </w:style>
  <w:style w:type="numbering" w:customStyle="1" w:styleId="BulletLevel2">
    <w:name w:val="Bullet Level 2"/>
    <w:basedOn w:val="NoList"/>
    <w:uiPriority w:val="99"/>
    <w:rsid w:val="00F50B5A"/>
    <w:pPr>
      <w:numPr>
        <w:numId w:val="47"/>
      </w:numPr>
    </w:pPr>
  </w:style>
  <w:style w:type="character" w:styleId="IntenseReference">
    <w:name w:val="Intense Reference"/>
    <w:basedOn w:val="DefaultParagraphFont"/>
    <w:uiPriority w:val="32"/>
    <w:qFormat/>
    <w:rsid w:val="00F50B5A"/>
    <w:rPr>
      <w:b/>
      <w:bCs/>
      <w:smallCaps/>
      <w:color w:val="003871" w:themeColor="accent1" w:themeShade="BF"/>
      <w:spacing w:val="5"/>
    </w:rPr>
  </w:style>
  <w:style w:type="paragraph" w:customStyle="1" w:styleId="xDisclaimertext3">
    <w:name w:val="xDisclaimer text 3"/>
    <w:basedOn w:val="xDisclaimerText"/>
    <w:rsid w:val="00F50B5A"/>
    <w:pPr>
      <w:spacing w:before="60" w:after="60"/>
      <w:jc w:val="both"/>
    </w:pPr>
    <w:rPr>
      <w:sz w:val="12"/>
    </w:rPr>
  </w:style>
  <w:style w:type="paragraph" w:customStyle="1" w:styleId="Emailaddress">
    <w:name w:val="Email address"/>
    <w:basedOn w:val="Normal"/>
    <w:semiHidden/>
    <w:rsid w:val="00F50B5A"/>
    <w:pPr>
      <w:spacing w:before="0" w:after="0" w:line="276" w:lineRule="auto"/>
      <w:ind w:left="357"/>
      <w:jc w:val="both"/>
    </w:pPr>
    <w:rPr>
      <w:rFonts w:cs="Arial"/>
      <w:color w:val="232222" w:themeColor="text1"/>
      <w:sz w:val="16"/>
      <w:szCs w:val="16"/>
    </w:rPr>
  </w:style>
  <w:style w:type="character" w:customStyle="1" w:styleId="Italics">
    <w:name w:val="Italics"/>
    <w:rsid w:val="00F50B5A"/>
    <w:rPr>
      <w:i/>
    </w:rPr>
  </w:style>
  <w:style w:type="paragraph" w:customStyle="1" w:styleId="xDoublePic">
    <w:name w:val="xDoublePic"/>
    <w:basedOn w:val="xInlineShape0"/>
    <w:semiHidden/>
    <w:rsid w:val="00F50B5A"/>
    <w:pPr>
      <w:spacing w:before="0" w:after="0"/>
    </w:pPr>
  </w:style>
  <w:style w:type="paragraph" w:customStyle="1" w:styleId="Footnotes">
    <w:name w:val="Footnotes"/>
    <w:basedOn w:val="Normal"/>
    <w:rsid w:val="00F50B5A"/>
    <w:pPr>
      <w:keepLines/>
      <w:spacing w:before="60" w:after="100" w:afterAutospacing="1" w:line="180" w:lineRule="exact"/>
      <w:ind w:left="284" w:hanging="284"/>
      <w:jc w:val="both"/>
    </w:pPr>
    <w:rPr>
      <w:rFonts w:cs="Arial"/>
      <w:color w:val="232222" w:themeColor="text1"/>
      <w:sz w:val="14"/>
    </w:rPr>
  </w:style>
  <w:style w:type="character" w:customStyle="1" w:styleId="Superscript">
    <w:name w:val="Superscript"/>
    <w:semiHidden/>
    <w:rsid w:val="00F50B5A"/>
    <w:rPr>
      <w:vertAlign w:val="superscript"/>
    </w:rPr>
  </w:style>
  <w:style w:type="paragraph" w:customStyle="1" w:styleId="TableTextNumbered">
    <w:name w:val="Table Text Numbered"/>
    <w:basedOn w:val="TableTextLeft"/>
    <w:qFormat/>
    <w:rsid w:val="00F50B5A"/>
    <w:pPr>
      <w:tabs>
        <w:tab w:val="num" w:pos="360"/>
      </w:tabs>
      <w:spacing w:before="60" w:after="60" w:line="220" w:lineRule="atLeast"/>
      <w:ind w:left="360" w:right="113" w:hanging="360"/>
      <w:jc w:val="both"/>
    </w:pPr>
    <w:rPr>
      <w:rFonts w:cs="Arial"/>
      <w:color w:val="232222" w:themeColor="text1"/>
      <w:sz w:val="18"/>
    </w:rPr>
  </w:style>
  <w:style w:type="paragraph" w:customStyle="1" w:styleId="BoldHeading">
    <w:name w:val="Bold Heading"/>
    <w:basedOn w:val="Normal"/>
    <w:next w:val="BodyText"/>
    <w:qFormat/>
    <w:rsid w:val="00F50B5A"/>
    <w:pPr>
      <w:spacing w:before="280" w:after="240" w:line="276" w:lineRule="auto"/>
      <w:ind w:left="357"/>
      <w:jc w:val="both"/>
    </w:pPr>
    <w:rPr>
      <w:rFonts w:cs="Arial"/>
      <w:b/>
      <w:color w:val="232222" w:themeColor="text1"/>
    </w:rPr>
  </w:style>
  <w:style w:type="paragraph" w:customStyle="1" w:styleId="xInlineShape0">
    <w:name w:val="xInlineShape"/>
    <w:basedOn w:val="Normal"/>
    <w:next w:val="BodyText"/>
    <w:uiPriority w:val="3"/>
    <w:semiHidden/>
    <w:rsid w:val="00F50B5A"/>
    <w:pPr>
      <w:keepNext/>
      <w:spacing w:after="20" w:line="240" w:lineRule="auto"/>
      <w:ind w:left="357"/>
      <w:jc w:val="both"/>
    </w:pPr>
    <w:rPr>
      <w:rFonts w:cs="Arial"/>
      <w:color w:val="232222" w:themeColor="text1"/>
    </w:rPr>
  </w:style>
  <w:style w:type="paragraph" w:customStyle="1" w:styleId="TOFHeading">
    <w:name w:val="TOF Heading"/>
    <w:basedOn w:val="Normal"/>
    <w:uiPriority w:val="99"/>
    <w:semiHidden/>
    <w:rsid w:val="00F50B5A"/>
    <w:pPr>
      <w:keepNext/>
      <w:tabs>
        <w:tab w:val="left" w:pos="2268"/>
      </w:tabs>
      <w:spacing w:before="240" w:after="60" w:line="276" w:lineRule="auto"/>
      <w:ind w:left="357"/>
      <w:jc w:val="both"/>
    </w:pPr>
    <w:rPr>
      <w:rFonts w:cs="Arial"/>
      <w:b/>
      <w:color w:val="201547" w:themeColor="text2"/>
      <w:szCs w:val="32"/>
    </w:rPr>
  </w:style>
  <w:style w:type="paragraph" w:customStyle="1" w:styleId="AppendixHeading3">
    <w:name w:val="Appendix Heading 3"/>
    <w:basedOn w:val="Normal"/>
    <w:next w:val="BodyText"/>
    <w:uiPriority w:val="2"/>
    <w:semiHidden/>
    <w:rsid w:val="00F50B5A"/>
    <w:pPr>
      <w:keepNext/>
      <w:keepLines/>
      <w:tabs>
        <w:tab w:val="left" w:pos="1559"/>
        <w:tab w:val="left" w:pos="1843"/>
        <w:tab w:val="left" w:pos="2126"/>
        <w:tab w:val="left" w:pos="2410"/>
        <w:tab w:val="left" w:pos="6804"/>
      </w:tabs>
      <w:spacing w:before="100" w:after="100" w:line="240" w:lineRule="exact"/>
      <w:ind w:left="357"/>
      <w:jc w:val="both"/>
    </w:pPr>
    <w:rPr>
      <w:rFonts w:asciiTheme="majorHAnsi" w:hAnsiTheme="majorHAnsi" w:cs="Arial"/>
      <w:b/>
      <w:i/>
      <w:color w:val="494847"/>
    </w:rPr>
  </w:style>
  <w:style w:type="paragraph" w:customStyle="1" w:styleId="TableofContents2">
    <w:name w:val="TableofContents2"/>
    <w:basedOn w:val="Normal"/>
    <w:semiHidden/>
    <w:rsid w:val="00F50B5A"/>
    <w:pPr>
      <w:keepNext/>
      <w:spacing w:before="0" w:line="230" w:lineRule="auto"/>
      <w:ind w:left="357"/>
      <w:jc w:val="both"/>
    </w:pPr>
    <w:rPr>
      <w:rFonts w:cs="Arial"/>
      <w:color w:val="232222" w:themeColor="text1"/>
      <w:spacing w:val="-6"/>
      <w:sz w:val="40"/>
      <w:szCs w:val="28"/>
    </w:rPr>
  </w:style>
  <w:style w:type="character" w:customStyle="1" w:styleId="Bold">
    <w:name w:val="Bold"/>
    <w:semiHidden/>
    <w:rsid w:val="00F50B5A"/>
    <w:rPr>
      <w:b/>
    </w:rPr>
  </w:style>
  <w:style w:type="paragraph" w:customStyle="1" w:styleId="xContactDetails">
    <w:name w:val="xContact Details"/>
    <w:basedOn w:val="TableTextLeft"/>
    <w:uiPriority w:val="3"/>
    <w:semiHidden/>
    <w:rsid w:val="00F50B5A"/>
    <w:pPr>
      <w:spacing w:before="40" w:after="60" w:line="220" w:lineRule="atLeast"/>
      <w:ind w:left="113" w:right="113"/>
      <w:contextualSpacing/>
      <w:jc w:val="both"/>
    </w:pPr>
    <w:rPr>
      <w:rFonts w:cs="Arial"/>
      <w:color w:val="232222" w:themeColor="text1"/>
      <w:sz w:val="16"/>
    </w:rPr>
  </w:style>
  <w:style w:type="paragraph" w:customStyle="1" w:styleId="xEntityDetails">
    <w:name w:val="xEntity Details"/>
    <w:basedOn w:val="xContactDetails"/>
    <w:uiPriority w:val="3"/>
    <w:semiHidden/>
    <w:rsid w:val="00F50B5A"/>
    <w:pPr>
      <w:framePr w:wrap="around" w:hAnchor="text"/>
    </w:pPr>
  </w:style>
  <w:style w:type="paragraph" w:customStyle="1" w:styleId="xStatus">
    <w:name w:val="xStatus"/>
    <w:basedOn w:val="Normal"/>
    <w:uiPriority w:val="3"/>
    <w:semiHidden/>
    <w:rsid w:val="00F50B5A"/>
    <w:pPr>
      <w:tabs>
        <w:tab w:val="left" w:pos="1134"/>
        <w:tab w:val="left" w:pos="2268"/>
        <w:tab w:val="left" w:pos="3402"/>
        <w:tab w:val="left" w:pos="4536"/>
        <w:tab w:val="left" w:pos="5103"/>
      </w:tabs>
      <w:spacing w:before="0" w:after="0" w:line="240" w:lineRule="auto"/>
      <w:ind w:left="357"/>
      <w:jc w:val="center"/>
    </w:pPr>
    <w:rPr>
      <w:rFonts w:cs="Arial"/>
      <w:caps/>
      <w:color w:val="EAEAEA"/>
      <w:spacing w:val="40"/>
      <w:sz w:val="120"/>
      <w:szCs w:val="24"/>
    </w:rPr>
  </w:style>
  <w:style w:type="paragraph" w:customStyle="1" w:styleId="AppendixHeading2">
    <w:name w:val="Appendix Heading 2"/>
    <w:basedOn w:val="Normal"/>
    <w:next w:val="BodyText"/>
    <w:uiPriority w:val="2"/>
    <w:semiHidden/>
    <w:rsid w:val="00F50B5A"/>
    <w:pPr>
      <w:keepNext/>
      <w:keepLines/>
      <w:tabs>
        <w:tab w:val="left" w:pos="1559"/>
        <w:tab w:val="left" w:pos="1843"/>
        <w:tab w:val="left" w:pos="2126"/>
        <w:tab w:val="left" w:pos="2410"/>
      </w:tabs>
      <w:spacing w:before="100" w:after="100" w:line="240" w:lineRule="exact"/>
      <w:ind w:left="357"/>
      <w:jc w:val="both"/>
    </w:pPr>
    <w:rPr>
      <w:rFonts w:cs="Arial"/>
      <w:b/>
      <w:color w:val="494847"/>
    </w:rPr>
  </w:style>
  <w:style w:type="paragraph" w:customStyle="1" w:styleId="PullOutBoxBodyText">
    <w:name w:val="Pull Out Box Body Text"/>
    <w:basedOn w:val="Normal"/>
    <w:qFormat/>
    <w:rsid w:val="00F50B5A"/>
    <w:pPr>
      <w:spacing w:line="276" w:lineRule="auto"/>
      <w:ind w:left="142" w:right="142"/>
      <w:jc w:val="both"/>
    </w:pPr>
    <w:rPr>
      <w:rFonts w:cs="Arial"/>
      <w:color w:val="232222" w:themeColor="text1"/>
    </w:rPr>
  </w:style>
  <w:style w:type="paragraph" w:customStyle="1" w:styleId="PullOutBoxHeading">
    <w:name w:val="Pull Out Box Heading"/>
    <w:basedOn w:val="PullOutBoxBodyText"/>
    <w:next w:val="PullOutBoxBodyText"/>
    <w:qFormat/>
    <w:rsid w:val="00F50B5A"/>
    <w:pPr>
      <w:keepNext/>
      <w:keepLines/>
    </w:pPr>
    <w:rPr>
      <w:b/>
      <w:szCs w:val="24"/>
    </w:rPr>
  </w:style>
  <w:style w:type="paragraph" w:customStyle="1" w:styleId="PullOutBoxBullet">
    <w:name w:val="Pull Out Box Bullet"/>
    <w:basedOn w:val="PullOutBoxBodyText"/>
    <w:qFormat/>
    <w:rsid w:val="00F50B5A"/>
    <w:pPr>
      <w:tabs>
        <w:tab w:val="num" w:pos="567"/>
      </w:tabs>
      <w:ind w:left="312" w:hanging="170"/>
    </w:pPr>
  </w:style>
  <w:style w:type="paragraph" w:customStyle="1" w:styleId="PullOutBoxBullet2">
    <w:name w:val="Pull Out Box Bullet 2"/>
    <w:basedOn w:val="PullOutBoxBodyText"/>
    <w:qFormat/>
    <w:rsid w:val="00F50B5A"/>
    <w:pPr>
      <w:tabs>
        <w:tab w:val="num" w:pos="851"/>
      </w:tabs>
      <w:ind w:left="482" w:hanging="170"/>
    </w:pPr>
  </w:style>
  <w:style w:type="paragraph" w:customStyle="1" w:styleId="PullOutBoxBullet3">
    <w:name w:val="Pull Out Box Bullet 3"/>
    <w:basedOn w:val="PullOutBoxBodyText"/>
    <w:qFormat/>
    <w:rsid w:val="00F50B5A"/>
    <w:pPr>
      <w:tabs>
        <w:tab w:val="num" w:pos="1134"/>
      </w:tabs>
      <w:ind w:left="652" w:hanging="170"/>
    </w:pPr>
  </w:style>
  <w:style w:type="paragraph" w:customStyle="1" w:styleId="xBackPageWebAddress">
    <w:name w:val="xBack Page Web Address"/>
    <w:basedOn w:val="Normal"/>
    <w:semiHidden/>
    <w:rsid w:val="00F50B5A"/>
    <w:pPr>
      <w:spacing w:before="140" w:after="0" w:line="276" w:lineRule="auto"/>
      <w:ind w:left="357"/>
      <w:jc w:val="both"/>
    </w:pPr>
    <w:rPr>
      <w:rFonts w:cs="Arial"/>
      <w:color w:val="FFFFFF"/>
      <w:spacing w:val="-6"/>
      <w:sz w:val="36"/>
      <w:szCs w:val="36"/>
    </w:rPr>
  </w:style>
  <w:style w:type="paragraph" w:customStyle="1" w:styleId="xBackPage">
    <w:name w:val="xBack Page"/>
    <w:basedOn w:val="Normal"/>
    <w:semiHidden/>
    <w:rsid w:val="00F50B5A"/>
    <w:pPr>
      <w:spacing w:before="0" w:after="0" w:line="276" w:lineRule="auto"/>
      <w:ind w:left="357"/>
      <w:jc w:val="both"/>
    </w:pPr>
    <w:rPr>
      <w:rFonts w:cs="Arial"/>
      <w:color w:val="FFFFFF"/>
    </w:rPr>
  </w:style>
  <w:style w:type="character" w:customStyle="1" w:styleId="BoldAndItalics">
    <w:name w:val="Bold And Italics"/>
    <w:semiHidden/>
    <w:rsid w:val="00F50B5A"/>
    <w:rPr>
      <w:b/>
      <w:i/>
    </w:rPr>
  </w:style>
  <w:style w:type="paragraph" w:customStyle="1" w:styleId="CaptionDescriptive">
    <w:name w:val="Caption Descriptive"/>
    <w:basedOn w:val="BodyText"/>
    <w:next w:val="BodyText"/>
    <w:rsid w:val="00F50B5A"/>
    <w:pPr>
      <w:spacing w:before="0" w:after="60" w:line="240" w:lineRule="auto"/>
      <w:ind w:left="360" w:right="227" w:hanging="360"/>
      <w:jc w:val="both"/>
    </w:pPr>
    <w:rPr>
      <w:i/>
      <w:color w:val="111111" w:themeColor="text1" w:themeShade="80"/>
      <w:sz w:val="18"/>
      <w:szCs w:val="14"/>
    </w:rPr>
  </w:style>
  <w:style w:type="character" w:customStyle="1" w:styleId="MySuperscript">
    <w:name w:val="MySuperscript"/>
    <w:uiPriority w:val="1"/>
    <w:semiHidden/>
    <w:rsid w:val="00F50B5A"/>
    <w:rPr>
      <w:vertAlign w:val="superscript"/>
    </w:rPr>
  </w:style>
  <w:style w:type="character" w:customStyle="1" w:styleId="MySubscript">
    <w:name w:val="MySubscript"/>
    <w:uiPriority w:val="1"/>
    <w:semiHidden/>
    <w:rsid w:val="00F50B5A"/>
    <w:rPr>
      <w:vertAlign w:val="subscript"/>
    </w:rPr>
  </w:style>
  <w:style w:type="character" w:customStyle="1" w:styleId="MySuperscriptItalics">
    <w:name w:val="MySuperscript&amp;Italics"/>
    <w:uiPriority w:val="1"/>
    <w:semiHidden/>
    <w:rsid w:val="00F50B5A"/>
    <w:rPr>
      <w:i/>
      <w:vertAlign w:val="superscript"/>
    </w:rPr>
  </w:style>
  <w:style w:type="character" w:customStyle="1" w:styleId="MySubscriptItalics">
    <w:name w:val="MySubscript&amp;Italics"/>
    <w:uiPriority w:val="1"/>
    <w:semiHidden/>
    <w:rsid w:val="00F50B5A"/>
    <w:rPr>
      <w:i/>
      <w:vertAlign w:val="subscript"/>
    </w:rPr>
  </w:style>
  <w:style w:type="paragraph" w:customStyle="1" w:styleId="PullOutBoxNumbered">
    <w:name w:val="Pull Out Box Numbered"/>
    <w:basedOn w:val="PullOutBoxBodyText"/>
    <w:qFormat/>
    <w:rsid w:val="00F50B5A"/>
    <w:pPr>
      <w:tabs>
        <w:tab w:val="num" w:pos="482"/>
      </w:tabs>
      <w:ind w:left="482" w:hanging="340"/>
    </w:pPr>
  </w:style>
  <w:style w:type="paragraph" w:customStyle="1" w:styleId="PullOutBoxNumbered2">
    <w:name w:val="Pull Out Box Numbered 2"/>
    <w:basedOn w:val="PullOutBoxBodyText"/>
    <w:qFormat/>
    <w:rsid w:val="00F50B5A"/>
    <w:pPr>
      <w:tabs>
        <w:tab w:val="num" w:pos="822"/>
      </w:tabs>
      <w:ind w:left="822" w:hanging="340"/>
    </w:pPr>
  </w:style>
  <w:style w:type="paragraph" w:customStyle="1" w:styleId="PullOutBoxNumbered3">
    <w:name w:val="Pull Out Box Numbered 3"/>
    <w:basedOn w:val="PullOutBoxBodyText"/>
    <w:qFormat/>
    <w:rsid w:val="00F50B5A"/>
    <w:pPr>
      <w:tabs>
        <w:tab w:val="num" w:pos="1219"/>
      </w:tabs>
      <w:ind w:left="1219" w:hanging="397"/>
    </w:pPr>
  </w:style>
  <w:style w:type="paragraph" w:customStyle="1" w:styleId="xDisclaimerText2">
    <w:name w:val="xDisclaimer Text 2"/>
    <w:basedOn w:val="xDisclaimerText"/>
    <w:semiHidden/>
    <w:rsid w:val="00F50B5A"/>
    <w:pPr>
      <w:spacing w:before="180" w:after="170"/>
      <w:jc w:val="both"/>
    </w:pPr>
    <w:rPr>
      <w:sz w:val="12"/>
    </w:rPr>
  </w:style>
  <w:style w:type="paragraph" w:customStyle="1" w:styleId="Heading1TopofPage">
    <w:name w:val="Heading 1 Top of Page"/>
    <w:basedOn w:val="BodyText"/>
    <w:next w:val="BodyText"/>
    <w:qFormat/>
    <w:rsid w:val="00F50B5A"/>
    <w:pPr>
      <w:spacing w:before="0" w:after="0" w:line="276" w:lineRule="auto"/>
      <w:ind w:left="360" w:hanging="360"/>
      <w:jc w:val="both"/>
    </w:pPr>
    <w:rPr>
      <w:b/>
      <w:bCs/>
      <w:color w:val="100A23" w:themeColor="text2" w:themeShade="80"/>
    </w:rPr>
  </w:style>
  <w:style w:type="paragraph" w:customStyle="1" w:styleId="SectionHeading">
    <w:name w:val="Section Heading"/>
    <w:basedOn w:val="Normal"/>
    <w:next w:val="BodyText"/>
    <w:semiHidden/>
    <w:qFormat/>
    <w:rsid w:val="00F50B5A"/>
    <w:pPr>
      <w:keepLines/>
      <w:pageBreakBefore/>
      <w:framePr w:w="11907" w:h="2155" w:hSpace="181" w:wrap="around" w:vAnchor="page" w:hAnchor="page" w:xAlign="right" w:yAlign="top"/>
      <w:spacing w:before="1300" w:after="0" w:line="276" w:lineRule="auto"/>
      <w:ind w:left="1134" w:right="1134"/>
      <w:suppressOverlap/>
      <w:jc w:val="right"/>
      <w:outlineLvl w:val="4"/>
    </w:pPr>
    <w:rPr>
      <w:rFonts w:cs="Arial"/>
      <w:b/>
      <w:color w:val="201547" w:themeColor="text2"/>
      <w:sz w:val="40"/>
      <w:szCs w:val="40"/>
    </w:rPr>
  </w:style>
  <w:style w:type="paragraph" w:customStyle="1" w:styleId="Footnotes2">
    <w:name w:val="Footnotes 2"/>
    <w:basedOn w:val="Normal"/>
    <w:rsid w:val="00F50B5A"/>
    <w:pPr>
      <w:tabs>
        <w:tab w:val="num" w:pos="567"/>
      </w:tabs>
      <w:spacing w:before="0" w:after="100" w:afterAutospacing="1" w:line="180" w:lineRule="atLeast"/>
      <w:ind w:left="567" w:hanging="283"/>
      <w:contextualSpacing/>
      <w:jc w:val="both"/>
    </w:pPr>
    <w:rPr>
      <w:rFonts w:cs="Arial"/>
      <w:color w:val="232222" w:themeColor="text1"/>
      <w:sz w:val="14"/>
    </w:rPr>
  </w:style>
  <w:style w:type="table" w:customStyle="1" w:styleId="HighlightTable">
    <w:name w:val="Highlight Table"/>
    <w:basedOn w:val="TableNormal"/>
    <w:uiPriority w:val="99"/>
    <w:rsid w:val="00F50B5A"/>
    <w:pPr>
      <w:spacing w:before="0" w:after="0" w:line="240" w:lineRule="auto"/>
      <w:ind w:left="357"/>
      <w:jc w:val="both"/>
    </w:pPr>
    <w:rPr>
      <w:rFonts w:cs="Arial"/>
      <w:color w:val="FFFFFF"/>
      <w:sz w:val="24"/>
    </w:rPr>
    <w:tblPr>
      <w:tblCellMar>
        <w:top w:w="227" w:type="dxa"/>
        <w:left w:w="0" w:type="dxa"/>
        <w:bottom w:w="227" w:type="dxa"/>
        <w:right w:w="0" w:type="dxa"/>
      </w:tblCellMar>
    </w:tblPr>
    <w:tcPr>
      <w:shd w:val="clear" w:color="auto" w:fill="00B2A9"/>
    </w:tcPr>
  </w:style>
  <w:style w:type="paragraph" w:customStyle="1" w:styleId="CaptionImageorFigure">
    <w:name w:val="Caption Image or Figure"/>
    <w:basedOn w:val="Caption"/>
    <w:qFormat/>
    <w:rsid w:val="00F50B5A"/>
    <w:pPr>
      <w:tabs>
        <w:tab w:val="clear" w:pos="1191"/>
      </w:tabs>
      <w:spacing w:before="60" w:line="200" w:lineRule="atLeast"/>
      <w:ind w:left="357"/>
      <w:jc w:val="both"/>
    </w:pPr>
    <w:rPr>
      <w:rFonts w:cs="Arial"/>
      <w:bCs/>
      <w:color w:val="232222" w:themeColor="text1"/>
      <w:sz w:val="16"/>
      <w:szCs w:val="20"/>
      <w14:numSpacing w14:val="default"/>
    </w:rPr>
  </w:style>
  <w:style w:type="paragraph" w:customStyle="1" w:styleId="PhotoCredit">
    <w:name w:val="Photo Credit"/>
    <w:basedOn w:val="CaptionDescriptive"/>
    <w:next w:val="BodyText"/>
    <w:qFormat/>
    <w:rsid w:val="00F50B5A"/>
    <w:rPr>
      <w:i w:val="0"/>
      <w:sz w:val="16"/>
    </w:rPr>
  </w:style>
  <w:style w:type="character" w:customStyle="1" w:styleId="MyUnderline">
    <w:name w:val="MyUnderline"/>
    <w:uiPriority w:val="1"/>
    <w:semiHidden/>
    <w:rsid w:val="00F50B5A"/>
    <w:rPr>
      <w:u w:val="single"/>
      <w:lang w:eastAsia="en-AU"/>
    </w:rPr>
  </w:style>
  <w:style w:type="character" w:customStyle="1" w:styleId="MyBoldItalicsUnderline">
    <w:name w:val="MyBoldItalicsUnderline"/>
    <w:uiPriority w:val="1"/>
    <w:semiHidden/>
    <w:rsid w:val="00F50B5A"/>
    <w:rPr>
      <w:b/>
      <w:i/>
      <w:u w:val="single"/>
    </w:rPr>
  </w:style>
  <w:style w:type="character" w:customStyle="1" w:styleId="MyBoldUnderline">
    <w:name w:val="MyBoldUnderline"/>
    <w:uiPriority w:val="1"/>
    <w:semiHidden/>
    <w:rsid w:val="00F50B5A"/>
    <w:rPr>
      <w:b/>
      <w:u w:val="single"/>
    </w:rPr>
  </w:style>
  <w:style w:type="character" w:customStyle="1" w:styleId="MyItalicsUnderline">
    <w:name w:val="MyItalicsUnderline"/>
    <w:uiPriority w:val="1"/>
    <w:semiHidden/>
    <w:rsid w:val="00F50B5A"/>
    <w:rPr>
      <w:i/>
      <w:u w:val="single"/>
    </w:rPr>
  </w:style>
  <w:style w:type="paragraph" w:customStyle="1" w:styleId="SmallBullet">
    <w:name w:val="Small Bullet"/>
    <w:basedOn w:val="SmallBodyText"/>
    <w:rsid w:val="00F50B5A"/>
    <w:pPr>
      <w:spacing w:before="40" w:after="40" w:line="160" w:lineRule="atLeast"/>
      <w:ind w:left="170" w:right="340" w:hanging="170"/>
      <w:jc w:val="both"/>
    </w:pPr>
    <w:rPr>
      <w:rFonts w:cs="Arial"/>
      <w:color w:val="232222" w:themeColor="text1"/>
      <w:spacing w:val="2"/>
      <w:sz w:val="12"/>
    </w:rPr>
  </w:style>
  <w:style w:type="paragraph" w:customStyle="1" w:styleId="SmallHeading">
    <w:name w:val="Small Heading"/>
    <w:basedOn w:val="xDisclaimerHeading"/>
    <w:next w:val="SmallBodyText"/>
    <w:qFormat/>
    <w:rsid w:val="00F50B5A"/>
    <w:pPr>
      <w:spacing w:before="60" w:after="0" w:line="160" w:lineRule="atLeast"/>
      <w:ind w:left="357" w:right="3119"/>
      <w:jc w:val="both"/>
    </w:pPr>
    <w:rPr>
      <w:rFonts w:cs="Arial"/>
      <w:color w:val="232222" w:themeColor="text1"/>
      <w:sz w:val="12"/>
    </w:rPr>
  </w:style>
  <w:style w:type="paragraph" w:customStyle="1" w:styleId="xWeb">
    <w:name w:val="xWeb"/>
    <w:basedOn w:val="Normal"/>
    <w:rsid w:val="00F50B5A"/>
    <w:pPr>
      <w:spacing w:before="0" w:after="0" w:line="240" w:lineRule="auto"/>
      <w:ind w:left="357"/>
      <w:jc w:val="both"/>
    </w:pPr>
    <w:rPr>
      <w:rFonts w:cs="Arial"/>
      <w:b/>
      <w:color w:val="00A9B2"/>
      <w:spacing w:val="-4"/>
      <w:sz w:val="25"/>
      <w:szCs w:val="42"/>
    </w:rPr>
  </w:style>
  <w:style w:type="table" w:customStyle="1" w:styleId="DELWPTableNormal">
    <w:name w:val="DELWP Table Normal"/>
    <w:basedOn w:val="TableNormal"/>
    <w:uiPriority w:val="99"/>
    <w:rsid w:val="00F50B5A"/>
    <w:pPr>
      <w:spacing w:before="0" w:after="0" w:line="240" w:lineRule="auto"/>
      <w:ind w:left="357"/>
      <w:jc w:val="both"/>
    </w:pPr>
    <w:rPr>
      <w:rFonts w:cs="Arial"/>
      <w:color w:val="232222" w:themeColor="text1"/>
    </w:rPr>
    <w:tblPr/>
  </w:style>
  <w:style w:type="paragraph" w:customStyle="1" w:styleId="xAccessibilityText">
    <w:name w:val="xAccessibility Text"/>
    <w:basedOn w:val="Normal"/>
    <w:semiHidden/>
    <w:qFormat/>
    <w:rsid w:val="00F50B5A"/>
    <w:pPr>
      <w:spacing w:before="0" w:after="0" w:line="276" w:lineRule="exact"/>
      <w:ind w:left="357"/>
      <w:jc w:val="both"/>
    </w:pPr>
    <w:rPr>
      <w:rFonts w:cs="Arial"/>
      <w:color w:val="232222" w:themeColor="text1"/>
      <w:sz w:val="24"/>
    </w:rPr>
  </w:style>
  <w:style w:type="paragraph" w:customStyle="1" w:styleId="xAccessibilityHeading">
    <w:name w:val="xAccessibility Heading"/>
    <w:basedOn w:val="Normal"/>
    <w:semiHidden/>
    <w:qFormat/>
    <w:rsid w:val="00F50B5A"/>
    <w:pPr>
      <w:spacing w:before="0" w:after="0" w:line="300" w:lineRule="exact"/>
      <w:ind w:left="357"/>
      <w:jc w:val="both"/>
    </w:pPr>
    <w:rPr>
      <w:rFonts w:cs="Arial"/>
      <w:b/>
      <w:color w:val="232222" w:themeColor="text1"/>
      <w:sz w:val="22"/>
    </w:rPr>
  </w:style>
  <w:style w:type="character" w:customStyle="1" w:styleId="HiddenText">
    <w:name w:val="Hidden Text"/>
    <w:basedOn w:val="DefaultParagraphFont"/>
    <w:uiPriority w:val="1"/>
    <w:qFormat/>
    <w:rsid w:val="00F50B5A"/>
    <w:rPr>
      <w:vanish/>
      <w:color w:val="FF0000"/>
      <w:sz w:val="16"/>
      <w:u w:val="dotted"/>
    </w:rPr>
  </w:style>
  <w:style w:type="paragraph" w:customStyle="1" w:styleId="Default">
    <w:name w:val="Default"/>
    <w:rsid w:val="00F50B5A"/>
    <w:pPr>
      <w:autoSpaceDE w:val="0"/>
      <w:autoSpaceDN w:val="0"/>
      <w:adjustRightInd w:val="0"/>
      <w:spacing w:before="0" w:after="0" w:line="240" w:lineRule="auto"/>
      <w:ind w:left="357"/>
      <w:jc w:val="both"/>
    </w:pPr>
    <w:rPr>
      <w:rFonts w:ascii="Trebuchet MS" w:hAnsi="Trebuchet MS" w:cs="Trebuchet MS"/>
      <w:color w:val="000000"/>
      <w:sz w:val="24"/>
      <w:szCs w:val="24"/>
    </w:rPr>
  </w:style>
  <w:style w:type="paragraph" w:customStyle="1" w:styleId="paragraph">
    <w:name w:val="paragraph"/>
    <w:basedOn w:val="Normal"/>
    <w:rsid w:val="00F50B5A"/>
    <w:pPr>
      <w:spacing w:before="100" w:beforeAutospacing="1" w:after="100" w:afterAutospacing="1" w:line="240" w:lineRule="auto"/>
      <w:ind w:left="357"/>
      <w:jc w:val="both"/>
    </w:pPr>
    <w:rPr>
      <w:rFonts w:ascii="Times New Roman" w:hAnsi="Times New Roman"/>
      <w:sz w:val="24"/>
      <w:szCs w:val="24"/>
    </w:rPr>
  </w:style>
  <w:style w:type="character" w:customStyle="1" w:styleId="eop">
    <w:name w:val="eop"/>
    <w:basedOn w:val="DefaultParagraphFont"/>
    <w:rsid w:val="00F50B5A"/>
  </w:style>
  <w:style w:type="character" w:customStyle="1" w:styleId="spellingerror">
    <w:name w:val="spellingerror"/>
    <w:basedOn w:val="DefaultParagraphFont"/>
    <w:rsid w:val="00F50B5A"/>
  </w:style>
  <w:style w:type="character" w:customStyle="1" w:styleId="advancedproofingissue">
    <w:name w:val="advancedproofingissue"/>
    <w:basedOn w:val="DefaultParagraphFont"/>
    <w:rsid w:val="00F50B5A"/>
  </w:style>
  <w:style w:type="character" w:customStyle="1" w:styleId="crossref">
    <w:name w:val="crossref"/>
    <w:basedOn w:val="DefaultParagraphFont"/>
    <w:rsid w:val="00F50B5A"/>
  </w:style>
  <w:style w:type="table" w:customStyle="1" w:styleId="EPTableStyle42">
    <w:name w:val="E&amp;P Table Style 42"/>
    <w:basedOn w:val="TableNormal"/>
    <w:next w:val="TableGrid"/>
    <w:uiPriority w:val="39"/>
    <w:rsid w:val="00F50B5A"/>
    <w:pPr>
      <w:spacing w:before="60" w:after="60" w:line="220" w:lineRule="atLeast"/>
      <w:ind w:left="113" w:right="113"/>
    </w:pPr>
    <w:rPr>
      <w:color w:val="232222" w:themeColor="text1"/>
      <w:sz w:val="18"/>
    </w:rPr>
    <w:tblPr>
      <w:tblStyleColBandSize w:val="1"/>
      <w:tblBorders>
        <w:top w:val="single" w:sz="8" w:space="0" w:color="201547" w:themeColor="text2"/>
        <w:bottom w:val="single" w:sz="8" w:space="0" w:color="201547" w:themeColor="text2"/>
        <w:insideH w:val="single" w:sz="8" w:space="0" w:color="201547" w:themeColor="text2"/>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Theme="minorHAnsi" w:hAnsiTheme="minorHAnsi"/>
        <w:b w:val="0"/>
        <w:color w:val="232222" w:themeColor="text1"/>
        <w:sz w:val="18"/>
      </w:rPr>
      <w:tblPr/>
      <w:tcPr>
        <w:shd w:val="clear" w:color="auto" w:fill="201547" w:themeFill="text2"/>
      </w:tcPr>
    </w:tblStylePr>
    <w:tblStylePr w:type="lastRow">
      <w:rPr>
        <w:b w:val="0"/>
      </w:rPr>
    </w:tblStylePr>
    <w:tblStylePr w:type="lastCol">
      <w:pPr>
        <w:jc w:val="left"/>
      </w:pPr>
    </w:tblStylePr>
    <w:tblStylePr w:type="band1Vert">
      <w:tblPr/>
      <w:tcPr>
        <w:shd w:val="clear" w:color="auto" w:fill="CCDBEA" w:themeFill="background2"/>
      </w:tcPr>
    </w:tblStylePr>
    <w:tblStylePr w:type="nwCell">
      <w:pPr>
        <w:jc w:val="left"/>
      </w:pPr>
      <w:tblPr/>
      <w:tcPr>
        <w:vAlign w:val="center"/>
      </w:tcPr>
    </w:tblStylePr>
  </w:style>
  <w:style w:type="table" w:customStyle="1" w:styleId="EPTableStyle43">
    <w:name w:val="E&amp;P Table Style 43"/>
    <w:basedOn w:val="TableNormal"/>
    <w:next w:val="TableGrid"/>
    <w:uiPriority w:val="39"/>
    <w:rsid w:val="00F50B5A"/>
    <w:pPr>
      <w:spacing w:before="60" w:after="60" w:line="220" w:lineRule="atLeast"/>
      <w:ind w:left="113" w:right="113"/>
    </w:pPr>
    <w:rPr>
      <w:color w:val="232222" w:themeColor="text1"/>
      <w:sz w:val="18"/>
    </w:rPr>
    <w:tblPr>
      <w:tblStyleColBandSize w:val="1"/>
      <w:tblBorders>
        <w:top w:val="single" w:sz="8" w:space="0" w:color="201547" w:themeColor="text2"/>
        <w:bottom w:val="single" w:sz="8" w:space="0" w:color="201547" w:themeColor="text2"/>
        <w:insideH w:val="single" w:sz="8" w:space="0" w:color="201547" w:themeColor="text2"/>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Theme="minorHAnsi" w:hAnsiTheme="minorHAnsi"/>
        <w:b w:val="0"/>
        <w:color w:val="232222" w:themeColor="text1"/>
        <w:sz w:val="18"/>
      </w:rPr>
      <w:tblPr/>
      <w:tcPr>
        <w:shd w:val="clear" w:color="auto" w:fill="201547" w:themeFill="text2"/>
      </w:tcPr>
    </w:tblStylePr>
    <w:tblStylePr w:type="lastRow">
      <w:rPr>
        <w:b w:val="0"/>
      </w:rPr>
    </w:tblStylePr>
    <w:tblStylePr w:type="lastCol">
      <w:pPr>
        <w:jc w:val="left"/>
      </w:pPr>
    </w:tblStylePr>
    <w:tblStylePr w:type="band1Vert">
      <w:tblPr/>
      <w:tcPr>
        <w:shd w:val="clear" w:color="auto" w:fill="CCDBEA" w:themeFill="background2"/>
      </w:tcPr>
    </w:tblStylePr>
    <w:tblStylePr w:type="nwCell">
      <w:pPr>
        <w:jc w:val="left"/>
      </w:pPr>
      <w:tblPr/>
      <w:tcPr>
        <w:vAlign w:val="center"/>
      </w:tcPr>
    </w:tblStylePr>
  </w:style>
  <w:style w:type="character" w:customStyle="1" w:styleId="TableTextLeftChar">
    <w:name w:val="Table Text Left Char"/>
    <w:basedOn w:val="DefaultParagraphFont"/>
    <w:link w:val="TableTextLeft"/>
    <w:rsid w:val="00F50B5A"/>
  </w:style>
  <w:style w:type="character" w:customStyle="1" w:styleId="a">
    <w:name w:val="_"/>
    <w:basedOn w:val="DefaultParagraphFont"/>
    <w:rsid w:val="00F50B5A"/>
  </w:style>
  <w:style w:type="table" w:customStyle="1" w:styleId="TableGrid10">
    <w:name w:val="Table Grid1"/>
    <w:basedOn w:val="TableNormal"/>
    <w:next w:val="TableGrid"/>
    <w:uiPriority w:val="39"/>
    <w:rsid w:val="00F50B5A"/>
    <w:pPr>
      <w:spacing w:before="60" w:after="60" w:line="220" w:lineRule="atLeast"/>
      <w:ind w:left="113" w:right="113"/>
    </w:pPr>
    <w:rPr>
      <w:color w:val="363534"/>
      <w:sz w:val="18"/>
    </w:rPr>
    <w:tblPr>
      <w:tblStyleColBandSize w:val="1"/>
      <w:tblBorders>
        <w:top w:val="single" w:sz="8" w:space="0" w:color="00B2A9"/>
        <w:bottom w:val="single" w:sz="8" w:space="0" w:color="00B2A9"/>
        <w:insideH w:val="single" w:sz="8" w:space="0" w:color="00B2A9"/>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Arial" w:hAnsi="Arial"/>
        <w:b w:val="0"/>
        <w:color w:val="363534"/>
        <w:sz w:val="18"/>
      </w:rPr>
      <w:tblPr/>
      <w:tcPr>
        <w:shd w:val="clear" w:color="auto" w:fill="00B2A9"/>
      </w:tcPr>
    </w:tblStylePr>
    <w:tblStylePr w:type="lastRow">
      <w:rPr>
        <w:b w:val="0"/>
      </w:rPr>
    </w:tblStylePr>
    <w:tblStylePr w:type="lastCol">
      <w:pPr>
        <w:jc w:val="left"/>
      </w:pPr>
    </w:tblStylePr>
    <w:tblStylePr w:type="band1Vert">
      <w:tblPr/>
      <w:tcPr>
        <w:shd w:val="clear" w:color="auto" w:fill="E5F7F6"/>
      </w:tcPr>
    </w:tblStylePr>
    <w:tblStylePr w:type="nwCell">
      <w:pPr>
        <w:jc w:val="left"/>
      </w:pPr>
    </w:tblStylePr>
  </w:style>
  <w:style w:type="paragraph" w:customStyle="1" w:styleId="xxmsonormal">
    <w:name w:val="x_x_msonormal"/>
    <w:basedOn w:val="Normal"/>
    <w:rsid w:val="00F50B5A"/>
    <w:pPr>
      <w:spacing w:before="100" w:beforeAutospacing="1" w:after="100" w:afterAutospacing="1" w:line="240" w:lineRule="auto"/>
    </w:pPr>
    <w:rPr>
      <w:rFonts w:ascii="Times New Roman" w:hAnsi="Times New Roman"/>
      <w:sz w:val="24"/>
      <w:szCs w:val="24"/>
    </w:rPr>
  </w:style>
  <w:style w:type="character" w:customStyle="1" w:styleId="mord">
    <w:name w:val="mord"/>
    <w:basedOn w:val="DefaultParagraphFont"/>
    <w:rsid w:val="00F50B5A"/>
  </w:style>
  <w:style w:type="character" w:customStyle="1" w:styleId="vlist-s">
    <w:name w:val="vlist-s"/>
    <w:basedOn w:val="DefaultParagraphFont"/>
    <w:rsid w:val="00F50B5A"/>
  </w:style>
  <w:style w:type="character" w:customStyle="1" w:styleId="mrel">
    <w:name w:val="mrel"/>
    <w:basedOn w:val="DefaultParagraphFont"/>
    <w:rsid w:val="00F50B5A"/>
  </w:style>
  <w:style w:type="character" w:customStyle="1" w:styleId="mopen">
    <w:name w:val="mopen"/>
    <w:basedOn w:val="DefaultParagraphFont"/>
    <w:rsid w:val="00F50B5A"/>
  </w:style>
  <w:style w:type="character" w:customStyle="1" w:styleId="mbin">
    <w:name w:val="mbin"/>
    <w:basedOn w:val="DefaultParagraphFont"/>
    <w:rsid w:val="00F50B5A"/>
  </w:style>
  <w:style w:type="character" w:customStyle="1" w:styleId="mclose">
    <w:name w:val="mclose"/>
    <w:basedOn w:val="DefaultParagraphFont"/>
    <w:rsid w:val="00F50B5A"/>
  </w:style>
  <w:style w:type="character" w:customStyle="1" w:styleId="FootnoteReference1">
    <w:name w:val="Footnote Reference1"/>
    <w:basedOn w:val="DefaultParagraphFont"/>
    <w:uiPriority w:val="99"/>
    <w:rsid w:val="00F50B5A"/>
    <w:rPr>
      <w:color w:val="363534"/>
      <w:vertAlign w:val="superscript"/>
    </w:rPr>
  </w:style>
  <w:style w:type="table" w:customStyle="1" w:styleId="EPTableStyle411">
    <w:name w:val="E&amp;P Table Style 411"/>
    <w:basedOn w:val="TableNormal"/>
    <w:next w:val="TableGrid"/>
    <w:uiPriority w:val="39"/>
    <w:rsid w:val="00F50B5A"/>
    <w:pPr>
      <w:spacing w:before="60" w:after="60" w:line="220" w:lineRule="atLeast"/>
      <w:ind w:left="113" w:right="113"/>
    </w:pPr>
    <w:rPr>
      <w:color w:val="363534"/>
      <w:sz w:val="18"/>
    </w:rPr>
    <w:tblPr>
      <w:tblStyleColBandSize w:val="1"/>
      <w:tblBorders>
        <w:top w:val="single" w:sz="8" w:space="0" w:color="00B2A9"/>
        <w:bottom w:val="single" w:sz="8" w:space="0" w:color="00B2A9"/>
        <w:insideH w:val="single" w:sz="8" w:space="0" w:color="00B2A9"/>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Arial" w:hAnsi="Arial"/>
        <w:b w:val="0"/>
        <w:color w:val="363534"/>
        <w:sz w:val="18"/>
      </w:rPr>
      <w:tblPr/>
      <w:tcPr>
        <w:shd w:val="clear" w:color="auto" w:fill="00B2A9"/>
      </w:tcPr>
    </w:tblStylePr>
    <w:tblStylePr w:type="lastRow">
      <w:rPr>
        <w:b w:val="0"/>
      </w:rPr>
    </w:tblStylePr>
    <w:tblStylePr w:type="lastCol">
      <w:pPr>
        <w:jc w:val="left"/>
      </w:pPr>
    </w:tblStylePr>
    <w:tblStylePr w:type="band1Vert">
      <w:tblPr/>
      <w:tcPr>
        <w:shd w:val="clear" w:color="auto" w:fill="E5F7F6"/>
      </w:tcPr>
    </w:tblStylePr>
    <w:tblStylePr w:type="nwCell">
      <w:pPr>
        <w:jc w:val="left"/>
      </w:pPr>
      <w:tblPr/>
      <w:tcPr>
        <w:vAlign w:val="center"/>
      </w:tcPr>
    </w:tblStylePr>
  </w:style>
  <w:style w:type="table" w:customStyle="1" w:styleId="EPTableStyle421">
    <w:name w:val="E&amp;P Table Style 421"/>
    <w:basedOn w:val="TableNormal"/>
    <w:next w:val="TableGrid"/>
    <w:uiPriority w:val="39"/>
    <w:rsid w:val="00F50B5A"/>
    <w:pPr>
      <w:spacing w:before="60" w:after="60" w:line="220" w:lineRule="atLeast"/>
      <w:ind w:left="113" w:right="113"/>
      <w:jc w:val="both"/>
    </w:pPr>
    <w:rPr>
      <w:color w:val="363534"/>
      <w:sz w:val="18"/>
    </w:rPr>
    <w:tblPr>
      <w:tblStyleColBandSize w:val="1"/>
      <w:tblBorders>
        <w:top w:val="single" w:sz="8" w:space="0" w:color="00B2A9"/>
        <w:bottom w:val="single" w:sz="8" w:space="0" w:color="00B2A9"/>
        <w:insideH w:val="single" w:sz="8" w:space="0" w:color="00B2A9"/>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Arial" w:hAnsi="Arial"/>
        <w:b w:val="0"/>
        <w:color w:val="363534"/>
        <w:sz w:val="18"/>
      </w:rPr>
      <w:tblPr/>
      <w:tcPr>
        <w:shd w:val="clear" w:color="auto" w:fill="00B2A9"/>
      </w:tcPr>
    </w:tblStylePr>
    <w:tblStylePr w:type="lastRow">
      <w:rPr>
        <w:b w:val="0"/>
      </w:rPr>
    </w:tblStylePr>
    <w:tblStylePr w:type="lastCol">
      <w:pPr>
        <w:jc w:val="left"/>
      </w:pPr>
    </w:tblStylePr>
    <w:tblStylePr w:type="band1Vert">
      <w:tblPr/>
      <w:tcPr>
        <w:shd w:val="clear" w:color="auto" w:fill="E5F7F6"/>
      </w:tcPr>
    </w:tblStylePr>
    <w:tblStylePr w:type="nwCell">
      <w:pPr>
        <w:jc w:val="left"/>
      </w:pPr>
      <w:tblPr/>
      <w:tcPr>
        <w:vAlign w:val="center"/>
      </w:tcPr>
    </w:tblStylePr>
  </w:style>
  <w:style w:type="character" w:customStyle="1" w:styleId="FootnoteReference10">
    <w:name w:val="(Footnote Reference)1"/>
    <w:basedOn w:val="DefaultParagraphFont"/>
    <w:uiPriority w:val="99"/>
    <w:rsid w:val="00F50B5A"/>
    <w:rPr>
      <w:color w:val="363534"/>
      <w:vertAlign w:val="superscript"/>
    </w:rPr>
  </w:style>
  <w:style w:type="table" w:customStyle="1" w:styleId="EPTableStyle412">
    <w:name w:val="E&amp;P Table Style 412"/>
    <w:basedOn w:val="TableNormal"/>
    <w:next w:val="TableGrid"/>
    <w:uiPriority w:val="39"/>
    <w:rsid w:val="00F50B5A"/>
    <w:pPr>
      <w:spacing w:before="60" w:after="60" w:line="220" w:lineRule="atLeast"/>
      <w:ind w:left="113" w:right="113"/>
      <w:jc w:val="both"/>
    </w:pPr>
    <w:rPr>
      <w:color w:val="363534"/>
      <w:sz w:val="18"/>
    </w:rPr>
    <w:tblPr>
      <w:tblStyleColBandSize w:val="1"/>
      <w:tblBorders>
        <w:top w:val="single" w:sz="8" w:space="0" w:color="00B2A9"/>
        <w:bottom w:val="single" w:sz="8" w:space="0" w:color="00B2A9"/>
        <w:insideH w:val="single" w:sz="8" w:space="0" w:color="00B2A9"/>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Arial" w:hAnsi="Arial"/>
        <w:b w:val="0"/>
        <w:color w:val="363534"/>
        <w:sz w:val="18"/>
      </w:rPr>
      <w:tblPr/>
      <w:tcPr>
        <w:shd w:val="clear" w:color="auto" w:fill="00B2A9"/>
      </w:tcPr>
    </w:tblStylePr>
    <w:tblStylePr w:type="lastRow">
      <w:rPr>
        <w:b w:val="0"/>
      </w:rPr>
    </w:tblStylePr>
    <w:tblStylePr w:type="lastCol">
      <w:pPr>
        <w:jc w:val="left"/>
      </w:pPr>
    </w:tblStylePr>
    <w:tblStylePr w:type="band1Vert">
      <w:tblPr/>
      <w:tcPr>
        <w:shd w:val="clear" w:color="auto" w:fill="E5F7F6"/>
      </w:tcPr>
    </w:tblStylePr>
    <w:tblStylePr w:type="nwCell">
      <w:pPr>
        <w:jc w:val="left"/>
      </w:pPr>
      <w:tblPr/>
      <w:tcPr>
        <w:vAlign w:val="center"/>
      </w:tcPr>
    </w:tblStylePr>
  </w:style>
  <w:style w:type="paragraph" w:customStyle="1" w:styleId="Subtitle1">
    <w:name w:val="Subtitle1"/>
    <w:basedOn w:val="Normal"/>
    <w:next w:val="Normal"/>
    <w:uiPriority w:val="99"/>
    <w:rsid w:val="00F50B5A"/>
    <w:pPr>
      <w:numPr>
        <w:ilvl w:val="1"/>
      </w:numPr>
      <w:spacing w:before="0" w:after="0" w:line="320" w:lineRule="exact"/>
      <w:ind w:left="357"/>
      <w:jc w:val="right"/>
    </w:pPr>
    <w:rPr>
      <w:rFonts w:ascii="Arial" w:eastAsia="MingLiU" w:hAnsi="Arial"/>
      <w:iCs/>
      <w:color w:val="00B2A9"/>
      <w:spacing w:val="-2"/>
      <w:sz w:val="28"/>
      <w:szCs w:val="24"/>
    </w:rPr>
  </w:style>
  <w:style w:type="table" w:customStyle="1" w:styleId="EPTableStyle413">
    <w:name w:val="E&amp;P Table Style 413"/>
    <w:basedOn w:val="TableNormal"/>
    <w:next w:val="TableGrid"/>
    <w:uiPriority w:val="39"/>
    <w:rsid w:val="00F50B5A"/>
    <w:pPr>
      <w:spacing w:before="60" w:after="60" w:line="220" w:lineRule="atLeast"/>
      <w:ind w:left="113" w:right="113"/>
      <w:jc w:val="both"/>
    </w:pPr>
    <w:rPr>
      <w:color w:val="363534"/>
      <w:sz w:val="18"/>
    </w:rPr>
    <w:tblPr>
      <w:tblStyleColBandSize w:val="1"/>
      <w:tblBorders>
        <w:top w:val="single" w:sz="8" w:space="0" w:color="00B2A9"/>
        <w:bottom w:val="single" w:sz="8" w:space="0" w:color="00B2A9"/>
        <w:insideH w:val="single" w:sz="8" w:space="0" w:color="00B2A9"/>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Arial" w:hAnsi="Arial"/>
        <w:b w:val="0"/>
        <w:color w:val="363534"/>
        <w:sz w:val="18"/>
      </w:rPr>
      <w:tblPr/>
      <w:tcPr>
        <w:shd w:val="clear" w:color="auto" w:fill="00B2A9"/>
      </w:tcPr>
    </w:tblStylePr>
    <w:tblStylePr w:type="lastRow">
      <w:rPr>
        <w:b w:val="0"/>
      </w:rPr>
    </w:tblStylePr>
    <w:tblStylePr w:type="lastCol">
      <w:pPr>
        <w:jc w:val="left"/>
      </w:pPr>
    </w:tblStylePr>
    <w:tblStylePr w:type="band1Vert">
      <w:tblPr/>
      <w:tcPr>
        <w:shd w:val="clear" w:color="auto" w:fill="E5F7F6"/>
      </w:tcPr>
    </w:tblStylePr>
    <w:tblStylePr w:type="nwCell">
      <w:pPr>
        <w:jc w:val="left"/>
      </w:pPr>
      <w:tblPr/>
      <w:tcPr>
        <w:vAlign w:val="center"/>
      </w:tcPr>
    </w:tblStylePr>
  </w:style>
  <w:style w:type="paragraph" w:customStyle="1" w:styleId="Heading21">
    <w:name w:val="Heading 21"/>
    <w:basedOn w:val="BodyText"/>
    <w:next w:val="BodyText"/>
    <w:uiPriority w:val="9"/>
    <w:qFormat/>
    <w:rsid w:val="00F50B5A"/>
    <w:pPr>
      <w:spacing w:before="0" w:after="0" w:line="276" w:lineRule="auto"/>
      <w:ind w:left="720" w:hanging="720"/>
      <w:jc w:val="both"/>
      <w:outlineLvl w:val="1"/>
    </w:pPr>
    <w:rPr>
      <w:rFonts w:eastAsiaTheme="minorHAnsi"/>
      <w:color w:val="00B2A9"/>
      <w:sz w:val="22"/>
      <w:szCs w:val="22"/>
      <w14:textFill>
        <w14:solidFill>
          <w14:srgbClr w14:val="00B2A9">
            <w14:lumMod w14:val="50000"/>
          </w14:srgbClr>
        </w14:solidFill>
      </w14:textFill>
    </w:rPr>
  </w:style>
  <w:style w:type="paragraph" w:customStyle="1" w:styleId="Heading31">
    <w:name w:val="Heading 31"/>
    <w:basedOn w:val="BodyText"/>
    <w:next w:val="BodyText"/>
    <w:uiPriority w:val="9"/>
    <w:qFormat/>
    <w:rsid w:val="00F50B5A"/>
    <w:pPr>
      <w:spacing w:before="0" w:after="0" w:line="276" w:lineRule="auto"/>
      <w:ind w:left="720" w:hanging="720"/>
      <w:jc w:val="both"/>
      <w:outlineLvl w:val="2"/>
    </w:pPr>
    <w:rPr>
      <w:rFonts w:eastAsiaTheme="minorHAnsi"/>
      <w:color w:val="00B2A9"/>
      <w:sz w:val="22"/>
      <w:szCs w:val="22"/>
      <w14:textFill>
        <w14:solidFill>
          <w14:srgbClr w14:val="00B2A9">
            <w14:lumMod w14:val="50000"/>
          </w14:srgbClr>
        </w14:solidFill>
      </w14:textFill>
    </w:rPr>
  </w:style>
  <w:style w:type="paragraph" w:customStyle="1" w:styleId="Heading51">
    <w:name w:val="Heading 51"/>
    <w:basedOn w:val="Normal"/>
    <w:next w:val="BodyText"/>
    <w:qFormat/>
    <w:rsid w:val="00F50B5A"/>
    <w:pPr>
      <w:keepNext/>
      <w:keepLines/>
      <w:spacing w:before="200" w:after="100" w:line="276" w:lineRule="auto"/>
      <w:ind w:left="357"/>
      <w:jc w:val="both"/>
      <w:outlineLvl w:val="4"/>
    </w:pPr>
    <w:rPr>
      <w:rFonts w:ascii="Arial" w:eastAsia="MingLiU" w:hAnsi="Arial"/>
      <w:i/>
      <w:color w:val="494847"/>
    </w:rPr>
  </w:style>
  <w:style w:type="paragraph" w:customStyle="1" w:styleId="Heading61">
    <w:name w:val="Heading 61"/>
    <w:basedOn w:val="Normal"/>
    <w:next w:val="BodyText"/>
    <w:semiHidden/>
    <w:qFormat/>
    <w:rsid w:val="00F50B5A"/>
    <w:pPr>
      <w:keepNext/>
      <w:keepLines/>
      <w:spacing w:before="100" w:after="100" w:line="276" w:lineRule="auto"/>
      <w:ind w:left="357"/>
      <w:jc w:val="both"/>
      <w:outlineLvl w:val="5"/>
    </w:pPr>
    <w:rPr>
      <w:rFonts w:ascii="Arial" w:eastAsia="MingLiU" w:hAnsi="Arial"/>
      <w:i/>
      <w:iCs/>
      <w:color w:val="00B2A9"/>
    </w:rPr>
  </w:style>
  <w:style w:type="paragraph" w:customStyle="1" w:styleId="Heading71">
    <w:name w:val="Heading 71"/>
    <w:basedOn w:val="Normal"/>
    <w:next w:val="Normal"/>
    <w:semiHidden/>
    <w:rsid w:val="00F50B5A"/>
    <w:pPr>
      <w:keepNext/>
      <w:keepLines/>
      <w:spacing w:before="2820" w:after="180" w:line="276" w:lineRule="auto"/>
      <w:ind w:left="357"/>
      <w:jc w:val="both"/>
      <w:outlineLvl w:val="6"/>
    </w:pPr>
    <w:rPr>
      <w:rFonts w:ascii="Arial" w:eastAsia="MingLiU" w:hAnsi="Arial"/>
      <w:b/>
      <w:iCs/>
      <w:color w:val="FFFFFF"/>
    </w:rPr>
  </w:style>
  <w:style w:type="paragraph" w:customStyle="1" w:styleId="AppendixTitle1">
    <w:name w:val="Appendix Title1"/>
    <w:basedOn w:val="Normal"/>
    <w:next w:val="BodyText"/>
    <w:uiPriority w:val="1"/>
    <w:semiHidden/>
    <w:rsid w:val="00F50B5A"/>
    <w:pPr>
      <w:keepNext/>
      <w:keepLines/>
      <w:pageBreakBefore/>
      <w:framePr w:w="11907" w:h="1985" w:hRule="exact" w:hSpace="11340" w:vSpace="284" w:wrap="around" w:vAnchor="page" w:hAnchor="page" w:yAlign="top"/>
      <w:tabs>
        <w:tab w:val="num" w:pos="3686"/>
      </w:tabs>
      <w:spacing w:before="1300" w:after="440" w:line="440" w:lineRule="exact"/>
      <w:ind w:left="3686" w:right="1134" w:hanging="2552"/>
      <w:jc w:val="both"/>
      <w:outlineLvl w:val="7"/>
    </w:pPr>
    <w:rPr>
      <w:rFonts w:ascii="Arial" w:eastAsia="MingLiU" w:hAnsi="Arial"/>
      <w:b/>
      <w:color w:val="00B2A9"/>
      <w:sz w:val="40"/>
    </w:rPr>
  </w:style>
  <w:style w:type="paragraph" w:customStyle="1" w:styleId="AppendixHeading11">
    <w:name w:val="Appendix Heading 11"/>
    <w:basedOn w:val="Normal"/>
    <w:next w:val="BodyText"/>
    <w:uiPriority w:val="1"/>
    <w:semiHidden/>
    <w:rsid w:val="00F50B5A"/>
    <w:pPr>
      <w:keepNext/>
      <w:keepLines/>
      <w:tabs>
        <w:tab w:val="left" w:pos="1559"/>
        <w:tab w:val="left" w:pos="1843"/>
        <w:tab w:val="left" w:pos="2126"/>
        <w:tab w:val="left" w:pos="2410"/>
      </w:tabs>
      <w:spacing w:before="100" w:after="100" w:line="280" w:lineRule="exact"/>
      <w:ind w:left="357"/>
      <w:jc w:val="both"/>
      <w:outlineLvl w:val="8"/>
    </w:pPr>
    <w:rPr>
      <w:rFonts w:cs="Arial"/>
      <w:b/>
      <w:color w:val="00B2A9"/>
      <w:sz w:val="24"/>
    </w:rPr>
  </w:style>
  <w:style w:type="table" w:customStyle="1" w:styleId="EPTableStyle414">
    <w:name w:val="E&amp;P Table Style 414"/>
    <w:basedOn w:val="TableNormal"/>
    <w:next w:val="TableGrid"/>
    <w:uiPriority w:val="39"/>
    <w:rsid w:val="00F50B5A"/>
    <w:pPr>
      <w:spacing w:before="60" w:after="60" w:line="220" w:lineRule="atLeast"/>
      <w:ind w:left="113" w:right="113"/>
      <w:jc w:val="both"/>
    </w:pPr>
    <w:rPr>
      <w:color w:val="363534"/>
      <w:sz w:val="18"/>
    </w:rPr>
    <w:tblPr>
      <w:tblStyleColBandSize w:val="1"/>
      <w:tblBorders>
        <w:top w:val="single" w:sz="8" w:space="0" w:color="00B2A9"/>
        <w:bottom w:val="single" w:sz="8" w:space="0" w:color="00B2A9"/>
        <w:insideH w:val="single" w:sz="8" w:space="0" w:color="00B2A9"/>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Arial" w:hAnsi="Arial"/>
        <w:b w:val="0"/>
        <w:color w:val="363534"/>
        <w:sz w:val="18"/>
      </w:rPr>
      <w:tblPr/>
      <w:tcPr>
        <w:shd w:val="clear" w:color="auto" w:fill="00B2A9"/>
      </w:tcPr>
    </w:tblStylePr>
    <w:tblStylePr w:type="lastRow">
      <w:rPr>
        <w:b w:val="0"/>
      </w:rPr>
    </w:tblStylePr>
    <w:tblStylePr w:type="lastCol">
      <w:pPr>
        <w:jc w:val="left"/>
      </w:pPr>
    </w:tblStylePr>
    <w:tblStylePr w:type="band1Vert">
      <w:tblPr/>
      <w:tcPr>
        <w:shd w:val="clear" w:color="auto" w:fill="E5F7F6"/>
      </w:tcPr>
    </w:tblStylePr>
    <w:tblStylePr w:type="nwCell">
      <w:pPr>
        <w:jc w:val="left"/>
      </w:pPr>
      <w:tblPr/>
      <w:tcPr>
        <w:vAlign w:val="center"/>
      </w:tcPr>
    </w:tblStylePr>
  </w:style>
  <w:style w:type="numbering" w:customStyle="1" w:styleId="1ai3">
    <w:name w:val="1 / a / i3"/>
    <w:basedOn w:val="NoList"/>
    <w:next w:val="NoList"/>
    <w:rsid w:val="00F50B5A"/>
  </w:style>
  <w:style w:type="table" w:customStyle="1" w:styleId="TableColumns31">
    <w:name w:val="Table Columns 31"/>
    <w:basedOn w:val="TableNormal"/>
    <w:next w:val="TableColumns3"/>
    <w:rsid w:val="00F50B5A"/>
    <w:pPr>
      <w:spacing w:before="0" w:after="0" w:line="276" w:lineRule="auto"/>
      <w:ind w:left="357"/>
      <w:jc w:val="both"/>
    </w:pPr>
    <w:rPr>
      <w:rFonts w:ascii="Times New Roman" w:hAnsi="Times New Roman"/>
      <w:b/>
      <w:bCs/>
      <w:color w:val="363534"/>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itle1">
    <w:name w:val="Title1"/>
    <w:basedOn w:val="Normal"/>
    <w:next w:val="Normal"/>
    <w:uiPriority w:val="10"/>
    <w:qFormat/>
    <w:rsid w:val="00F50B5A"/>
    <w:pPr>
      <w:spacing w:before="0" w:after="0" w:line="440" w:lineRule="exact"/>
      <w:ind w:left="357"/>
      <w:jc w:val="right"/>
    </w:pPr>
    <w:rPr>
      <w:rFonts w:ascii="Arial" w:eastAsia="MingLiU" w:hAnsi="Arial"/>
      <w:b/>
      <w:color w:val="FFFFFF"/>
      <w:spacing w:val="-2"/>
      <w:sz w:val="40"/>
      <w:szCs w:val="52"/>
    </w:rPr>
  </w:style>
  <w:style w:type="table" w:customStyle="1" w:styleId="TableAsPlaceholder1">
    <w:name w:val="Table As Placeholder1"/>
    <w:basedOn w:val="TableNormal"/>
    <w:uiPriority w:val="99"/>
    <w:qFormat/>
    <w:rsid w:val="00F50B5A"/>
    <w:pPr>
      <w:spacing w:before="0" w:after="0" w:line="276" w:lineRule="auto"/>
      <w:ind w:left="357"/>
      <w:jc w:val="both"/>
    </w:pPr>
    <w:rPr>
      <w:rFonts w:cs="Arial"/>
      <w:color w:val="363534"/>
    </w:rPr>
    <w:tblPr>
      <w:tblCellMar>
        <w:left w:w="0" w:type="dxa"/>
        <w:right w:w="0" w:type="dxa"/>
      </w:tblCellMar>
    </w:tblPr>
  </w:style>
  <w:style w:type="paragraph" w:customStyle="1" w:styleId="TOC11">
    <w:name w:val="TOC 11"/>
    <w:basedOn w:val="Normal"/>
    <w:next w:val="Normal"/>
    <w:uiPriority w:val="39"/>
    <w:semiHidden/>
    <w:rsid w:val="00F50B5A"/>
    <w:pPr>
      <w:tabs>
        <w:tab w:val="right" w:leader="dot" w:pos="9582"/>
      </w:tabs>
      <w:spacing w:after="60" w:line="276" w:lineRule="auto"/>
      <w:ind w:left="357" w:right="851"/>
      <w:jc w:val="both"/>
    </w:pPr>
    <w:rPr>
      <w:rFonts w:cs="Arial"/>
      <w:b/>
      <w:noProof/>
      <w:color w:val="00B2A9"/>
      <w:szCs w:val="24"/>
    </w:rPr>
  </w:style>
  <w:style w:type="paragraph" w:customStyle="1" w:styleId="TOCHeading1">
    <w:name w:val="TOC Heading1"/>
    <w:basedOn w:val="Normal"/>
    <w:next w:val="TOCHeading"/>
    <w:uiPriority w:val="99"/>
    <w:semiHidden/>
    <w:rsid w:val="00F50B5A"/>
    <w:pPr>
      <w:framePr w:w="11907" w:h="1985" w:hSpace="11340" w:vSpace="284" w:wrap="around" w:vAnchor="page" w:hAnchor="page" w:yAlign="top"/>
      <w:tabs>
        <w:tab w:val="left" w:pos="1134"/>
        <w:tab w:val="left" w:pos="2268"/>
        <w:tab w:val="left" w:pos="3402"/>
        <w:tab w:val="left" w:pos="4536"/>
        <w:tab w:val="left" w:pos="5103"/>
      </w:tabs>
      <w:spacing w:before="1300" w:after="440" w:line="240" w:lineRule="auto"/>
      <w:ind w:left="1134" w:right="1134"/>
      <w:jc w:val="both"/>
    </w:pPr>
    <w:rPr>
      <w:rFonts w:cs="Arial"/>
      <w:b/>
      <w:color w:val="00B2A9"/>
      <w:sz w:val="40"/>
      <w:szCs w:val="40"/>
    </w:rPr>
  </w:style>
  <w:style w:type="paragraph" w:customStyle="1" w:styleId="TOC31">
    <w:name w:val="TOC 31"/>
    <w:basedOn w:val="Normal"/>
    <w:next w:val="Normal"/>
    <w:uiPriority w:val="39"/>
    <w:semiHidden/>
    <w:rsid w:val="00F50B5A"/>
    <w:pPr>
      <w:tabs>
        <w:tab w:val="right" w:leader="dot" w:pos="9582"/>
      </w:tabs>
      <w:spacing w:before="60" w:after="60" w:line="276" w:lineRule="auto"/>
      <w:ind w:left="357" w:right="851"/>
      <w:jc w:val="both"/>
    </w:pPr>
    <w:rPr>
      <w:rFonts w:eastAsia="PMingLiU"/>
      <w:b/>
      <w:noProof/>
      <w:color w:val="4F4E4E"/>
    </w:rPr>
  </w:style>
  <w:style w:type="paragraph" w:customStyle="1" w:styleId="TOC51">
    <w:name w:val="TOC 51"/>
    <w:basedOn w:val="Normal"/>
    <w:next w:val="Normal"/>
    <w:autoRedefine/>
    <w:uiPriority w:val="39"/>
    <w:semiHidden/>
    <w:rsid w:val="00F50B5A"/>
    <w:pPr>
      <w:tabs>
        <w:tab w:val="right" w:pos="9582"/>
      </w:tabs>
      <w:spacing w:before="240" w:after="60" w:line="276" w:lineRule="auto"/>
      <w:ind w:left="357" w:right="851"/>
      <w:jc w:val="both"/>
    </w:pPr>
    <w:rPr>
      <w:rFonts w:cs="Arial"/>
      <w:b/>
      <w:color w:val="00B2A9"/>
    </w:rPr>
  </w:style>
  <w:style w:type="paragraph" w:customStyle="1" w:styleId="TOC81">
    <w:name w:val="TOC 81"/>
    <w:basedOn w:val="Normal"/>
    <w:next w:val="Normal"/>
    <w:autoRedefine/>
    <w:uiPriority w:val="39"/>
    <w:semiHidden/>
    <w:rsid w:val="00F50B5A"/>
    <w:pPr>
      <w:tabs>
        <w:tab w:val="right" w:leader="dot" w:pos="9582"/>
      </w:tabs>
      <w:spacing w:after="60" w:line="276" w:lineRule="auto"/>
      <w:ind w:left="357" w:right="851"/>
      <w:jc w:val="both"/>
    </w:pPr>
    <w:rPr>
      <w:rFonts w:cs="Arial"/>
      <w:b/>
      <w:color w:val="00B2A9"/>
    </w:rPr>
  </w:style>
  <w:style w:type="paragraph" w:customStyle="1" w:styleId="BlockText1">
    <w:name w:val="Block Text1"/>
    <w:basedOn w:val="Normal"/>
    <w:next w:val="BlockText"/>
    <w:semiHidden/>
    <w:unhideWhenUsed/>
    <w:rsid w:val="00F50B5A"/>
    <w:pPr>
      <w:pBdr>
        <w:top w:val="single" w:sz="2" w:space="10" w:color="00B2A9" w:frame="1"/>
        <w:left w:val="single" w:sz="2" w:space="10" w:color="00B2A9" w:frame="1"/>
        <w:bottom w:val="single" w:sz="2" w:space="10" w:color="00B2A9" w:frame="1"/>
        <w:right w:val="single" w:sz="2" w:space="10" w:color="00B2A9" w:frame="1"/>
      </w:pBdr>
      <w:spacing w:before="0" w:after="0" w:line="276" w:lineRule="auto"/>
      <w:ind w:left="1152" w:right="1152"/>
      <w:jc w:val="both"/>
    </w:pPr>
    <w:rPr>
      <w:rFonts w:eastAsia="PMingLiU"/>
      <w:i/>
      <w:iCs/>
      <w:color w:val="00B2A9"/>
    </w:rPr>
  </w:style>
  <w:style w:type="paragraph" w:customStyle="1" w:styleId="IntenseQuote1">
    <w:name w:val="Intense Quote1"/>
    <w:basedOn w:val="Normal"/>
    <w:next w:val="Normal"/>
    <w:semiHidden/>
    <w:rsid w:val="00F50B5A"/>
    <w:pPr>
      <w:pBdr>
        <w:bottom w:val="single" w:sz="4" w:space="4" w:color="00B2A9"/>
      </w:pBdr>
      <w:spacing w:before="200" w:after="280" w:line="276" w:lineRule="auto"/>
      <w:ind w:left="936" w:right="936"/>
      <w:jc w:val="both"/>
    </w:pPr>
    <w:rPr>
      <w:rFonts w:cs="Arial"/>
      <w:b/>
      <w:bCs/>
      <w:i/>
      <w:iCs/>
      <w:color w:val="E5F7F6"/>
    </w:rPr>
  </w:style>
  <w:style w:type="table" w:customStyle="1" w:styleId="PullOutBoxTable1">
    <w:name w:val="Pull Out Box Table1"/>
    <w:basedOn w:val="TableNormal"/>
    <w:uiPriority w:val="99"/>
    <w:rsid w:val="00F50B5A"/>
    <w:pPr>
      <w:spacing w:before="0" w:after="0" w:line="240" w:lineRule="auto"/>
      <w:ind w:left="357"/>
      <w:jc w:val="both"/>
    </w:pPr>
    <w:rPr>
      <w:rFonts w:cs="Arial"/>
      <w:color w:val="363534"/>
    </w:rPr>
    <w:tblPr>
      <w:tblBorders>
        <w:top w:val="single" w:sz="4" w:space="0" w:color="00B2A9"/>
        <w:left w:val="single" w:sz="4" w:space="0" w:color="00B2A9"/>
        <w:bottom w:val="single" w:sz="4" w:space="0" w:color="00B2A9"/>
        <w:right w:val="single" w:sz="4" w:space="0" w:color="00B2A9"/>
      </w:tblBorders>
      <w:tblCellMar>
        <w:top w:w="85" w:type="dxa"/>
        <w:left w:w="0" w:type="dxa"/>
        <w:bottom w:w="85" w:type="dxa"/>
        <w:right w:w="0" w:type="dxa"/>
      </w:tblCellMar>
    </w:tblPr>
    <w:tcPr>
      <w:shd w:val="clear" w:color="auto" w:fill="auto"/>
    </w:tcPr>
  </w:style>
  <w:style w:type="paragraph" w:customStyle="1" w:styleId="NormalWeb1">
    <w:name w:val="Normal (Web)1"/>
    <w:basedOn w:val="Normal"/>
    <w:next w:val="NormalWeb"/>
    <w:uiPriority w:val="99"/>
    <w:unhideWhenUsed/>
    <w:rsid w:val="00F50B5A"/>
    <w:pPr>
      <w:spacing w:before="0" w:after="0" w:line="276" w:lineRule="auto"/>
      <w:ind w:left="357"/>
      <w:jc w:val="both"/>
    </w:pPr>
    <w:rPr>
      <w:rFonts w:eastAsia="PMingLiU"/>
      <w:color w:val="363534"/>
      <w:szCs w:val="24"/>
    </w:rPr>
  </w:style>
  <w:style w:type="table" w:customStyle="1" w:styleId="TableGrid11">
    <w:name w:val="Table Grid 11"/>
    <w:basedOn w:val="TableNormal"/>
    <w:next w:val="TableGrid1"/>
    <w:rsid w:val="00F50B5A"/>
    <w:pPr>
      <w:spacing w:before="0" w:after="0" w:line="276" w:lineRule="auto"/>
      <w:ind w:left="357"/>
      <w:jc w:val="both"/>
    </w:pPr>
    <w:rPr>
      <w:rFonts w:cs="Arial"/>
      <w:color w:val="363534"/>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Classic11">
    <w:name w:val="Table Classic 11"/>
    <w:basedOn w:val="TableNormal"/>
    <w:next w:val="TableClassic1"/>
    <w:rsid w:val="00F50B5A"/>
    <w:pPr>
      <w:spacing w:before="0" w:after="0" w:line="276" w:lineRule="auto"/>
      <w:ind w:left="357"/>
      <w:jc w:val="both"/>
    </w:pPr>
    <w:rPr>
      <w:rFonts w:cs="Arial"/>
      <w:color w:val="363534"/>
      <w:sz w:val="16"/>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imple21">
    <w:name w:val="Table Simple 21"/>
    <w:basedOn w:val="TableNormal"/>
    <w:next w:val="TableSimple2"/>
    <w:rsid w:val="00F50B5A"/>
    <w:pPr>
      <w:spacing w:before="0" w:after="0" w:line="276" w:lineRule="auto"/>
      <w:ind w:left="357"/>
      <w:jc w:val="both"/>
    </w:pPr>
    <w:rPr>
      <w:rFonts w:cs="Arial"/>
      <w:color w:val="363534"/>
      <w:sz w:val="16"/>
    </w:rPr>
    <w:tblPr>
      <w:tblBorders>
        <w:top w:val="single" w:sz="4" w:space="0" w:color="auto"/>
        <w:bottom w:val="single" w:sz="4" w:space="0" w:color="auto"/>
        <w:insideH w:val="single" w:sz="4" w:space="0" w:color="auto"/>
        <w:insideV w:val="single" w:sz="4" w:space="0" w:color="auto"/>
      </w:tblBorders>
    </w:tblPr>
    <w:tblStylePr w:type="firstRow">
      <w:rPr>
        <w:b/>
        <w:bCs/>
      </w:rPr>
      <w:tblPr/>
      <w:tcPr>
        <w:tcBorders>
          <w:top w:val="nil"/>
          <w:left w:val="nil"/>
          <w:bottom w:val="single" w:sz="24" w:space="0" w:color="00B2A9"/>
          <w:right w:val="nil"/>
          <w:insideV w:val="single" w:sz="4"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ubtle21">
    <w:name w:val="Table Subtle 21"/>
    <w:basedOn w:val="TableNormal"/>
    <w:next w:val="TableSubtle2"/>
    <w:rsid w:val="00F50B5A"/>
    <w:pPr>
      <w:spacing w:before="0" w:after="0" w:line="276" w:lineRule="auto"/>
      <w:ind w:left="357"/>
      <w:jc w:val="both"/>
    </w:pPr>
    <w:rPr>
      <w:rFonts w:cs="Arial"/>
      <w:color w:val="363534"/>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FollowedHyperlink1">
    <w:name w:val="FollowedHyperlink1"/>
    <w:basedOn w:val="DefaultParagraphFont"/>
    <w:uiPriority w:val="99"/>
    <w:rsid w:val="00F50B5A"/>
    <w:rPr>
      <w:color w:val="800080"/>
      <w:u w:val="single"/>
    </w:rPr>
  </w:style>
  <w:style w:type="table" w:customStyle="1" w:styleId="LogoPlaceholder1">
    <w:name w:val="Logo Placeholder1"/>
    <w:basedOn w:val="TableNormal"/>
    <w:uiPriority w:val="99"/>
    <w:rsid w:val="00F50B5A"/>
    <w:pPr>
      <w:spacing w:before="0" w:after="0" w:line="240" w:lineRule="auto"/>
      <w:ind w:left="357"/>
      <w:jc w:val="both"/>
    </w:pPr>
    <w:rPr>
      <w:rFonts w:cs="Arial"/>
      <w:color w:val="363534"/>
    </w:rPr>
    <w:tblPr>
      <w:tblCellSpacing w:w="142" w:type="dxa"/>
      <w:tblCellMar>
        <w:left w:w="0" w:type="dxa"/>
        <w:right w:w="0" w:type="dxa"/>
      </w:tblCellMar>
    </w:tblPr>
    <w:trPr>
      <w:tblCellSpacing w:w="142" w:type="dxa"/>
    </w:trPr>
  </w:style>
  <w:style w:type="table" w:customStyle="1" w:styleId="DELWPTableNormal1">
    <w:name w:val="DELWP Table Normal1"/>
    <w:basedOn w:val="TableNormal"/>
    <w:uiPriority w:val="99"/>
    <w:rsid w:val="00F50B5A"/>
    <w:pPr>
      <w:spacing w:before="0" w:after="0" w:line="240" w:lineRule="auto"/>
      <w:ind w:left="357"/>
      <w:jc w:val="both"/>
    </w:pPr>
    <w:rPr>
      <w:rFonts w:cs="Arial"/>
      <w:color w:val="363534"/>
    </w:rPr>
    <w:tblPr/>
  </w:style>
  <w:style w:type="paragraph" w:customStyle="1" w:styleId="PlainText1">
    <w:name w:val="Plain Text1"/>
    <w:basedOn w:val="Normal"/>
    <w:next w:val="PlainText"/>
    <w:uiPriority w:val="99"/>
    <w:unhideWhenUsed/>
    <w:rsid w:val="00F50B5A"/>
    <w:pPr>
      <w:spacing w:before="0" w:after="0" w:line="240" w:lineRule="auto"/>
      <w:ind w:left="357"/>
      <w:jc w:val="both"/>
    </w:pPr>
    <w:rPr>
      <w:rFonts w:ascii="Calibri" w:eastAsia="Arial" w:hAnsi="Calibri"/>
      <w:sz w:val="22"/>
      <w:szCs w:val="21"/>
      <w:lang w:eastAsia="en-US"/>
    </w:rPr>
  </w:style>
  <w:style w:type="table" w:customStyle="1" w:styleId="EPTableStyle422">
    <w:name w:val="E&amp;P Table Style 422"/>
    <w:basedOn w:val="TableNormal"/>
    <w:next w:val="TableGrid"/>
    <w:uiPriority w:val="39"/>
    <w:rsid w:val="00F50B5A"/>
    <w:pPr>
      <w:spacing w:before="60" w:after="60" w:line="220" w:lineRule="atLeast"/>
      <w:ind w:left="113" w:right="113"/>
    </w:pPr>
    <w:rPr>
      <w:color w:val="363534"/>
      <w:sz w:val="18"/>
    </w:rPr>
    <w:tblPr>
      <w:tblStyleColBandSize w:val="1"/>
      <w:tblBorders>
        <w:top w:val="single" w:sz="8" w:space="0" w:color="00B2A9"/>
        <w:bottom w:val="single" w:sz="8" w:space="0" w:color="00B2A9"/>
        <w:insideH w:val="single" w:sz="8" w:space="0" w:color="00B2A9"/>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Arial" w:hAnsi="Arial"/>
        <w:b w:val="0"/>
        <w:color w:val="363534"/>
        <w:sz w:val="18"/>
      </w:rPr>
      <w:tblPr/>
      <w:tcPr>
        <w:shd w:val="clear" w:color="auto" w:fill="00B2A9"/>
      </w:tcPr>
    </w:tblStylePr>
    <w:tblStylePr w:type="lastRow">
      <w:rPr>
        <w:b w:val="0"/>
      </w:rPr>
    </w:tblStylePr>
    <w:tblStylePr w:type="lastCol">
      <w:pPr>
        <w:jc w:val="left"/>
      </w:pPr>
    </w:tblStylePr>
    <w:tblStylePr w:type="band1Vert">
      <w:tblPr/>
      <w:tcPr>
        <w:shd w:val="clear" w:color="auto" w:fill="E5F7F6"/>
      </w:tcPr>
    </w:tblStylePr>
    <w:tblStylePr w:type="nwCell">
      <w:pPr>
        <w:jc w:val="left"/>
      </w:pPr>
      <w:tblPr/>
      <w:tcPr>
        <w:vAlign w:val="center"/>
      </w:tcPr>
    </w:tblStylePr>
  </w:style>
  <w:style w:type="table" w:customStyle="1" w:styleId="EPTableStyle431">
    <w:name w:val="E&amp;P Table Style 431"/>
    <w:basedOn w:val="TableNormal"/>
    <w:next w:val="TableGrid"/>
    <w:rsid w:val="00F50B5A"/>
    <w:pPr>
      <w:spacing w:before="60" w:after="60" w:line="220" w:lineRule="atLeast"/>
      <w:ind w:left="113" w:right="113"/>
    </w:pPr>
    <w:rPr>
      <w:color w:val="363534"/>
      <w:sz w:val="18"/>
    </w:rPr>
    <w:tblPr>
      <w:tblStyleColBandSize w:val="1"/>
      <w:tblBorders>
        <w:top w:val="single" w:sz="8" w:space="0" w:color="00B2A9"/>
        <w:bottom w:val="single" w:sz="8" w:space="0" w:color="00B2A9"/>
        <w:insideH w:val="single" w:sz="8" w:space="0" w:color="00B2A9"/>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Arial" w:hAnsi="Arial"/>
        <w:b w:val="0"/>
        <w:color w:val="363534"/>
        <w:sz w:val="18"/>
      </w:rPr>
      <w:tblPr/>
      <w:tcPr>
        <w:shd w:val="clear" w:color="auto" w:fill="00B2A9"/>
      </w:tcPr>
    </w:tblStylePr>
    <w:tblStylePr w:type="lastRow">
      <w:rPr>
        <w:b w:val="0"/>
      </w:rPr>
    </w:tblStylePr>
    <w:tblStylePr w:type="lastCol">
      <w:pPr>
        <w:jc w:val="left"/>
      </w:pPr>
    </w:tblStylePr>
    <w:tblStylePr w:type="band1Vert">
      <w:tblPr/>
      <w:tcPr>
        <w:shd w:val="clear" w:color="auto" w:fill="E5F7F6"/>
      </w:tcPr>
    </w:tblStylePr>
    <w:tblStylePr w:type="nwCell">
      <w:pPr>
        <w:jc w:val="left"/>
      </w:pPr>
      <w:tblPr/>
      <w:tcPr>
        <w:vAlign w:val="center"/>
      </w:tcPr>
    </w:tblStylePr>
  </w:style>
  <w:style w:type="character" w:customStyle="1" w:styleId="Heading2Char1">
    <w:name w:val="Heading 2 Char1"/>
    <w:basedOn w:val="DefaultParagraphFont"/>
    <w:uiPriority w:val="9"/>
    <w:semiHidden/>
    <w:rsid w:val="00F50B5A"/>
    <w:rPr>
      <w:rFonts w:ascii="Calibri Light" w:eastAsia="Times New Roman" w:hAnsi="Calibri Light" w:cs="Times New Roman"/>
      <w:color w:val="2F5496"/>
      <w:sz w:val="26"/>
      <w:szCs w:val="26"/>
    </w:rPr>
  </w:style>
  <w:style w:type="character" w:customStyle="1" w:styleId="Heading3Char1">
    <w:name w:val="Heading 3 Char1"/>
    <w:basedOn w:val="DefaultParagraphFont"/>
    <w:uiPriority w:val="9"/>
    <w:semiHidden/>
    <w:rsid w:val="00F50B5A"/>
    <w:rPr>
      <w:rFonts w:ascii="Calibri Light" w:eastAsia="Times New Roman" w:hAnsi="Calibri Light" w:cs="Times New Roman"/>
      <w:color w:val="1F3763"/>
      <w:sz w:val="24"/>
      <w:szCs w:val="24"/>
    </w:rPr>
  </w:style>
  <w:style w:type="table" w:customStyle="1" w:styleId="TableGrid20">
    <w:name w:val="Table Grid2"/>
    <w:basedOn w:val="TableNormal"/>
    <w:next w:val="TableGrid"/>
    <w:uiPriority w:val="39"/>
    <w:rsid w:val="00F50B5A"/>
    <w:pPr>
      <w:spacing w:before="0" w:after="0" w:line="240" w:lineRule="auto"/>
    </w:pPr>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ubtitleChar1">
    <w:name w:val="Subtitle Char1"/>
    <w:basedOn w:val="DefaultParagraphFont"/>
    <w:uiPriority w:val="11"/>
    <w:rsid w:val="00F50B5A"/>
    <w:rPr>
      <w:rFonts w:eastAsia="Times New Roman"/>
      <w:color w:val="5A5A5A"/>
      <w:spacing w:val="15"/>
    </w:rPr>
  </w:style>
  <w:style w:type="character" w:customStyle="1" w:styleId="TitleChar1">
    <w:name w:val="Title Char1"/>
    <w:basedOn w:val="DefaultParagraphFont"/>
    <w:uiPriority w:val="10"/>
    <w:rsid w:val="00F50B5A"/>
    <w:rPr>
      <w:rFonts w:ascii="Calibri Light" w:eastAsia="Times New Roman" w:hAnsi="Calibri Light" w:cs="Times New Roman"/>
      <w:spacing w:val="-10"/>
      <w:kern w:val="28"/>
      <w:sz w:val="56"/>
      <w:szCs w:val="56"/>
    </w:rPr>
  </w:style>
  <w:style w:type="character" w:customStyle="1" w:styleId="Heading7Char1">
    <w:name w:val="Heading 7 Char1"/>
    <w:basedOn w:val="DefaultParagraphFont"/>
    <w:uiPriority w:val="9"/>
    <w:semiHidden/>
    <w:rsid w:val="00F50B5A"/>
    <w:rPr>
      <w:rFonts w:ascii="Calibri Light" w:eastAsia="Times New Roman" w:hAnsi="Calibri Light" w:cs="Times New Roman"/>
      <w:i/>
      <w:iCs/>
      <w:color w:val="1F3763"/>
    </w:rPr>
  </w:style>
  <w:style w:type="character" w:customStyle="1" w:styleId="Heading9Char1">
    <w:name w:val="Heading 9 Char1"/>
    <w:basedOn w:val="DefaultParagraphFont"/>
    <w:uiPriority w:val="9"/>
    <w:semiHidden/>
    <w:rsid w:val="00F50B5A"/>
    <w:rPr>
      <w:rFonts w:ascii="Calibri Light" w:eastAsia="Times New Roman" w:hAnsi="Calibri Light" w:cs="Times New Roman"/>
      <w:i/>
      <w:iCs/>
      <w:color w:val="272727"/>
      <w:sz w:val="21"/>
      <w:szCs w:val="21"/>
    </w:rPr>
  </w:style>
  <w:style w:type="character" w:customStyle="1" w:styleId="Heading8Char1">
    <w:name w:val="Heading 8 Char1"/>
    <w:basedOn w:val="DefaultParagraphFont"/>
    <w:uiPriority w:val="9"/>
    <w:semiHidden/>
    <w:rsid w:val="00F50B5A"/>
    <w:rPr>
      <w:rFonts w:ascii="Calibri Light" w:eastAsia="Times New Roman" w:hAnsi="Calibri Light" w:cs="Times New Roman"/>
      <w:color w:val="272727"/>
      <w:sz w:val="21"/>
      <w:szCs w:val="21"/>
    </w:rPr>
  </w:style>
  <w:style w:type="character" w:customStyle="1" w:styleId="Heading6Char1">
    <w:name w:val="Heading 6 Char1"/>
    <w:basedOn w:val="DefaultParagraphFont"/>
    <w:uiPriority w:val="9"/>
    <w:semiHidden/>
    <w:rsid w:val="00F50B5A"/>
    <w:rPr>
      <w:rFonts w:ascii="Calibri Light" w:eastAsia="Times New Roman" w:hAnsi="Calibri Light" w:cs="Times New Roman"/>
      <w:color w:val="1F3763"/>
    </w:rPr>
  </w:style>
  <w:style w:type="character" w:customStyle="1" w:styleId="Heading5Char1">
    <w:name w:val="Heading 5 Char1"/>
    <w:basedOn w:val="DefaultParagraphFont"/>
    <w:uiPriority w:val="9"/>
    <w:semiHidden/>
    <w:rsid w:val="00F50B5A"/>
    <w:rPr>
      <w:rFonts w:ascii="Calibri Light" w:eastAsia="Times New Roman" w:hAnsi="Calibri Light" w:cs="Times New Roman"/>
      <w:color w:val="2F5496"/>
    </w:rPr>
  </w:style>
  <w:style w:type="character" w:customStyle="1" w:styleId="IntenseQuoteChar1">
    <w:name w:val="Intense Quote Char1"/>
    <w:basedOn w:val="DefaultParagraphFont"/>
    <w:uiPriority w:val="30"/>
    <w:rsid w:val="00F50B5A"/>
    <w:rPr>
      <w:i/>
      <w:iCs/>
      <w:color w:val="4472C4"/>
    </w:rPr>
  </w:style>
  <w:style w:type="table" w:customStyle="1" w:styleId="TableSimple22">
    <w:name w:val="Table Simple 22"/>
    <w:basedOn w:val="TableNormal"/>
    <w:next w:val="TableSimple2"/>
    <w:uiPriority w:val="99"/>
    <w:semiHidden/>
    <w:unhideWhenUsed/>
    <w:rsid w:val="00F50B5A"/>
    <w:pPr>
      <w:spacing w:before="0" w:after="160" w:line="259" w:lineRule="auto"/>
    </w:pPr>
    <w:rPr>
      <w:rFonts w:eastAsia="Calibri"/>
      <w:sz w:val="22"/>
      <w:szCs w:val="22"/>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character" w:customStyle="1" w:styleId="PlainTextChar1">
    <w:name w:val="Plain Text Char1"/>
    <w:basedOn w:val="DefaultParagraphFont"/>
    <w:uiPriority w:val="99"/>
    <w:semiHidden/>
    <w:rsid w:val="00F50B5A"/>
    <w:rPr>
      <w:rFonts w:ascii="Consolas" w:hAnsi="Consolas"/>
      <w:sz w:val="21"/>
      <w:szCs w:val="21"/>
    </w:rPr>
  </w:style>
  <w:style w:type="table" w:customStyle="1" w:styleId="EPTableStyle432">
    <w:name w:val="E&amp;P Table Style 432"/>
    <w:basedOn w:val="TableNormal"/>
    <w:next w:val="TableGrid"/>
    <w:uiPriority w:val="39"/>
    <w:rsid w:val="00F50B5A"/>
    <w:pPr>
      <w:spacing w:before="60" w:after="60" w:line="220" w:lineRule="atLeast"/>
      <w:ind w:left="113" w:right="113"/>
      <w:jc w:val="both"/>
    </w:pPr>
    <w:rPr>
      <w:color w:val="363534"/>
      <w:sz w:val="18"/>
    </w:rPr>
    <w:tblPr>
      <w:tblStyleColBandSize w:val="1"/>
      <w:tblBorders>
        <w:top w:val="single" w:sz="8" w:space="0" w:color="00B2A9"/>
        <w:bottom w:val="single" w:sz="8" w:space="0" w:color="00B2A9"/>
        <w:insideH w:val="single" w:sz="8" w:space="0" w:color="00B2A9"/>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Arial" w:hAnsi="Arial"/>
        <w:b w:val="0"/>
        <w:color w:val="363534"/>
        <w:sz w:val="18"/>
      </w:rPr>
      <w:tblPr/>
      <w:tcPr>
        <w:shd w:val="clear" w:color="auto" w:fill="00B2A9"/>
      </w:tcPr>
    </w:tblStylePr>
    <w:tblStylePr w:type="lastRow">
      <w:rPr>
        <w:b w:val="0"/>
      </w:rPr>
    </w:tblStylePr>
    <w:tblStylePr w:type="lastCol">
      <w:pPr>
        <w:jc w:val="left"/>
      </w:pPr>
    </w:tblStylePr>
    <w:tblStylePr w:type="band1Vert">
      <w:tblPr/>
      <w:tcPr>
        <w:shd w:val="clear" w:color="auto" w:fill="E5F7F6"/>
      </w:tcPr>
    </w:tblStylePr>
    <w:tblStylePr w:type="nwCell">
      <w:pPr>
        <w:jc w:val="left"/>
      </w:pPr>
      <w:tblPr/>
      <w:tcPr>
        <w:vAlign w:val="center"/>
      </w:tcPr>
    </w:tblStylePr>
  </w:style>
  <w:style w:type="table" w:customStyle="1" w:styleId="EPTableStyle44">
    <w:name w:val="E&amp;P Table Style 44"/>
    <w:basedOn w:val="TableNormal"/>
    <w:next w:val="TableGrid"/>
    <w:uiPriority w:val="39"/>
    <w:rsid w:val="00F50B5A"/>
    <w:pPr>
      <w:spacing w:before="60" w:after="60" w:line="220" w:lineRule="atLeast"/>
      <w:ind w:left="113" w:right="113"/>
      <w:jc w:val="both"/>
    </w:pPr>
    <w:rPr>
      <w:color w:val="363534"/>
      <w:sz w:val="18"/>
    </w:rPr>
    <w:tblPr>
      <w:tblStyleColBandSize w:val="1"/>
      <w:tblBorders>
        <w:top w:val="single" w:sz="8" w:space="0" w:color="00B2A9"/>
        <w:bottom w:val="single" w:sz="8" w:space="0" w:color="00B2A9"/>
        <w:insideH w:val="single" w:sz="8" w:space="0" w:color="00B2A9"/>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Arial" w:hAnsi="Arial"/>
        <w:b w:val="0"/>
        <w:color w:val="363534"/>
        <w:sz w:val="18"/>
      </w:rPr>
      <w:tblPr/>
      <w:tcPr>
        <w:shd w:val="clear" w:color="auto" w:fill="00B2A9"/>
      </w:tcPr>
    </w:tblStylePr>
    <w:tblStylePr w:type="lastRow">
      <w:rPr>
        <w:b w:val="0"/>
      </w:rPr>
    </w:tblStylePr>
    <w:tblStylePr w:type="lastCol">
      <w:pPr>
        <w:jc w:val="left"/>
      </w:pPr>
    </w:tblStylePr>
    <w:tblStylePr w:type="band1Vert">
      <w:tblPr/>
      <w:tcPr>
        <w:shd w:val="clear" w:color="auto" w:fill="E5F7F6"/>
      </w:tcPr>
    </w:tblStylePr>
    <w:tblStylePr w:type="nwCell">
      <w:pPr>
        <w:jc w:val="left"/>
      </w:pPr>
      <w:tblPr/>
      <w:tcPr>
        <w:vAlign w:val="center"/>
      </w:tcPr>
    </w:tblStylePr>
  </w:style>
  <w:style w:type="table" w:customStyle="1" w:styleId="EPTableStyle45">
    <w:name w:val="E&amp;P Table Style 45"/>
    <w:basedOn w:val="TableNormal"/>
    <w:next w:val="TableGrid"/>
    <w:uiPriority w:val="39"/>
    <w:rsid w:val="00F50B5A"/>
    <w:pPr>
      <w:spacing w:before="60" w:after="60" w:line="220" w:lineRule="atLeast"/>
      <w:ind w:left="113" w:right="113"/>
      <w:jc w:val="both"/>
    </w:pPr>
    <w:rPr>
      <w:color w:val="363534"/>
      <w:sz w:val="18"/>
    </w:rPr>
    <w:tblPr>
      <w:tblStyleColBandSize w:val="1"/>
      <w:tblBorders>
        <w:top w:val="single" w:sz="8" w:space="0" w:color="00B2A9"/>
        <w:bottom w:val="single" w:sz="8" w:space="0" w:color="00B2A9"/>
        <w:insideH w:val="single" w:sz="8" w:space="0" w:color="00B2A9"/>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Arial" w:hAnsi="Arial"/>
        <w:b w:val="0"/>
        <w:color w:val="363534"/>
        <w:sz w:val="18"/>
      </w:rPr>
      <w:tblPr/>
      <w:tcPr>
        <w:shd w:val="clear" w:color="auto" w:fill="00B2A9"/>
      </w:tcPr>
    </w:tblStylePr>
    <w:tblStylePr w:type="lastRow">
      <w:rPr>
        <w:b w:val="0"/>
      </w:rPr>
    </w:tblStylePr>
    <w:tblStylePr w:type="lastCol">
      <w:pPr>
        <w:jc w:val="left"/>
      </w:pPr>
    </w:tblStylePr>
    <w:tblStylePr w:type="band1Vert">
      <w:tblPr/>
      <w:tcPr>
        <w:shd w:val="clear" w:color="auto" w:fill="E5F7F6"/>
      </w:tcPr>
    </w:tblStylePr>
    <w:tblStylePr w:type="nwCell">
      <w:pPr>
        <w:jc w:val="left"/>
      </w:pPr>
      <w:tblPr/>
      <w:tcPr>
        <w:vAlign w:val="center"/>
      </w:tcPr>
    </w:tblStylePr>
  </w:style>
  <w:style w:type="table" w:customStyle="1" w:styleId="EPTableStyle46">
    <w:name w:val="E&amp;P Table Style 46"/>
    <w:basedOn w:val="TableNormal"/>
    <w:next w:val="TableGrid"/>
    <w:uiPriority w:val="39"/>
    <w:rsid w:val="00F50B5A"/>
    <w:pPr>
      <w:spacing w:before="60" w:after="60" w:line="220" w:lineRule="atLeast"/>
      <w:ind w:left="113" w:right="113"/>
      <w:jc w:val="both"/>
    </w:pPr>
    <w:rPr>
      <w:color w:val="363534"/>
      <w:sz w:val="18"/>
    </w:rPr>
    <w:tblPr>
      <w:tblStyleColBandSize w:val="1"/>
      <w:tblBorders>
        <w:top w:val="single" w:sz="8" w:space="0" w:color="00B2A9"/>
        <w:bottom w:val="single" w:sz="8" w:space="0" w:color="00B2A9"/>
        <w:insideH w:val="single" w:sz="8" w:space="0" w:color="00B2A9"/>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Arial" w:hAnsi="Arial"/>
        <w:b w:val="0"/>
        <w:color w:val="363534"/>
        <w:sz w:val="18"/>
      </w:rPr>
      <w:tblPr/>
      <w:tcPr>
        <w:shd w:val="clear" w:color="auto" w:fill="00B2A9"/>
      </w:tcPr>
    </w:tblStylePr>
    <w:tblStylePr w:type="lastRow">
      <w:rPr>
        <w:b w:val="0"/>
      </w:rPr>
    </w:tblStylePr>
    <w:tblStylePr w:type="lastCol">
      <w:pPr>
        <w:jc w:val="left"/>
      </w:pPr>
    </w:tblStylePr>
    <w:tblStylePr w:type="band1Vert">
      <w:tblPr/>
      <w:tcPr>
        <w:shd w:val="clear" w:color="auto" w:fill="E5F7F6"/>
      </w:tcPr>
    </w:tblStylePr>
    <w:tblStylePr w:type="nwCell">
      <w:pPr>
        <w:jc w:val="left"/>
      </w:pPr>
      <w:tblPr/>
      <w:tcPr>
        <w:vAlign w:val="center"/>
      </w:tcPr>
    </w:tblStylePr>
  </w:style>
  <w:style w:type="table" w:customStyle="1" w:styleId="EPTableStyle47">
    <w:name w:val="E&amp;P Table Style 47"/>
    <w:basedOn w:val="TableNormal"/>
    <w:next w:val="TableGrid"/>
    <w:uiPriority w:val="39"/>
    <w:rsid w:val="00F50B5A"/>
    <w:pPr>
      <w:spacing w:before="60" w:after="60" w:line="220" w:lineRule="atLeast"/>
      <w:ind w:left="113" w:right="113"/>
      <w:jc w:val="both"/>
    </w:pPr>
    <w:rPr>
      <w:color w:val="363534"/>
      <w:sz w:val="18"/>
    </w:rPr>
    <w:tblPr>
      <w:tblStyleColBandSize w:val="1"/>
      <w:tblBorders>
        <w:top w:val="single" w:sz="8" w:space="0" w:color="00B2A9"/>
        <w:bottom w:val="single" w:sz="8" w:space="0" w:color="00B2A9"/>
        <w:insideH w:val="single" w:sz="8" w:space="0" w:color="00B2A9"/>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Arial" w:hAnsi="Arial"/>
        <w:b w:val="0"/>
        <w:color w:val="363534"/>
        <w:sz w:val="18"/>
      </w:rPr>
      <w:tblPr/>
      <w:tcPr>
        <w:shd w:val="clear" w:color="auto" w:fill="00B2A9"/>
      </w:tcPr>
    </w:tblStylePr>
    <w:tblStylePr w:type="lastRow">
      <w:rPr>
        <w:b w:val="0"/>
      </w:rPr>
    </w:tblStylePr>
    <w:tblStylePr w:type="lastCol">
      <w:pPr>
        <w:jc w:val="left"/>
      </w:pPr>
    </w:tblStylePr>
    <w:tblStylePr w:type="band1Vert">
      <w:tblPr/>
      <w:tcPr>
        <w:shd w:val="clear" w:color="auto" w:fill="E5F7F6"/>
      </w:tcPr>
    </w:tblStylePr>
    <w:tblStylePr w:type="nwCell">
      <w:pPr>
        <w:jc w:val="left"/>
      </w:pPr>
      <w:tblPr/>
      <w:tcPr>
        <w:vAlign w:val="center"/>
      </w:tcPr>
    </w:tblStylePr>
  </w:style>
  <w:style w:type="table" w:customStyle="1" w:styleId="EPTableStyle48">
    <w:name w:val="E&amp;P Table Style 48"/>
    <w:basedOn w:val="TableNormal"/>
    <w:next w:val="TableGrid"/>
    <w:uiPriority w:val="39"/>
    <w:rsid w:val="00F50B5A"/>
    <w:pPr>
      <w:spacing w:before="60" w:after="60" w:line="220" w:lineRule="atLeast"/>
      <w:ind w:left="113" w:right="113"/>
      <w:jc w:val="both"/>
    </w:pPr>
    <w:rPr>
      <w:color w:val="363534"/>
      <w:sz w:val="18"/>
    </w:rPr>
    <w:tblPr>
      <w:tblStyleColBandSize w:val="1"/>
      <w:tblBorders>
        <w:top w:val="single" w:sz="8" w:space="0" w:color="00B2A9"/>
        <w:bottom w:val="single" w:sz="8" w:space="0" w:color="00B2A9"/>
        <w:insideH w:val="single" w:sz="8" w:space="0" w:color="00B2A9"/>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Arial" w:hAnsi="Arial"/>
        <w:b w:val="0"/>
        <w:color w:val="363534"/>
        <w:sz w:val="18"/>
      </w:rPr>
      <w:tblPr/>
      <w:tcPr>
        <w:shd w:val="clear" w:color="auto" w:fill="00B2A9"/>
      </w:tcPr>
    </w:tblStylePr>
    <w:tblStylePr w:type="lastRow">
      <w:rPr>
        <w:b w:val="0"/>
      </w:rPr>
    </w:tblStylePr>
    <w:tblStylePr w:type="lastCol">
      <w:pPr>
        <w:jc w:val="left"/>
      </w:pPr>
    </w:tblStylePr>
    <w:tblStylePr w:type="band1Vert">
      <w:tblPr/>
      <w:tcPr>
        <w:shd w:val="clear" w:color="auto" w:fill="E5F7F6"/>
      </w:tcPr>
    </w:tblStylePr>
    <w:tblStylePr w:type="nwCell">
      <w:pPr>
        <w:jc w:val="left"/>
      </w:pPr>
      <w:tblPr/>
      <w:tcPr>
        <w:vAlign w:val="center"/>
      </w:tcPr>
    </w:tblStylePr>
  </w:style>
  <w:style w:type="table" w:customStyle="1" w:styleId="EPTableStyle49">
    <w:name w:val="E&amp;P Table Style 49"/>
    <w:basedOn w:val="TableNormal"/>
    <w:next w:val="TableGrid"/>
    <w:uiPriority w:val="39"/>
    <w:rsid w:val="00F50B5A"/>
    <w:pPr>
      <w:spacing w:before="60" w:after="60" w:line="220" w:lineRule="atLeast"/>
      <w:ind w:left="113" w:right="113"/>
      <w:jc w:val="both"/>
    </w:pPr>
    <w:rPr>
      <w:color w:val="363534"/>
      <w:sz w:val="18"/>
    </w:rPr>
    <w:tblPr>
      <w:tblStyleColBandSize w:val="1"/>
      <w:tblBorders>
        <w:top w:val="single" w:sz="8" w:space="0" w:color="00B2A9"/>
        <w:bottom w:val="single" w:sz="8" w:space="0" w:color="00B2A9"/>
        <w:insideH w:val="single" w:sz="8" w:space="0" w:color="00B2A9"/>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Arial" w:hAnsi="Arial"/>
        <w:b w:val="0"/>
        <w:color w:val="363534"/>
        <w:sz w:val="18"/>
      </w:rPr>
      <w:tblPr/>
      <w:tcPr>
        <w:shd w:val="clear" w:color="auto" w:fill="00B2A9"/>
      </w:tcPr>
    </w:tblStylePr>
    <w:tblStylePr w:type="lastRow">
      <w:rPr>
        <w:b w:val="0"/>
      </w:rPr>
    </w:tblStylePr>
    <w:tblStylePr w:type="lastCol">
      <w:pPr>
        <w:jc w:val="left"/>
      </w:pPr>
    </w:tblStylePr>
    <w:tblStylePr w:type="band1Vert">
      <w:tblPr/>
      <w:tcPr>
        <w:shd w:val="clear" w:color="auto" w:fill="E5F7F6"/>
      </w:tcPr>
    </w:tblStylePr>
    <w:tblStylePr w:type="nwCell">
      <w:pPr>
        <w:jc w:val="left"/>
      </w:pPr>
      <w:tblPr/>
      <w:tcPr>
        <w:vAlign w:val="center"/>
      </w:tcPr>
    </w:tblStylePr>
  </w:style>
  <w:style w:type="table" w:customStyle="1" w:styleId="EPTableStyle410">
    <w:name w:val="E&amp;P Table Style 410"/>
    <w:basedOn w:val="TableNormal"/>
    <w:next w:val="TableGrid"/>
    <w:uiPriority w:val="39"/>
    <w:rsid w:val="00F50B5A"/>
    <w:pPr>
      <w:spacing w:before="60" w:after="60" w:line="220" w:lineRule="atLeast"/>
      <w:ind w:left="113" w:right="113"/>
      <w:jc w:val="both"/>
    </w:pPr>
    <w:rPr>
      <w:color w:val="363534"/>
      <w:sz w:val="18"/>
    </w:rPr>
    <w:tblPr>
      <w:tblStyleColBandSize w:val="1"/>
      <w:tblBorders>
        <w:top w:val="single" w:sz="8" w:space="0" w:color="00B2A9"/>
        <w:bottom w:val="single" w:sz="8" w:space="0" w:color="00B2A9"/>
        <w:insideH w:val="single" w:sz="8" w:space="0" w:color="00B2A9"/>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Arial" w:hAnsi="Arial"/>
        <w:b w:val="0"/>
        <w:color w:val="363534"/>
        <w:sz w:val="18"/>
      </w:rPr>
      <w:tblPr/>
      <w:tcPr>
        <w:shd w:val="clear" w:color="auto" w:fill="00B2A9"/>
      </w:tcPr>
    </w:tblStylePr>
    <w:tblStylePr w:type="lastRow">
      <w:rPr>
        <w:b w:val="0"/>
      </w:rPr>
    </w:tblStylePr>
    <w:tblStylePr w:type="lastCol">
      <w:pPr>
        <w:jc w:val="left"/>
      </w:pPr>
    </w:tblStylePr>
    <w:tblStylePr w:type="band1Vert">
      <w:tblPr/>
      <w:tcPr>
        <w:shd w:val="clear" w:color="auto" w:fill="E5F7F6"/>
      </w:tcPr>
    </w:tblStylePr>
    <w:tblStylePr w:type="nwCell">
      <w:pPr>
        <w:jc w:val="left"/>
      </w:pPr>
      <w:tblPr/>
      <w:tcPr>
        <w:vAlign w:val="center"/>
      </w:tcPr>
    </w:tblStylePr>
  </w:style>
  <w:style w:type="table" w:customStyle="1" w:styleId="EPTableStyle415">
    <w:name w:val="E&amp;P Table Style 415"/>
    <w:basedOn w:val="TableNormal"/>
    <w:next w:val="TableGrid"/>
    <w:uiPriority w:val="39"/>
    <w:rsid w:val="00F50B5A"/>
    <w:pPr>
      <w:spacing w:before="60" w:after="60" w:line="220" w:lineRule="atLeast"/>
      <w:ind w:left="113" w:right="113"/>
      <w:jc w:val="both"/>
    </w:pPr>
    <w:rPr>
      <w:color w:val="363534"/>
      <w:sz w:val="18"/>
    </w:rPr>
    <w:tblPr>
      <w:tblStyleColBandSize w:val="1"/>
      <w:tblBorders>
        <w:top w:val="single" w:sz="8" w:space="0" w:color="00B2A9"/>
        <w:bottom w:val="single" w:sz="8" w:space="0" w:color="00B2A9"/>
        <w:insideH w:val="single" w:sz="8" w:space="0" w:color="00B2A9"/>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Arial" w:hAnsi="Arial"/>
        <w:b w:val="0"/>
        <w:color w:val="363534"/>
        <w:sz w:val="18"/>
      </w:rPr>
      <w:tblPr/>
      <w:tcPr>
        <w:shd w:val="clear" w:color="auto" w:fill="00B2A9"/>
      </w:tcPr>
    </w:tblStylePr>
    <w:tblStylePr w:type="lastRow">
      <w:rPr>
        <w:b w:val="0"/>
      </w:rPr>
    </w:tblStylePr>
    <w:tblStylePr w:type="lastCol">
      <w:pPr>
        <w:jc w:val="left"/>
      </w:pPr>
    </w:tblStylePr>
    <w:tblStylePr w:type="band1Vert">
      <w:tblPr/>
      <w:tcPr>
        <w:shd w:val="clear" w:color="auto" w:fill="E5F7F6"/>
      </w:tcPr>
    </w:tblStylePr>
    <w:tblStylePr w:type="nwCell">
      <w:pPr>
        <w:jc w:val="left"/>
      </w:pPr>
      <w:tblPr/>
      <w:tcPr>
        <w:vAlign w:val="center"/>
      </w:tcPr>
    </w:tblStylePr>
  </w:style>
  <w:style w:type="table" w:customStyle="1" w:styleId="EPTableStyle416">
    <w:name w:val="E&amp;P Table Style 416"/>
    <w:basedOn w:val="TableNormal"/>
    <w:next w:val="TableGrid"/>
    <w:uiPriority w:val="39"/>
    <w:rsid w:val="00F50B5A"/>
    <w:pPr>
      <w:spacing w:before="60" w:after="60" w:line="220" w:lineRule="atLeast"/>
      <w:ind w:left="113" w:right="113"/>
      <w:jc w:val="both"/>
    </w:pPr>
    <w:rPr>
      <w:color w:val="363534"/>
      <w:sz w:val="18"/>
    </w:rPr>
    <w:tblPr>
      <w:tblStyleColBandSize w:val="1"/>
      <w:tblBorders>
        <w:top w:val="single" w:sz="8" w:space="0" w:color="00B2A9"/>
        <w:bottom w:val="single" w:sz="8" w:space="0" w:color="00B2A9"/>
        <w:insideH w:val="single" w:sz="8" w:space="0" w:color="00B2A9"/>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Arial" w:hAnsi="Arial"/>
        <w:b w:val="0"/>
        <w:color w:val="363534"/>
        <w:sz w:val="18"/>
      </w:rPr>
      <w:tblPr/>
      <w:tcPr>
        <w:shd w:val="clear" w:color="auto" w:fill="00B2A9"/>
      </w:tcPr>
    </w:tblStylePr>
    <w:tblStylePr w:type="lastRow">
      <w:rPr>
        <w:b w:val="0"/>
      </w:rPr>
    </w:tblStylePr>
    <w:tblStylePr w:type="lastCol">
      <w:pPr>
        <w:jc w:val="left"/>
      </w:pPr>
    </w:tblStylePr>
    <w:tblStylePr w:type="band1Vert">
      <w:tblPr/>
      <w:tcPr>
        <w:shd w:val="clear" w:color="auto" w:fill="E5F7F6"/>
      </w:tcPr>
    </w:tblStylePr>
    <w:tblStylePr w:type="nwCell">
      <w:pPr>
        <w:jc w:val="left"/>
      </w:pPr>
      <w:tblPr/>
      <w:tcPr>
        <w:vAlign w:val="center"/>
      </w:tcPr>
    </w:tblStylePr>
  </w:style>
  <w:style w:type="table" w:customStyle="1" w:styleId="EPTableStyle417">
    <w:name w:val="E&amp;P Table Style 417"/>
    <w:basedOn w:val="TableNormal"/>
    <w:next w:val="TableGrid"/>
    <w:uiPriority w:val="39"/>
    <w:rsid w:val="00F50B5A"/>
    <w:pPr>
      <w:spacing w:before="60" w:after="60" w:line="220" w:lineRule="atLeast"/>
      <w:ind w:left="113" w:right="113"/>
    </w:pPr>
    <w:rPr>
      <w:color w:val="363534"/>
      <w:sz w:val="18"/>
    </w:rPr>
    <w:tblPr>
      <w:tblStyleColBandSize w:val="1"/>
      <w:tblBorders>
        <w:top w:val="single" w:sz="8" w:space="0" w:color="00B2A9"/>
        <w:bottom w:val="single" w:sz="8" w:space="0" w:color="00B2A9"/>
        <w:insideH w:val="single" w:sz="8" w:space="0" w:color="00B2A9"/>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Arial" w:hAnsi="Arial"/>
        <w:b w:val="0"/>
        <w:color w:val="363534"/>
        <w:sz w:val="18"/>
      </w:rPr>
      <w:tblPr/>
      <w:tcPr>
        <w:shd w:val="clear" w:color="auto" w:fill="00B2A9"/>
      </w:tcPr>
    </w:tblStylePr>
    <w:tblStylePr w:type="lastRow">
      <w:rPr>
        <w:b w:val="0"/>
      </w:rPr>
    </w:tblStylePr>
    <w:tblStylePr w:type="lastCol">
      <w:pPr>
        <w:jc w:val="left"/>
      </w:pPr>
    </w:tblStylePr>
    <w:tblStylePr w:type="band1Vert">
      <w:tblPr/>
      <w:tcPr>
        <w:shd w:val="clear" w:color="auto" w:fill="E5F7F6"/>
      </w:tcPr>
    </w:tblStylePr>
    <w:tblStylePr w:type="nwCell">
      <w:pPr>
        <w:jc w:val="left"/>
      </w:pPr>
      <w:tblPr/>
      <w:tcPr>
        <w:vAlign w:val="center"/>
      </w:tcPr>
    </w:tblStylePr>
  </w:style>
  <w:style w:type="character" w:customStyle="1" w:styleId="rpl-text-label">
    <w:name w:val="rpl-text-label"/>
    <w:basedOn w:val="DefaultParagraphFont"/>
    <w:rsid w:val="00F50B5A"/>
  </w:style>
  <w:style w:type="character" w:customStyle="1" w:styleId="rpl-text-icongroup">
    <w:name w:val="rpl-text-icon__group"/>
    <w:basedOn w:val="DefaultParagraphFont"/>
    <w:rsid w:val="00F50B5A"/>
  </w:style>
  <w:style w:type="paragraph" w:customStyle="1" w:styleId="CommentsVPSC">
    <w:name w:val="Comments VPSC"/>
    <w:basedOn w:val="Normal"/>
    <w:next w:val="Normal"/>
    <w:rsid w:val="00F50B5A"/>
    <w:pPr>
      <w:spacing w:before="0" w:after="100" w:line="276" w:lineRule="auto"/>
    </w:pPr>
    <w:rPr>
      <w:rFonts w:ascii="Arial" w:hAnsi="Arial" w:cs="Tahoma"/>
      <w:color w:val="201547" w:themeColor="text2"/>
    </w:rPr>
  </w:style>
  <w:style w:type="paragraph" w:customStyle="1" w:styleId="TitleBarText">
    <w:name w:val="Title Bar Text"/>
    <w:basedOn w:val="Normal"/>
    <w:uiPriority w:val="99"/>
    <w:qFormat/>
    <w:rsid w:val="00F50B5A"/>
    <w:pPr>
      <w:spacing w:before="0" w:after="0" w:line="360" w:lineRule="exact"/>
      <w:jc w:val="right"/>
    </w:pPr>
    <w:rPr>
      <w:rFonts w:cs="Arial"/>
      <w:color w:val="FFFFFF"/>
      <w:spacing w:val="-2"/>
      <w:sz w:val="28"/>
      <w:szCs w:val="28"/>
    </w:rPr>
  </w:style>
  <w:style w:type="paragraph" w:customStyle="1" w:styleId="xDisclaimertext4">
    <w:name w:val="xDisclaimer text 4"/>
    <w:basedOn w:val="xDisclaimertext3"/>
    <w:qFormat/>
    <w:rsid w:val="00F50B5A"/>
    <w:pPr>
      <w:framePr w:hSpace="181" w:wrap="around" w:hAnchor="margin" w:yAlign="bottom"/>
      <w:spacing w:line="210" w:lineRule="atLeast"/>
      <w:ind w:left="284" w:right="3686"/>
      <w:suppressOverlap/>
      <w:jc w:val="left"/>
    </w:pPr>
    <w:rPr>
      <w:sz w:val="18"/>
    </w:rPr>
  </w:style>
  <w:style w:type="paragraph" w:customStyle="1" w:styleId="xDisclaimertext6">
    <w:name w:val="xDisclaimer text 6"/>
    <w:basedOn w:val="xDisclaimertext4"/>
    <w:qFormat/>
    <w:rsid w:val="00F50B5A"/>
    <w:pPr>
      <w:framePr w:wrap="around"/>
      <w:spacing w:before="120" w:after="120"/>
    </w:pPr>
    <w:rPr>
      <w:b/>
      <w:color w:val="004C97" w:themeColor="accent1"/>
      <w:sz w:val="20"/>
    </w:rPr>
  </w:style>
  <w:style w:type="paragraph" w:customStyle="1" w:styleId="xDisclaimertext5">
    <w:name w:val="xDisclaimer text 5"/>
    <w:basedOn w:val="xDisclaimertext4"/>
    <w:qFormat/>
    <w:rsid w:val="00F50B5A"/>
    <w:pPr>
      <w:framePr w:wrap="around"/>
      <w:spacing w:after="100"/>
      <w:ind w:right="3119"/>
    </w:pPr>
  </w:style>
  <w:style w:type="numbering" w:customStyle="1" w:styleId="CurrentList3">
    <w:name w:val="Current List3"/>
    <w:uiPriority w:val="99"/>
    <w:rsid w:val="00AD40F5"/>
    <w:pPr>
      <w:numPr>
        <w:numId w:val="5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797784">
      <w:bodyDiv w:val="1"/>
      <w:marLeft w:val="0"/>
      <w:marRight w:val="0"/>
      <w:marTop w:val="0"/>
      <w:marBottom w:val="0"/>
      <w:divBdr>
        <w:top w:val="none" w:sz="0" w:space="0" w:color="auto"/>
        <w:left w:val="none" w:sz="0" w:space="0" w:color="auto"/>
        <w:bottom w:val="none" w:sz="0" w:space="0" w:color="auto"/>
        <w:right w:val="none" w:sz="0" w:space="0" w:color="auto"/>
      </w:divBdr>
    </w:div>
    <w:div w:id="28648732">
      <w:bodyDiv w:val="1"/>
      <w:marLeft w:val="0"/>
      <w:marRight w:val="0"/>
      <w:marTop w:val="0"/>
      <w:marBottom w:val="0"/>
      <w:divBdr>
        <w:top w:val="none" w:sz="0" w:space="0" w:color="auto"/>
        <w:left w:val="none" w:sz="0" w:space="0" w:color="auto"/>
        <w:bottom w:val="none" w:sz="0" w:space="0" w:color="auto"/>
        <w:right w:val="none" w:sz="0" w:space="0" w:color="auto"/>
      </w:divBdr>
    </w:div>
    <w:div w:id="65687986">
      <w:bodyDiv w:val="1"/>
      <w:marLeft w:val="0"/>
      <w:marRight w:val="0"/>
      <w:marTop w:val="0"/>
      <w:marBottom w:val="0"/>
      <w:divBdr>
        <w:top w:val="none" w:sz="0" w:space="0" w:color="auto"/>
        <w:left w:val="none" w:sz="0" w:space="0" w:color="auto"/>
        <w:bottom w:val="none" w:sz="0" w:space="0" w:color="auto"/>
        <w:right w:val="none" w:sz="0" w:space="0" w:color="auto"/>
      </w:divBdr>
    </w:div>
    <w:div w:id="69625261">
      <w:bodyDiv w:val="1"/>
      <w:marLeft w:val="0"/>
      <w:marRight w:val="0"/>
      <w:marTop w:val="0"/>
      <w:marBottom w:val="0"/>
      <w:divBdr>
        <w:top w:val="none" w:sz="0" w:space="0" w:color="auto"/>
        <w:left w:val="none" w:sz="0" w:space="0" w:color="auto"/>
        <w:bottom w:val="none" w:sz="0" w:space="0" w:color="auto"/>
        <w:right w:val="none" w:sz="0" w:space="0" w:color="auto"/>
      </w:divBdr>
    </w:div>
    <w:div w:id="107969761">
      <w:bodyDiv w:val="1"/>
      <w:marLeft w:val="0"/>
      <w:marRight w:val="0"/>
      <w:marTop w:val="0"/>
      <w:marBottom w:val="0"/>
      <w:divBdr>
        <w:top w:val="none" w:sz="0" w:space="0" w:color="auto"/>
        <w:left w:val="none" w:sz="0" w:space="0" w:color="auto"/>
        <w:bottom w:val="none" w:sz="0" w:space="0" w:color="auto"/>
        <w:right w:val="none" w:sz="0" w:space="0" w:color="auto"/>
      </w:divBdr>
    </w:div>
    <w:div w:id="111752016">
      <w:bodyDiv w:val="1"/>
      <w:marLeft w:val="0"/>
      <w:marRight w:val="0"/>
      <w:marTop w:val="0"/>
      <w:marBottom w:val="0"/>
      <w:divBdr>
        <w:top w:val="none" w:sz="0" w:space="0" w:color="auto"/>
        <w:left w:val="none" w:sz="0" w:space="0" w:color="auto"/>
        <w:bottom w:val="none" w:sz="0" w:space="0" w:color="auto"/>
        <w:right w:val="none" w:sz="0" w:space="0" w:color="auto"/>
      </w:divBdr>
    </w:div>
    <w:div w:id="117116528">
      <w:bodyDiv w:val="1"/>
      <w:marLeft w:val="0"/>
      <w:marRight w:val="0"/>
      <w:marTop w:val="0"/>
      <w:marBottom w:val="0"/>
      <w:divBdr>
        <w:top w:val="none" w:sz="0" w:space="0" w:color="auto"/>
        <w:left w:val="none" w:sz="0" w:space="0" w:color="auto"/>
        <w:bottom w:val="none" w:sz="0" w:space="0" w:color="auto"/>
        <w:right w:val="none" w:sz="0" w:space="0" w:color="auto"/>
      </w:divBdr>
    </w:div>
    <w:div w:id="126162735">
      <w:bodyDiv w:val="1"/>
      <w:marLeft w:val="0"/>
      <w:marRight w:val="0"/>
      <w:marTop w:val="0"/>
      <w:marBottom w:val="0"/>
      <w:divBdr>
        <w:top w:val="none" w:sz="0" w:space="0" w:color="auto"/>
        <w:left w:val="none" w:sz="0" w:space="0" w:color="auto"/>
        <w:bottom w:val="none" w:sz="0" w:space="0" w:color="auto"/>
        <w:right w:val="none" w:sz="0" w:space="0" w:color="auto"/>
      </w:divBdr>
    </w:div>
    <w:div w:id="175076480">
      <w:bodyDiv w:val="1"/>
      <w:marLeft w:val="0"/>
      <w:marRight w:val="0"/>
      <w:marTop w:val="0"/>
      <w:marBottom w:val="0"/>
      <w:divBdr>
        <w:top w:val="none" w:sz="0" w:space="0" w:color="auto"/>
        <w:left w:val="none" w:sz="0" w:space="0" w:color="auto"/>
        <w:bottom w:val="none" w:sz="0" w:space="0" w:color="auto"/>
        <w:right w:val="none" w:sz="0" w:space="0" w:color="auto"/>
      </w:divBdr>
    </w:div>
    <w:div w:id="182717518">
      <w:bodyDiv w:val="1"/>
      <w:marLeft w:val="0"/>
      <w:marRight w:val="0"/>
      <w:marTop w:val="0"/>
      <w:marBottom w:val="0"/>
      <w:divBdr>
        <w:top w:val="none" w:sz="0" w:space="0" w:color="auto"/>
        <w:left w:val="none" w:sz="0" w:space="0" w:color="auto"/>
        <w:bottom w:val="none" w:sz="0" w:space="0" w:color="auto"/>
        <w:right w:val="none" w:sz="0" w:space="0" w:color="auto"/>
      </w:divBdr>
    </w:div>
    <w:div w:id="248658202">
      <w:bodyDiv w:val="1"/>
      <w:marLeft w:val="0"/>
      <w:marRight w:val="0"/>
      <w:marTop w:val="0"/>
      <w:marBottom w:val="0"/>
      <w:divBdr>
        <w:top w:val="none" w:sz="0" w:space="0" w:color="auto"/>
        <w:left w:val="none" w:sz="0" w:space="0" w:color="auto"/>
        <w:bottom w:val="none" w:sz="0" w:space="0" w:color="auto"/>
        <w:right w:val="none" w:sz="0" w:space="0" w:color="auto"/>
      </w:divBdr>
    </w:div>
    <w:div w:id="260182366">
      <w:bodyDiv w:val="1"/>
      <w:marLeft w:val="0"/>
      <w:marRight w:val="0"/>
      <w:marTop w:val="0"/>
      <w:marBottom w:val="0"/>
      <w:divBdr>
        <w:top w:val="none" w:sz="0" w:space="0" w:color="auto"/>
        <w:left w:val="none" w:sz="0" w:space="0" w:color="auto"/>
        <w:bottom w:val="none" w:sz="0" w:space="0" w:color="auto"/>
        <w:right w:val="none" w:sz="0" w:space="0" w:color="auto"/>
      </w:divBdr>
    </w:div>
    <w:div w:id="295528243">
      <w:bodyDiv w:val="1"/>
      <w:marLeft w:val="0"/>
      <w:marRight w:val="0"/>
      <w:marTop w:val="0"/>
      <w:marBottom w:val="0"/>
      <w:divBdr>
        <w:top w:val="none" w:sz="0" w:space="0" w:color="auto"/>
        <w:left w:val="none" w:sz="0" w:space="0" w:color="auto"/>
        <w:bottom w:val="none" w:sz="0" w:space="0" w:color="auto"/>
        <w:right w:val="none" w:sz="0" w:space="0" w:color="auto"/>
      </w:divBdr>
    </w:div>
    <w:div w:id="296490361">
      <w:bodyDiv w:val="1"/>
      <w:marLeft w:val="0"/>
      <w:marRight w:val="0"/>
      <w:marTop w:val="0"/>
      <w:marBottom w:val="0"/>
      <w:divBdr>
        <w:top w:val="none" w:sz="0" w:space="0" w:color="auto"/>
        <w:left w:val="none" w:sz="0" w:space="0" w:color="auto"/>
        <w:bottom w:val="none" w:sz="0" w:space="0" w:color="auto"/>
        <w:right w:val="none" w:sz="0" w:space="0" w:color="auto"/>
      </w:divBdr>
    </w:div>
    <w:div w:id="318269988">
      <w:bodyDiv w:val="1"/>
      <w:marLeft w:val="0"/>
      <w:marRight w:val="0"/>
      <w:marTop w:val="0"/>
      <w:marBottom w:val="0"/>
      <w:divBdr>
        <w:top w:val="none" w:sz="0" w:space="0" w:color="auto"/>
        <w:left w:val="none" w:sz="0" w:space="0" w:color="auto"/>
        <w:bottom w:val="none" w:sz="0" w:space="0" w:color="auto"/>
        <w:right w:val="none" w:sz="0" w:space="0" w:color="auto"/>
      </w:divBdr>
    </w:div>
    <w:div w:id="343167633">
      <w:bodyDiv w:val="1"/>
      <w:marLeft w:val="0"/>
      <w:marRight w:val="0"/>
      <w:marTop w:val="0"/>
      <w:marBottom w:val="0"/>
      <w:divBdr>
        <w:top w:val="none" w:sz="0" w:space="0" w:color="auto"/>
        <w:left w:val="none" w:sz="0" w:space="0" w:color="auto"/>
        <w:bottom w:val="none" w:sz="0" w:space="0" w:color="auto"/>
        <w:right w:val="none" w:sz="0" w:space="0" w:color="auto"/>
      </w:divBdr>
    </w:div>
    <w:div w:id="410734429">
      <w:bodyDiv w:val="1"/>
      <w:marLeft w:val="0"/>
      <w:marRight w:val="0"/>
      <w:marTop w:val="0"/>
      <w:marBottom w:val="0"/>
      <w:divBdr>
        <w:top w:val="none" w:sz="0" w:space="0" w:color="auto"/>
        <w:left w:val="none" w:sz="0" w:space="0" w:color="auto"/>
        <w:bottom w:val="none" w:sz="0" w:space="0" w:color="auto"/>
        <w:right w:val="none" w:sz="0" w:space="0" w:color="auto"/>
      </w:divBdr>
    </w:div>
    <w:div w:id="414592864">
      <w:bodyDiv w:val="1"/>
      <w:marLeft w:val="0"/>
      <w:marRight w:val="0"/>
      <w:marTop w:val="0"/>
      <w:marBottom w:val="0"/>
      <w:divBdr>
        <w:top w:val="none" w:sz="0" w:space="0" w:color="auto"/>
        <w:left w:val="none" w:sz="0" w:space="0" w:color="auto"/>
        <w:bottom w:val="none" w:sz="0" w:space="0" w:color="auto"/>
        <w:right w:val="none" w:sz="0" w:space="0" w:color="auto"/>
      </w:divBdr>
    </w:div>
    <w:div w:id="425200457">
      <w:bodyDiv w:val="1"/>
      <w:marLeft w:val="0"/>
      <w:marRight w:val="0"/>
      <w:marTop w:val="0"/>
      <w:marBottom w:val="0"/>
      <w:divBdr>
        <w:top w:val="none" w:sz="0" w:space="0" w:color="auto"/>
        <w:left w:val="none" w:sz="0" w:space="0" w:color="auto"/>
        <w:bottom w:val="none" w:sz="0" w:space="0" w:color="auto"/>
        <w:right w:val="none" w:sz="0" w:space="0" w:color="auto"/>
      </w:divBdr>
    </w:div>
    <w:div w:id="473105926">
      <w:bodyDiv w:val="1"/>
      <w:marLeft w:val="0"/>
      <w:marRight w:val="0"/>
      <w:marTop w:val="0"/>
      <w:marBottom w:val="0"/>
      <w:divBdr>
        <w:top w:val="none" w:sz="0" w:space="0" w:color="auto"/>
        <w:left w:val="none" w:sz="0" w:space="0" w:color="auto"/>
        <w:bottom w:val="none" w:sz="0" w:space="0" w:color="auto"/>
        <w:right w:val="none" w:sz="0" w:space="0" w:color="auto"/>
      </w:divBdr>
    </w:div>
    <w:div w:id="519784752">
      <w:bodyDiv w:val="1"/>
      <w:marLeft w:val="0"/>
      <w:marRight w:val="0"/>
      <w:marTop w:val="0"/>
      <w:marBottom w:val="0"/>
      <w:divBdr>
        <w:top w:val="none" w:sz="0" w:space="0" w:color="auto"/>
        <w:left w:val="none" w:sz="0" w:space="0" w:color="auto"/>
        <w:bottom w:val="none" w:sz="0" w:space="0" w:color="auto"/>
        <w:right w:val="none" w:sz="0" w:space="0" w:color="auto"/>
      </w:divBdr>
    </w:div>
    <w:div w:id="544869901">
      <w:bodyDiv w:val="1"/>
      <w:marLeft w:val="0"/>
      <w:marRight w:val="0"/>
      <w:marTop w:val="0"/>
      <w:marBottom w:val="0"/>
      <w:divBdr>
        <w:top w:val="none" w:sz="0" w:space="0" w:color="auto"/>
        <w:left w:val="none" w:sz="0" w:space="0" w:color="auto"/>
        <w:bottom w:val="none" w:sz="0" w:space="0" w:color="auto"/>
        <w:right w:val="none" w:sz="0" w:space="0" w:color="auto"/>
      </w:divBdr>
    </w:div>
    <w:div w:id="565606012">
      <w:bodyDiv w:val="1"/>
      <w:marLeft w:val="0"/>
      <w:marRight w:val="0"/>
      <w:marTop w:val="0"/>
      <w:marBottom w:val="0"/>
      <w:divBdr>
        <w:top w:val="none" w:sz="0" w:space="0" w:color="auto"/>
        <w:left w:val="none" w:sz="0" w:space="0" w:color="auto"/>
        <w:bottom w:val="none" w:sz="0" w:space="0" w:color="auto"/>
        <w:right w:val="none" w:sz="0" w:space="0" w:color="auto"/>
      </w:divBdr>
    </w:div>
    <w:div w:id="592323534">
      <w:bodyDiv w:val="1"/>
      <w:marLeft w:val="0"/>
      <w:marRight w:val="0"/>
      <w:marTop w:val="0"/>
      <w:marBottom w:val="0"/>
      <w:divBdr>
        <w:top w:val="none" w:sz="0" w:space="0" w:color="auto"/>
        <w:left w:val="none" w:sz="0" w:space="0" w:color="auto"/>
        <w:bottom w:val="none" w:sz="0" w:space="0" w:color="auto"/>
        <w:right w:val="none" w:sz="0" w:space="0" w:color="auto"/>
      </w:divBdr>
    </w:div>
    <w:div w:id="630939885">
      <w:bodyDiv w:val="1"/>
      <w:marLeft w:val="0"/>
      <w:marRight w:val="0"/>
      <w:marTop w:val="0"/>
      <w:marBottom w:val="0"/>
      <w:divBdr>
        <w:top w:val="none" w:sz="0" w:space="0" w:color="auto"/>
        <w:left w:val="none" w:sz="0" w:space="0" w:color="auto"/>
        <w:bottom w:val="none" w:sz="0" w:space="0" w:color="auto"/>
        <w:right w:val="none" w:sz="0" w:space="0" w:color="auto"/>
      </w:divBdr>
    </w:div>
    <w:div w:id="651494433">
      <w:bodyDiv w:val="1"/>
      <w:marLeft w:val="0"/>
      <w:marRight w:val="0"/>
      <w:marTop w:val="0"/>
      <w:marBottom w:val="0"/>
      <w:divBdr>
        <w:top w:val="none" w:sz="0" w:space="0" w:color="auto"/>
        <w:left w:val="none" w:sz="0" w:space="0" w:color="auto"/>
        <w:bottom w:val="none" w:sz="0" w:space="0" w:color="auto"/>
        <w:right w:val="none" w:sz="0" w:space="0" w:color="auto"/>
      </w:divBdr>
    </w:div>
    <w:div w:id="696782709">
      <w:bodyDiv w:val="1"/>
      <w:marLeft w:val="0"/>
      <w:marRight w:val="0"/>
      <w:marTop w:val="0"/>
      <w:marBottom w:val="0"/>
      <w:divBdr>
        <w:top w:val="none" w:sz="0" w:space="0" w:color="auto"/>
        <w:left w:val="none" w:sz="0" w:space="0" w:color="auto"/>
        <w:bottom w:val="none" w:sz="0" w:space="0" w:color="auto"/>
        <w:right w:val="none" w:sz="0" w:space="0" w:color="auto"/>
      </w:divBdr>
    </w:div>
    <w:div w:id="740833449">
      <w:bodyDiv w:val="1"/>
      <w:marLeft w:val="0"/>
      <w:marRight w:val="0"/>
      <w:marTop w:val="0"/>
      <w:marBottom w:val="0"/>
      <w:divBdr>
        <w:top w:val="none" w:sz="0" w:space="0" w:color="auto"/>
        <w:left w:val="none" w:sz="0" w:space="0" w:color="auto"/>
        <w:bottom w:val="none" w:sz="0" w:space="0" w:color="auto"/>
        <w:right w:val="none" w:sz="0" w:space="0" w:color="auto"/>
      </w:divBdr>
    </w:div>
    <w:div w:id="759370356">
      <w:bodyDiv w:val="1"/>
      <w:marLeft w:val="0"/>
      <w:marRight w:val="0"/>
      <w:marTop w:val="0"/>
      <w:marBottom w:val="0"/>
      <w:divBdr>
        <w:top w:val="none" w:sz="0" w:space="0" w:color="auto"/>
        <w:left w:val="none" w:sz="0" w:space="0" w:color="auto"/>
        <w:bottom w:val="none" w:sz="0" w:space="0" w:color="auto"/>
        <w:right w:val="none" w:sz="0" w:space="0" w:color="auto"/>
      </w:divBdr>
    </w:div>
    <w:div w:id="766002325">
      <w:bodyDiv w:val="1"/>
      <w:marLeft w:val="0"/>
      <w:marRight w:val="0"/>
      <w:marTop w:val="0"/>
      <w:marBottom w:val="0"/>
      <w:divBdr>
        <w:top w:val="none" w:sz="0" w:space="0" w:color="auto"/>
        <w:left w:val="none" w:sz="0" w:space="0" w:color="auto"/>
        <w:bottom w:val="none" w:sz="0" w:space="0" w:color="auto"/>
        <w:right w:val="none" w:sz="0" w:space="0" w:color="auto"/>
      </w:divBdr>
    </w:div>
    <w:div w:id="810250234">
      <w:bodyDiv w:val="1"/>
      <w:marLeft w:val="0"/>
      <w:marRight w:val="0"/>
      <w:marTop w:val="0"/>
      <w:marBottom w:val="0"/>
      <w:divBdr>
        <w:top w:val="none" w:sz="0" w:space="0" w:color="auto"/>
        <w:left w:val="none" w:sz="0" w:space="0" w:color="auto"/>
        <w:bottom w:val="none" w:sz="0" w:space="0" w:color="auto"/>
        <w:right w:val="none" w:sz="0" w:space="0" w:color="auto"/>
      </w:divBdr>
    </w:div>
    <w:div w:id="837426000">
      <w:bodyDiv w:val="1"/>
      <w:marLeft w:val="0"/>
      <w:marRight w:val="0"/>
      <w:marTop w:val="0"/>
      <w:marBottom w:val="0"/>
      <w:divBdr>
        <w:top w:val="none" w:sz="0" w:space="0" w:color="auto"/>
        <w:left w:val="none" w:sz="0" w:space="0" w:color="auto"/>
        <w:bottom w:val="none" w:sz="0" w:space="0" w:color="auto"/>
        <w:right w:val="none" w:sz="0" w:space="0" w:color="auto"/>
      </w:divBdr>
    </w:div>
    <w:div w:id="857543867">
      <w:bodyDiv w:val="1"/>
      <w:marLeft w:val="0"/>
      <w:marRight w:val="0"/>
      <w:marTop w:val="0"/>
      <w:marBottom w:val="0"/>
      <w:divBdr>
        <w:top w:val="none" w:sz="0" w:space="0" w:color="auto"/>
        <w:left w:val="none" w:sz="0" w:space="0" w:color="auto"/>
        <w:bottom w:val="none" w:sz="0" w:space="0" w:color="auto"/>
        <w:right w:val="none" w:sz="0" w:space="0" w:color="auto"/>
      </w:divBdr>
    </w:div>
    <w:div w:id="908731580">
      <w:bodyDiv w:val="1"/>
      <w:marLeft w:val="0"/>
      <w:marRight w:val="0"/>
      <w:marTop w:val="0"/>
      <w:marBottom w:val="0"/>
      <w:divBdr>
        <w:top w:val="none" w:sz="0" w:space="0" w:color="auto"/>
        <w:left w:val="none" w:sz="0" w:space="0" w:color="auto"/>
        <w:bottom w:val="none" w:sz="0" w:space="0" w:color="auto"/>
        <w:right w:val="none" w:sz="0" w:space="0" w:color="auto"/>
      </w:divBdr>
    </w:div>
    <w:div w:id="940643587">
      <w:bodyDiv w:val="1"/>
      <w:marLeft w:val="0"/>
      <w:marRight w:val="0"/>
      <w:marTop w:val="0"/>
      <w:marBottom w:val="0"/>
      <w:divBdr>
        <w:top w:val="none" w:sz="0" w:space="0" w:color="auto"/>
        <w:left w:val="none" w:sz="0" w:space="0" w:color="auto"/>
        <w:bottom w:val="none" w:sz="0" w:space="0" w:color="auto"/>
        <w:right w:val="none" w:sz="0" w:space="0" w:color="auto"/>
      </w:divBdr>
    </w:div>
    <w:div w:id="954873833">
      <w:bodyDiv w:val="1"/>
      <w:marLeft w:val="0"/>
      <w:marRight w:val="0"/>
      <w:marTop w:val="0"/>
      <w:marBottom w:val="0"/>
      <w:divBdr>
        <w:top w:val="none" w:sz="0" w:space="0" w:color="auto"/>
        <w:left w:val="none" w:sz="0" w:space="0" w:color="auto"/>
        <w:bottom w:val="none" w:sz="0" w:space="0" w:color="auto"/>
        <w:right w:val="none" w:sz="0" w:space="0" w:color="auto"/>
      </w:divBdr>
    </w:div>
    <w:div w:id="970328702">
      <w:bodyDiv w:val="1"/>
      <w:marLeft w:val="0"/>
      <w:marRight w:val="0"/>
      <w:marTop w:val="0"/>
      <w:marBottom w:val="0"/>
      <w:divBdr>
        <w:top w:val="none" w:sz="0" w:space="0" w:color="auto"/>
        <w:left w:val="none" w:sz="0" w:space="0" w:color="auto"/>
        <w:bottom w:val="none" w:sz="0" w:space="0" w:color="auto"/>
        <w:right w:val="none" w:sz="0" w:space="0" w:color="auto"/>
      </w:divBdr>
    </w:div>
    <w:div w:id="1017928312">
      <w:bodyDiv w:val="1"/>
      <w:marLeft w:val="0"/>
      <w:marRight w:val="0"/>
      <w:marTop w:val="0"/>
      <w:marBottom w:val="0"/>
      <w:divBdr>
        <w:top w:val="none" w:sz="0" w:space="0" w:color="auto"/>
        <w:left w:val="none" w:sz="0" w:space="0" w:color="auto"/>
        <w:bottom w:val="none" w:sz="0" w:space="0" w:color="auto"/>
        <w:right w:val="none" w:sz="0" w:space="0" w:color="auto"/>
      </w:divBdr>
    </w:div>
    <w:div w:id="1053428902">
      <w:bodyDiv w:val="1"/>
      <w:marLeft w:val="0"/>
      <w:marRight w:val="0"/>
      <w:marTop w:val="0"/>
      <w:marBottom w:val="0"/>
      <w:divBdr>
        <w:top w:val="none" w:sz="0" w:space="0" w:color="auto"/>
        <w:left w:val="none" w:sz="0" w:space="0" w:color="auto"/>
        <w:bottom w:val="none" w:sz="0" w:space="0" w:color="auto"/>
        <w:right w:val="none" w:sz="0" w:space="0" w:color="auto"/>
      </w:divBdr>
    </w:div>
    <w:div w:id="1072967479">
      <w:bodyDiv w:val="1"/>
      <w:marLeft w:val="0"/>
      <w:marRight w:val="0"/>
      <w:marTop w:val="0"/>
      <w:marBottom w:val="0"/>
      <w:divBdr>
        <w:top w:val="none" w:sz="0" w:space="0" w:color="auto"/>
        <w:left w:val="none" w:sz="0" w:space="0" w:color="auto"/>
        <w:bottom w:val="none" w:sz="0" w:space="0" w:color="auto"/>
        <w:right w:val="none" w:sz="0" w:space="0" w:color="auto"/>
      </w:divBdr>
    </w:div>
    <w:div w:id="1106122123">
      <w:bodyDiv w:val="1"/>
      <w:marLeft w:val="0"/>
      <w:marRight w:val="0"/>
      <w:marTop w:val="0"/>
      <w:marBottom w:val="0"/>
      <w:divBdr>
        <w:top w:val="none" w:sz="0" w:space="0" w:color="auto"/>
        <w:left w:val="none" w:sz="0" w:space="0" w:color="auto"/>
        <w:bottom w:val="none" w:sz="0" w:space="0" w:color="auto"/>
        <w:right w:val="none" w:sz="0" w:space="0" w:color="auto"/>
      </w:divBdr>
    </w:div>
    <w:div w:id="1136216508">
      <w:bodyDiv w:val="1"/>
      <w:marLeft w:val="0"/>
      <w:marRight w:val="0"/>
      <w:marTop w:val="0"/>
      <w:marBottom w:val="0"/>
      <w:divBdr>
        <w:top w:val="none" w:sz="0" w:space="0" w:color="auto"/>
        <w:left w:val="none" w:sz="0" w:space="0" w:color="auto"/>
        <w:bottom w:val="none" w:sz="0" w:space="0" w:color="auto"/>
        <w:right w:val="none" w:sz="0" w:space="0" w:color="auto"/>
      </w:divBdr>
    </w:div>
    <w:div w:id="1152454484">
      <w:bodyDiv w:val="1"/>
      <w:marLeft w:val="0"/>
      <w:marRight w:val="0"/>
      <w:marTop w:val="0"/>
      <w:marBottom w:val="0"/>
      <w:divBdr>
        <w:top w:val="none" w:sz="0" w:space="0" w:color="auto"/>
        <w:left w:val="none" w:sz="0" w:space="0" w:color="auto"/>
        <w:bottom w:val="none" w:sz="0" w:space="0" w:color="auto"/>
        <w:right w:val="none" w:sz="0" w:space="0" w:color="auto"/>
      </w:divBdr>
    </w:div>
    <w:div w:id="1161194644">
      <w:bodyDiv w:val="1"/>
      <w:marLeft w:val="0"/>
      <w:marRight w:val="0"/>
      <w:marTop w:val="0"/>
      <w:marBottom w:val="0"/>
      <w:divBdr>
        <w:top w:val="none" w:sz="0" w:space="0" w:color="auto"/>
        <w:left w:val="none" w:sz="0" w:space="0" w:color="auto"/>
        <w:bottom w:val="none" w:sz="0" w:space="0" w:color="auto"/>
        <w:right w:val="none" w:sz="0" w:space="0" w:color="auto"/>
      </w:divBdr>
    </w:div>
    <w:div w:id="1193953226">
      <w:bodyDiv w:val="1"/>
      <w:marLeft w:val="0"/>
      <w:marRight w:val="0"/>
      <w:marTop w:val="0"/>
      <w:marBottom w:val="0"/>
      <w:divBdr>
        <w:top w:val="none" w:sz="0" w:space="0" w:color="auto"/>
        <w:left w:val="none" w:sz="0" w:space="0" w:color="auto"/>
        <w:bottom w:val="none" w:sz="0" w:space="0" w:color="auto"/>
        <w:right w:val="none" w:sz="0" w:space="0" w:color="auto"/>
      </w:divBdr>
    </w:div>
    <w:div w:id="1204055671">
      <w:bodyDiv w:val="1"/>
      <w:marLeft w:val="0"/>
      <w:marRight w:val="0"/>
      <w:marTop w:val="0"/>
      <w:marBottom w:val="0"/>
      <w:divBdr>
        <w:top w:val="none" w:sz="0" w:space="0" w:color="auto"/>
        <w:left w:val="none" w:sz="0" w:space="0" w:color="auto"/>
        <w:bottom w:val="none" w:sz="0" w:space="0" w:color="auto"/>
        <w:right w:val="none" w:sz="0" w:space="0" w:color="auto"/>
      </w:divBdr>
    </w:div>
    <w:div w:id="1215391769">
      <w:bodyDiv w:val="1"/>
      <w:marLeft w:val="0"/>
      <w:marRight w:val="0"/>
      <w:marTop w:val="0"/>
      <w:marBottom w:val="0"/>
      <w:divBdr>
        <w:top w:val="none" w:sz="0" w:space="0" w:color="auto"/>
        <w:left w:val="none" w:sz="0" w:space="0" w:color="auto"/>
        <w:bottom w:val="none" w:sz="0" w:space="0" w:color="auto"/>
        <w:right w:val="none" w:sz="0" w:space="0" w:color="auto"/>
      </w:divBdr>
    </w:div>
    <w:div w:id="1241597186">
      <w:bodyDiv w:val="1"/>
      <w:marLeft w:val="0"/>
      <w:marRight w:val="0"/>
      <w:marTop w:val="0"/>
      <w:marBottom w:val="0"/>
      <w:divBdr>
        <w:top w:val="none" w:sz="0" w:space="0" w:color="auto"/>
        <w:left w:val="none" w:sz="0" w:space="0" w:color="auto"/>
        <w:bottom w:val="none" w:sz="0" w:space="0" w:color="auto"/>
        <w:right w:val="none" w:sz="0" w:space="0" w:color="auto"/>
      </w:divBdr>
    </w:div>
    <w:div w:id="1254581765">
      <w:bodyDiv w:val="1"/>
      <w:marLeft w:val="0"/>
      <w:marRight w:val="0"/>
      <w:marTop w:val="0"/>
      <w:marBottom w:val="0"/>
      <w:divBdr>
        <w:top w:val="none" w:sz="0" w:space="0" w:color="auto"/>
        <w:left w:val="none" w:sz="0" w:space="0" w:color="auto"/>
        <w:bottom w:val="none" w:sz="0" w:space="0" w:color="auto"/>
        <w:right w:val="none" w:sz="0" w:space="0" w:color="auto"/>
      </w:divBdr>
    </w:div>
    <w:div w:id="1262566390">
      <w:bodyDiv w:val="1"/>
      <w:marLeft w:val="0"/>
      <w:marRight w:val="0"/>
      <w:marTop w:val="0"/>
      <w:marBottom w:val="0"/>
      <w:divBdr>
        <w:top w:val="none" w:sz="0" w:space="0" w:color="auto"/>
        <w:left w:val="none" w:sz="0" w:space="0" w:color="auto"/>
        <w:bottom w:val="none" w:sz="0" w:space="0" w:color="auto"/>
        <w:right w:val="none" w:sz="0" w:space="0" w:color="auto"/>
      </w:divBdr>
    </w:div>
    <w:div w:id="1338774241">
      <w:bodyDiv w:val="1"/>
      <w:marLeft w:val="0"/>
      <w:marRight w:val="0"/>
      <w:marTop w:val="0"/>
      <w:marBottom w:val="0"/>
      <w:divBdr>
        <w:top w:val="none" w:sz="0" w:space="0" w:color="auto"/>
        <w:left w:val="none" w:sz="0" w:space="0" w:color="auto"/>
        <w:bottom w:val="none" w:sz="0" w:space="0" w:color="auto"/>
        <w:right w:val="none" w:sz="0" w:space="0" w:color="auto"/>
      </w:divBdr>
    </w:div>
    <w:div w:id="1385829431">
      <w:bodyDiv w:val="1"/>
      <w:marLeft w:val="0"/>
      <w:marRight w:val="0"/>
      <w:marTop w:val="0"/>
      <w:marBottom w:val="0"/>
      <w:divBdr>
        <w:top w:val="none" w:sz="0" w:space="0" w:color="auto"/>
        <w:left w:val="none" w:sz="0" w:space="0" w:color="auto"/>
        <w:bottom w:val="none" w:sz="0" w:space="0" w:color="auto"/>
        <w:right w:val="none" w:sz="0" w:space="0" w:color="auto"/>
      </w:divBdr>
    </w:div>
    <w:div w:id="1433282128">
      <w:bodyDiv w:val="1"/>
      <w:marLeft w:val="0"/>
      <w:marRight w:val="0"/>
      <w:marTop w:val="0"/>
      <w:marBottom w:val="0"/>
      <w:divBdr>
        <w:top w:val="none" w:sz="0" w:space="0" w:color="auto"/>
        <w:left w:val="none" w:sz="0" w:space="0" w:color="auto"/>
        <w:bottom w:val="none" w:sz="0" w:space="0" w:color="auto"/>
        <w:right w:val="none" w:sz="0" w:space="0" w:color="auto"/>
      </w:divBdr>
    </w:div>
    <w:div w:id="1441531306">
      <w:bodyDiv w:val="1"/>
      <w:marLeft w:val="0"/>
      <w:marRight w:val="0"/>
      <w:marTop w:val="0"/>
      <w:marBottom w:val="0"/>
      <w:divBdr>
        <w:top w:val="none" w:sz="0" w:space="0" w:color="auto"/>
        <w:left w:val="none" w:sz="0" w:space="0" w:color="auto"/>
        <w:bottom w:val="none" w:sz="0" w:space="0" w:color="auto"/>
        <w:right w:val="none" w:sz="0" w:space="0" w:color="auto"/>
      </w:divBdr>
    </w:div>
    <w:div w:id="1474131187">
      <w:bodyDiv w:val="1"/>
      <w:marLeft w:val="0"/>
      <w:marRight w:val="0"/>
      <w:marTop w:val="0"/>
      <w:marBottom w:val="0"/>
      <w:divBdr>
        <w:top w:val="none" w:sz="0" w:space="0" w:color="auto"/>
        <w:left w:val="none" w:sz="0" w:space="0" w:color="auto"/>
        <w:bottom w:val="none" w:sz="0" w:space="0" w:color="auto"/>
        <w:right w:val="none" w:sz="0" w:space="0" w:color="auto"/>
      </w:divBdr>
    </w:div>
    <w:div w:id="1554270615">
      <w:bodyDiv w:val="1"/>
      <w:marLeft w:val="0"/>
      <w:marRight w:val="0"/>
      <w:marTop w:val="0"/>
      <w:marBottom w:val="0"/>
      <w:divBdr>
        <w:top w:val="none" w:sz="0" w:space="0" w:color="auto"/>
        <w:left w:val="none" w:sz="0" w:space="0" w:color="auto"/>
        <w:bottom w:val="none" w:sz="0" w:space="0" w:color="auto"/>
        <w:right w:val="none" w:sz="0" w:space="0" w:color="auto"/>
      </w:divBdr>
    </w:div>
    <w:div w:id="1612779797">
      <w:bodyDiv w:val="1"/>
      <w:marLeft w:val="0"/>
      <w:marRight w:val="0"/>
      <w:marTop w:val="0"/>
      <w:marBottom w:val="0"/>
      <w:divBdr>
        <w:top w:val="none" w:sz="0" w:space="0" w:color="auto"/>
        <w:left w:val="none" w:sz="0" w:space="0" w:color="auto"/>
        <w:bottom w:val="none" w:sz="0" w:space="0" w:color="auto"/>
        <w:right w:val="none" w:sz="0" w:space="0" w:color="auto"/>
      </w:divBdr>
    </w:div>
    <w:div w:id="1647203885">
      <w:bodyDiv w:val="1"/>
      <w:marLeft w:val="0"/>
      <w:marRight w:val="0"/>
      <w:marTop w:val="0"/>
      <w:marBottom w:val="0"/>
      <w:divBdr>
        <w:top w:val="none" w:sz="0" w:space="0" w:color="auto"/>
        <w:left w:val="none" w:sz="0" w:space="0" w:color="auto"/>
        <w:bottom w:val="none" w:sz="0" w:space="0" w:color="auto"/>
        <w:right w:val="none" w:sz="0" w:space="0" w:color="auto"/>
      </w:divBdr>
    </w:div>
    <w:div w:id="1647934208">
      <w:bodyDiv w:val="1"/>
      <w:marLeft w:val="0"/>
      <w:marRight w:val="0"/>
      <w:marTop w:val="0"/>
      <w:marBottom w:val="0"/>
      <w:divBdr>
        <w:top w:val="none" w:sz="0" w:space="0" w:color="auto"/>
        <w:left w:val="none" w:sz="0" w:space="0" w:color="auto"/>
        <w:bottom w:val="none" w:sz="0" w:space="0" w:color="auto"/>
        <w:right w:val="none" w:sz="0" w:space="0" w:color="auto"/>
      </w:divBdr>
    </w:div>
    <w:div w:id="1680160028">
      <w:bodyDiv w:val="1"/>
      <w:marLeft w:val="0"/>
      <w:marRight w:val="0"/>
      <w:marTop w:val="0"/>
      <w:marBottom w:val="0"/>
      <w:divBdr>
        <w:top w:val="none" w:sz="0" w:space="0" w:color="auto"/>
        <w:left w:val="none" w:sz="0" w:space="0" w:color="auto"/>
        <w:bottom w:val="none" w:sz="0" w:space="0" w:color="auto"/>
        <w:right w:val="none" w:sz="0" w:space="0" w:color="auto"/>
      </w:divBdr>
    </w:div>
    <w:div w:id="1710759001">
      <w:bodyDiv w:val="1"/>
      <w:marLeft w:val="0"/>
      <w:marRight w:val="0"/>
      <w:marTop w:val="0"/>
      <w:marBottom w:val="0"/>
      <w:divBdr>
        <w:top w:val="none" w:sz="0" w:space="0" w:color="auto"/>
        <w:left w:val="none" w:sz="0" w:space="0" w:color="auto"/>
        <w:bottom w:val="none" w:sz="0" w:space="0" w:color="auto"/>
        <w:right w:val="none" w:sz="0" w:space="0" w:color="auto"/>
      </w:divBdr>
    </w:div>
    <w:div w:id="1729307558">
      <w:bodyDiv w:val="1"/>
      <w:marLeft w:val="0"/>
      <w:marRight w:val="0"/>
      <w:marTop w:val="0"/>
      <w:marBottom w:val="0"/>
      <w:divBdr>
        <w:top w:val="none" w:sz="0" w:space="0" w:color="auto"/>
        <w:left w:val="none" w:sz="0" w:space="0" w:color="auto"/>
        <w:bottom w:val="none" w:sz="0" w:space="0" w:color="auto"/>
        <w:right w:val="none" w:sz="0" w:space="0" w:color="auto"/>
      </w:divBdr>
    </w:div>
    <w:div w:id="1745103431">
      <w:bodyDiv w:val="1"/>
      <w:marLeft w:val="0"/>
      <w:marRight w:val="0"/>
      <w:marTop w:val="0"/>
      <w:marBottom w:val="0"/>
      <w:divBdr>
        <w:top w:val="none" w:sz="0" w:space="0" w:color="auto"/>
        <w:left w:val="none" w:sz="0" w:space="0" w:color="auto"/>
        <w:bottom w:val="none" w:sz="0" w:space="0" w:color="auto"/>
        <w:right w:val="none" w:sz="0" w:space="0" w:color="auto"/>
      </w:divBdr>
    </w:div>
    <w:div w:id="1767580679">
      <w:bodyDiv w:val="1"/>
      <w:marLeft w:val="0"/>
      <w:marRight w:val="0"/>
      <w:marTop w:val="0"/>
      <w:marBottom w:val="0"/>
      <w:divBdr>
        <w:top w:val="none" w:sz="0" w:space="0" w:color="auto"/>
        <w:left w:val="none" w:sz="0" w:space="0" w:color="auto"/>
        <w:bottom w:val="none" w:sz="0" w:space="0" w:color="auto"/>
        <w:right w:val="none" w:sz="0" w:space="0" w:color="auto"/>
      </w:divBdr>
    </w:div>
    <w:div w:id="1819421321">
      <w:bodyDiv w:val="1"/>
      <w:marLeft w:val="0"/>
      <w:marRight w:val="0"/>
      <w:marTop w:val="0"/>
      <w:marBottom w:val="0"/>
      <w:divBdr>
        <w:top w:val="none" w:sz="0" w:space="0" w:color="auto"/>
        <w:left w:val="none" w:sz="0" w:space="0" w:color="auto"/>
        <w:bottom w:val="none" w:sz="0" w:space="0" w:color="auto"/>
        <w:right w:val="none" w:sz="0" w:space="0" w:color="auto"/>
      </w:divBdr>
    </w:div>
    <w:div w:id="1828208280">
      <w:bodyDiv w:val="1"/>
      <w:marLeft w:val="0"/>
      <w:marRight w:val="0"/>
      <w:marTop w:val="0"/>
      <w:marBottom w:val="0"/>
      <w:divBdr>
        <w:top w:val="none" w:sz="0" w:space="0" w:color="auto"/>
        <w:left w:val="none" w:sz="0" w:space="0" w:color="auto"/>
        <w:bottom w:val="none" w:sz="0" w:space="0" w:color="auto"/>
        <w:right w:val="none" w:sz="0" w:space="0" w:color="auto"/>
      </w:divBdr>
    </w:div>
    <w:div w:id="1835224919">
      <w:bodyDiv w:val="1"/>
      <w:marLeft w:val="0"/>
      <w:marRight w:val="0"/>
      <w:marTop w:val="0"/>
      <w:marBottom w:val="0"/>
      <w:divBdr>
        <w:top w:val="none" w:sz="0" w:space="0" w:color="auto"/>
        <w:left w:val="none" w:sz="0" w:space="0" w:color="auto"/>
        <w:bottom w:val="none" w:sz="0" w:space="0" w:color="auto"/>
        <w:right w:val="none" w:sz="0" w:space="0" w:color="auto"/>
      </w:divBdr>
    </w:div>
    <w:div w:id="1863208287">
      <w:bodyDiv w:val="1"/>
      <w:marLeft w:val="0"/>
      <w:marRight w:val="0"/>
      <w:marTop w:val="0"/>
      <w:marBottom w:val="0"/>
      <w:divBdr>
        <w:top w:val="none" w:sz="0" w:space="0" w:color="auto"/>
        <w:left w:val="none" w:sz="0" w:space="0" w:color="auto"/>
        <w:bottom w:val="none" w:sz="0" w:space="0" w:color="auto"/>
        <w:right w:val="none" w:sz="0" w:space="0" w:color="auto"/>
      </w:divBdr>
    </w:div>
    <w:div w:id="1888028284">
      <w:bodyDiv w:val="1"/>
      <w:marLeft w:val="0"/>
      <w:marRight w:val="0"/>
      <w:marTop w:val="0"/>
      <w:marBottom w:val="0"/>
      <w:divBdr>
        <w:top w:val="none" w:sz="0" w:space="0" w:color="auto"/>
        <w:left w:val="none" w:sz="0" w:space="0" w:color="auto"/>
        <w:bottom w:val="none" w:sz="0" w:space="0" w:color="auto"/>
        <w:right w:val="none" w:sz="0" w:space="0" w:color="auto"/>
      </w:divBdr>
    </w:div>
    <w:div w:id="1907185874">
      <w:bodyDiv w:val="1"/>
      <w:marLeft w:val="0"/>
      <w:marRight w:val="0"/>
      <w:marTop w:val="0"/>
      <w:marBottom w:val="0"/>
      <w:divBdr>
        <w:top w:val="none" w:sz="0" w:space="0" w:color="auto"/>
        <w:left w:val="none" w:sz="0" w:space="0" w:color="auto"/>
        <w:bottom w:val="none" w:sz="0" w:space="0" w:color="auto"/>
        <w:right w:val="none" w:sz="0" w:space="0" w:color="auto"/>
      </w:divBdr>
    </w:div>
    <w:div w:id="1925065947">
      <w:bodyDiv w:val="1"/>
      <w:marLeft w:val="0"/>
      <w:marRight w:val="0"/>
      <w:marTop w:val="0"/>
      <w:marBottom w:val="0"/>
      <w:divBdr>
        <w:top w:val="none" w:sz="0" w:space="0" w:color="auto"/>
        <w:left w:val="none" w:sz="0" w:space="0" w:color="auto"/>
        <w:bottom w:val="none" w:sz="0" w:space="0" w:color="auto"/>
        <w:right w:val="none" w:sz="0" w:space="0" w:color="auto"/>
      </w:divBdr>
    </w:div>
    <w:div w:id="1931310756">
      <w:bodyDiv w:val="1"/>
      <w:marLeft w:val="0"/>
      <w:marRight w:val="0"/>
      <w:marTop w:val="0"/>
      <w:marBottom w:val="0"/>
      <w:divBdr>
        <w:top w:val="none" w:sz="0" w:space="0" w:color="auto"/>
        <w:left w:val="none" w:sz="0" w:space="0" w:color="auto"/>
        <w:bottom w:val="none" w:sz="0" w:space="0" w:color="auto"/>
        <w:right w:val="none" w:sz="0" w:space="0" w:color="auto"/>
      </w:divBdr>
    </w:div>
    <w:div w:id="1980260885">
      <w:bodyDiv w:val="1"/>
      <w:marLeft w:val="0"/>
      <w:marRight w:val="0"/>
      <w:marTop w:val="0"/>
      <w:marBottom w:val="0"/>
      <w:divBdr>
        <w:top w:val="none" w:sz="0" w:space="0" w:color="auto"/>
        <w:left w:val="none" w:sz="0" w:space="0" w:color="auto"/>
        <w:bottom w:val="none" w:sz="0" w:space="0" w:color="auto"/>
        <w:right w:val="none" w:sz="0" w:space="0" w:color="auto"/>
      </w:divBdr>
    </w:div>
    <w:div w:id="1983340061">
      <w:bodyDiv w:val="1"/>
      <w:marLeft w:val="0"/>
      <w:marRight w:val="0"/>
      <w:marTop w:val="0"/>
      <w:marBottom w:val="0"/>
      <w:divBdr>
        <w:top w:val="none" w:sz="0" w:space="0" w:color="auto"/>
        <w:left w:val="none" w:sz="0" w:space="0" w:color="auto"/>
        <w:bottom w:val="none" w:sz="0" w:space="0" w:color="auto"/>
        <w:right w:val="none" w:sz="0" w:space="0" w:color="auto"/>
      </w:divBdr>
    </w:div>
    <w:div w:id="1998147757">
      <w:bodyDiv w:val="1"/>
      <w:marLeft w:val="0"/>
      <w:marRight w:val="0"/>
      <w:marTop w:val="0"/>
      <w:marBottom w:val="0"/>
      <w:divBdr>
        <w:top w:val="none" w:sz="0" w:space="0" w:color="auto"/>
        <w:left w:val="none" w:sz="0" w:space="0" w:color="auto"/>
        <w:bottom w:val="none" w:sz="0" w:space="0" w:color="auto"/>
        <w:right w:val="none" w:sz="0" w:space="0" w:color="auto"/>
      </w:divBdr>
    </w:div>
    <w:div w:id="2001810529">
      <w:bodyDiv w:val="1"/>
      <w:marLeft w:val="0"/>
      <w:marRight w:val="0"/>
      <w:marTop w:val="0"/>
      <w:marBottom w:val="0"/>
      <w:divBdr>
        <w:top w:val="none" w:sz="0" w:space="0" w:color="auto"/>
        <w:left w:val="none" w:sz="0" w:space="0" w:color="auto"/>
        <w:bottom w:val="none" w:sz="0" w:space="0" w:color="auto"/>
        <w:right w:val="none" w:sz="0" w:space="0" w:color="auto"/>
      </w:divBdr>
    </w:div>
    <w:div w:id="2006518101">
      <w:bodyDiv w:val="1"/>
      <w:marLeft w:val="0"/>
      <w:marRight w:val="0"/>
      <w:marTop w:val="0"/>
      <w:marBottom w:val="0"/>
      <w:divBdr>
        <w:top w:val="none" w:sz="0" w:space="0" w:color="auto"/>
        <w:left w:val="none" w:sz="0" w:space="0" w:color="auto"/>
        <w:bottom w:val="none" w:sz="0" w:space="0" w:color="auto"/>
        <w:right w:val="none" w:sz="0" w:space="0" w:color="auto"/>
      </w:divBdr>
    </w:div>
    <w:div w:id="2015185588">
      <w:bodyDiv w:val="1"/>
      <w:marLeft w:val="0"/>
      <w:marRight w:val="0"/>
      <w:marTop w:val="0"/>
      <w:marBottom w:val="0"/>
      <w:divBdr>
        <w:top w:val="none" w:sz="0" w:space="0" w:color="auto"/>
        <w:left w:val="none" w:sz="0" w:space="0" w:color="auto"/>
        <w:bottom w:val="none" w:sz="0" w:space="0" w:color="auto"/>
        <w:right w:val="none" w:sz="0" w:space="0" w:color="auto"/>
      </w:divBdr>
    </w:div>
    <w:div w:id="2025210719">
      <w:bodyDiv w:val="1"/>
      <w:marLeft w:val="0"/>
      <w:marRight w:val="0"/>
      <w:marTop w:val="0"/>
      <w:marBottom w:val="0"/>
      <w:divBdr>
        <w:top w:val="none" w:sz="0" w:space="0" w:color="auto"/>
        <w:left w:val="none" w:sz="0" w:space="0" w:color="auto"/>
        <w:bottom w:val="none" w:sz="0" w:space="0" w:color="auto"/>
        <w:right w:val="none" w:sz="0" w:space="0" w:color="auto"/>
      </w:divBdr>
    </w:div>
    <w:div w:id="2029213318">
      <w:bodyDiv w:val="1"/>
      <w:marLeft w:val="0"/>
      <w:marRight w:val="0"/>
      <w:marTop w:val="0"/>
      <w:marBottom w:val="0"/>
      <w:divBdr>
        <w:top w:val="none" w:sz="0" w:space="0" w:color="auto"/>
        <w:left w:val="none" w:sz="0" w:space="0" w:color="auto"/>
        <w:bottom w:val="none" w:sz="0" w:space="0" w:color="auto"/>
        <w:right w:val="none" w:sz="0" w:space="0" w:color="auto"/>
      </w:divBdr>
    </w:div>
    <w:div w:id="2045591460">
      <w:bodyDiv w:val="1"/>
      <w:marLeft w:val="0"/>
      <w:marRight w:val="0"/>
      <w:marTop w:val="0"/>
      <w:marBottom w:val="0"/>
      <w:divBdr>
        <w:top w:val="none" w:sz="0" w:space="0" w:color="auto"/>
        <w:left w:val="none" w:sz="0" w:space="0" w:color="auto"/>
        <w:bottom w:val="none" w:sz="0" w:space="0" w:color="auto"/>
        <w:right w:val="none" w:sz="0" w:space="0" w:color="auto"/>
      </w:divBdr>
    </w:div>
    <w:div w:id="2050034503">
      <w:bodyDiv w:val="1"/>
      <w:marLeft w:val="0"/>
      <w:marRight w:val="0"/>
      <w:marTop w:val="0"/>
      <w:marBottom w:val="0"/>
      <w:divBdr>
        <w:top w:val="none" w:sz="0" w:space="0" w:color="auto"/>
        <w:left w:val="none" w:sz="0" w:space="0" w:color="auto"/>
        <w:bottom w:val="none" w:sz="0" w:space="0" w:color="auto"/>
        <w:right w:val="none" w:sz="0" w:space="0" w:color="auto"/>
      </w:divBdr>
    </w:div>
    <w:div w:id="2077320598">
      <w:bodyDiv w:val="1"/>
      <w:marLeft w:val="0"/>
      <w:marRight w:val="0"/>
      <w:marTop w:val="0"/>
      <w:marBottom w:val="0"/>
      <w:divBdr>
        <w:top w:val="none" w:sz="0" w:space="0" w:color="auto"/>
        <w:left w:val="none" w:sz="0" w:space="0" w:color="auto"/>
        <w:bottom w:val="none" w:sz="0" w:space="0" w:color="auto"/>
        <w:right w:val="none" w:sz="0" w:space="0" w:color="auto"/>
      </w:divBdr>
    </w:div>
    <w:div w:id="2079666193">
      <w:bodyDiv w:val="1"/>
      <w:marLeft w:val="0"/>
      <w:marRight w:val="0"/>
      <w:marTop w:val="0"/>
      <w:marBottom w:val="0"/>
      <w:divBdr>
        <w:top w:val="none" w:sz="0" w:space="0" w:color="auto"/>
        <w:left w:val="none" w:sz="0" w:space="0" w:color="auto"/>
        <w:bottom w:val="none" w:sz="0" w:space="0" w:color="auto"/>
        <w:right w:val="none" w:sz="0" w:space="0" w:color="auto"/>
      </w:divBdr>
    </w:div>
    <w:div w:id="20986259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20.xml"/><Relationship Id="rId299" Type="http://schemas.openxmlformats.org/officeDocument/2006/relationships/hyperlink" Target="https://www.business.vic.gov.au/__data/assets/pdf_file/0007/1679551/Victorian-regional-tourism-satellite-accounts-summary-2018-19.pdf" TargetMode="External"/><Relationship Id="rId21" Type="http://schemas.openxmlformats.org/officeDocument/2006/relationships/image" Target="media/image8.png"/><Relationship Id="rId63" Type="http://schemas.openxmlformats.org/officeDocument/2006/relationships/image" Target="media/image34.jpeg"/><Relationship Id="rId159" Type="http://schemas.openxmlformats.org/officeDocument/2006/relationships/image" Target="media/image69.png"/><Relationship Id="rId324" Type="http://schemas.openxmlformats.org/officeDocument/2006/relationships/hyperlink" Target="https://www.marineandcoasts.vic.gov.au/__data/assets/pdf_file/0025/405943/VCC_Economic_Study_Report_FINAL.pdf" TargetMode="External"/><Relationship Id="rId366" Type="http://schemas.openxmlformats.org/officeDocument/2006/relationships/header" Target="header104.xml"/><Relationship Id="rId170" Type="http://schemas.openxmlformats.org/officeDocument/2006/relationships/footer" Target="footer38.xml"/><Relationship Id="rId226" Type="http://schemas.openxmlformats.org/officeDocument/2006/relationships/header" Target="header65.xml"/><Relationship Id="rId433" Type="http://schemas.openxmlformats.org/officeDocument/2006/relationships/header" Target="header137.xml"/><Relationship Id="rId268" Type="http://schemas.openxmlformats.org/officeDocument/2006/relationships/header" Target="header84.xml"/><Relationship Id="rId32" Type="http://schemas.openxmlformats.org/officeDocument/2006/relationships/image" Target="media/image17.svg"/><Relationship Id="rId74" Type="http://schemas.openxmlformats.org/officeDocument/2006/relationships/footer" Target="footer6.xml"/><Relationship Id="rId128" Type="http://schemas.openxmlformats.org/officeDocument/2006/relationships/footer" Target="footer26.xml"/><Relationship Id="rId335" Type="http://schemas.openxmlformats.org/officeDocument/2006/relationships/footer" Target="footer90.xml"/><Relationship Id="rId377" Type="http://schemas.openxmlformats.org/officeDocument/2006/relationships/footer" Target="footer112.xml"/><Relationship Id="rId5" Type="http://schemas.openxmlformats.org/officeDocument/2006/relationships/customXml" Target="../customXml/item5.xml"/><Relationship Id="rId181" Type="http://schemas.openxmlformats.org/officeDocument/2006/relationships/header" Target="header45.xml"/><Relationship Id="rId237" Type="http://schemas.openxmlformats.org/officeDocument/2006/relationships/footer" Target="footer69.xml"/><Relationship Id="rId402" Type="http://schemas.openxmlformats.org/officeDocument/2006/relationships/footer" Target="footer124.xml"/><Relationship Id="rId279" Type="http://schemas.openxmlformats.org/officeDocument/2006/relationships/hyperlink" Target="https://seea.un.org/sites/seea.un.org/files/forum_2019_concept_note_marine_ecosystems.pdf" TargetMode="External"/><Relationship Id="rId444" Type="http://schemas.openxmlformats.org/officeDocument/2006/relationships/hyperlink" Target="http://www.deeca.vic.gov.au" TargetMode="External"/><Relationship Id="rId43" Type="http://schemas.openxmlformats.org/officeDocument/2006/relationships/image" Target="media/image22.png"/><Relationship Id="rId139" Type="http://schemas.openxmlformats.org/officeDocument/2006/relationships/header" Target="header30.xml"/><Relationship Id="rId290" Type="http://schemas.openxmlformats.org/officeDocument/2006/relationships/hyperlink" Target="https://www.delwp.vic.gov.au/__data/assets/pdf_file/0027/458640/Forest-Management-System-Overview-2019-1.pdf" TargetMode="External"/><Relationship Id="rId304" Type="http://schemas.openxmlformats.org/officeDocument/2006/relationships/hyperlink" Target="http://ozcoasts.gov.au/climate/sd_visual.jsp" TargetMode="External"/><Relationship Id="rId346" Type="http://schemas.openxmlformats.org/officeDocument/2006/relationships/header" Target="header95.xml"/><Relationship Id="rId388" Type="http://schemas.openxmlformats.org/officeDocument/2006/relationships/header" Target="header115.xml"/><Relationship Id="rId85" Type="http://schemas.openxmlformats.org/officeDocument/2006/relationships/image" Target="media/image42.png"/><Relationship Id="rId150" Type="http://schemas.openxmlformats.org/officeDocument/2006/relationships/header" Target="header32.xml"/><Relationship Id="rId192" Type="http://schemas.openxmlformats.org/officeDocument/2006/relationships/footer" Target="footer48.xml"/><Relationship Id="rId206" Type="http://schemas.openxmlformats.org/officeDocument/2006/relationships/header" Target="header57.xml"/><Relationship Id="rId413" Type="http://schemas.openxmlformats.org/officeDocument/2006/relationships/header" Target="header127.xml"/><Relationship Id="rId248" Type="http://schemas.openxmlformats.org/officeDocument/2006/relationships/footer" Target="footer74.xml"/><Relationship Id="rId455" Type="http://schemas.openxmlformats.org/officeDocument/2006/relationships/hyperlink" Target="http://www.deeca.vic.gov.au" TargetMode="External"/><Relationship Id="rId12" Type="http://schemas.openxmlformats.org/officeDocument/2006/relationships/footnotes" Target="footnotes.xml"/><Relationship Id="rId108" Type="http://schemas.openxmlformats.org/officeDocument/2006/relationships/header" Target="header19.xml"/><Relationship Id="rId315" Type="http://schemas.openxmlformats.org/officeDocument/2006/relationships/hyperlink" Target="https://urldefense.proofpoint.com/v2/url?u=https-3A__www.tra.gov.au_Regional_local-2Dgovernment-2Darea-2Dprofiles&amp;d=DwMGaQ&amp;c=JnBkUqWXzx2bz-3a05d47Q&amp;r=zcAwUE9Zjt6MjZ9OAB0wziatMLiDfEWb-9Or2zsEg_U&amp;m=JcNy2d15B-BOWGYYk4ArVIrbMMgLse7q8e04Z0IuY4M&amp;s=Ezy_rcZ0IkHofuqWNlLvcDANLVSEuvxU70qa84Rijag&amp;e=" TargetMode="External"/><Relationship Id="rId357" Type="http://schemas.openxmlformats.org/officeDocument/2006/relationships/footer" Target="footer102.xml"/><Relationship Id="rId54" Type="http://schemas.openxmlformats.org/officeDocument/2006/relationships/hyperlink" Target="http://creativecommons.org/licenses/by/4.0/" TargetMode="External"/><Relationship Id="rId96" Type="http://schemas.openxmlformats.org/officeDocument/2006/relationships/footer" Target="footer15.xml"/><Relationship Id="rId161" Type="http://schemas.openxmlformats.org/officeDocument/2006/relationships/header" Target="header36.xml"/><Relationship Id="rId217" Type="http://schemas.openxmlformats.org/officeDocument/2006/relationships/header" Target="header62.xml"/><Relationship Id="rId399" Type="http://schemas.openxmlformats.org/officeDocument/2006/relationships/footer" Target="footer123.xml"/><Relationship Id="rId259" Type="http://schemas.openxmlformats.org/officeDocument/2006/relationships/image" Target="media/image77.png"/><Relationship Id="rId424" Type="http://schemas.openxmlformats.org/officeDocument/2006/relationships/header" Target="header132.xml"/><Relationship Id="rId466" Type="http://schemas.openxmlformats.org/officeDocument/2006/relationships/glossaryDocument" Target="glossary/document.xml"/><Relationship Id="rId23" Type="http://schemas.openxmlformats.org/officeDocument/2006/relationships/image" Target="media/image10.png"/><Relationship Id="rId119" Type="http://schemas.openxmlformats.org/officeDocument/2006/relationships/header" Target="header24.xml"/><Relationship Id="rId270" Type="http://schemas.openxmlformats.org/officeDocument/2006/relationships/footer" Target="footer84.xml"/><Relationship Id="rId326" Type="http://schemas.openxmlformats.org/officeDocument/2006/relationships/header" Target="header87.xml"/><Relationship Id="rId65" Type="http://schemas.openxmlformats.org/officeDocument/2006/relationships/image" Target="media/image36.png"/><Relationship Id="rId130" Type="http://schemas.openxmlformats.org/officeDocument/2006/relationships/image" Target="media/image53.jpeg"/><Relationship Id="rId368" Type="http://schemas.openxmlformats.org/officeDocument/2006/relationships/footer" Target="footer107.xml"/><Relationship Id="rId172" Type="http://schemas.openxmlformats.org/officeDocument/2006/relationships/header" Target="header41.xml"/><Relationship Id="rId228" Type="http://schemas.openxmlformats.org/officeDocument/2006/relationships/footer" Target="footer64.xml"/><Relationship Id="rId435" Type="http://schemas.openxmlformats.org/officeDocument/2006/relationships/footer" Target="footer141.xml"/><Relationship Id="rId281" Type="http://schemas.openxmlformats.org/officeDocument/2006/relationships/hyperlink" Target="https://seea.un.org/sites/seea.un.org/files/amanda_clark_gbr_presentation_-_new_york_2019.pdf" TargetMode="External"/><Relationship Id="rId337" Type="http://schemas.openxmlformats.org/officeDocument/2006/relationships/header" Target="header92.xml"/><Relationship Id="rId34" Type="http://schemas.openxmlformats.org/officeDocument/2006/relationships/image" Target="media/image19.svg"/><Relationship Id="rId76" Type="http://schemas.openxmlformats.org/officeDocument/2006/relationships/header" Target="header9.xml"/><Relationship Id="rId141" Type="http://schemas.openxmlformats.org/officeDocument/2006/relationships/footer" Target="footer29.xml"/><Relationship Id="rId379" Type="http://schemas.openxmlformats.org/officeDocument/2006/relationships/footer" Target="footer113.xml"/><Relationship Id="rId7" Type="http://schemas.openxmlformats.org/officeDocument/2006/relationships/customXml" Target="../customXml/item7.xml"/><Relationship Id="rId183" Type="http://schemas.openxmlformats.org/officeDocument/2006/relationships/footer" Target="footer44.xml"/><Relationship Id="rId239" Type="http://schemas.openxmlformats.org/officeDocument/2006/relationships/header" Target="header72.xml"/><Relationship Id="rId390" Type="http://schemas.openxmlformats.org/officeDocument/2006/relationships/footer" Target="footer118.xml"/><Relationship Id="rId404" Type="http://schemas.openxmlformats.org/officeDocument/2006/relationships/header" Target="header123.xml"/><Relationship Id="rId446" Type="http://schemas.openxmlformats.org/officeDocument/2006/relationships/header" Target="header140.xml"/><Relationship Id="rId250" Type="http://schemas.openxmlformats.org/officeDocument/2006/relationships/header" Target="header77.xml"/><Relationship Id="rId292" Type="http://schemas.openxmlformats.org/officeDocument/2006/relationships/hyperlink" Target="https://www.environment.vic.gov.au/biodiversity/Victorias-Land-Cover-Time-Series" TargetMode="External"/><Relationship Id="rId306" Type="http://schemas.openxmlformats.org/officeDocument/2006/relationships/hyperlink" Target="https://naturalcapitalproject.stanford.edu/software/invest" TargetMode="External"/><Relationship Id="rId45" Type="http://schemas.openxmlformats.org/officeDocument/2006/relationships/image" Target="media/image24.png"/><Relationship Id="rId87" Type="http://schemas.openxmlformats.org/officeDocument/2006/relationships/header" Target="header14.xml"/><Relationship Id="rId110" Type="http://schemas.openxmlformats.org/officeDocument/2006/relationships/footer" Target="footer17.xml"/><Relationship Id="rId348" Type="http://schemas.openxmlformats.org/officeDocument/2006/relationships/footer" Target="footer97.xml"/><Relationship Id="rId152" Type="http://schemas.openxmlformats.org/officeDocument/2006/relationships/footer" Target="footer31.xml"/><Relationship Id="rId194" Type="http://schemas.openxmlformats.org/officeDocument/2006/relationships/footer" Target="footer49.xml"/><Relationship Id="rId208" Type="http://schemas.openxmlformats.org/officeDocument/2006/relationships/footer" Target="footer55.xml"/><Relationship Id="rId415" Type="http://schemas.openxmlformats.org/officeDocument/2006/relationships/footer" Target="footer131.xml"/><Relationship Id="rId457" Type="http://schemas.openxmlformats.org/officeDocument/2006/relationships/image" Target="media/image91.png"/><Relationship Id="rId261" Type="http://schemas.openxmlformats.org/officeDocument/2006/relationships/header" Target="header81.xml"/><Relationship Id="rId14" Type="http://schemas.openxmlformats.org/officeDocument/2006/relationships/image" Target="media/image1.png"/><Relationship Id="rId56" Type="http://schemas.openxmlformats.org/officeDocument/2006/relationships/hyperlink" Target="mailto:customer.service@delwp.vic.gov.au" TargetMode="External"/><Relationship Id="rId317" Type="http://schemas.openxmlformats.org/officeDocument/2006/relationships/hyperlink" Target="https://seea.un.org/sites/seea.un.org/files/seea_eea_final_en_1.pdf" TargetMode="External"/><Relationship Id="rId359" Type="http://schemas.openxmlformats.org/officeDocument/2006/relationships/header" Target="header102.xml"/><Relationship Id="rId98" Type="http://schemas.openxmlformats.org/officeDocument/2006/relationships/image" Target="media/image41.png"/><Relationship Id="rId121" Type="http://schemas.openxmlformats.org/officeDocument/2006/relationships/footer" Target="footer22.xml"/><Relationship Id="rId163" Type="http://schemas.openxmlformats.org/officeDocument/2006/relationships/footer" Target="footer35.xml"/><Relationship Id="rId219" Type="http://schemas.openxmlformats.org/officeDocument/2006/relationships/footer" Target="footer61.xml"/><Relationship Id="rId370" Type="http://schemas.openxmlformats.org/officeDocument/2006/relationships/header" Target="header106.xml"/><Relationship Id="rId426" Type="http://schemas.openxmlformats.org/officeDocument/2006/relationships/footer" Target="footer136.xml"/><Relationship Id="rId230" Type="http://schemas.openxmlformats.org/officeDocument/2006/relationships/header" Target="header67.xml"/><Relationship Id="rId25" Type="http://schemas.openxmlformats.org/officeDocument/2006/relationships/hyperlink" Target="file:///C:\Users\fionadurante\Downloads\deeca.vic.gov.au" TargetMode="External"/><Relationship Id="rId67" Type="http://schemas.openxmlformats.org/officeDocument/2006/relationships/header" Target="header5.xml"/><Relationship Id="rId272" Type="http://schemas.openxmlformats.org/officeDocument/2006/relationships/hyperlink" Target="https://www.abs.gov.au/statistics/industry/agriculture/agricultural-commodities-australia/2017-18/71210do001_201718.xls" TargetMode="External"/><Relationship Id="rId328" Type="http://schemas.openxmlformats.org/officeDocument/2006/relationships/footer" Target="footer87.xml"/><Relationship Id="rId132" Type="http://schemas.openxmlformats.org/officeDocument/2006/relationships/image" Target="media/image55.jpeg"/><Relationship Id="rId174" Type="http://schemas.openxmlformats.org/officeDocument/2006/relationships/footer" Target="footer40.xml"/><Relationship Id="rId381" Type="http://schemas.openxmlformats.org/officeDocument/2006/relationships/header" Target="header112.xml"/><Relationship Id="rId241" Type="http://schemas.openxmlformats.org/officeDocument/2006/relationships/footer" Target="footer71.xml"/><Relationship Id="rId437" Type="http://schemas.openxmlformats.org/officeDocument/2006/relationships/footer" Target="footer142.xml"/><Relationship Id="rId36" Type="http://schemas.openxmlformats.org/officeDocument/2006/relationships/image" Target="media/image21.jpeg"/><Relationship Id="rId283" Type="http://schemas.openxmlformats.org/officeDocument/2006/relationships/hyperlink" Target="https://www.ons.gov.uk/economy/environmentalaccounts/methodologies/principlesofnaturalcapitalaccounting" TargetMode="External"/><Relationship Id="rId339" Type="http://schemas.openxmlformats.org/officeDocument/2006/relationships/footer" Target="footer92.xml"/><Relationship Id="rId78" Type="http://schemas.openxmlformats.org/officeDocument/2006/relationships/footer" Target="footer8.xml"/><Relationship Id="rId101" Type="http://schemas.openxmlformats.org/officeDocument/2006/relationships/image" Target="media/image45.png"/><Relationship Id="rId143" Type="http://schemas.openxmlformats.org/officeDocument/2006/relationships/image" Target="media/image61.jpeg"/><Relationship Id="rId185" Type="http://schemas.openxmlformats.org/officeDocument/2006/relationships/header" Target="header47.xml"/><Relationship Id="rId350" Type="http://schemas.openxmlformats.org/officeDocument/2006/relationships/header" Target="header97.xml"/><Relationship Id="rId406" Type="http://schemas.openxmlformats.org/officeDocument/2006/relationships/footer" Target="footer126.xml"/><Relationship Id="rId9" Type="http://schemas.openxmlformats.org/officeDocument/2006/relationships/styles" Target="styles.xml"/><Relationship Id="rId210" Type="http://schemas.openxmlformats.org/officeDocument/2006/relationships/header" Target="header59.xml"/><Relationship Id="rId392" Type="http://schemas.openxmlformats.org/officeDocument/2006/relationships/header" Target="header117.xml"/><Relationship Id="rId448" Type="http://schemas.openxmlformats.org/officeDocument/2006/relationships/image" Target="media/image83.png"/><Relationship Id="rId252" Type="http://schemas.openxmlformats.org/officeDocument/2006/relationships/footer" Target="footer76.xml"/><Relationship Id="rId294" Type="http://schemas.openxmlformats.org/officeDocument/2006/relationships/hyperlink" Target="https://www.ari.vic.gov.au/research/rivers-and-estuaries/index-of-estuary-condition" TargetMode="External"/><Relationship Id="rId308" Type="http://schemas.openxmlformats.org/officeDocument/2006/relationships/hyperlink" Target="https://www.ons.gov.uk/economy/environmentalaccounts/methodologies/scopingukcoastalmarginecosystemaccounts" TargetMode="External"/><Relationship Id="rId47" Type="http://schemas.openxmlformats.org/officeDocument/2006/relationships/image" Target="media/image25.jpeg"/><Relationship Id="rId89" Type="http://schemas.openxmlformats.org/officeDocument/2006/relationships/footer" Target="footer12.xml"/><Relationship Id="rId112" Type="http://schemas.openxmlformats.org/officeDocument/2006/relationships/header" Target="header21.xml"/><Relationship Id="rId154" Type="http://schemas.openxmlformats.org/officeDocument/2006/relationships/header" Target="header33.xml"/><Relationship Id="rId361" Type="http://schemas.openxmlformats.org/officeDocument/2006/relationships/header" Target="header103.xml"/><Relationship Id="rId196" Type="http://schemas.openxmlformats.org/officeDocument/2006/relationships/header" Target="header52.xml"/><Relationship Id="rId417" Type="http://schemas.openxmlformats.org/officeDocument/2006/relationships/header" Target="header129.xml"/><Relationship Id="rId459" Type="http://schemas.openxmlformats.org/officeDocument/2006/relationships/image" Target="media/image93.png"/><Relationship Id="rId16" Type="http://schemas.openxmlformats.org/officeDocument/2006/relationships/image" Target="media/image3.svg"/><Relationship Id="rId221" Type="http://schemas.openxmlformats.org/officeDocument/2006/relationships/header" Target="header64.xml"/><Relationship Id="rId263" Type="http://schemas.openxmlformats.org/officeDocument/2006/relationships/footer" Target="footer81.xml"/><Relationship Id="rId319" Type="http://schemas.openxmlformats.org/officeDocument/2006/relationships/hyperlink" Target="https://seea.un.org/sites/seea.un.org/files/documents/EEA/eea_2020_revision_issue_final_jul2018.pdf" TargetMode="External"/><Relationship Id="rId58" Type="http://schemas.openxmlformats.org/officeDocument/2006/relationships/header" Target="header4.xml"/><Relationship Id="rId123" Type="http://schemas.openxmlformats.org/officeDocument/2006/relationships/header" Target="header26.xml"/><Relationship Id="rId330" Type="http://schemas.openxmlformats.org/officeDocument/2006/relationships/footer" Target="footer88.xml"/><Relationship Id="rId165" Type="http://schemas.openxmlformats.org/officeDocument/2006/relationships/header" Target="header38.xml"/><Relationship Id="rId372" Type="http://schemas.openxmlformats.org/officeDocument/2006/relationships/footer" Target="footer109.xml"/><Relationship Id="rId428" Type="http://schemas.openxmlformats.org/officeDocument/2006/relationships/header" Target="header134.xml"/><Relationship Id="rId232" Type="http://schemas.openxmlformats.org/officeDocument/2006/relationships/footer" Target="footer66.xml"/><Relationship Id="rId274" Type="http://schemas.openxmlformats.org/officeDocument/2006/relationships/hyperlink" Target="https://www.abs.gov.au/statistics/industry/agriculture/agricultural-commodities-australia/latest-release" TargetMode="External"/><Relationship Id="rId27" Type="http://schemas.openxmlformats.org/officeDocument/2006/relationships/image" Target="media/image12.png"/><Relationship Id="rId69" Type="http://schemas.openxmlformats.org/officeDocument/2006/relationships/footer" Target="footer4.xml"/><Relationship Id="rId134" Type="http://schemas.openxmlformats.org/officeDocument/2006/relationships/image" Target="media/image57.jpeg"/><Relationship Id="rId80" Type="http://schemas.openxmlformats.org/officeDocument/2006/relationships/header" Target="header11.xml"/><Relationship Id="rId176" Type="http://schemas.openxmlformats.org/officeDocument/2006/relationships/image" Target="media/image70.png"/><Relationship Id="rId341" Type="http://schemas.openxmlformats.org/officeDocument/2006/relationships/footer" Target="footer94.xml"/><Relationship Id="rId383" Type="http://schemas.openxmlformats.org/officeDocument/2006/relationships/footer" Target="footer115.xml"/><Relationship Id="rId439" Type="http://schemas.openxmlformats.org/officeDocument/2006/relationships/footer" Target="footer144.xml"/><Relationship Id="rId201" Type="http://schemas.openxmlformats.org/officeDocument/2006/relationships/header" Target="header55.xml"/><Relationship Id="rId243" Type="http://schemas.openxmlformats.org/officeDocument/2006/relationships/header" Target="header73.xml"/><Relationship Id="rId285" Type="http://schemas.openxmlformats.org/officeDocument/2006/relationships/hyperlink" Target="http://services.land.vic.gov.au/SpatialDatamart/dataSearchViewMetadata.html?anzlicId=ANZVI0803005827&amp;extractionProviderId=2" TargetMode="External"/><Relationship Id="rId450" Type="http://schemas.openxmlformats.org/officeDocument/2006/relationships/image" Target="media/image85.png"/><Relationship Id="rId38" Type="http://schemas.openxmlformats.org/officeDocument/2006/relationships/header" Target="header2.xml"/><Relationship Id="rId103" Type="http://schemas.openxmlformats.org/officeDocument/2006/relationships/image" Target="media/image47.png"/><Relationship Id="rId310" Type="http://schemas.openxmlformats.org/officeDocument/2006/relationships/hyperlink" Target="https://www.parks.vic.gov.au/get-into-nature/conservation-and-science" TargetMode="External"/><Relationship Id="rId91" Type="http://schemas.openxmlformats.org/officeDocument/2006/relationships/header" Target="header16.xml"/><Relationship Id="rId145" Type="http://schemas.openxmlformats.org/officeDocument/2006/relationships/image" Target="media/image63.jpeg"/><Relationship Id="rId187" Type="http://schemas.openxmlformats.org/officeDocument/2006/relationships/footer" Target="footer46.xml"/><Relationship Id="rId352" Type="http://schemas.openxmlformats.org/officeDocument/2006/relationships/footer" Target="footer99.xml"/><Relationship Id="rId394" Type="http://schemas.openxmlformats.org/officeDocument/2006/relationships/footer" Target="footer120.xml"/><Relationship Id="rId408" Type="http://schemas.openxmlformats.org/officeDocument/2006/relationships/image" Target="media/image80.jpeg"/><Relationship Id="rId212" Type="http://schemas.openxmlformats.org/officeDocument/2006/relationships/footer" Target="footer57.xml"/><Relationship Id="rId254" Type="http://schemas.openxmlformats.org/officeDocument/2006/relationships/header" Target="header79.xml"/><Relationship Id="rId49" Type="http://schemas.openxmlformats.org/officeDocument/2006/relationships/image" Target="media/image26.jpg"/><Relationship Id="rId114" Type="http://schemas.openxmlformats.org/officeDocument/2006/relationships/image" Target="media/image52.png"/><Relationship Id="rId296" Type="http://schemas.openxmlformats.org/officeDocument/2006/relationships/hyperlink" Target="http://services.land.vic.gov.au/catalogue/metadata?anzlicId=ANZVI0803002595&amp;publicId=guest&amp;extractionProviderId=1" TargetMode="External"/><Relationship Id="rId461" Type="http://schemas.openxmlformats.org/officeDocument/2006/relationships/image" Target="media/image95.png"/><Relationship Id="rId60" Type="http://schemas.openxmlformats.org/officeDocument/2006/relationships/image" Target="media/image30.png"/><Relationship Id="rId156" Type="http://schemas.openxmlformats.org/officeDocument/2006/relationships/footer" Target="footer32.xml"/><Relationship Id="rId198" Type="http://schemas.openxmlformats.org/officeDocument/2006/relationships/footer" Target="footer50.xml"/><Relationship Id="rId321" Type="http://schemas.openxmlformats.org/officeDocument/2006/relationships/hyperlink" Target="https://seea.un.org/sites/seea.un.org/files/seea_eea_revision_wg1_discussion_paper_1.2_urban_areas_0.pdf" TargetMode="External"/><Relationship Id="rId363" Type="http://schemas.openxmlformats.org/officeDocument/2006/relationships/footer" Target="footer105.xml"/><Relationship Id="rId419" Type="http://schemas.openxmlformats.org/officeDocument/2006/relationships/footer" Target="footer133.xml"/><Relationship Id="rId223" Type="http://schemas.openxmlformats.org/officeDocument/2006/relationships/footer" Target="footer63.xml"/><Relationship Id="rId430" Type="http://schemas.openxmlformats.org/officeDocument/2006/relationships/footer" Target="footer138.xml"/><Relationship Id="rId18" Type="http://schemas.openxmlformats.org/officeDocument/2006/relationships/image" Target="media/image5.svg"/><Relationship Id="rId265" Type="http://schemas.openxmlformats.org/officeDocument/2006/relationships/header" Target="header83.xml"/><Relationship Id="rId125" Type="http://schemas.openxmlformats.org/officeDocument/2006/relationships/footer" Target="footer24.xml"/><Relationship Id="rId167" Type="http://schemas.openxmlformats.org/officeDocument/2006/relationships/footer" Target="footer37.xml"/><Relationship Id="rId332" Type="http://schemas.openxmlformats.org/officeDocument/2006/relationships/header" Target="header89.xml"/><Relationship Id="rId374" Type="http://schemas.openxmlformats.org/officeDocument/2006/relationships/header" Target="header108.xml"/><Relationship Id="rId71" Type="http://schemas.openxmlformats.org/officeDocument/2006/relationships/image" Target="media/image38.png"/><Relationship Id="rId234" Type="http://schemas.openxmlformats.org/officeDocument/2006/relationships/header" Target="header69.xml"/><Relationship Id="rId2" Type="http://schemas.openxmlformats.org/officeDocument/2006/relationships/customXml" Target="../customXml/item2.xml"/><Relationship Id="rId29" Type="http://schemas.openxmlformats.org/officeDocument/2006/relationships/image" Target="media/image14.png"/><Relationship Id="rId276" Type="http://schemas.openxmlformats.org/officeDocument/2006/relationships/hyperlink" Target="https://auscamps.asn.au/application/files/3515/5746/0598/PandO_1617FY_Survey_Report_Final.pdf" TargetMode="External"/><Relationship Id="rId441" Type="http://schemas.openxmlformats.org/officeDocument/2006/relationships/image" Target="media/image81.png"/><Relationship Id="rId40" Type="http://schemas.openxmlformats.org/officeDocument/2006/relationships/footer" Target="footer2.xml"/><Relationship Id="rId136" Type="http://schemas.openxmlformats.org/officeDocument/2006/relationships/image" Target="media/image58.jpeg"/><Relationship Id="rId178" Type="http://schemas.openxmlformats.org/officeDocument/2006/relationships/header" Target="header44.xml"/><Relationship Id="rId301" Type="http://schemas.openxmlformats.org/officeDocument/2006/relationships/hyperlink" Target="https://ecosystemsknowledge.net/sites/default/files/wp-content/uploads/2013/03/Learning-in-Natural-Environments-report-280211.pdf" TargetMode="External"/><Relationship Id="rId343" Type="http://schemas.openxmlformats.org/officeDocument/2006/relationships/header" Target="header94.xml"/><Relationship Id="rId61" Type="http://schemas.openxmlformats.org/officeDocument/2006/relationships/image" Target="media/image32.png"/><Relationship Id="rId82" Type="http://schemas.openxmlformats.org/officeDocument/2006/relationships/footer" Target="footer9.xml"/><Relationship Id="rId199" Type="http://schemas.openxmlformats.org/officeDocument/2006/relationships/footer" Target="footer51.xml"/><Relationship Id="rId203" Type="http://schemas.openxmlformats.org/officeDocument/2006/relationships/footer" Target="footer53.xml"/><Relationship Id="rId385" Type="http://schemas.openxmlformats.org/officeDocument/2006/relationships/header" Target="header114.xml"/><Relationship Id="rId19" Type="http://schemas.openxmlformats.org/officeDocument/2006/relationships/image" Target="media/image6.png"/><Relationship Id="rId224" Type="http://schemas.openxmlformats.org/officeDocument/2006/relationships/image" Target="media/image74.png"/><Relationship Id="rId245" Type="http://schemas.openxmlformats.org/officeDocument/2006/relationships/footer" Target="footer72.xml"/><Relationship Id="rId266" Type="http://schemas.openxmlformats.org/officeDocument/2006/relationships/footer" Target="footer82.xml"/><Relationship Id="rId287" Type="http://schemas.openxmlformats.org/officeDocument/2006/relationships/hyperlink" Target="https://www.planning.vic.gov.au/__data/assets/pdf_file/0026/394271/GreatOceanRoad_ActionPlan.pdf" TargetMode="External"/><Relationship Id="rId410" Type="http://schemas.openxmlformats.org/officeDocument/2006/relationships/header" Target="header126.xml"/><Relationship Id="rId431" Type="http://schemas.openxmlformats.org/officeDocument/2006/relationships/footer" Target="footer139.xml"/><Relationship Id="rId452" Type="http://schemas.openxmlformats.org/officeDocument/2006/relationships/image" Target="media/image87.png"/><Relationship Id="rId30" Type="http://schemas.openxmlformats.org/officeDocument/2006/relationships/image" Target="media/image15.svg"/><Relationship Id="rId105" Type="http://schemas.openxmlformats.org/officeDocument/2006/relationships/image" Target="media/image49.png"/><Relationship Id="rId126" Type="http://schemas.openxmlformats.org/officeDocument/2006/relationships/footer" Target="footer25.xml"/><Relationship Id="rId147" Type="http://schemas.openxmlformats.org/officeDocument/2006/relationships/image" Target="media/image65.jpeg"/><Relationship Id="rId168" Type="http://schemas.openxmlformats.org/officeDocument/2006/relationships/header" Target="header39.xml"/><Relationship Id="rId312" Type="http://schemas.openxmlformats.org/officeDocument/2006/relationships/hyperlink" Target="https://maps.oceanwealth.org/" TargetMode="External"/><Relationship Id="rId333" Type="http://schemas.openxmlformats.org/officeDocument/2006/relationships/header" Target="header90.xml"/><Relationship Id="rId354" Type="http://schemas.openxmlformats.org/officeDocument/2006/relationships/header" Target="header99.xml"/><Relationship Id="rId51" Type="http://schemas.openxmlformats.org/officeDocument/2006/relationships/image" Target="media/image27.png"/><Relationship Id="rId72" Type="http://schemas.openxmlformats.org/officeDocument/2006/relationships/header" Target="header7.xml"/><Relationship Id="rId93" Type="http://schemas.openxmlformats.org/officeDocument/2006/relationships/footer" Target="footer14.xml"/><Relationship Id="rId189" Type="http://schemas.openxmlformats.org/officeDocument/2006/relationships/image" Target="media/image71.png"/><Relationship Id="rId375" Type="http://schemas.openxmlformats.org/officeDocument/2006/relationships/header" Target="header109.xml"/><Relationship Id="rId396" Type="http://schemas.openxmlformats.org/officeDocument/2006/relationships/header" Target="header119.xml"/><Relationship Id="rId3" Type="http://schemas.openxmlformats.org/officeDocument/2006/relationships/customXml" Target="../customXml/item3.xml"/><Relationship Id="rId214" Type="http://schemas.openxmlformats.org/officeDocument/2006/relationships/footer" Target="footer58.xml"/><Relationship Id="rId235" Type="http://schemas.openxmlformats.org/officeDocument/2006/relationships/header" Target="header70.xml"/><Relationship Id="rId256" Type="http://schemas.openxmlformats.org/officeDocument/2006/relationships/footer" Target="footer78.xml"/><Relationship Id="rId277" Type="http://schemas.openxmlformats.org/officeDocument/2006/relationships/hyperlink" Target="https://www.aihw.gov.au/getmedia/a5cfb53c-a22f-407b-8c6f-3820544cb900/aihw-hwe-80.pdf.aspx?inline=true" TargetMode="External"/><Relationship Id="rId298" Type="http://schemas.openxmlformats.org/officeDocument/2006/relationships/hyperlink" Target="https://www.business.vic.gov.au/__data/assets/pdf_file/0008/1959884/Great_Ocean_Road_Regional_Summary_year_ending_Sep_2020.pdf" TargetMode="External"/><Relationship Id="rId400" Type="http://schemas.openxmlformats.org/officeDocument/2006/relationships/header" Target="header121.xml"/><Relationship Id="rId421" Type="http://schemas.openxmlformats.org/officeDocument/2006/relationships/header" Target="header131.xml"/><Relationship Id="rId442" Type="http://schemas.openxmlformats.org/officeDocument/2006/relationships/hyperlink" Target="http://www.deeca.vic.gov.au" TargetMode="External"/><Relationship Id="rId463" Type="http://schemas.openxmlformats.org/officeDocument/2006/relationships/hyperlink" Target="http://www.deeca.vic.gov.au" TargetMode="External"/><Relationship Id="rId116" Type="http://schemas.openxmlformats.org/officeDocument/2006/relationships/header" Target="header23.xml"/><Relationship Id="rId137" Type="http://schemas.openxmlformats.org/officeDocument/2006/relationships/image" Target="media/image59.jpeg"/><Relationship Id="rId158" Type="http://schemas.openxmlformats.org/officeDocument/2006/relationships/image" Target="media/image68.png"/><Relationship Id="rId302" Type="http://schemas.openxmlformats.org/officeDocument/2006/relationships/hyperlink" Target="https://cices.eu/resources/" TargetMode="External"/><Relationship Id="rId323" Type="http://schemas.openxmlformats.org/officeDocument/2006/relationships/hyperlink" Target="https://www.planning.vic.gov.au/__data/assets/pdf_file/0029/394346/GreatOceanRoad_FinalReport_web.pdf" TargetMode="External"/><Relationship Id="rId344" Type="http://schemas.openxmlformats.org/officeDocument/2006/relationships/footer" Target="footer95.xml"/><Relationship Id="rId20" Type="http://schemas.openxmlformats.org/officeDocument/2006/relationships/image" Target="media/image7.png"/><Relationship Id="rId41" Type="http://schemas.openxmlformats.org/officeDocument/2006/relationships/header" Target="header3.xml"/><Relationship Id="rId62" Type="http://schemas.openxmlformats.org/officeDocument/2006/relationships/image" Target="media/image33.png"/><Relationship Id="rId83" Type="http://schemas.openxmlformats.org/officeDocument/2006/relationships/footer" Target="footer10.xml"/><Relationship Id="rId179" Type="http://schemas.openxmlformats.org/officeDocument/2006/relationships/footer" Target="footer42.xml"/><Relationship Id="rId365" Type="http://schemas.openxmlformats.org/officeDocument/2006/relationships/footer" Target="footer106.xml"/><Relationship Id="rId386" Type="http://schemas.openxmlformats.org/officeDocument/2006/relationships/footer" Target="footer116.xml"/><Relationship Id="rId190" Type="http://schemas.openxmlformats.org/officeDocument/2006/relationships/header" Target="header49.xml"/><Relationship Id="rId204" Type="http://schemas.openxmlformats.org/officeDocument/2006/relationships/image" Target="media/image73.png"/><Relationship Id="rId225" Type="http://schemas.openxmlformats.org/officeDocument/2006/relationships/chart" Target="charts/chart2.xml"/><Relationship Id="rId246" Type="http://schemas.openxmlformats.org/officeDocument/2006/relationships/footer" Target="footer73.xml"/><Relationship Id="rId267" Type="http://schemas.openxmlformats.org/officeDocument/2006/relationships/footer" Target="footer83.xml"/><Relationship Id="rId288" Type="http://schemas.openxmlformats.org/officeDocument/2006/relationships/hyperlink" Target="https://www.forestsandreserves.vic.gov.au/forest-management/victorian-forest-monitoring-program" TargetMode="External"/><Relationship Id="rId411" Type="http://schemas.openxmlformats.org/officeDocument/2006/relationships/footer" Target="footer128.xml"/><Relationship Id="rId432" Type="http://schemas.openxmlformats.org/officeDocument/2006/relationships/header" Target="header136.xml"/><Relationship Id="rId453" Type="http://schemas.openxmlformats.org/officeDocument/2006/relationships/image" Target="media/image88.png"/><Relationship Id="rId106" Type="http://schemas.openxmlformats.org/officeDocument/2006/relationships/image" Target="media/image50.png"/><Relationship Id="rId127" Type="http://schemas.openxmlformats.org/officeDocument/2006/relationships/header" Target="header28.xml"/><Relationship Id="rId313" Type="http://schemas.openxmlformats.org/officeDocument/2006/relationships/hyperlink" Target="https://seea.un.org/sites/seea.un.org/files/samoa_oa_pilot_presentation_final.pdf" TargetMode="External"/><Relationship Id="rId10" Type="http://schemas.openxmlformats.org/officeDocument/2006/relationships/settings" Target="settings.xml"/><Relationship Id="rId31" Type="http://schemas.openxmlformats.org/officeDocument/2006/relationships/image" Target="media/image16.png"/><Relationship Id="rId52" Type="http://schemas.openxmlformats.org/officeDocument/2006/relationships/image" Target="media/image31.png"/><Relationship Id="rId73" Type="http://schemas.openxmlformats.org/officeDocument/2006/relationships/header" Target="header8.xml"/><Relationship Id="rId94" Type="http://schemas.openxmlformats.org/officeDocument/2006/relationships/header" Target="header17.xml"/><Relationship Id="rId148" Type="http://schemas.openxmlformats.org/officeDocument/2006/relationships/image" Target="media/image66.jpeg"/><Relationship Id="rId169" Type="http://schemas.openxmlformats.org/officeDocument/2006/relationships/header" Target="header40.xml"/><Relationship Id="rId334" Type="http://schemas.openxmlformats.org/officeDocument/2006/relationships/footer" Target="footer89.xml"/><Relationship Id="rId355" Type="http://schemas.openxmlformats.org/officeDocument/2006/relationships/header" Target="header100.xml"/><Relationship Id="rId376" Type="http://schemas.openxmlformats.org/officeDocument/2006/relationships/footer" Target="footer111.xml"/><Relationship Id="rId397" Type="http://schemas.openxmlformats.org/officeDocument/2006/relationships/header" Target="header120.xml"/><Relationship Id="rId4" Type="http://schemas.openxmlformats.org/officeDocument/2006/relationships/customXml" Target="../customXml/item4.xml"/><Relationship Id="rId180" Type="http://schemas.openxmlformats.org/officeDocument/2006/relationships/footer" Target="footer43.xml"/><Relationship Id="rId215" Type="http://schemas.openxmlformats.org/officeDocument/2006/relationships/footer" Target="footer59.xml"/><Relationship Id="rId236" Type="http://schemas.openxmlformats.org/officeDocument/2006/relationships/footer" Target="footer68.xml"/><Relationship Id="rId257" Type="http://schemas.openxmlformats.org/officeDocument/2006/relationships/footer" Target="footer79.xml"/><Relationship Id="rId278" Type="http://schemas.openxmlformats.org/officeDocument/2006/relationships/hyperlink" Target="https://seea.un.org/sites/seea.un.org/files/documents/EEA/discussion_paper_5.1_defining_values_for_erg_aug_2019.pdf" TargetMode="External"/><Relationship Id="rId401" Type="http://schemas.openxmlformats.org/officeDocument/2006/relationships/header" Target="header122.xml"/><Relationship Id="rId422" Type="http://schemas.openxmlformats.org/officeDocument/2006/relationships/footer" Target="footer134.xml"/><Relationship Id="rId443" Type="http://schemas.openxmlformats.org/officeDocument/2006/relationships/image" Target="media/image82.png"/><Relationship Id="rId464" Type="http://schemas.openxmlformats.org/officeDocument/2006/relationships/header" Target="header141.xml"/><Relationship Id="rId303" Type="http://schemas.openxmlformats.org/officeDocument/2006/relationships/hyperlink" Target="https://seea.un.org/sites/seea.un.org/files/raul_figueroa_seea-eea_mx_anp_glencove_en.pdf" TargetMode="External"/><Relationship Id="rId42" Type="http://schemas.openxmlformats.org/officeDocument/2006/relationships/footer" Target="footer3.xml"/><Relationship Id="rId84" Type="http://schemas.openxmlformats.org/officeDocument/2006/relationships/image" Target="media/image40.png"/><Relationship Id="rId138" Type="http://schemas.openxmlformats.org/officeDocument/2006/relationships/header" Target="header29.xml"/><Relationship Id="rId345" Type="http://schemas.openxmlformats.org/officeDocument/2006/relationships/footer" Target="footer96.xml"/><Relationship Id="rId387" Type="http://schemas.openxmlformats.org/officeDocument/2006/relationships/footer" Target="footer117.xml"/><Relationship Id="rId191" Type="http://schemas.openxmlformats.org/officeDocument/2006/relationships/header" Target="header50.xml"/><Relationship Id="rId205" Type="http://schemas.openxmlformats.org/officeDocument/2006/relationships/header" Target="header56.xml"/><Relationship Id="rId247" Type="http://schemas.openxmlformats.org/officeDocument/2006/relationships/header" Target="header75.xml"/><Relationship Id="rId412" Type="http://schemas.openxmlformats.org/officeDocument/2006/relationships/footer" Target="footer129.xml"/><Relationship Id="rId107" Type="http://schemas.openxmlformats.org/officeDocument/2006/relationships/image" Target="media/image51.png"/><Relationship Id="rId289" Type="http://schemas.openxmlformats.org/officeDocument/2006/relationships/hyperlink" Target="https://discover.data.vic.gov.au/dataset/native-vegetation-modelled-1750-ecological-vegetation-classes" TargetMode="External"/><Relationship Id="rId454" Type="http://schemas.openxmlformats.org/officeDocument/2006/relationships/image" Target="media/image89.png"/><Relationship Id="rId11" Type="http://schemas.openxmlformats.org/officeDocument/2006/relationships/webSettings" Target="webSettings.xml"/><Relationship Id="rId53" Type="http://schemas.openxmlformats.org/officeDocument/2006/relationships/image" Target="media/image28.png"/><Relationship Id="rId149" Type="http://schemas.openxmlformats.org/officeDocument/2006/relationships/header" Target="header31.xml"/><Relationship Id="rId314" Type="http://schemas.openxmlformats.org/officeDocument/2006/relationships/hyperlink" Target="https://www.tra.gov.au/economic-analysis/economic-value/regional-tourism-satellite-account/regional-tourism-satellite-account" TargetMode="External"/><Relationship Id="rId356" Type="http://schemas.openxmlformats.org/officeDocument/2006/relationships/footer" Target="footer101.xml"/><Relationship Id="rId398" Type="http://schemas.openxmlformats.org/officeDocument/2006/relationships/footer" Target="footer122.xml"/><Relationship Id="rId95" Type="http://schemas.openxmlformats.org/officeDocument/2006/relationships/header" Target="header18.xml"/><Relationship Id="rId160" Type="http://schemas.openxmlformats.org/officeDocument/2006/relationships/header" Target="header35.xml"/><Relationship Id="rId216" Type="http://schemas.openxmlformats.org/officeDocument/2006/relationships/header" Target="header61.xml"/><Relationship Id="rId423" Type="http://schemas.openxmlformats.org/officeDocument/2006/relationships/footer" Target="footer135.xml"/><Relationship Id="rId258" Type="http://schemas.openxmlformats.org/officeDocument/2006/relationships/image" Target="media/image76.png"/><Relationship Id="rId465" Type="http://schemas.openxmlformats.org/officeDocument/2006/relationships/fontTable" Target="fontTable.xml"/><Relationship Id="rId22" Type="http://schemas.openxmlformats.org/officeDocument/2006/relationships/image" Target="media/image9.png"/><Relationship Id="rId64" Type="http://schemas.openxmlformats.org/officeDocument/2006/relationships/image" Target="media/image35.png"/><Relationship Id="rId118" Type="http://schemas.openxmlformats.org/officeDocument/2006/relationships/footer" Target="footer21.xml"/><Relationship Id="rId325" Type="http://schemas.openxmlformats.org/officeDocument/2006/relationships/header" Target="header86.xml"/><Relationship Id="rId367" Type="http://schemas.openxmlformats.org/officeDocument/2006/relationships/header" Target="header105.xml"/><Relationship Id="rId171" Type="http://schemas.openxmlformats.org/officeDocument/2006/relationships/footer" Target="footer39.xml"/><Relationship Id="rId227" Type="http://schemas.openxmlformats.org/officeDocument/2006/relationships/header" Target="header66.xml"/><Relationship Id="rId269" Type="http://schemas.openxmlformats.org/officeDocument/2006/relationships/header" Target="header85.xml"/><Relationship Id="rId434" Type="http://schemas.openxmlformats.org/officeDocument/2006/relationships/footer" Target="footer140.xml"/><Relationship Id="rId33" Type="http://schemas.openxmlformats.org/officeDocument/2006/relationships/image" Target="media/image18.png"/><Relationship Id="rId129" Type="http://schemas.openxmlformats.org/officeDocument/2006/relationships/footer" Target="footer27.xml"/><Relationship Id="rId280" Type="http://schemas.openxmlformats.org/officeDocument/2006/relationships/hyperlink" Target="https://www.natureaustralia.org.au/content/dam/tnc/nature/en/documents/australia/MOW_Report_Web.pdf" TargetMode="External"/><Relationship Id="rId336" Type="http://schemas.openxmlformats.org/officeDocument/2006/relationships/header" Target="header91.xml"/><Relationship Id="rId75" Type="http://schemas.openxmlformats.org/officeDocument/2006/relationships/footer" Target="footer7.xml"/><Relationship Id="rId140" Type="http://schemas.openxmlformats.org/officeDocument/2006/relationships/footer" Target="footer28.xml"/><Relationship Id="rId182" Type="http://schemas.openxmlformats.org/officeDocument/2006/relationships/header" Target="header46.xml"/><Relationship Id="rId378" Type="http://schemas.openxmlformats.org/officeDocument/2006/relationships/header" Target="header110.xml"/><Relationship Id="rId403" Type="http://schemas.openxmlformats.org/officeDocument/2006/relationships/footer" Target="footer125.xml"/><Relationship Id="rId6" Type="http://schemas.openxmlformats.org/officeDocument/2006/relationships/customXml" Target="../customXml/item6.xml"/><Relationship Id="rId238" Type="http://schemas.openxmlformats.org/officeDocument/2006/relationships/header" Target="header71.xml"/><Relationship Id="rId445" Type="http://schemas.openxmlformats.org/officeDocument/2006/relationships/header" Target="header139.xml"/><Relationship Id="rId291" Type="http://schemas.openxmlformats.org/officeDocument/2006/relationships/hyperlink" Target="http://dev-coastkit.cbics.org/" TargetMode="External"/><Relationship Id="rId305" Type="http://schemas.openxmlformats.org/officeDocument/2006/relationships/hyperlink" Target="http://nebula.wsimg.com/9d9fdbbf3bf3b8ed5c7de3bdd3a62dc3?AccessKeyId=68F83A8E994328D64D3D&amp;disposition=0&amp;alloworigin=1" TargetMode="External"/><Relationship Id="rId347" Type="http://schemas.openxmlformats.org/officeDocument/2006/relationships/header" Target="header96.xml"/><Relationship Id="rId44" Type="http://schemas.openxmlformats.org/officeDocument/2006/relationships/image" Target="media/image23.png"/><Relationship Id="rId86" Type="http://schemas.openxmlformats.org/officeDocument/2006/relationships/header" Target="header13.xml"/><Relationship Id="rId151" Type="http://schemas.openxmlformats.org/officeDocument/2006/relationships/footer" Target="footer30.xml"/><Relationship Id="rId389" Type="http://schemas.openxmlformats.org/officeDocument/2006/relationships/header" Target="header116.xml"/><Relationship Id="rId193" Type="http://schemas.openxmlformats.org/officeDocument/2006/relationships/header" Target="header51.xml"/><Relationship Id="rId207" Type="http://schemas.openxmlformats.org/officeDocument/2006/relationships/footer" Target="footer54.xml"/><Relationship Id="rId249" Type="http://schemas.openxmlformats.org/officeDocument/2006/relationships/header" Target="header76.xml"/><Relationship Id="rId414" Type="http://schemas.openxmlformats.org/officeDocument/2006/relationships/footer" Target="footer130.xml"/><Relationship Id="rId456" Type="http://schemas.openxmlformats.org/officeDocument/2006/relationships/image" Target="media/image90.png"/><Relationship Id="rId13" Type="http://schemas.openxmlformats.org/officeDocument/2006/relationships/endnotes" Target="endnotes.xml"/><Relationship Id="rId109" Type="http://schemas.openxmlformats.org/officeDocument/2006/relationships/header" Target="header20.xml"/><Relationship Id="rId260" Type="http://schemas.openxmlformats.org/officeDocument/2006/relationships/header" Target="header80.xml"/><Relationship Id="rId316" Type="http://schemas.openxmlformats.org/officeDocument/2006/relationships/hyperlink" Target="http://www.tourism.vic.gov.au/research/economic-significance.html" TargetMode="External"/><Relationship Id="rId55" Type="http://schemas.openxmlformats.org/officeDocument/2006/relationships/hyperlink" Target="http://creativecommons.org/licenses/by/4.0/" TargetMode="External"/><Relationship Id="rId97" Type="http://schemas.openxmlformats.org/officeDocument/2006/relationships/footer" Target="footer16.xml"/><Relationship Id="rId120" Type="http://schemas.openxmlformats.org/officeDocument/2006/relationships/header" Target="header25.xml"/><Relationship Id="rId358" Type="http://schemas.openxmlformats.org/officeDocument/2006/relationships/header" Target="header101.xml"/><Relationship Id="rId162" Type="http://schemas.openxmlformats.org/officeDocument/2006/relationships/footer" Target="footer34.xml"/><Relationship Id="rId218" Type="http://schemas.openxmlformats.org/officeDocument/2006/relationships/footer" Target="footer60.xml"/><Relationship Id="rId425" Type="http://schemas.openxmlformats.org/officeDocument/2006/relationships/header" Target="header133.xml"/><Relationship Id="rId467" Type="http://schemas.openxmlformats.org/officeDocument/2006/relationships/theme" Target="theme/theme1.xml"/><Relationship Id="rId271" Type="http://schemas.openxmlformats.org/officeDocument/2006/relationships/footer" Target="footer85.xml"/><Relationship Id="rId24" Type="http://schemas.openxmlformats.org/officeDocument/2006/relationships/image" Target="media/image11.png"/><Relationship Id="rId66" Type="http://schemas.openxmlformats.org/officeDocument/2006/relationships/image" Target="media/image37.png"/><Relationship Id="rId131" Type="http://schemas.openxmlformats.org/officeDocument/2006/relationships/image" Target="media/image54.jpeg"/><Relationship Id="rId327" Type="http://schemas.openxmlformats.org/officeDocument/2006/relationships/footer" Target="footer86.xml"/><Relationship Id="rId369" Type="http://schemas.openxmlformats.org/officeDocument/2006/relationships/footer" Target="footer108.xml"/><Relationship Id="rId173" Type="http://schemas.openxmlformats.org/officeDocument/2006/relationships/header" Target="header42.xml"/><Relationship Id="rId229" Type="http://schemas.openxmlformats.org/officeDocument/2006/relationships/footer" Target="footer65.xml"/><Relationship Id="rId380" Type="http://schemas.openxmlformats.org/officeDocument/2006/relationships/header" Target="header111.xml"/><Relationship Id="rId436" Type="http://schemas.openxmlformats.org/officeDocument/2006/relationships/header" Target="header138.xml"/><Relationship Id="rId240" Type="http://schemas.openxmlformats.org/officeDocument/2006/relationships/footer" Target="footer70.xml"/><Relationship Id="rId35" Type="http://schemas.openxmlformats.org/officeDocument/2006/relationships/image" Target="media/image20.jpeg"/><Relationship Id="rId77" Type="http://schemas.openxmlformats.org/officeDocument/2006/relationships/header" Target="header10.xml"/><Relationship Id="rId100" Type="http://schemas.openxmlformats.org/officeDocument/2006/relationships/image" Target="media/image44.png"/><Relationship Id="rId282" Type="http://schemas.openxmlformats.org/officeDocument/2006/relationships/hyperlink" Target="https://www.business.vic.gov.au/__data/assets/pdf_file/0008/1615562/Victorias_Tourism_Regions_map_2017.pdf" TargetMode="External"/><Relationship Id="rId338" Type="http://schemas.openxmlformats.org/officeDocument/2006/relationships/footer" Target="footer91.xml"/><Relationship Id="rId8" Type="http://schemas.openxmlformats.org/officeDocument/2006/relationships/numbering" Target="numbering.xml"/><Relationship Id="rId142" Type="http://schemas.openxmlformats.org/officeDocument/2006/relationships/image" Target="media/image60.emf"/><Relationship Id="rId184" Type="http://schemas.openxmlformats.org/officeDocument/2006/relationships/footer" Target="footer45.xml"/><Relationship Id="rId391" Type="http://schemas.openxmlformats.org/officeDocument/2006/relationships/footer" Target="footer119.xml"/><Relationship Id="rId405" Type="http://schemas.openxmlformats.org/officeDocument/2006/relationships/header" Target="header124.xml"/><Relationship Id="rId447" Type="http://schemas.openxmlformats.org/officeDocument/2006/relationships/footer" Target="footer146.xml"/><Relationship Id="rId251" Type="http://schemas.openxmlformats.org/officeDocument/2006/relationships/footer" Target="footer75.xml"/><Relationship Id="rId46" Type="http://schemas.openxmlformats.org/officeDocument/2006/relationships/image" Target="media/image25.png"/><Relationship Id="rId293" Type="http://schemas.openxmlformats.org/officeDocument/2006/relationships/hyperlink" Target="https://www.environment.vic.gov.au/biodiversity/victorian-biodiversity-atlas" TargetMode="External"/><Relationship Id="rId307" Type="http://schemas.openxmlformats.org/officeDocument/2006/relationships/hyperlink" Target="https://www.youtube.com/watch?v=8LKg_SZAdik" TargetMode="External"/><Relationship Id="rId349" Type="http://schemas.openxmlformats.org/officeDocument/2006/relationships/footer" Target="footer98.xml"/><Relationship Id="rId88" Type="http://schemas.openxmlformats.org/officeDocument/2006/relationships/footer" Target="footer11.xml"/><Relationship Id="rId111" Type="http://schemas.openxmlformats.org/officeDocument/2006/relationships/footer" Target="footer18.xml"/><Relationship Id="rId153" Type="http://schemas.openxmlformats.org/officeDocument/2006/relationships/image" Target="media/image67.jpeg"/><Relationship Id="rId195" Type="http://schemas.openxmlformats.org/officeDocument/2006/relationships/image" Target="media/image72.png"/><Relationship Id="rId209" Type="http://schemas.openxmlformats.org/officeDocument/2006/relationships/header" Target="header58.xml"/><Relationship Id="rId360" Type="http://schemas.openxmlformats.org/officeDocument/2006/relationships/footer" Target="footer103.xml"/><Relationship Id="rId416" Type="http://schemas.openxmlformats.org/officeDocument/2006/relationships/header" Target="header128.xml"/><Relationship Id="rId220" Type="http://schemas.openxmlformats.org/officeDocument/2006/relationships/header" Target="header63.xml"/><Relationship Id="rId458" Type="http://schemas.openxmlformats.org/officeDocument/2006/relationships/image" Target="media/image92.png"/><Relationship Id="rId15" Type="http://schemas.openxmlformats.org/officeDocument/2006/relationships/image" Target="media/image2.png"/><Relationship Id="rId57" Type="http://schemas.openxmlformats.org/officeDocument/2006/relationships/hyperlink" Target="http://www.deeca.vic.gov.au/" TargetMode="External"/><Relationship Id="rId262" Type="http://schemas.openxmlformats.org/officeDocument/2006/relationships/footer" Target="footer80.xml"/><Relationship Id="rId318" Type="http://schemas.openxmlformats.org/officeDocument/2006/relationships/hyperlink" Target="https://seea.un.org/sites/seea.un.org/files/technical_recommendations_in_support_of_the_seea_eea_final_white_cover.pdf" TargetMode="External"/><Relationship Id="rId99" Type="http://schemas.openxmlformats.org/officeDocument/2006/relationships/image" Target="media/image43.png"/><Relationship Id="rId122" Type="http://schemas.openxmlformats.org/officeDocument/2006/relationships/footer" Target="footer23.xml"/><Relationship Id="rId164" Type="http://schemas.openxmlformats.org/officeDocument/2006/relationships/header" Target="header37.xml"/><Relationship Id="rId371" Type="http://schemas.openxmlformats.org/officeDocument/2006/relationships/header" Target="header107.xml"/><Relationship Id="rId427" Type="http://schemas.openxmlformats.org/officeDocument/2006/relationships/footer" Target="footer137.xml"/><Relationship Id="rId26" Type="http://schemas.openxmlformats.org/officeDocument/2006/relationships/hyperlink" Target="file:///C:\Users\fionadurante\Downloads\deeca.vic.gov.au" TargetMode="External"/><Relationship Id="rId231" Type="http://schemas.openxmlformats.org/officeDocument/2006/relationships/header" Target="header68.xml"/><Relationship Id="rId273" Type="http://schemas.openxmlformats.org/officeDocument/2006/relationships/hyperlink" Target="https://www.abs.gov.au/statistics/industry/agriculture/value-agricultural-commodities-produced-australia/latest-release" TargetMode="External"/><Relationship Id="rId329" Type="http://schemas.openxmlformats.org/officeDocument/2006/relationships/header" Target="header88.xml"/><Relationship Id="rId68" Type="http://schemas.openxmlformats.org/officeDocument/2006/relationships/header" Target="header6.xml"/><Relationship Id="rId133" Type="http://schemas.openxmlformats.org/officeDocument/2006/relationships/image" Target="media/image56.jpeg"/><Relationship Id="rId175" Type="http://schemas.openxmlformats.org/officeDocument/2006/relationships/footer" Target="footer41.xml"/><Relationship Id="rId340" Type="http://schemas.openxmlformats.org/officeDocument/2006/relationships/footer" Target="footer93.xml"/><Relationship Id="rId200" Type="http://schemas.openxmlformats.org/officeDocument/2006/relationships/header" Target="header54.xml"/><Relationship Id="rId382" Type="http://schemas.openxmlformats.org/officeDocument/2006/relationships/footer" Target="footer114.xml"/><Relationship Id="rId438" Type="http://schemas.openxmlformats.org/officeDocument/2006/relationships/footer" Target="footer143.xml"/><Relationship Id="rId242" Type="http://schemas.openxmlformats.org/officeDocument/2006/relationships/image" Target="media/image75.png"/><Relationship Id="rId284" Type="http://schemas.openxmlformats.org/officeDocument/2006/relationships/hyperlink" Target="https://discover.data.vic.gov.au/dataset/2010-index-of-stream-condition-scores" TargetMode="External"/><Relationship Id="rId37" Type="http://schemas.openxmlformats.org/officeDocument/2006/relationships/header" Target="header1.xml"/><Relationship Id="rId79" Type="http://schemas.openxmlformats.org/officeDocument/2006/relationships/image" Target="media/image39.png"/><Relationship Id="rId102" Type="http://schemas.openxmlformats.org/officeDocument/2006/relationships/image" Target="media/image46.png"/><Relationship Id="rId144" Type="http://schemas.openxmlformats.org/officeDocument/2006/relationships/image" Target="media/image62.jpeg"/><Relationship Id="rId90" Type="http://schemas.openxmlformats.org/officeDocument/2006/relationships/header" Target="header15.xml"/><Relationship Id="rId186" Type="http://schemas.openxmlformats.org/officeDocument/2006/relationships/header" Target="header48.xml"/><Relationship Id="rId351" Type="http://schemas.openxmlformats.org/officeDocument/2006/relationships/header" Target="header98.xml"/><Relationship Id="rId393" Type="http://schemas.openxmlformats.org/officeDocument/2006/relationships/header" Target="header118.xml"/><Relationship Id="rId407" Type="http://schemas.openxmlformats.org/officeDocument/2006/relationships/footer" Target="footer127.xml"/><Relationship Id="rId449" Type="http://schemas.openxmlformats.org/officeDocument/2006/relationships/image" Target="media/image84.png"/><Relationship Id="rId211" Type="http://schemas.openxmlformats.org/officeDocument/2006/relationships/footer" Target="footer56.xml"/><Relationship Id="rId253" Type="http://schemas.openxmlformats.org/officeDocument/2006/relationships/header" Target="header78.xml"/><Relationship Id="rId295" Type="http://schemas.openxmlformats.org/officeDocument/2006/relationships/hyperlink" Target="https://discover.data.vic.gov.au/dataset/public-land-management-plm25" TargetMode="External"/><Relationship Id="rId309" Type="http://schemas.openxmlformats.org/officeDocument/2006/relationships/hyperlink" Target="https://www.ons.gov.uk/economy/environmentalaccounts/methodologies/uknaturalcapitalinterimreviewandrevised2020roadmap" TargetMode="External"/><Relationship Id="rId460" Type="http://schemas.openxmlformats.org/officeDocument/2006/relationships/image" Target="media/image94.png"/><Relationship Id="rId48" Type="http://schemas.openxmlformats.org/officeDocument/2006/relationships/image" Target="media/image27.jpeg"/><Relationship Id="rId113" Type="http://schemas.openxmlformats.org/officeDocument/2006/relationships/footer" Target="footer19.xml"/><Relationship Id="rId320" Type="http://schemas.openxmlformats.org/officeDocument/2006/relationships/hyperlink" Target="https://unstats.un.org/unsd/statcom/52nd-session/documents/BG-3f-SEEA-EA_Final_draft-E.pdf" TargetMode="External"/><Relationship Id="rId155" Type="http://schemas.openxmlformats.org/officeDocument/2006/relationships/header" Target="header34.xml"/><Relationship Id="rId197" Type="http://schemas.openxmlformats.org/officeDocument/2006/relationships/header" Target="header53.xml"/><Relationship Id="rId362" Type="http://schemas.openxmlformats.org/officeDocument/2006/relationships/footer" Target="footer104.xml"/><Relationship Id="rId418" Type="http://schemas.openxmlformats.org/officeDocument/2006/relationships/footer" Target="footer132.xml"/><Relationship Id="rId222" Type="http://schemas.openxmlformats.org/officeDocument/2006/relationships/footer" Target="footer62.xml"/><Relationship Id="rId264" Type="http://schemas.openxmlformats.org/officeDocument/2006/relationships/header" Target="header82.xml"/><Relationship Id="rId17" Type="http://schemas.openxmlformats.org/officeDocument/2006/relationships/image" Target="media/image4.png"/><Relationship Id="rId59" Type="http://schemas.openxmlformats.org/officeDocument/2006/relationships/image" Target="media/image29.png"/><Relationship Id="rId124" Type="http://schemas.openxmlformats.org/officeDocument/2006/relationships/header" Target="header27.xml"/><Relationship Id="rId70" Type="http://schemas.openxmlformats.org/officeDocument/2006/relationships/footer" Target="footer5.xml"/><Relationship Id="rId166" Type="http://schemas.openxmlformats.org/officeDocument/2006/relationships/footer" Target="footer36.xml"/><Relationship Id="rId331" Type="http://schemas.openxmlformats.org/officeDocument/2006/relationships/image" Target="media/image78.png"/><Relationship Id="rId373" Type="http://schemas.openxmlformats.org/officeDocument/2006/relationships/footer" Target="footer110.xml"/><Relationship Id="rId429" Type="http://schemas.openxmlformats.org/officeDocument/2006/relationships/header" Target="header135.xml"/><Relationship Id="rId1" Type="http://schemas.openxmlformats.org/officeDocument/2006/relationships/customXml" Target="../customXml/item1.xml"/><Relationship Id="rId233" Type="http://schemas.openxmlformats.org/officeDocument/2006/relationships/footer" Target="footer67.xml"/><Relationship Id="rId440" Type="http://schemas.openxmlformats.org/officeDocument/2006/relationships/footer" Target="footer145.xml"/><Relationship Id="rId28" Type="http://schemas.openxmlformats.org/officeDocument/2006/relationships/image" Target="media/image13.svg"/><Relationship Id="rId275" Type="http://schemas.openxmlformats.org/officeDocument/2006/relationships/hyperlink" Target="https://www.agriculture.gov.au/abares/research-topics/aboutmyregion/vic" TargetMode="External"/><Relationship Id="rId300" Type="http://schemas.openxmlformats.org/officeDocument/2006/relationships/hyperlink" Target="https://seea.un.org/sites/seea.un.org/files/session_5d_protected_area_accounts_-_plans_for_pa_accounts_in_sa.pdf" TargetMode="External"/><Relationship Id="rId81" Type="http://schemas.openxmlformats.org/officeDocument/2006/relationships/header" Target="header12.xml"/><Relationship Id="rId135" Type="http://schemas.openxmlformats.org/officeDocument/2006/relationships/chart" Target="charts/chart1.xml"/><Relationship Id="rId177" Type="http://schemas.openxmlformats.org/officeDocument/2006/relationships/header" Target="header43.xml"/><Relationship Id="rId342" Type="http://schemas.openxmlformats.org/officeDocument/2006/relationships/header" Target="header93.xml"/><Relationship Id="rId384" Type="http://schemas.openxmlformats.org/officeDocument/2006/relationships/header" Target="header113.xml"/><Relationship Id="rId202" Type="http://schemas.openxmlformats.org/officeDocument/2006/relationships/footer" Target="footer52.xml"/><Relationship Id="rId244" Type="http://schemas.openxmlformats.org/officeDocument/2006/relationships/header" Target="header74.xml"/><Relationship Id="rId39" Type="http://schemas.openxmlformats.org/officeDocument/2006/relationships/footer" Target="footer1.xml"/><Relationship Id="rId286" Type="http://schemas.openxmlformats.org/officeDocument/2006/relationships/hyperlink" Target="http://services.land.vic.gov.au/catalogue/metadata?anzlicId=ANZVI0803005812&amp;publicId=guest&amp;extractionProviderId=3" TargetMode="External"/><Relationship Id="rId451" Type="http://schemas.openxmlformats.org/officeDocument/2006/relationships/image" Target="media/image86.png"/><Relationship Id="rId50" Type="http://schemas.openxmlformats.org/officeDocument/2006/relationships/image" Target="media/image29.jpeg"/><Relationship Id="rId104" Type="http://schemas.openxmlformats.org/officeDocument/2006/relationships/image" Target="media/image48.png"/><Relationship Id="rId146" Type="http://schemas.openxmlformats.org/officeDocument/2006/relationships/image" Target="media/image64.jpeg"/><Relationship Id="rId188" Type="http://schemas.openxmlformats.org/officeDocument/2006/relationships/footer" Target="footer47.xml"/><Relationship Id="rId311" Type="http://schemas.openxmlformats.org/officeDocument/2006/relationships/hyperlink" Target="https://www.agrifutures.com.au/wp-content/uploads/publications/08-170.pdf" TargetMode="External"/><Relationship Id="rId353" Type="http://schemas.openxmlformats.org/officeDocument/2006/relationships/footer" Target="footer100.xml"/><Relationship Id="rId395" Type="http://schemas.openxmlformats.org/officeDocument/2006/relationships/footer" Target="footer121.xml"/><Relationship Id="rId409" Type="http://schemas.openxmlformats.org/officeDocument/2006/relationships/header" Target="header125.xml"/><Relationship Id="rId92" Type="http://schemas.openxmlformats.org/officeDocument/2006/relationships/footer" Target="footer13.xml"/><Relationship Id="rId213" Type="http://schemas.openxmlformats.org/officeDocument/2006/relationships/header" Target="header60.xml"/><Relationship Id="rId420" Type="http://schemas.openxmlformats.org/officeDocument/2006/relationships/header" Target="header130.xml"/><Relationship Id="rId255" Type="http://schemas.openxmlformats.org/officeDocument/2006/relationships/footer" Target="footer77.xml"/><Relationship Id="rId297" Type="http://schemas.openxmlformats.org/officeDocument/2006/relationships/hyperlink" Target="http://vro.agriculture.vic.gov.au/dpi/vro/vrosite.nsf/pages/soil_acid_sulfate_soils" TargetMode="External"/><Relationship Id="rId462" Type="http://schemas.openxmlformats.org/officeDocument/2006/relationships/image" Target="media/image96.png"/><Relationship Id="rId115" Type="http://schemas.openxmlformats.org/officeDocument/2006/relationships/header" Target="header22.xml"/><Relationship Id="rId157" Type="http://schemas.openxmlformats.org/officeDocument/2006/relationships/footer" Target="footer33.xml"/><Relationship Id="rId322" Type="http://schemas.openxmlformats.org/officeDocument/2006/relationships/hyperlink" Target="https://vfa.vic.gov.au/__data/assets/pdf_file/0004/432625/VFA-Commercial-Fish-Production-Information-Bulletin-1819.pdf" TargetMode="External"/><Relationship Id="rId364" Type="http://schemas.openxmlformats.org/officeDocument/2006/relationships/image" Target="media/image79.png"/></Relationships>
</file>

<file path=word/_rels/footnotes.xml.rels><?xml version="1.0" encoding="UTF-8" standalone="yes"?>
<Relationships xmlns="http://schemas.openxmlformats.org/package/2006/relationships"><Relationship Id="rId1" Type="http://schemas.openxmlformats.org/officeDocument/2006/relationships/hyperlink" Target="http://databank.worldbank.org/data/"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p16\Downloads\Great%20Ocean%20Road.dotm"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https://delwpvicgovau.sharepoint.com/sites/ecm_535/Strategic_Project/condition_output_data.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400" b="0" i="0" u="none" strike="noStrike" kern="1200" spc="0" baseline="0">
                <a:solidFill>
                  <a:schemeClr val="tx1">
                    <a:lumMod val="50000"/>
                  </a:schemeClr>
                </a:solidFill>
                <a:latin typeface="+mn-lt"/>
                <a:ea typeface="+mn-ea"/>
                <a:cs typeface="+mn-cs"/>
              </a:defRPr>
            </a:pPr>
            <a:r>
              <a:rPr lang="en-AU" sz="1000" b="1" i="0" u="none" strike="noStrike" kern="1200" spc="0" baseline="0">
                <a:solidFill>
                  <a:schemeClr val="tx1">
                    <a:lumMod val="50000"/>
                  </a:schemeClr>
                </a:solidFill>
                <a:latin typeface="Arial" panose="020B0604020202020204" pitchFamily="34" charset="0"/>
                <a:ea typeface="+mn-ea"/>
                <a:cs typeface="Arial" panose="020B0604020202020204" pitchFamily="34" charset="0"/>
              </a:rPr>
              <a:t>GORCAP EEA</a:t>
            </a:r>
            <a:r>
              <a:rPr lang="en-AU" sz="1000" b="1">
                <a:solidFill>
                  <a:schemeClr val="tx1">
                    <a:lumMod val="50000"/>
                  </a:schemeClr>
                </a:solidFill>
                <a:latin typeface="Arial" panose="020B0604020202020204" pitchFamily="34" charset="0"/>
                <a:cs typeface="Arial" panose="020B0604020202020204" pitchFamily="34" charset="0"/>
              </a:rPr>
              <a:t> above ground biomass (t/Ha)</a:t>
            </a:r>
          </a:p>
        </c:rich>
      </c:tx>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50000"/>
                </a:schemeClr>
              </a:solidFill>
              <a:latin typeface="+mn-lt"/>
              <a:ea typeface="+mn-ea"/>
              <a:cs typeface="+mn-cs"/>
            </a:defRPr>
          </a:pPr>
          <a:endParaRPr lang="en-US"/>
        </a:p>
      </c:txPr>
    </c:title>
    <c:autoTitleDeleted val="0"/>
    <c:plotArea>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'VFMP biomass'!$A$19:$A$24</c:f>
              <c:numCache>
                <c:formatCode>General</c:formatCode>
                <c:ptCount val="6"/>
                <c:pt idx="0">
                  <c:v>2012</c:v>
                </c:pt>
                <c:pt idx="1">
                  <c:v>2013</c:v>
                </c:pt>
                <c:pt idx="2">
                  <c:v>2014</c:v>
                </c:pt>
                <c:pt idx="3">
                  <c:v>2015</c:v>
                </c:pt>
                <c:pt idx="4">
                  <c:v>2016</c:v>
                </c:pt>
                <c:pt idx="5">
                  <c:v>2017</c:v>
                </c:pt>
              </c:numCache>
            </c:numRef>
          </c:xVal>
          <c:yVal>
            <c:numRef>
              <c:f>'VFMP biomass'!$D$19:$D$24</c:f>
              <c:numCache>
                <c:formatCode>_(* #,##0.00_);_(* \(#,##0.00\);_(* "-"??_);_(@_)</c:formatCode>
                <c:ptCount val="6"/>
                <c:pt idx="0">
                  <c:v>435.83236490204905</c:v>
                </c:pt>
                <c:pt idx="1">
                  <c:v>440.79294510316828</c:v>
                </c:pt>
                <c:pt idx="2">
                  <c:v>439.48784993960703</c:v>
                </c:pt>
                <c:pt idx="3">
                  <c:v>441.10080976578973</c:v>
                </c:pt>
                <c:pt idx="4">
                  <c:v>425.7082377409464</c:v>
                </c:pt>
                <c:pt idx="5">
                  <c:v>435.72841398829308</c:v>
                </c:pt>
              </c:numCache>
            </c:numRef>
          </c:yVal>
          <c:smooth val="0"/>
          <c:extLst>
            <c:ext xmlns:c16="http://schemas.microsoft.com/office/drawing/2014/chart" uri="{C3380CC4-5D6E-409C-BE32-E72D297353CC}">
              <c16:uniqueId val="{00000000-74A4-440B-858A-0058EE79DD8B}"/>
            </c:ext>
          </c:extLst>
        </c:ser>
        <c:dLbls>
          <c:showLegendKey val="0"/>
          <c:showVal val="0"/>
          <c:showCatName val="0"/>
          <c:showSerName val="0"/>
          <c:showPercent val="0"/>
          <c:showBubbleSize val="0"/>
        </c:dLbls>
        <c:axId val="425468384"/>
        <c:axId val="425472648"/>
      </c:scatterChart>
      <c:valAx>
        <c:axId val="4254683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425472648"/>
        <c:crosses val="autoZero"/>
        <c:crossBetween val="midCat"/>
      </c:valAx>
      <c:valAx>
        <c:axId val="425472648"/>
        <c:scaling>
          <c:orientation val="minMax"/>
          <c:min val="424"/>
        </c:scaling>
        <c:delete val="0"/>
        <c:axPos val="l"/>
        <c:majorGridlines>
          <c:spPr>
            <a:ln w="9525" cap="flat" cmpd="sng" algn="ctr">
              <a:solidFill>
                <a:schemeClr val="tx1">
                  <a:lumMod val="15000"/>
                  <a:lumOff val="85000"/>
                </a:schemeClr>
              </a:solidFill>
              <a:round/>
            </a:ln>
            <a:effectLst/>
          </c:spPr>
        </c:majorGridlines>
        <c:numFmt formatCode="_(* #,##0.00_);_(* \(#,##0.00\);_(* &quot;-&quot;??_);_(@_)"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425468384"/>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month!$B$1</c:f>
              <c:strCache>
                <c:ptCount val="1"/>
                <c:pt idx="0">
                  <c:v>Visits</c:v>
                </c:pt>
              </c:strCache>
            </c:strRef>
          </c:tx>
          <c:spPr>
            <a:solidFill>
              <a:schemeClr val="accent2"/>
            </a:solidFill>
            <a:ln>
              <a:noFill/>
            </a:ln>
            <a:effectLst/>
          </c:spPr>
          <c:invertIfNegative val="0"/>
          <c:cat>
            <c:numRef>
              <c:f>month!$A$2:$A$66</c:f>
              <c:numCache>
                <c:formatCode>mmm\-yy</c:formatCode>
                <c:ptCount val="65"/>
                <c:pt idx="0">
                  <c:v>42339</c:v>
                </c:pt>
                <c:pt idx="1">
                  <c:v>42370</c:v>
                </c:pt>
                <c:pt idx="2">
                  <c:v>42401</c:v>
                </c:pt>
                <c:pt idx="3">
                  <c:v>42430</c:v>
                </c:pt>
                <c:pt idx="4">
                  <c:v>42461</c:v>
                </c:pt>
                <c:pt idx="5">
                  <c:v>42491</c:v>
                </c:pt>
                <c:pt idx="6">
                  <c:v>42522</c:v>
                </c:pt>
                <c:pt idx="7">
                  <c:v>42552</c:v>
                </c:pt>
                <c:pt idx="8">
                  <c:v>42583</c:v>
                </c:pt>
                <c:pt idx="9">
                  <c:v>42614</c:v>
                </c:pt>
                <c:pt idx="10">
                  <c:v>42644</c:v>
                </c:pt>
                <c:pt idx="11">
                  <c:v>42675</c:v>
                </c:pt>
                <c:pt idx="12">
                  <c:v>42705</c:v>
                </c:pt>
                <c:pt idx="13">
                  <c:v>42736</c:v>
                </c:pt>
                <c:pt idx="14">
                  <c:v>42767</c:v>
                </c:pt>
                <c:pt idx="15">
                  <c:v>42795</c:v>
                </c:pt>
                <c:pt idx="16">
                  <c:v>42826</c:v>
                </c:pt>
                <c:pt idx="17">
                  <c:v>42856</c:v>
                </c:pt>
                <c:pt idx="18">
                  <c:v>42887</c:v>
                </c:pt>
                <c:pt idx="19">
                  <c:v>42917</c:v>
                </c:pt>
                <c:pt idx="20">
                  <c:v>42948</c:v>
                </c:pt>
                <c:pt idx="21">
                  <c:v>42979</c:v>
                </c:pt>
                <c:pt idx="22">
                  <c:v>43009</c:v>
                </c:pt>
                <c:pt idx="23">
                  <c:v>43040</c:v>
                </c:pt>
                <c:pt idx="24">
                  <c:v>43070</c:v>
                </c:pt>
                <c:pt idx="25">
                  <c:v>43101</c:v>
                </c:pt>
                <c:pt idx="26">
                  <c:v>43132</c:v>
                </c:pt>
                <c:pt idx="27">
                  <c:v>43160</c:v>
                </c:pt>
                <c:pt idx="28">
                  <c:v>43191</c:v>
                </c:pt>
                <c:pt idx="29">
                  <c:v>43221</c:v>
                </c:pt>
                <c:pt idx="30">
                  <c:v>43252</c:v>
                </c:pt>
                <c:pt idx="31">
                  <c:v>43282</c:v>
                </c:pt>
                <c:pt idx="32">
                  <c:v>43313</c:v>
                </c:pt>
                <c:pt idx="33">
                  <c:v>43344</c:v>
                </c:pt>
                <c:pt idx="34">
                  <c:v>43374</c:v>
                </c:pt>
                <c:pt idx="35">
                  <c:v>43405</c:v>
                </c:pt>
                <c:pt idx="36">
                  <c:v>43435</c:v>
                </c:pt>
                <c:pt idx="37">
                  <c:v>43466</c:v>
                </c:pt>
                <c:pt idx="38">
                  <c:v>43497</c:v>
                </c:pt>
                <c:pt idx="39">
                  <c:v>43525</c:v>
                </c:pt>
                <c:pt idx="40">
                  <c:v>43556</c:v>
                </c:pt>
                <c:pt idx="41">
                  <c:v>43586</c:v>
                </c:pt>
                <c:pt idx="42">
                  <c:v>43617</c:v>
                </c:pt>
                <c:pt idx="43">
                  <c:v>43647</c:v>
                </c:pt>
                <c:pt idx="44">
                  <c:v>43678</c:v>
                </c:pt>
                <c:pt idx="45">
                  <c:v>43709</c:v>
                </c:pt>
                <c:pt idx="46">
                  <c:v>43739</c:v>
                </c:pt>
                <c:pt idx="47">
                  <c:v>43770</c:v>
                </c:pt>
                <c:pt idx="48">
                  <c:v>43800</c:v>
                </c:pt>
                <c:pt idx="49">
                  <c:v>43831</c:v>
                </c:pt>
                <c:pt idx="50">
                  <c:v>43862</c:v>
                </c:pt>
                <c:pt idx="51">
                  <c:v>43891</c:v>
                </c:pt>
                <c:pt idx="52">
                  <c:v>43922</c:v>
                </c:pt>
                <c:pt idx="53">
                  <c:v>43952</c:v>
                </c:pt>
                <c:pt idx="54">
                  <c:v>43983</c:v>
                </c:pt>
                <c:pt idx="55">
                  <c:v>44013</c:v>
                </c:pt>
                <c:pt idx="56">
                  <c:v>44044</c:v>
                </c:pt>
                <c:pt idx="57">
                  <c:v>44075</c:v>
                </c:pt>
                <c:pt idx="58">
                  <c:v>44105</c:v>
                </c:pt>
                <c:pt idx="59">
                  <c:v>44136</c:v>
                </c:pt>
                <c:pt idx="60">
                  <c:v>44166</c:v>
                </c:pt>
                <c:pt idx="61">
                  <c:v>44197</c:v>
                </c:pt>
                <c:pt idx="62">
                  <c:v>44228</c:v>
                </c:pt>
                <c:pt idx="63">
                  <c:v>44256</c:v>
                </c:pt>
                <c:pt idx="64">
                  <c:v>44287</c:v>
                </c:pt>
              </c:numCache>
            </c:numRef>
          </c:cat>
          <c:val>
            <c:numRef>
              <c:f>month!$B$2:$B$66</c:f>
              <c:numCache>
                <c:formatCode>#,##0</c:formatCode>
                <c:ptCount val="65"/>
                <c:pt idx="0">
                  <c:v>191985.60000000003</c:v>
                </c:pt>
                <c:pt idx="1">
                  <c:v>183097.40000000002</c:v>
                </c:pt>
                <c:pt idx="2">
                  <c:v>198313.7</c:v>
                </c:pt>
                <c:pt idx="3">
                  <c:v>185888.79999999996</c:v>
                </c:pt>
                <c:pt idx="4">
                  <c:v>150426.49999999997</c:v>
                </c:pt>
                <c:pt idx="5">
                  <c:v>112919.40000000002</c:v>
                </c:pt>
                <c:pt idx="6">
                  <c:v>88680.400000000023</c:v>
                </c:pt>
                <c:pt idx="7">
                  <c:v>113447.3</c:v>
                </c:pt>
                <c:pt idx="8">
                  <c:v>113376.2</c:v>
                </c:pt>
                <c:pt idx="9">
                  <c:v>115629.1</c:v>
                </c:pt>
                <c:pt idx="10">
                  <c:v>151643.30000000002</c:v>
                </c:pt>
                <c:pt idx="11">
                  <c:v>168428.09999999998</c:v>
                </c:pt>
                <c:pt idx="12">
                  <c:v>208793</c:v>
                </c:pt>
                <c:pt idx="13">
                  <c:v>242351.09999999995</c:v>
                </c:pt>
                <c:pt idx="14">
                  <c:v>188577.00000000003</c:v>
                </c:pt>
                <c:pt idx="15">
                  <c:v>185864.09999999998</c:v>
                </c:pt>
                <c:pt idx="16">
                  <c:v>178649.1</c:v>
                </c:pt>
                <c:pt idx="17">
                  <c:v>120445.30000000002</c:v>
                </c:pt>
                <c:pt idx="18">
                  <c:v>103543.70000000001</c:v>
                </c:pt>
                <c:pt idx="19">
                  <c:v>111269.20000000001</c:v>
                </c:pt>
                <c:pt idx="20">
                  <c:v>101531.4</c:v>
                </c:pt>
                <c:pt idx="21">
                  <c:v>104808.09999999998</c:v>
                </c:pt>
                <c:pt idx="22">
                  <c:v>165695.00000000003</c:v>
                </c:pt>
                <c:pt idx="23">
                  <c:v>182663.39999999994</c:v>
                </c:pt>
                <c:pt idx="24">
                  <c:v>216544.19999999998</c:v>
                </c:pt>
                <c:pt idx="25">
                  <c:v>246729.9</c:v>
                </c:pt>
                <c:pt idx="26">
                  <c:v>229590.2</c:v>
                </c:pt>
                <c:pt idx="27">
                  <c:v>196921.40000000002</c:v>
                </c:pt>
                <c:pt idx="28">
                  <c:v>201082.40000000002</c:v>
                </c:pt>
                <c:pt idx="29">
                  <c:v>123901.09999999996</c:v>
                </c:pt>
                <c:pt idx="30">
                  <c:v>100479.29999999997</c:v>
                </c:pt>
                <c:pt idx="31">
                  <c:v>114613.79999999999</c:v>
                </c:pt>
                <c:pt idx="32">
                  <c:v>126966.80000000003</c:v>
                </c:pt>
                <c:pt idx="33">
                  <c:v>127704.90000000001</c:v>
                </c:pt>
                <c:pt idx="34">
                  <c:v>170500.1</c:v>
                </c:pt>
                <c:pt idx="35">
                  <c:v>191638.3</c:v>
                </c:pt>
                <c:pt idx="36">
                  <c:v>242744.2</c:v>
                </c:pt>
                <c:pt idx="37">
                  <c:v>251095.5</c:v>
                </c:pt>
                <c:pt idx="38">
                  <c:v>216303.80000000002</c:v>
                </c:pt>
                <c:pt idx="39">
                  <c:v>190763.00000000003</c:v>
                </c:pt>
                <c:pt idx="40">
                  <c:v>196736.50000000003</c:v>
                </c:pt>
                <c:pt idx="41">
                  <c:v>133959.6</c:v>
                </c:pt>
                <c:pt idx="42">
                  <c:v>117058.40000000002</c:v>
                </c:pt>
                <c:pt idx="43">
                  <c:v>127039.29999999999</c:v>
                </c:pt>
                <c:pt idx="44">
                  <c:v>134541.99999999997</c:v>
                </c:pt>
                <c:pt idx="45">
                  <c:v>135856.70000000001</c:v>
                </c:pt>
                <c:pt idx="46">
                  <c:v>187550</c:v>
                </c:pt>
                <c:pt idx="47">
                  <c:v>238592.90000000002</c:v>
                </c:pt>
                <c:pt idx="48">
                  <c:v>277219.49999999994</c:v>
                </c:pt>
                <c:pt idx="49">
                  <c:v>261139.5</c:v>
                </c:pt>
                <c:pt idx="50">
                  <c:v>154224.50000000003</c:v>
                </c:pt>
                <c:pt idx="51">
                  <c:v>107719.89999999998</c:v>
                </c:pt>
                <c:pt idx="52">
                  <c:v>3455.4000000000005</c:v>
                </c:pt>
                <c:pt idx="53">
                  <c:v>10479.400000000001</c:v>
                </c:pt>
                <c:pt idx="54">
                  <c:v>35786.800000000017</c:v>
                </c:pt>
                <c:pt idx="55">
                  <c:v>26653</c:v>
                </c:pt>
                <c:pt idx="56">
                  <c:v>1848.7</c:v>
                </c:pt>
                <c:pt idx="57">
                  <c:v>15567.4</c:v>
                </c:pt>
                <c:pt idx="58">
                  <c:v>27407.100000000002</c:v>
                </c:pt>
                <c:pt idx="59">
                  <c:v>49903.499999999993</c:v>
                </c:pt>
                <c:pt idx="60">
                  <c:v>97106.700000000012</c:v>
                </c:pt>
                <c:pt idx="61">
                  <c:v>105365.00000000001</c:v>
                </c:pt>
                <c:pt idx="62">
                  <c:v>45500.200000000004</c:v>
                </c:pt>
                <c:pt idx="63">
                  <c:v>66794.5</c:v>
                </c:pt>
                <c:pt idx="64">
                  <c:v>95280.6</c:v>
                </c:pt>
              </c:numCache>
            </c:numRef>
          </c:val>
          <c:extLst>
            <c:ext xmlns:c16="http://schemas.microsoft.com/office/drawing/2014/chart" uri="{C3380CC4-5D6E-409C-BE32-E72D297353CC}">
              <c16:uniqueId val="{00000000-81CF-46C8-AF57-62572D5F4FDF}"/>
            </c:ext>
          </c:extLst>
        </c:ser>
        <c:dLbls>
          <c:showLegendKey val="0"/>
          <c:showVal val="0"/>
          <c:showCatName val="0"/>
          <c:showSerName val="0"/>
          <c:showPercent val="0"/>
          <c:showBubbleSize val="0"/>
        </c:dLbls>
        <c:gapWidth val="219"/>
        <c:overlap val="-27"/>
        <c:axId val="424996648"/>
        <c:axId val="424996976"/>
      </c:barChart>
      <c:dateAx>
        <c:axId val="42499664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50000"/>
                      </a:schemeClr>
                    </a:solidFill>
                    <a:latin typeface="+mn-lt"/>
                    <a:ea typeface="+mn-ea"/>
                    <a:cs typeface="+mn-cs"/>
                  </a:defRPr>
                </a:pPr>
                <a:r>
                  <a:rPr lang="en-US">
                    <a:solidFill>
                      <a:schemeClr val="tx1">
                        <a:lumMod val="50000"/>
                      </a:schemeClr>
                    </a:solidFill>
                  </a:rPr>
                  <a:t>Month</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50000"/>
                    </a:schemeClr>
                  </a:solidFill>
                  <a:latin typeface="+mn-lt"/>
                  <a:ea typeface="+mn-ea"/>
                  <a:cs typeface="+mn-cs"/>
                </a:defRPr>
              </a:pPr>
              <a:endParaRPr lang="en-US"/>
            </a:p>
          </c:txPr>
        </c:title>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schemeClr>
                </a:solidFill>
                <a:latin typeface="+mn-lt"/>
                <a:ea typeface="+mn-ea"/>
                <a:cs typeface="+mn-cs"/>
              </a:defRPr>
            </a:pPr>
            <a:endParaRPr lang="en-US"/>
          </a:p>
        </c:txPr>
        <c:crossAx val="424996976"/>
        <c:crosses val="autoZero"/>
        <c:auto val="1"/>
        <c:lblOffset val="100"/>
        <c:baseTimeUnit val="months"/>
      </c:dateAx>
      <c:valAx>
        <c:axId val="4249969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solidFill>
                      <a:schemeClr val="tx1">
                        <a:lumMod val="50000"/>
                      </a:schemeClr>
                    </a:solidFill>
                  </a:rPr>
                  <a:t>Visits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schemeClr>
                </a:solidFill>
                <a:latin typeface="+mn-lt"/>
                <a:ea typeface="+mn-ea"/>
                <a:cs typeface="+mn-cs"/>
              </a:defRPr>
            </a:pPr>
            <a:endParaRPr lang="en-US"/>
          </a:p>
        </c:txPr>
        <c:crossAx val="4249966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5ED35F014EA44E37924A12622AB5A083"/>
        <w:category>
          <w:name w:val="General"/>
          <w:gallery w:val="placeholder"/>
        </w:category>
        <w:types>
          <w:type w:val="bbPlcHdr"/>
        </w:types>
        <w:behaviors>
          <w:behavior w:val="content"/>
        </w:behaviors>
        <w:guid w:val="{1522F90D-D4CA-42E2-8AED-D15E59DFE96E}"/>
      </w:docPartPr>
      <w:docPartBody>
        <w:p w:rsidR="00CA54D8" w:rsidRDefault="00DE300F">
          <w:pPr>
            <w:pStyle w:val="5ED35F014EA44E37924A12622AB5A083"/>
          </w:pPr>
          <w:r w:rsidRPr="000C4F86">
            <w:rPr>
              <w:rStyle w:val="PlaceholderText"/>
            </w:rPr>
            <w:t>[Title]</w:t>
          </w:r>
        </w:p>
      </w:docPartBody>
    </w:docPart>
    <w:docPart>
      <w:docPartPr>
        <w:name w:val="E6C0371039AB41CBA3D9B15FE2F5C48D"/>
        <w:category>
          <w:name w:val="General"/>
          <w:gallery w:val="placeholder"/>
        </w:category>
        <w:types>
          <w:type w:val="bbPlcHdr"/>
        </w:types>
        <w:behaviors>
          <w:behavior w:val="content"/>
        </w:behaviors>
        <w:guid w:val="{76B85FB9-74A8-4745-87B3-087C75B2E27F}"/>
      </w:docPartPr>
      <w:docPartBody>
        <w:p w:rsidR="00CA54D8" w:rsidRDefault="00DE300F">
          <w:pPr>
            <w:pStyle w:val="E6C0371039AB41CBA3D9B15FE2F5C48D"/>
          </w:pPr>
          <w:r>
            <w:rPr>
              <w:color w:val="156082" w:themeColor="accent1"/>
              <w:sz w:val="28"/>
              <w:szCs w:val="28"/>
            </w:rPr>
            <w:t>[Document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old">
    <w:altName w:val="Arial"/>
    <w:panose1 w:val="020B0704020202020204"/>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MingLiU">
    <w:altName w:val="細明體"/>
    <w:panose1 w:val="02010609000101010101"/>
    <w:charset w:val="88"/>
    <w:family w:val="modern"/>
    <w:pitch w:val="fixed"/>
    <w:sig w:usb0="A00002FF" w:usb1="28CFFCFA" w:usb2="00000016" w:usb3="00000000" w:csb0="00100001" w:csb1="00000000"/>
  </w:font>
  <w:font w:name="PMingLiU">
    <w:altName w:val="新細明體"/>
    <w:panose1 w:val="02010601000101010101"/>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imesNewRomanMTStd">
    <w:altName w:val="Times New Roman"/>
    <w:panose1 w:val="00000000000000000000"/>
    <w:charset w:val="00"/>
    <w:family w:val="roman"/>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comments="0" w:insDel="0"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54D8"/>
    <w:rsid w:val="00102519"/>
    <w:rsid w:val="00102F95"/>
    <w:rsid w:val="00116BB4"/>
    <w:rsid w:val="001F136C"/>
    <w:rsid w:val="00221ADA"/>
    <w:rsid w:val="00363C57"/>
    <w:rsid w:val="003B7D91"/>
    <w:rsid w:val="005775C2"/>
    <w:rsid w:val="005B10AD"/>
    <w:rsid w:val="00627C9D"/>
    <w:rsid w:val="00661F8E"/>
    <w:rsid w:val="006B00D9"/>
    <w:rsid w:val="00713AF0"/>
    <w:rsid w:val="0075368B"/>
    <w:rsid w:val="007870B9"/>
    <w:rsid w:val="007A2B17"/>
    <w:rsid w:val="007A7B72"/>
    <w:rsid w:val="008D6214"/>
    <w:rsid w:val="00936D61"/>
    <w:rsid w:val="00A352A1"/>
    <w:rsid w:val="00A628DC"/>
    <w:rsid w:val="00CA54D8"/>
    <w:rsid w:val="00D67DE2"/>
    <w:rsid w:val="00DB5601"/>
    <w:rsid w:val="00DE300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en-AU" w:eastAsia="en-AU"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DB5601"/>
    <w:rPr>
      <w:color w:val="auto"/>
      <w:bdr w:val="none" w:sz="0" w:space="0" w:color="auto"/>
      <w:shd w:val="clear" w:color="auto" w:fill="FFFF00"/>
    </w:rPr>
  </w:style>
  <w:style w:type="paragraph" w:customStyle="1" w:styleId="5ED35F014EA44E37924A12622AB5A083">
    <w:name w:val="5ED35F014EA44E37924A12622AB5A083"/>
  </w:style>
  <w:style w:type="paragraph" w:customStyle="1" w:styleId="E6C0371039AB41CBA3D9B15FE2F5C48D">
    <w:name w:val="E6C0371039AB41CBA3D9B15FE2F5C48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Nation Partners">
  <a:themeElements>
    <a:clrScheme name="DEECA">
      <a:dk1>
        <a:srgbClr val="232222"/>
      </a:dk1>
      <a:lt1>
        <a:sysClr val="window" lastClr="FFFFFF"/>
      </a:lt1>
      <a:dk2>
        <a:srgbClr val="201547"/>
      </a:dk2>
      <a:lt2>
        <a:srgbClr val="CCDBEA"/>
      </a:lt2>
      <a:accent1>
        <a:srgbClr val="004C97"/>
      </a:accent1>
      <a:accent2>
        <a:srgbClr val="88DBDF"/>
      </a:accent2>
      <a:accent3>
        <a:srgbClr val="00B2A9"/>
      </a:accent3>
      <a:accent4>
        <a:srgbClr val="201547"/>
      </a:accent4>
      <a:accent5>
        <a:srgbClr val="6694C1"/>
      </a:accent5>
      <a:accent6>
        <a:srgbClr val="B8E9EC"/>
      </a:accent6>
      <a:hlink>
        <a:srgbClr val="232222"/>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DELWP Sub-Brand Offical">
    <a:dk1>
      <a:srgbClr val="363534"/>
    </a:dk1>
    <a:lt1>
      <a:sysClr val="window" lastClr="FFFFFF"/>
    </a:lt1>
    <a:dk2>
      <a:srgbClr val="00B2A9"/>
    </a:dk2>
    <a:lt2>
      <a:srgbClr val="E5F7F6"/>
    </a:lt2>
    <a:accent1>
      <a:srgbClr val="00B2A9"/>
    </a:accent1>
    <a:accent2>
      <a:srgbClr val="66D1CB"/>
    </a:accent2>
    <a:accent3>
      <a:srgbClr val="99E0DD"/>
    </a:accent3>
    <a:accent4>
      <a:srgbClr val="201547"/>
    </a:accent4>
    <a:accent5>
      <a:srgbClr val="4D446C"/>
    </a:accent5>
    <a:accent6>
      <a:srgbClr val="797391"/>
    </a:accent6>
    <a:hlink>
      <a:srgbClr val="0000FF"/>
    </a:hlink>
    <a:folHlink>
      <a:srgbClr val="800080"/>
    </a:folHlink>
  </a:clrScheme>
  <a:fontScheme name="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ct:contentTypeSchema xmlns:ct="http://schemas.microsoft.com/office/2006/metadata/contentType" xmlns:ma="http://schemas.microsoft.com/office/2006/metadata/properties/metaAttributes" ct:_="" ma:_="" ma:contentTypeName="Document" ma:contentTypeID="0x01010015ED4D4A0C249143AD27B0CF73E861E2" ma:contentTypeVersion="25" ma:contentTypeDescription="Create a new document." ma:contentTypeScope="" ma:versionID="d0fa252c7964243645a4b40aa8452c69">
  <xsd:schema xmlns:xsd="http://www.w3.org/2001/XMLSchema" xmlns:xs="http://www.w3.org/2001/XMLSchema" xmlns:p="http://schemas.microsoft.com/office/2006/metadata/properties" xmlns:ns3="a5f32de4-e402-4188-b034-e71ca7d22e54" xmlns:ns4="545bb6cd-83f6-4ecc-9571-2c739e5d61a6" xmlns:ns5="caad1ad1-743e-4464-98ab-d71ef64ab95b" targetNamespace="http://schemas.microsoft.com/office/2006/metadata/properties" ma:root="true" ma:fieldsID="37ef935e2af705649af7c7f1341bb58e" ns3:_="" ns4:_="" ns5:_="">
    <xsd:import namespace="a5f32de4-e402-4188-b034-e71ca7d22e54"/>
    <xsd:import namespace="545bb6cd-83f6-4ecc-9571-2c739e5d61a6"/>
    <xsd:import namespace="caad1ad1-743e-4464-98ab-d71ef64ab95b"/>
    <xsd:element name="properties">
      <xsd:complexType>
        <xsd:sequence>
          <xsd:element name="documentManagement">
            <xsd:complexType>
              <xsd:all>
                <xsd:element ref="ns3:_dlc_DocId" minOccurs="0"/>
                <xsd:element ref="ns3:_dlc_DocIdUrl" minOccurs="0"/>
                <xsd:element ref="ns3:_dlc_DocIdPersistId" minOccurs="0"/>
                <xsd:element ref="ns4:MediaServiceMetadata" minOccurs="0"/>
                <xsd:element ref="ns4:MediaServiceFastMetadata" minOccurs="0"/>
                <xsd:element ref="ns5:SharedWithUsers" minOccurs="0"/>
                <xsd:element ref="ns5:SharedWithDetails" minOccurs="0"/>
                <xsd:element ref="ns5:SharingHintHash" minOccurs="0"/>
                <xsd:element ref="ns4:MediaServiceDateTaken" minOccurs="0"/>
                <xsd:element ref="ns4:MediaServiceAutoTags" minOccurs="0"/>
                <xsd:element ref="ns4:MediaServiceGenerationTime" minOccurs="0"/>
                <xsd:element ref="ns4:MediaServiceEventHashCode" minOccurs="0"/>
                <xsd:element ref="ns4:MediaServiceOCR" minOccurs="0"/>
                <xsd:element ref="ns4:MediaServiceLocation" minOccurs="0"/>
                <xsd:element ref="ns4:MediaServiceAutoKeyPoints" minOccurs="0"/>
                <xsd:element ref="ns4:MediaServiceKeyPoints" minOccurs="0"/>
                <xsd:element ref="ns4:MediaLengthInSeconds" minOccurs="0"/>
                <xsd:element ref="ns4:_activity" minOccurs="0"/>
                <xsd:element ref="ns4:MediaServiceObjectDetectorVersions" minOccurs="0"/>
                <xsd:element ref="ns4:MediaServiceSystemTags" minOccurs="0"/>
                <xsd:element ref="ns4: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545bb6cd-83f6-4ecc-9571-2c739e5d61a6"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6" nillable="true" ma:displayName="MediaServiceDateTaken" ma:hidden="true" ma:internalName="MediaServiceDateTaken" ma:readOnly="true">
      <xsd:simpleType>
        <xsd:restriction base="dms:Text"/>
      </xsd:simpleType>
    </xsd:element>
    <xsd:element name="MediaServiceAutoTags" ma:index="17" nillable="true" ma:displayName="Tags" ma:internalName="MediaServiceAutoTags"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Location" ma:index="21" nillable="true" ma:displayName="Location" ma:internalName="MediaServiceLocation" ma:readOnly="true">
      <xsd:simpleType>
        <xsd:restriction base="dms:Text"/>
      </xsd:simpleType>
    </xsd:element>
    <xsd:element name="MediaServiceAutoKeyPoints" ma:index="22" nillable="true" ma:displayName="MediaServiceAutoKeyPoints" ma:hidden="true" ma:internalName="MediaServiceAutoKeyPoints" ma:readOnly="true">
      <xsd:simpleType>
        <xsd:restriction base="dms:Note"/>
      </xsd:simpleType>
    </xsd:element>
    <xsd:element name="MediaServiceKeyPoints" ma:index="23" nillable="true" ma:displayName="KeyPoints" ma:internalName="MediaServiceKeyPoints" ma:readOnly="true">
      <xsd:simpleType>
        <xsd:restriction base="dms:Note">
          <xsd:maxLength value="255"/>
        </xsd:restriction>
      </xsd:simpleType>
    </xsd:element>
    <xsd:element name="MediaLengthInSeconds" ma:index="24" nillable="true" ma:displayName="MediaLengthInSeconds" ma:hidden="true" ma:internalName="MediaLengthInSeconds" ma:readOnly="true">
      <xsd:simpleType>
        <xsd:restriction base="dms:Unknown"/>
      </xsd:simpleType>
    </xsd:element>
    <xsd:element name="_activity" ma:index="25" nillable="true" ma:displayName="_activity" ma:hidden="true" ma:internalName="_activity">
      <xsd:simpleType>
        <xsd:restriction base="dms:Note"/>
      </xsd:simpleType>
    </xsd:element>
    <xsd:element name="MediaServiceObjectDetectorVersions" ma:index="26" nillable="true" ma:displayName="MediaServiceObjectDetectorVersions" ma:hidden="true" ma:indexed="true" ma:internalName="MediaServiceObjectDetectorVersions" ma:readOnly="true">
      <xsd:simpleType>
        <xsd:restriction base="dms:Text"/>
      </xsd:simpleType>
    </xsd:element>
    <xsd:element name="MediaServiceSystemTags" ma:index="27" nillable="true" ma:displayName="MediaServiceSystemTags" ma:hidden="true" ma:internalName="MediaServiceSystemTags" ma:readOnly="true">
      <xsd:simpleType>
        <xsd:restriction base="dms:Note"/>
      </xsd:simpleType>
    </xsd:element>
    <xsd:element name="MediaServiceSearchProperties" ma:index="28"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aad1ad1-743e-4464-98ab-d71ef64ab95b"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SharingHintHash" ma:index="15"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_activity xmlns="545bb6cd-83f6-4ecc-9571-2c739e5d61a6" xsi:nil="true"/>
  </documentManagement>
</p:properties>
</file>

<file path=customXml/item6.xml><?xml version="1.0" encoding="utf-8"?>
<?mso-contentType ?>
<spe:Receivers xmlns:spe="http://schemas.microsoft.com/sharepoint/events"/>
</file>

<file path=customXml/item7.xml><?xml version="1.0" encoding="utf-8"?>
<?mso-contentType ?>
<SharedContentType xmlns="Microsoft.SharePoint.Taxonomy.ContentTypeSync" SourceId="797aeec6-0273-40f2-ab3e-beee73212332" ContentTypeId="0x0101" PreviousValue="false"/>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E914417-542E-4BF3-ADA8-0AB15998CB52}">
  <ds:schemaRefs>
    <ds:schemaRef ds:uri="http://schemas.microsoft.com/sharepoint/v3/contenttype/forms"/>
  </ds:schemaRefs>
</ds:datastoreItem>
</file>

<file path=customXml/itemProps3.xml><?xml version="1.0" encoding="utf-8"?>
<ds:datastoreItem xmlns:ds="http://schemas.openxmlformats.org/officeDocument/2006/customXml" ds:itemID="{10143BD9-FC3A-454C-BF23-89F66E914903}">
  <ds:schemaRefs>
    <ds:schemaRef ds:uri="http://schemas.openxmlformats.org/officeDocument/2006/bibliography"/>
  </ds:schemaRefs>
</ds:datastoreItem>
</file>

<file path=customXml/itemProps4.xml><?xml version="1.0" encoding="utf-8"?>
<ds:datastoreItem xmlns:ds="http://schemas.openxmlformats.org/officeDocument/2006/customXml" ds:itemID="{7C9A7E83-B2B2-451F-91E8-7A6FEC4E900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5f32de4-e402-4188-b034-e71ca7d22e54"/>
    <ds:schemaRef ds:uri="545bb6cd-83f6-4ecc-9571-2c739e5d61a6"/>
    <ds:schemaRef ds:uri="caad1ad1-743e-4464-98ab-d71ef64ab95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BCFABBF0-0631-4425-8316-AF0A01ACFB0F}">
  <ds:schemaRefs>
    <ds:schemaRef ds:uri="http://schemas.microsoft.com/office/2006/metadata/properties"/>
    <ds:schemaRef ds:uri="http://schemas.microsoft.com/office/infopath/2007/PartnerControls"/>
    <ds:schemaRef ds:uri="545bb6cd-83f6-4ecc-9571-2c739e5d61a6"/>
  </ds:schemaRefs>
</ds:datastoreItem>
</file>

<file path=customXml/itemProps6.xml><?xml version="1.0" encoding="utf-8"?>
<ds:datastoreItem xmlns:ds="http://schemas.openxmlformats.org/officeDocument/2006/customXml" ds:itemID="{48219B13-5C2E-44FF-B262-2E7E2FF02B57}">
  <ds:schemaRefs>
    <ds:schemaRef ds:uri="http://schemas.microsoft.com/sharepoint/events"/>
  </ds:schemaRefs>
</ds:datastoreItem>
</file>

<file path=customXml/itemProps7.xml><?xml version="1.0" encoding="utf-8"?>
<ds:datastoreItem xmlns:ds="http://schemas.openxmlformats.org/officeDocument/2006/customXml" ds:itemID="{69EDFD51-42B6-47C4-BE79-5A38DA64B311}">
  <ds:schemaRefs>
    <ds:schemaRef ds:uri="Microsoft.SharePoint.Taxonomy.ContentTypeSync"/>
  </ds:schemaRefs>
</ds:datastoreItem>
</file>

<file path=docProps/app.xml><?xml version="1.0" encoding="utf-8"?>
<Properties xmlns="http://schemas.openxmlformats.org/officeDocument/2006/extended-properties" xmlns:vt="http://schemas.openxmlformats.org/officeDocument/2006/docPropsVTypes">
  <Template>Great Ocean Road.dotm</Template>
  <TotalTime>29</TotalTime>
  <Pages>262</Pages>
  <Words>95002</Words>
  <Characters>614668</Characters>
  <Application>Microsoft Office Word</Application>
  <DocSecurity>0</DocSecurity>
  <Lines>30733</Lines>
  <Paragraphs>22892</Paragraphs>
  <ScaleCrop>false</ScaleCrop>
  <HeadingPairs>
    <vt:vector size="2" baseType="variant">
      <vt:variant>
        <vt:lpstr>Title</vt:lpstr>
      </vt:variant>
      <vt:variant>
        <vt:i4>1</vt:i4>
      </vt:variant>
    </vt:vector>
  </HeadingPairs>
  <TitlesOfParts>
    <vt:vector size="1" baseType="lpstr">
      <vt:lpstr>Great Ocean Road Coast and Parks Environmental-Economic Account</vt:lpstr>
    </vt:vector>
  </TitlesOfParts>
  <Company/>
  <LinksUpToDate>false</LinksUpToDate>
  <CharactersWithSpaces>686778</CharactersWithSpaces>
  <SharedDoc>false</SharedDoc>
  <HLinks>
    <vt:vector size="1020" baseType="variant">
      <vt:variant>
        <vt:i4>6553668</vt:i4>
      </vt:variant>
      <vt:variant>
        <vt:i4>837</vt:i4>
      </vt:variant>
      <vt:variant>
        <vt:i4>0</vt:i4>
      </vt:variant>
      <vt:variant>
        <vt:i4>5</vt:i4>
      </vt:variant>
      <vt:variant>
        <vt:lpwstr>https://www.marineandcoasts.vic.gov.au/__data/assets/pdf_file/0025/405943/VCC_Economic_Study_Report_FINAL.pdf</vt:lpwstr>
      </vt:variant>
      <vt:variant>
        <vt:lpwstr/>
      </vt:variant>
      <vt:variant>
        <vt:i4>917548</vt:i4>
      </vt:variant>
      <vt:variant>
        <vt:i4>834</vt:i4>
      </vt:variant>
      <vt:variant>
        <vt:i4>0</vt:i4>
      </vt:variant>
      <vt:variant>
        <vt:i4>5</vt:i4>
      </vt:variant>
      <vt:variant>
        <vt:lpwstr>https://www.planning.vic.gov.au/__data/assets/pdf_file/0029/394346/GreatOceanRoad_FinalReport_web.pdf</vt:lpwstr>
      </vt:variant>
      <vt:variant>
        <vt:lpwstr/>
      </vt:variant>
      <vt:variant>
        <vt:i4>5505086</vt:i4>
      </vt:variant>
      <vt:variant>
        <vt:i4>831</vt:i4>
      </vt:variant>
      <vt:variant>
        <vt:i4>0</vt:i4>
      </vt:variant>
      <vt:variant>
        <vt:i4>5</vt:i4>
      </vt:variant>
      <vt:variant>
        <vt:lpwstr>https://vfa.vic.gov.au/__data/assets/pdf_file/0004/432625/VFA-Commercial-Fish-Production-Information-Bulletin-1819.pdf</vt:lpwstr>
      </vt:variant>
      <vt:variant>
        <vt:lpwstr/>
      </vt:variant>
      <vt:variant>
        <vt:i4>4784178</vt:i4>
      </vt:variant>
      <vt:variant>
        <vt:i4>828</vt:i4>
      </vt:variant>
      <vt:variant>
        <vt:i4>0</vt:i4>
      </vt:variant>
      <vt:variant>
        <vt:i4>5</vt:i4>
      </vt:variant>
      <vt:variant>
        <vt:lpwstr>https://seea.un.org/sites/seea.un.org/files/seea_eea_revision_wg1_discussion_paper_1.2_urban_areas_0.pdf</vt:lpwstr>
      </vt:variant>
      <vt:variant>
        <vt:lpwstr/>
      </vt:variant>
      <vt:variant>
        <vt:i4>7143459</vt:i4>
      </vt:variant>
      <vt:variant>
        <vt:i4>825</vt:i4>
      </vt:variant>
      <vt:variant>
        <vt:i4>0</vt:i4>
      </vt:variant>
      <vt:variant>
        <vt:i4>5</vt:i4>
      </vt:variant>
      <vt:variant>
        <vt:lpwstr>https://unstats.un.org/unsd/statcom/52nd-session/documents/BG-3f-SEEA-EA_Final_draft-E.pdf</vt:lpwstr>
      </vt:variant>
      <vt:variant>
        <vt:lpwstr/>
      </vt:variant>
      <vt:variant>
        <vt:i4>3145739</vt:i4>
      </vt:variant>
      <vt:variant>
        <vt:i4>822</vt:i4>
      </vt:variant>
      <vt:variant>
        <vt:i4>0</vt:i4>
      </vt:variant>
      <vt:variant>
        <vt:i4>5</vt:i4>
      </vt:variant>
      <vt:variant>
        <vt:lpwstr>https://seea.un.org/sites/seea.un.org/files/documents/EEA/eea_2020_revision_issue_final_jul2018.pdf</vt:lpwstr>
      </vt:variant>
      <vt:variant>
        <vt:lpwstr/>
      </vt:variant>
      <vt:variant>
        <vt:i4>6553696</vt:i4>
      </vt:variant>
      <vt:variant>
        <vt:i4>819</vt:i4>
      </vt:variant>
      <vt:variant>
        <vt:i4>0</vt:i4>
      </vt:variant>
      <vt:variant>
        <vt:i4>5</vt:i4>
      </vt:variant>
      <vt:variant>
        <vt:lpwstr>https://seea.un.org/sites/seea.un.org/files/technical_recommendations_in_support_of_the_seea_eea_final_white_cover.pdf</vt:lpwstr>
      </vt:variant>
      <vt:variant>
        <vt:lpwstr/>
      </vt:variant>
      <vt:variant>
        <vt:i4>327750</vt:i4>
      </vt:variant>
      <vt:variant>
        <vt:i4>816</vt:i4>
      </vt:variant>
      <vt:variant>
        <vt:i4>0</vt:i4>
      </vt:variant>
      <vt:variant>
        <vt:i4>5</vt:i4>
      </vt:variant>
      <vt:variant>
        <vt:lpwstr>https://seea.un.org/sites/seea.un.org/files/seea_eea_final_en_1.pdf</vt:lpwstr>
      </vt:variant>
      <vt:variant>
        <vt:lpwstr/>
      </vt:variant>
      <vt:variant>
        <vt:i4>5439488</vt:i4>
      </vt:variant>
      <vt:variant>
        <vt:i4>813</vt:i4>
      </vt:variant>
      <vt:variant>
        <vt:i4>0</vt:i4>
      </vt:variant>
      <vt:variant>
        <vt:i4>5</vt:i4>
      </vt:variant>
      <vt:variant>
        <vt:lpwstr>http://www.tourism.vic.gov.au/research/economic-significance.html</vt:lpwstr>
      </vt:variant>
      <vt:variant>
        <vt:lpwstr/>
      </vt:variant>
      <vt:variant>
        <vt:i4>2293859</vt:i4>
      </vt:variant>
      <vt:variant>
        <vt:i4>810</vt:i4>
      </vt:variant>
      <vt:variant>
        <vt:i4>0</vt:i4>
      </vt:variant>
      <vt:variant>
        <vt:i4>5</vt:i4>
      </vt:variant>
      <vt:variant>
        <vt:lpwstr>https://urldefense.proofpoint.com/v2/url?u=https-3A__www.tra.gov.au_Regional_local-2Dgovernment-2Darea-2Dprofiles&amp;d=DwMGaQ&amp;c=JnBkUqWXzx2bz-3a05d47Q&amp;r=zcAwUE9Zjt6MjZ9OAB0wziatMLiDfEWb-9Or2zsEg_U&amp;m=JcNy2d15B-BOWGYYk4ArVIrbMMgLse7q8e04Z0IuY4M&amp;s=Ezy_rcZ0IkHofuqWNlLvcDANLVSEuvxU70qa84Rijag&amp;e=</vt:lpwstr>
      </vt:variant>
      <vt:variant>
        <vt:lpwstr/>
      </vt:variant>
      <vt:variant>
        <vt:i4>5242968</vt:i4>
      </vt:variant>
      <vt:variant>
        <vt:i4>807</vt:i4>
      </vt:variant>
      <vt:variant>
        <vt:i4>0</vt:i4>
      </vt:variant>
      <vt:variant>
        <vt:i4>5</vt:i4>
      </vt:variant>
      <vt:variant>
        <vt:lpwstr>https://www.tra.gov.au/economic-analysis/economic-value/regional-tourism-satellite-account/regional-tourism-satellite-account</vt:lpwstr>
      </vt:variant>
      <vt:variant>
        <vt:lpwstr/>
      </vt:variant>
      <vt:variant>
        <vt:i4>4915270</vt:i4>
      </vt:variant>
      <vt:variant>
        <vt:i4>804</vt:i4>
      </vt:variant>
      <vt:variant>
        <vt:i4>0</vt:i4>
      </vt:variant>
      <vt:variant>
        <vt:i4>5</vt:i4>
      </vt:variant>
      <vt:variant>
        <vt:lpwstr>https://seea.un.org/sites/seea.un.org/files/samoa_oa_pilot_presentation_final.pdf</vt:lpwstr>
      </vt:variant>
      <vt:variant>
        <vt:lpwstr/>
      </vt:variant>
      <vt:variant>
        <vt:i4>917583</vt:i4>
      </vt:variant>
      <vt:variant>
        <vt:i4>801</vt:i4>
      </vt:variant>
      <vt:variant>
        <vt:i4>0</vt:i4>
      </vt:variant>
      <vt:variant>
        <vt:i4>5</vt:i4>
      </vt:variant>
      <vt:variant>
        <vt:lpwstr>https://maps.oceanwealth.org/</vt:lpwstr>
      </vt:variant>
      <vt:variant>
        <vt:lpwstr/>
      </vt:variant>
      <vt:variant>
        <vt:i4>2031644</vt:i4>
      </vt:variant>
      <vt:variant>
        <vt:i4>798</vt:i4>
      </vt:variant>
      <vt:variant>
        <vt:i4>0</vt:i4>
      </vt:variant>
      <vt:variant>
        <vt:i4>5</vt:i4>
      </vt:variant>
      <vt:variant>
        <vt:lpwstr>https://www.agrifutures.com.au/wp-content/uploads/publications/08-170.pdf</vt:lpwstr>
      </vt:variant>
      <vt:variant>
        <vt:lpwstr/>
      </vt:variant>
      <vt:variant>
        <vt:i4>2949177</vt:i4>
      </vt:variant>
      <vt:variant>
        <vt:i4>795</vt:i4>
      </vt:variant>
      <vt:variant>
        <vt:i4>0</vt:i4>
      </vt:variant>
      <vt:variant>
        <vt:i4>5</vt:i4>
      </vt:variant>
      <vt:variant>
        <vt:lpwstr>https://www.parks.vic.gov.au/get-into-nature/conservation-and-science</vt:lpwstr>
      </vt:variant>
      <vt:variant>
        <vt:lpwstr>:~:text=The%20ecosystems%20found%20in%20Victoria,and%20948%20native%20animal%20species.</vt:lpwstr>
      </vt:variant>
      <vt:variant>
        <vt:i4>4653138</vt:i4>
      </vt:variant>
      <vt:variant>
        <vt:i4>792</vt:i4>
      </vt:variant>
      <vt:variant>
        <vt:i4>0</vt:i4>
      </vt:variant>
      <vt:variant>
        <vt:i4>5</vt:i4>
      </vt:variant>
      <vt:variant>
        <vt:lpwstr>https://www.ons.gov.uk/economy/environmentalaccounts/methodologies/uknaturalcapitalinterimreviewandrevised2020roadmap</vt:lpwstr>
      </vt:variant>
      <vt:variant>
        <vt:lpwstr/>
      </vt:variant>
      <vt:variant>
        <vt:i4>3670057</vt:i4>
      </vt:variant>
      <vt:variant>
        <vt:i4>789</vt:i4>
      </vt:variant>
      <vt:variant>
        <vt:i4>0</vt:i4>
      </vt:variant>
      <vt:variant>
        <vt:i4>5</vt:i4>
      </vt:variant>
      <vt:variant>
        <vt:lpwstr>https://www.ons.gov.uk/economy/environmentalaccounts/methodologies/scopingukcoastalmarginecosystemaccounts</vt:lpwstr>
      </vt:variant>
      <vt:variant>
        <vt:lpwstr/>
      </vt:variant>
      <vt:variant>
        <vt:i4>3080285</vt:i4>
      </vt:variant>
      <vt:variant>
        <vt:i4>786</vt:i4>
      </vt:variant>
      <vt:variant>
        <vt:i4>0</vt:i4>
      </vt:variant>
      <vt:variant>
        <vt:i4>5</vt:i4>
      </vt:variant>
      <vt:variant>
        <vt:lpwstr>https://www.youtube.com/watch?v=8LKg_SZAdik</vt:lpwstr>
      </vt:variant>
      <vt:variant>
        <vt:lpwstr/>
      </vt:variant>
      <vt:variant>
        <vt:i4>8060979</vt:i4>
      </vt:variant>
      <vt:variant>
        <vt:i4>783</vt:i4>
      </vt:variant>
      <vt:variant>
        <vt:i4>0</vt:i4>
      </vt:variant>
      <vt:variant>
        <vt:i4>5</vt:i4>
      </vt:variant>
      <vt:variant>
        <vt:lpwstr>https://naturalcapitalproject.stanford.edu/software/invest</vt:lpwstr>
      </vt:variant>
      <vt:variant>
        <vt:lpwstr/>
      </vt:variant>
      <vt:variant>
        <vt:i4>65622</vt:i4>
      </vt:variant>
      <vt:variant>
        <vt:i4>780</vt:i4>
      </vt:variant>
      <vt:variant>
        <vt:i4>0</vt:i4>
      </vt:variant>
      <vt:variant>
        <vt:i4>5</vt:i4>
      </vt:variant>
      <vt:variant>
        <vt:lpwstr>http://nebula.wsimg.com/9d9fdbbf3bf3b8ed5c7de3bdd3a62dc3?AccessKeyId=68F83A8E994328D64D3D&amp;disposition=0&amp;alloworigin=1</vt:lpwstr>
      </vt:variant>
      <vt:variant>
        <vt:lpwstr/>
      </vt:variant>
      <vt:variant>
        <vt:i4>6291524</vt:i4>
      </vt:variant>
      <vt:variant>
        <vt:i4>777</vt:i4>
      </vt:variant>
      <vt:variant>
        <vt:i4>0</vt:i4>
      </vt:variant>
      <vt:variant>
        <vt:i4>5</vt:i4>
      </vt:variant>
      <vt:variant>
        <vt:lpwstr>http://ozcoasts.gov.au/climate/sd_visual.jsp</vt:lpwstr>
      </vt:variant>
      <vt:variant>
        <vt:lpwstr/>
      </vt:variant>
      <vt:variant>
        <vt:i4>7077924</vt:i4>
      </vt:variant>
      <vt:variant>
        <vt:i4>774</vt:i4>
      </vt:variant>
      <vt:variant>
        <vt:i4>0</vt:i4>
      </vt:variant>
      <vt:variant>
        <vt:i4>5</vt:i4>
      </vt:variant>
      <vt:variant>
        <vt:lpwstr>https://seea.un.org/sites/seea.un.org/files/raul_figueroa_seea-eea_mx_anp_glencove_en.pdf</vt:lpwstr>
      </vt:variant>
      <vt:variant>
        <vt:lpwstr/>
      </vt:variant>
      <vt:variant>
        <vt:i4>2228324</vt:i4>
      </vt:variant>
      <vt:variant>
        <vt:i4>771</vt:i4>
      </vt:variant>
      <vt:variant>
        <vt:i4>0</vt:i4>
      </vt:variant>
      <vt:variant>
        <vt:i4>5</vt:i4>
      </vt:variant>
      <vt:variant>
        <vt:lpwstr>https://cices.eu/resources/</vt:lpwstr>
      </vt:variant>
      <vt:variant>
        <vt:lpwstr/>
      </vt:variant>
      <vt:variant>
        <vt:i4>5898260</vt:i4>
      </vt:variant>
      <vt:variant>
        <vt:i4>768</vt:i4>
      </vt:variant>
      <vt:variant>
        <vt:i4>0</vt:i4>
      </vt:variant>
      <vt:variant>
        <vt:i4>5</vt:i4>
      </vt:variant>
      <vt:variant>
        <vt:lpwstr>https://ecosystemsknowledge.net/sites/default/files/wp-content/uploads/2013/03/Learning-in-Natural-Environments-report-280211.pdf</vt:lpwstr>
      </vt:variant>
      <vt:variant>
        <vt:lpwstr/>
      </vt:variant>
      <vt:variant>
        <vt:i4>5701736</vt:i4>
      </vt:variant>
      <vt:variant>
        <vt:i4>765</vt:i4>
      </vt:variant>
      <vt:variant>
        <vt:i4>0</vt:i4>
      </vt:variant>
      <vt:variant>
        <vt:i4>5</vt:i4>
      </vt:variant>
      <vt:variant>
        <vt:lpwstr>https://seea.un.org/sites/seea.un.org/files/session_5d_protected_area_accounts_-_plans_for_pa_accounts_in_sa.pdf</vt:lpwstr>
      </vt:variant>
      <vt:variant>
        <vt:lpwstr/>
      </vt:variant>
      <vt:variant>
        <vt:i4>4587627</vt:i4>
      </vt:variant>
      <vt:variant>
        <vt:i4>762</vt:i4>
      </vt:variant>
      <vt:variant>
        <vt:i4>0</vt:i4>
      </vt:variant>
      <vt:variant>
        <vt:i4>5</vt:i4>
      </vt:variant>
      <vt:variant>
        <vt:lpwstr>https://www.business.vic.gov.au/__data/assets/pdf_file/0007/1679551/Victorian-regional-tourism-satellite-accounts-summary-2018-19.pdf</vt:lpwstr>
      </vt:variant>
      <vt:variant>
        <vt:lpwstr/>
      </vt:variant>
      <vt:variant>
        <vt:i4>7405599</vt:i4>
      </vt:variant>
      <vt:variant>
        <vt:i4>759</vt:i4>
      </vt:variant>
      <vt:variant>
        <vt:i4>0</vt:i4>
      </vt:variant>
      <vt:variant>
        <vt:i4>5</vt:i4>
      </vt:variant>
      <vt:variant>
        <vt:lpwstr>https://www.business.vic.gov.au/__data/assets/pdf_file/0008/1959884/Great_Ocean_Road_Regional_Summary_year_ending_Sep_2020.pdf</vt:lpwstr>
      </vt:variant>
      <vt:variant>
        <vt:lpwstr/>
      </vt:variant>
      <vt:variant>
        <vt:i4>3473499</vt:i4>
      </vt:variant>
      <vt:variant>
        <vt:i4>756</vt:i4>
      </vt:variant>
      <vt:variant>
        <vt:i4>0</vt:i4>
      </vt:variant>
      <vt:variant>
        <vt:i4>5</vt:i4>
      </vt:variant>
      <vt:variant>
        <vt:lpwstr>http://vro.agriculture.vic.gov.au/dpi/vro/vrosite.nsf/pages/soil_acid_sulfate_soils</vt:lpwstr>
      </vt:variant>
      <vt:variant>
        <vt:lpwstr/>
      </vt:variant>
      <vt:variant>
        <vt:i4>1114177</vt:i4>
      </vt:variant>
      <vt:variant>
        <vt:i4>753</vt:i4>
      </vt:variant>
      <vt:variant>
        <vt:i4>0</vt:i4>
      </vt:variant>
      <vt:variant>
        <vt:i4>5</vt:i4>
      </vt:variant>
      <vt:variant>
        <vt:lpwstr>http://services.land.vic.gov.au/catalogue/metadata?anzlicId=ANZVI0803002595&amp;publicId=guest&amp;extractionProviderId=1</vt:lpwstr>
      </vt:variant>
      <vt:variant>
        <vt:lpwstr/>
      </vt:variant>
      <vt:variant>
        <vt:i4>131151</vt:i4>
      </vt:variant>
      <vt:variant>
        <vt:i4>750</vt:i4>
      </vt:variant>
      <vt:variant>
        <vt:i4>0</vt:i4>
      </vt:variant>
      <vt:variant>
        <vt:i4>5</vt:i4>
      </vt:variant>
      <vt:variant>
        <vt:lpwstr>https://discover.data.vic.gov.au/dataset/public-land-management-plm25</vt:lpwstr>
      </vt:variant>
      <vt:variant>
        <vt:lpwstr/>
      </vt:variant>
      <vt:variant>
        <vt:i4>2424954</vt:i4>
      </vt:variant>
      <vt:variant>
        <vt:i4>747</vt:i4>
      </vt:variant>
      <vt:variant>
        <vt:i4>0</vt:i4>
      </vt:variant>
      <vt:variant>
        <vt:i4>5</vt:i4>
      </vt:variant>
      <vt:variant>
        <vt:lpwstr>https://www.ari.vic.gov.au/research/rivers-and-estuaries/index-of-estuary-condition</vt:lpwstr>
      </vt:variant>
      <vt:variant>
        <vt:lpwstr/>
      </vt:variant>
      <vt:variant>
        <vt:i4>1245262</vt:i4>
      </vt:variant>
      <vt:variant>
        <vt:i4>744</vt:i4>
      </vt:variant>
      <vt:variant>
        <vt:i4>0</vt:i4>
      </vt:variant>
      <vt:variant>
        <vt:i4>5</vt:i4>
      </vt:variant>
      <vt:variant>
        <vt:lpwstr>https://www.environment.vic.gov.au/biodiversity/victorian-biodiversity-atlas</vt:lpwstr>
      </vt:variant>
      <vt:variant>
        <vt:lpwstr/>
      </vt:variant>
      <vt:variant>
        <vt:i4>6094861</vt:i4>
      </vt:variant>
      <vt:variant>
        <vt:i4>741</vt:i4>
      </vt:variant>
      <vt:variant>
        <vt:i4>0</vt:i4>
      </vt:variant>
      <vt:variant>
        <vt:i4>5</vt:i4>
      </vt:variant>
      <vt:variant>
        <vt:lpwstr>https://www.environment.vic.gov.au/biodiversity/Victorias-Land-Cover-Time-Series</vt:lpwstr>
      </vt:variant>
      <vt:variant>
        <vt:lpwstr/>
      </vt:variant>
      <vt:variant>
        <vt:i4>7995443</vt:i4>
      </vt:variant>
      <vt:variant>
        <vt:i4>738</vt:i4>
      </vt:variant>
      <vt:variant>
        <vt:i4>0</vt:i4>
      </vt:variant>
      <vt:variant>
        <vt:i4>5</vt:i4>
      </vt:variant>
      <vt:variant>
        <vt:lpwstr>http://dev-coastkit.cbics.org/</vt:lpwstr>
      </vt:variant>
      <vt:variant>
        <vt:lpwstr/>
      </vt:variant>
      <vt:variant>
        <vt:i4>7274565</vt:i4>
      </vt:variant>
      <vt:variant>
        <vt:i4>735</vt:i4>
      </vt:variant>
      <vt:variant>
        <vt:i4>0</vt:i4>
      </vt:variant>
      <vt:variant>
        <vt:i4>5</vt:i4>
      </vt:variant>
      <vt:variant>
        <vt:lpwstr>https://www.delwp.vic.gov.au/__data/assets/pdf_file/0027/458640/Forest-Management-System-Overview-2019-1.pdf</vt:lpwstr>
      </vt:variant>
      <vt:variant>
        <vt:lpwstr/>
      </vt:variant>
      <vt:variant>
        <vt:i4>7077928</vt:i4>
      </vt:variant>
      <vt:variant>
        <vt:i4>732</vt:i4>
      </vt:variant>
      <vt:variant>
        <vt:i4>0</vt:i4>
      </vt:variant>
      <vt:variant>
        <vt:i4>5</vt:i4>
      </vt:variant>
      <vt:variant>
        <vt:lpwstr>https://discover.data.vic.gov.au/dataset/native-vegetation-modelled-1750-ecological-vegetation-classes</vt:lpwstr>
      </vt:variant>
      <vt:variant>
        <vt:lpwstr/>
      </vt:variant>
      <vt:variant>
        <vt:i4>2424946</vt:i4>
      </vt:variant>
      <vt:variant>
        <vt:i4>729</vt:i4>
      </vt:variant>
      <vt:variant>
        <vt:i4>0</vt:i4>
      </vt:variant>
      <vt:variant>
        <vt:i4>5</vt:i4>
      </vt:variant>
      <vt:variant>
        <vt:lpwstr>https://www.forestsandreserves.vic.gov.au/forest-management/victorian-forest-monitoring-program</vt:lpwstr>
      </vt:variant>
      <vt:variant>
        <vt:lpwstr/>
      </vt:variant>
      <vt:variant>
        <vt:i4>7340158</vt:i4>
      </vt:variant>
      <vt:variant>
        <vt:i4>726</vt:i4>
      </vt:variant>
      <vt:variant>
        <vt:i4>0</vt:i4>
      </vt:variant>
      <vt:variant>
        <vt:i4>5</vt:i4>
      </vt:variant>
      <vt:variant>
        <vt:lpwstr>https://www.planning.vic.gov.au/__data/assets/pdf_file/0026/394271/GreatOceanRoad_ActionPlan.pdf</vt:lpwstr>
      </vt:variant>
      <vt:variant>
        <vt:lpwstr/>
      </vt:variant>
      <vt:variant>
        <vt:i4>5177437</vt:i4>
      </vt:variant>
      <vt:variant>
        <vt:i4>723</vt:i4>
      </vt:variant>
      <vt:variant>
        <vt:i4>0</vt:i4>
      </vt:variant>
      <vt:variant>
        <vt:i4>5</vt:i4>
      </vt:variant>
      <vt:variant>
        <vt:lpwstr>http://services.land.vic.gov.au/catalogue/metadata?anzlicId=ANZVI0803005812&amp;publicId=guest&amp;extractionProviderId=3</vt:lpwstr>
      </vt:variant>
      <vt:variant>
        <vt:lpwstr>tab0</vt:lpwstr>
      </vt:variant>
      <vt:variant>
        <vt:i4>3276845</vt:i4>
      </vt:variant>
      <vt:variant>
        <vt:i4>720</vt:i4>
      </vt:variant>
      <vt:variant>
        <vt:i4>0</vt:i4>
      </vt:variant>
      <vt:variant>
        <vt:i4>5</vt:i4>
      </vt:variant>
      <vt:variant>
        <vt:lpwstr>http://services.land.vic.gov.au/SpatialDatamart/dataSearchViewMetadata.html?anzlicId=ANZVI0803005827&amp;extractionProviderId=2</vt:lpwstr>
      </vt:variant>
      <vt:variant>
        <vt:lpwstr/>
      </vt:variant>
      <vt:variant>
        <vt:i4>3735586</vt:i4>
      </vt:variant>
      <vt:variant>
        <vt:i4>717</vt:i4>
      </vt:variant>
      <vt:variant>
        <vt:i4>0</vt:i4>
      </vt:variant>
      <vt:variant>
        <vt:i4>5</vt:i4>
      </vt:variant>
      <vt:variant>
        <vt:lpwstr>https://discover.data.vic.gov.au/dataset/2010-index-of-stream-condition-scores</vt:lpwstr>
      </vt:variant>
      <vt:variant>
        <vt:lpwstr/>
      </vt:variant>
      <vt:variant>
        <vt:i4>3211311</vt:i4>
      </vt:variant>
      <vt:variant>
        <vt:i4>714</vt:i4>
      </vt:variant>
      <vt:variant>
        <vt:i4>0</vt:i4>
      </vt:variant>
      <vt:variant>
        <vt:i4>5</vt:i4>
      </vt:variant>
      <vt:variant>
        <vt:lpwstr>https://www.ons.gov.uk/economy/environmentalaccounts/methodologies/principlesofnaturalcapitalaccounting</vt:lpwstr>
      </vt:variant>
      <vt:variant>
        <vt:lpwstr/>
      </vt:variant>
      <vt:variant>
        <vt:i4>7208976</vt:i4>
      </vt:variant>
      <vt:variant>
        <vt:i4>711</vt:i4>
      </vt:variant>
      <vt:variant>
        <vt:i4>0</vt:i4>
      </vt:variant>
      <vt:variant>
        <vt:i4>5</vt:i4>
      </vt:variant>
      <vt:variant>
        <vt:lpwstr>https://www.business.vic.gov.au/__data/assets/pdf_file/0008/1615562/Victorias_Tourism_Regions_map_2017.pdf</vt:lpwstr>
      </vt:variant>
      <vt:variant>
        <vt:lpwstr/>
      </vt:variant>
      <vt:variant>
        <vt:i4>6750234</vt:i4>
      </vt:variant>
      <vt:variant>
        <vt:i4>708</vt:i4>
      </vt:variant>
      <vt:variant>
        <vt:i4>0</vt:i4>
      </vt:variant>
      <vt:variant>
        <vt:i4>5</vt:i4>
      </vt:variant>
      <vt:variant>
        <vt:lpwstr>https://seea.un.org/sites/seea.un.org/files/amanda_clark_gbr_presentation_-_new_york_2019.pdf</vt:lpwstr>
      </vt:variant>
      <vt:variant>
        <vt:lpwstr/>
      </vt:variant>
      <vt:variant>
        <vt:i4>1835076</vt:i4>
      </vt:variant>
      <vt:variant>
        <vt:i4>705</vt:i4>
      </vt:variant>
      <vt:variant>
        <vt:i4>0</vt:i4>
      </vt:variant>
      <vt:variant>
        <vt:i4>5</vt:i4>
      </vt:variant>
      <vt:variant>
        <vt:lpwstr>https://www.natureaustralia.org.au/content/dam/tnc/nature/en/documents/australia/MOW_Report_Web.pdf</vt:lpwstr>
      </vt:variant>
      <vt:variant>
        <vt:lpwstr/>
      </vt:variant>
      <vt:variant>
        <vt:i4>4784234</vt:i4>
      </vt:variant>
      <vt:variant>
        <vt:i4>702</vt:i4>
      </vt:variant>
      <vt:variant>
        <vt:i4>0</vt:i4>
      </vt:variant>
      <vt:variant>
        <vt:i4>5</vt:i4>
      </vt:variant>
      <vt:variant>
        <vt:lpwstr>https://seea.un.org/sites/seea.un.org/files/forum_2019_concept_note_marine_ecosystems.pdf</vt:lpwstr>
      </vt:variant>
      <vt:variant>
        <vt:lpwstr/>
      </vt:variant>
      <vt:variant>
        <vt:i4>1310809</vt:i4>
      </vt:variant>
      <vt:variant>
        <vt:i4>699</vt:i4>
      </vt:variant>
      <vt:variant>
        <vt:i4>0</vt:i4>
      </vt:variant>
      <vt:variant>
        <vt:i4>5</vt:i4>
      </vt:variant>
      <vt:variant>
        <vt:lpwstr>https://seea.un.org/sites/seea.un.org/files/documents/EEA/discussion_paper_5.1_defining_values_for_erg_aug_2019.pdf</vt:lpwstr>
      </vt:variant>
      <vt:variant>
        <vt:lpwstr/>
      </vt:variant>
      <vt:variant>
        <vt:i4>8192042</vt:i4>
      </vt:variant>
      <vt:variant>
        <vt:i4>696</vt:i4>
      </vt:variant>
      <vt:variant>
        <vt:i4>0</vt:i4>
      </vt:variant>
      <vt:variant>
        <vt:i4>5</vt:i4>
      </vt:variant>
      <vt:variant>
        <vt:lpwstr>https://www.aihw.gov.au/getmedia/a5cfb53c-a22f-407b-8c6f-3820544cb900/aihw-hwe-80.pdf.aspx?inline=true</vt:lpwstr>
      </vt:variant>
      <vt:variant>
        <vt:lpwstr/>
      </vt:variant>
      <vt:variant>
        <vt:i4>4980827</vt:i4>
      </vt:variant>
      <vt:variant>
        <vt:i4>693</vt:i4>
      </vt:variant>
      <vt:variant>
        <vt:i4>0</vt:i4>
      </vt:variant>
      <vt:variant>
        <vt:i4>5</vt:i4>
      </vt:variant>
      <vt:variant>
        <vt:lpwstr>https://auscamps.asn.au/application/files/3515/5746/0598/PandO_1617FY_Survey_Report_Final.pdf</vt:lpwstr>
      </vt:variant>
      <vt:variant>
        <vt:lpwstr/>
      </vt:variant>
      <vt:variant>
        <vt:i4>2031624</vt:i4>
      </vt:variant>
      <vt:variant>
        <vt:i4>690</vt:i4>
      </vt:variant>
      <vt:variant>
        <vt:i4>0</vt:i4>
      </vt:variant>
      <vt:variant>
        <vt:i4>5</vt:i4>
      </vt:variant>
      <vt:variant>
        <vt:lpwstr>https://www.agriculture.gov.au/abares/research-topics/aboutmyregion/vic</vt:lpwstr>
      </vt:variant>
      <vt:variant>
        <vt:lpwstr>agricultural-sector</vt:lpwstr>
      </vt:variant>
      <vt:variant>
        <vt:i4>5898318</vt:i4>
      </vt:variant>
      <vt:variant>
        <vt:i4>687</vt:i4>
      </vt:variant>
      <vt:variant>
        <vt:i4>0</vt:i4>
      </vt:variant>
      <vt:variant>
        <vt:i4>5</vt:i4>
      </vt:variant>
      <vt:variant>
        <vt:lpwstr>https://www.abs.gov.au/statistics/industry/agriculture/agricultural-commodities-australia/latest-release</vt:lpwstr>
      </vt:variant>
      <vt:variant>
        <vt:lpwstr/>
      </vt:variant>
      <vt:variant>
        <vt:i4>2097188</vt:i4>
      </vt:variant>
      <vt:variant>
        <vt:i4>684</vt:i4>
      </vt:variant>
      <vt:variant>
        <vt:i4>0</vt:i4>
      </vt:variant>
      <vt:variant>
        <vt:i4>5</vt:i4>
      </vt:variant>
      <vt:variant>
        <vt:lpwstr>https://www.abs.gov.au/statistics/industry/agriculture/value-agricultural-commodities-produced-australia/latest-release</vt:lpwstr>
      </vt:variant>
      <vt:variant>
        <vt:lpwstr/>
      </vt:variant>
      <vt:variant>
        <vt:i4>3932191</vt:i4>
      </vt:variant>
      <vt:variant>
        <vt:i4>681</vt:i4>
      </vt:variant>
      <vt:variant>
        <vt:i4>0</vt:i4>
      </vt:variant>
      <vt:variant>
        <vt:i4>5</vt:i4>
      </vt:variant>
      <vt:variant>
        <vt:lpwstr>https://www.abs.gov.au/statistics/industry/agriculture/agricultural-commodities-australia/2017-18/71210do001_201718.xls</vt:lpwstr>
      </vt:variant>
      <vt:variant>
        <vt:lpwstr/>
      </vt:variant>
      <vt:variant>
        <vt:i4>1114167</vt:i4>
      </vt:variant>
      <vt:variant>
        <vt:i4>662</vt:i4>
      </vt:variant>
      <vt:variant>
        <vt:i4>0</vt:i4>
      </vt:variant>
      <vt:variant>
        <vt:i4>5</vt:i4>
      </vt:variant>
      <vt:variant>
        <vt:lpwstr/>
      </vt:variant>
      <vt:variant>
        <vt:lpwstr>_Toc163547124</vt:lpwstr>
      </vt:variant>
      <vt:variant>
        <vt:i4>1114167</vt:i4>
      </vt:variant>
      <vt:variant>
        <vt:i4>656</vt:i4>
      </vt:variant>
      <vt:variant>
        <vt:i4>0</vt:i4>
      </vt:variant>
      <vt:variant>
        <vt:i4>5</vt:i4>
      </vt:variant>
      <vt:variant>
        <vt:lpwstr/>
      </vt:variant>
      <vt:variant>
        <vt:lpwstr>_Toc163547123</vt:lpwstr>
      </vt:variant>
      <vt:variant>
        <vt:i4>1114167</vt:i4>
      </vt:variant>
      <vt:variant>
        <vt:i4>650</vt:i4>
      </vt:variant>
      <vt:variant>
        <vt:i4>0</vt:i4>
      </vt:variant>
      <vt:variant>
        <vt:i4>5</vt:i4>
      </vt:variant>
      <vt:variant>
        <vt:lpwstr/>
      </vt:variant>
      <vt:variant>
        <vt:lpwstr>_Toc163547122</vt:lpwstr>
      </vt:variant>
      <vt:variant>
        <vt:i4>1114167</vt:i4>
      </vt:variant>
      <vt:variant>
        <vt:i4>644</vt:i4>
      </vt:variant>
      <vt:variant>
        <vt:i4>0</vt:i4>
      </vt:variant>
      <vt:variant>
        <vt:i4>5</vt:i4>
      </vt:variant>
      <vt:variant>
        <vt:lpwstr/>
      </vt:variant>
      <vt:variant>
        <vt:lpwstr>_Toc163547121</vt:lpwstr>
      </vt:variant>
      <vt:variant>
        <vt:i4>1114167</vt:i4>
      </vt:variant>
      <vt:variant>
        <vt:i4>638</vt:i4>
      </vt:variant>
      <vt:variant>
        <vt:i4>0</vt:i4>
      </vt:variant>
      <vt:variant>
        <vt:i4>5</vt:i4>
      </vt:variant>
      <vt:variant>
        <vt:lpwstr/>
      </vt:variant>
      <vt:variant>
        <vt:lpwstr>_Toc163547120</vt:lpwstr>
      </vt:variant>
      <vt:variant>
        <vt:i4>1179703</vt:i4>
      </vt:variant>
      <vt:variant>
        <vt:i4>632</vt:i4>
      </vt:variant>
      <vt:variant>
        <vt:i4>0</vt:i4>
      </vt:variant>
      <vt:variant>
        <vt:i4>5</vt:i4>
      </vt:variant>
      <vt:variant>
        <vt:lpwstr/>
      </vt:variant>
      <vt:variant>
        <vt:lpwstr>_Toc163547119</vt:lpwstr>
      </vt:variant>
      <vt:variant>
        <vt:i4>1179703</vt:i4>
      </vt:variant>
      <vt:variant>
        <vt:i4>626</vt:i4>
      </vt:variant>
      <vt:variant>
        <vt:i4>0</vt:i4>
      </vt:variant>
      <vt:variant>
        <vt:i4>5</vt:i4>
      </vt:variant>
      <vt:variant>
        <vt:lpwstr/>
      </vt:variant>
      <vt:variant>
        <vt:lpwstr>_Toc163547118</vt:lpwstr>
      </vt:variant>
      <vt:variant>
        <vt:i4>1179703</vt:i4>
      </vt:variant>
      <vt:variant>
        <vt:i4>620</vt:i4>
      </vt:variant>
      <vt:variant>
        <vt:i4>0</vt:i4>
      </vt:variant>
      <vt:variant>
        <vt:i4>5</vt:i4>
      </vt:variant>
      <vt:variant>
        <vt:lpwstr/>
      </vt:variant>
      <vt:variant>
        <vt:lpwstr>_Toc163547117</vt:lpwstr>
      </vt:variant>
      <vt:variant>
        <vt:i4>1179703</vt:i4>
      </vt:variant>
      <vt:variant>
        <vt:i4>614</vt:i4>
      </vt:variant>
      <vt:variant>
        <vt:i4>0</vt:i4>
      </vt:variant>
      <vt:variant>
        <vt:i4>5</vt:i4>
      </vt:variant>
      <vt:variant>
        <vt:lpwstr/>
      </vt:variant>
      <vt:variant>
        <vt:lpwstr>_Toc163547116</vt:lpwstr>
      </vt:variant>
      <vt:variant>
        <vt:i4>1179703</vt:i4>
      </vt:variant>
      <vt:variant>
        <vt:i4>608</vt:i4>
      </vt:variant>
      <vt:variant>
        <vt:i4>0</vt:i4>
      </vt:variant>
      <vt:variant>
        <vt:i4>5</vt:i4>
      </vt:variant>
      <vt:variant>
        <vt:lpwstr/>
      </vt:variant>
      <vt:variant>
        <vt:lpwstr>_Toc163547115</vt:lpwstr>
      </vt:variant>
      <vt:variant>
        <vt:i4>1179703</vt:i4>
      </vt:variant>
      <vt:variant>
        <vt:i4>602</vt:i4>
      </vt:variant>
      <vt:variant>
        <vt:i4>0</vt:i4>
      </vt:variant>
      <vt:variant>
        <vt:i4>5</vt:i4>
      </vt:variant>
      <vt:variant>
        <vt:lpwstr/>
      </vt:variant>
      <vt:variant>
        <vt:lpwstr>_Toc163547114</vt:lpwstr>
      </vt:variant>
      <vt:variant>
        <vt:i4>1179703</vt:i4>
      </vt:variant>
      <vt:variant>
        <vt:i4>596</vt:i4>
      </vt:variant>
      <vt:variant>
        <vt:i4>0</vt:i4>
      </vt:variant>
      <vt:variant>
        <vt:i4>5</vt:i4>
      </vt:variant>
      <vt:variant>
        <vt:lpwstr/>
      </vt:variant>
      <vt:variant>
        <vt:lpwstr>_Toc163547113</vt:lpwstr>
      </vt:variant>
      <vt:variant>
        <vt:i4>1179703</vt:i4>
      </vt:variant>
      <vt:variant>
        <vt:i4>590</vt:i4>
      </vt:variant>
      <vt:variant>
        <vt:i4>0</vt:i4>
      </vt:variant>
      <vt:variant>
        <vt:i4>5</vt:i4>
      </vt:variant>
      <vt:variant>
        <vt:lpwstr/>
      </vt:variant>
      <vt:variant>
        <vt:lpwstr>_Toc163547112</vt:lpwstr>
      </vt:variant>
      <vt:variant>
        <vt:i4>1179703</vt:i4>
      </vt:variant>
      <vt:variant>
        <vt:i4>584</vt:i4>
      </vt:variant>
      <vt:variant>
        <vt:i4>0</vt:i4>
      </vt:variant>
      <vt:variant>
        <vt:i4>5</vt:i4>
      </vt:variant>
      <vt:variant>
        <vt:lpwstr/>
      </vt:variant>
      <vt:variant>
        <vt:lpwstr>_Toc163547111</vt:lpwstr>
      </vt:variant>
      <vt:variant>
        <vt:i4>1179703</vt:i4>
      </vt:variant>
      <vt:variant>
        <vt:i4>578</vt:i4>
      </vt:variant>
      <vt:variant>
        <vt:i4>0</vt:i4>
      </vt:variant>
      <vt:variant>
        <vt:i4>5</vt:i4>
      </vt:variant>
      <vt:variant>
        <vt:lpwstr/>
      </vt:variant>
      <vt:variant>
        <vt:lpwstr>_Toc163547110</vt:lpwstr>
      </vt:variant>
      <vt:variant>
        <vt:i4>1245239</vt:i4>
      </vt:variant>
      <vt:variant>
        <vt:i4>572</vt:i4>
      </vt:variant>
      <vt:variant>
        <vt:i4>0</vt:i4>
      </vt:variant>
      <vt:variant>
        <vt:i4>5</vt:i4>
      </vt:variant>
      <vt:variant>
        <vt:lpwstr/>
      </vt:variant>
      <vt:variant>
        <vt:lpwstr>_Toc163547109</vt:lpwstr>
      </vt:variant>
      <vt:variant>
        <vt:i4>1245239</vt:i4>
      </vt:variant>
      <vt:variant>
        <vt:i4>566</vt:i4>
      </vt:variant>
      <vt:variant>
        <vt:i4>0</vt:i4>
      </vt:variant>
      <vt:variant>
        <vt:i4>5</vt:i4>
      </vt:variant>
      <vt:variant>
        <vt:lpwstr/>
      </vt:variant>
      <vt:variant>
        <vt:lpwstr>_Toc163547108</vt:lpwstr>
      </vt:variant>
      <vt:variant>
        <vt:i4>1245239</vt:i4>
      </vt:variant>
      <vt:variant>
        <vt:i4>560</vt:i4>
      </vt:variant>
      <vt:variant>
        <vt:i4>0</vt:i4>
      </vt:variant>
      <vt:variant>
        <vt:i4>5</vt:i4>
      </vt:variant>
      <vt:variant>
        <vt:lpwstr/>
      </vt:variant>
      <vt:variant>
        <vt:lpwstr>_Toc163547107</vt:lpwstr>
      </vt:variant>
      <vt:variant>
        <vt:i4>1245239</vt:i4>
      </vt:variant>
      <vt:variant>
        <vt:i4>554</vt:i4>
      </vt:variant>
      <vt:variant>
        <vt:i4>0</vt:i4>
      </vt:variant>
      <vt:variant>
        <vt:i4>5</vt:i4>
      </vt:variant>
      <vt:variant>
        <vt:lpwstr/>
      </vt:variant>
      <vt:variant>
        <vt:lpwstr>_Toc163547106</vt:lpwstr>
      </vt:variant>
      <vt:variant>
        <vt:i4>1245239</vt:i4>
      </vt:variant>
      <vt:variant>
        <vt:i4>548</vt:i4>
      </vt:variant>
      <vt:variant>
        <vt:i4>0</vt:i4>
      </vt:variant>
      <vt:variant>
        <vt:i4>5</vt:i4>
      </vt:variant>
      <vt:variant>
        <vt:lpwstr/>
      </vt:variant>
      <vt:variant>
        <vt:lpwstr>_Toc163547105</vt:lpwstr>
      </vt:variant>
      <vt:variant>
        <vt:i4>1245239</vt:i4>
      </vt:variant>
      <vt:variant>
        <vt:i4>542</vt:i4>
      </vt:variant>
      <vt:variant>
        <vt:i4>0</vt:i4>
      </vt:variant>
      <vt:variant>
        <vt:i4>5</vt:i4>
      </vt:variant>
      <vt:variant>
        <vt:lpwstr/>
      </vt:variant>
      <vt:variant>
        <vt:lpwstr>_Toc163547104</vt:lpwstr>
      </vt:variant>
      <vt:variant>
        <vt:i4>1245239</vt:i4>
      </vt:variant>
      <vt:variant>
        <vt:i4>536</vt:i4>
      </vt:variant>
      <vt:variant>
        <vt:i4>0</vt:i4>
      </vt:variant>
      <vt:variant>
        <vt:i4>5</vt:i4>
      </vt:variant>
      <vt:variant>
        <vt:lpwstr/>
      </vt:variant>
      <vt:variant>
        <vt:lpwstr>_Toc163547103</vt:lpwstr>
      </vt:variant>
      <vt:variant>
        <vt:i4>1245239</vt:i4>
      </vt:variant>
      <vt:variant>
        <vt:i4>530</vt:i4>
      </vt:variant>
      <vt:variant>
        <vt:i4>0</vt:i4>
      </vt:variant>
      <vt:variant>
        <vt:i4>5</vt:i4>
      </vt:variant>
      <vt:variant>
        <vt:lpwstr/>
      </vt:variant>
      <vt:variant>
        <vt:lpwstr>_Toc163547102</vt:lpwstr>
      </vt:variant>
      <vt:variant>
        <vt:i4>1245239</vt:i4>
      </vt:variant>
      <vt:variant>
        <vt:i4>524</vt:i4>
      </vt:variant>
      <vt:variant>
        <vt:i4>0</vt:i4>
      </vt:variant>
      <vt:variant>
        <vt:i4>5</vt:i4>
      </vt:variant>
      <vt:variant>
        <vt:lpwstr/>
      </vt:variant>
      <vt:variant>
        <vt:lpwstr>_Toc163547101</vt:lpwstr>
      </vt:variant>
      <vt:variant>
        <vt:i4>1245239</vt:i4>
      </vt:variant>
      <vt:variant>
        <vt:i4>518</vt:i4>
      </vt:variant>
      <vt:variant>
        <vt:i4>0</vt:i4>
      </vt:variant>
      <vt:variant>
        <vt:i4>5</vt:i4>
      </vt:variant>
      <vt:variant>
        <vt:lpwstr/>
      </vt:variant>
      <vt:variant>
        <vt:lpwstr>_Toc163547100</vt:lpwstr>
      </vt:variant>
      <vt:variant>
        <vt:i4>1703990</vt:i4>
      </vt:variant>
      <vt:variant>
        <vt:i4>512</vt:i4>
      </vt:variant>
      <vt:variant>
        <vt:i4>0</vt:i4>
      </vt:variant>
      <vt:variant>
        <vt:i4>5</vt:i4>
      </vt:variant>
      <vt:variant>
        <vt:lpwstr/>
      </vt:variant>
      <vt:variant>
        <vt:lpwstr>_Toc163547099</vt:lpwstr>
      </vt:variant>
      <vt:variant>
        <vt:i4>1703990</vt:i4>
      </vt:variant>
      <vt:variant>
        <vt:i4>506</vt:i4>
      </vt:variant>
      <vt:variant>
        <vt:i4>0</vt:i4>
      </vt:variant>
      <vt:variant>
        <vt:i4>5</vt:i4>
      </vt:variant>
      <vt:variant>
        <vt:lpwstr/>
      </vt:variant>
      <vt:variant>
        <vt:lpwstr>_Toc163547098</vt:lpwstr>
      </vt:variant>
      <vt:variant>
        <vt:i4>1703990</vt:i4>
      </vt:variant>
      <vt:variant>
        <vt:i4>500</vt:i4>
      </vt:variant>
      <vt:variant>
        <vt:i4>0</vt:i4>
      </vt:variant>
      <vt:variant>
        <vt:i4>5</vt:i4>
      </vt:variant>
      <vt:variant>
        <vt:lpwstr/>
      </vt:variant>
      <vt:variant>
        <vt:lpwstr>_Toc163547097</vt:lpwstr>
      </vt:variant>
      <vt:variant>
        <vt:i4>1703990</vt:i4>
      </vt:variant>
      <vt:variant>
        <vt:i4>494</vt:i4>
      </vt:variant>
      <vt:variant>
        <vt:i4>0</vt:i4>
      </vt:variant>
      <vt:variant>
        <vt:i4>5</vt:i4>
      </vt:variant>
      <vt:variant>
        <vt:lpwstr/>
      </vt:variant>
      <vt:variant>
        <vt:lpwstr>_Toc163547096</vt:lpwstr>
      </vt:variant>
      <vt:variant>
        <vt:i4>1703990</vt:i4>
      </vt:variant>
      <vt:variant>
        <vt:i4>488</vt:i4>
      </vt:variant>
      <vt:variant>
        <vt:i4>0</vt:i4>
      </vt:variant>
      <vt:variant>
        <vt:i4>5</vt:i4>
      </vt:variant>
      <vt:variant>
        <vt:lpwstr/>
      </vt:variant>
      <vt:variant>
        <vt:lpwstr>_Toc163547095</vt:lpwstr>
      </vt:variant>
      <vt:variant>
        <vt:i4>1703990</vt:i4>
      </vt:variant>
      <vt:variant>
        <vt:i4>482</vt:i4>
      </vt:variant>
      <vt:variant>
        <vt:i4>0</vt:i4>
      </vt:variant>
      <vt:variant>
        <vt:i4>5</vt:i4>
      </vt:variant>
      <vt:variant>
        <vt:lpwstr/>
      </vt:variant>
      <vt:variant>
        <vt:lpwstr>_Toc163547094</vt:lpwstr>
      </vt:variant>
      <vt:variant>
        <vt:i4>1703990</vt:i4>
      </vt:variant>
      <vt:variant>
        <vt:i4>476</vt:i4>
      </vt:variant>
      <vt:variant>
        <vt:i4>0</vt:i4>
      </vt:variant>
      <vt:variant>
        <vt:i4>5</vt:i4>
      </vt:variant>
      <vt:variant>
        <vt:lpwstr/>
      </vt:variant>
      <vt:variant>
        <vt:lpwstr>_Toc163547093</vt:lpwstr>
      </vt:variant>
      <vt:variant>
        <vt:i4>1703990</vt:i4>
      </vt:variant>
      <vt:variant>
        <vt:i4>470</vt:i4>
      </vt:variant>
      <vt:variant>
        <vt:i4>0</vt:i4>
      </vt:variant>
      <vt:variant>
        <vt:i4>5</vt:i4>
      </vt:variant>
      <vt:variant>
        <vt:lpwstr/>
      </vt:variant>
      <vt:variant>
        <vt:lpwstr>_Toc163547092</vt:lpwstr>
      </vt:variant>
      <vt:variant>
        <vt:i4>1703990</vt:i4>
      </vt:variant>
      <vt:variant>
        <vt:i4>464</vt:i4>
      </vt:variant>
      <vt:variant>
        <vt:i4>0</vt:i4>
      </vt:variant>
      <vt:variant>
        <vt:i4>5</vt:i4>
      </vt:variant>
      <vt:variant>
        <vt:lpwstr/>
      </vt:variant>
      <vt:variant>
        <vt:lpwstr>_Toc163547091</vt:lpwstr>
      </vt:variant>
      <vt:variant>
        <vt:i4>1703990</vt:i4>
      </vt:variant>
      <vt:variant>
        <vt:i4>458</vt:i4>
      </vt:variant>
      <vt:variant>
        <vt:i4>0</vt:i4>
      </vt:variant>
      <vt:variant>
        <vt:i4>5</vt:i4>
      </vt:variant>
      <vt:variant>
        <vt:lpwstr/>
      </vt:variant>
      <vt:variant>
        <vt:lpwstr>_Toc163547090</vt:lpwstr>
      </vt:variant>
      <vt:variant>
        <vt:i4>1769526</vt:i4>
      </vt:variant>
      <vt:variant>
        <vt:i4>452</vt:i4>
      </vt:variant>
      <vt:variant>
        <vt:i4>0</vt:i4>
      </vt:variant>
      <vt:variant>
        <vt:i4>5</vt:i4>
      </vt:variant>
      <vt:variant>
        <vt:lpwstr/>
      </vt:variant>
      <vt:variant>
        <vt:lpwstr>_Toc163547089</vt:lpwstr>
      </vt:variant>
      <vt:variant>
        <vt:i4>1769526</vt:i4>
      </vt:variant>
      <vt:variant>
        <vt:i4>446</vt:i4>
      </vt:variant>
      <vt:variant>
        <vt:i4>0</vt:i4>
      </vt:variant>
      <vt:variant>
        <vt:i4>5</vt:i4>
      </vt:variant>
      <vt:variant>
        <vt:lpwstr/>
      </vt:variant>
      <vt:variant>
        <vt:lpwstr>_Toc163547088</vt:lpwstr>
      </vt:variant>
      <vt:variant>
        <vt:i4>1769526</vt:i4>
      </vt:variant>
      <vt:variant>
        <vt:i4>440</vt:i4>
      </vt:variant>
      <vt:variant>
        <vt:i4>0</vt:i4>
      </vt:variant>
      <vt:variant>
        <vt:i4>5</vt:i4>
      </vt:variant>
      <vt:variant>
        <vt:lpwstr/>
      </vt:variant>
      <vt:variant>
        <vt:lpwstr>_Toc163547087</vt:lpwstr>
      </vt:variant>
      <vt:variant>
        <vt:i4>1769526</vt:i4>
      </vt:variant>
      <vt:variant>
        <vt:i4>434</vt:i4>
      </vt:variant>
      <vt:variant>
        <vt:i4>0</vt:i4>
      </vt:variant>
      <vt:variant>
        <vt:i4>5</vt:i4>
      </vt:variant>
      <vt:variant>
        <vt:lpwstr/>
      </vt:variant>
      <vt:variant>
        <vt:lpwstr>_Toc163547086</vt:lpwstr>
      </vt:variant>
      <vt:variant>
        <vt:i4>1769526</vt:i4>
      </vt:variant>
      <vt:variant>
        <vt:i4>428</vt:i4>
      </vt:variant>
      <vt:variant>
        <vt:i4>0</vt:i4>
      </vt:variant>
      <vt:variant>
        <vt:i4>5</vt:i4>
      </vt:variant>
      <vt:variant>
        <vt:lpwstr/>
      </vt:variant>
      <vt:variant>
        <vt:lpwstr>_Toc163547085</vt:lpwstr>
      </vt:variant>
      <vt:variant>
        <vt:i4>1769526</vt:i4>
      </vt:variant>
      <vt:variant>
        <vt:i4>422</vt:i4>
      </vt:variant>
      <vt:variant>
        <vt:i4>0</vt:i4>
      </vt:variant>
      <vt:variant>
        <vt:i4>5</vt:i4>
      </vt:variant>
      <vt:variant>
        <vt:lpwstr/>
      </vt:variant>
      <vt:variant>
        <vt:lpwstr>_Toc163547084</vt:lpwstr>
      </vt:variant>
      <vt:variant>
        <vt:i4>1769526</vt:i4>
      </vt:variant>
      <vt:variant>
        <vt:i4>416</vt:i4>
      </vt:variant>
      <vt:variant>
        <vt:i4>0</vt:i4>
      </vt:variant>
      <vt:variant>
        <vt:i4>5</vt:i4>
      </vt:variant>
      <vt:variant>
        <vt:lpwstr/>
      </vt:variant>
      <vt:variant>
        <vt:lpwstr>_Toc163547083</vt:lpwstr>
      </vt:variant>
      <vt:variant>
        <vt:i4>1769526</vt:i4>
      </vt:variant>
      <vt:variant>
        <vt:i4>410</vt:i4>
      </vt:variant>
      <vt:variant>
        <vt:i4>0</vt:i4>
      </vt:variant>
      <vt:variant>
        <vt:i4>5</vt:i4>
      </vt:variant>
      <vt:variant>
        <vt:lpwstr/>
      </vt:variant>
      <vt:variant>
        <vt:lpwstr>_Toc163547082</vt:lpwstr>
      </vt:variant>
      <vt:variant>
        <vt:i4>1769526</vt:i4>
      </vt:variant>
      <vt:variant>
        <vt:i4>404</vt:i4>
      </vt:variant>
      <vt:variant>
        <vt:i4>0</vt:i4>
      </vt:variant>
      <vt:variant>
        <vt:i4>5</vt:i4>
      </vt:variant>
      <vt:variant>
        <vt:lpwstr/>
      </vt:variant>
      <vt:variant>
        <vt:lpwstr>_Toc163547081</vt:lpwstr>
      </vt:variant>
      <vt:variant>
        <vt:i4>1769526</vt:i4>
      </vt:variant>
      <vt:variant>
        <vt:i4>398</vt:i4>
      </vt:variant>
      <vt:variant>
        <vt:i4>0</vt:i4>
      </vt:variant>
      <vt:variant>
        <vt:i4>5</vt:i4>
      </vt:variant>
      <vt:variant>
        <vt:lpwstr/>
      </vt:variant>
      <vt:variant>
        <vt:lpwstr>_Toc163547080</vt:lpwstr>
      </vt:variant>
      <vt:variant>
        <vt:i4>1310774</vt:i4>
      </vt:variant>
      <vt:variant>
        <vt:i4>392</vt:i4>
      </vt:variant>
      <vt:variant>
        <vt:i4>0</vt:i4>
      </vt:variant>
      <vt:variant>
        <vt:i4>5</vt:i4>
      </vt:variant>
      <vt:variant>
        <vt:lpwstr/>
      </vt:variant>
      <vt:variant>
        <vt:lpwstr>_Toc163547079</vt:lpwstr>
      </vt:variant>
      <vt:variant>
        <vt:i4>1310774</vt:i4>
      </vt:variant>
      <vt:variant>
        <vt:i4>386</vt:i4>
      </vt:variant>
      <vt:variant>
        <vt:i4>0</vt:i4>
      </vt:variant>
      <vt:variant>
        <vt:i4>5</vt:i4>
      </vt:variant>
      <vt:variant>
        <vt:lpwstr/>
      </vt:variant>
      <vt:variant>
        <vt:lpwstr>_Toc163547078</vt:lpwstr>
      </vt:variant>
      <vt:variant>
        <vt:i4>1310774</vt:i4>
      </vt:variant>
      <vt:variant>
        <vt:i4>380</vt:i4>
      </vt:variant>
      <vt:variant>
        <vt:i4>0</vt:i4>
      </vt:variant>
      <vt:variant>
        <vt:i4>5</vt:i4>
      </vt:variant>
      <vt:variant>
        <vt:lpwstr/>
      </vt:variant>
      <vt:variant>
        <vt:lpwstr>_Toc163547077</vt:lpwstr>
      </vt:variant>
      <vt:variant>
        <vt:i4>1310774</vt:i4>
      </vt:variant>
      <vt:variant>
        <vt:i4>374</vt:i4>
      </vt:variant>
      <vt:variant>
        <vt:i4>0</vt:i4>
      </vt:variant>
      <vt:variant>
        <vt:i4>5</vt:i4>
      </vt:variant>
      <vt:variant>
        <vt:lpwstr/>
      </vt:variant>
      <vt:variant>
        <vt:lpwstr>_Toc163547076</vt:lpwstr>
      </vt:variant>
      <vt:variant>
        <vt:i4>1310774</vt:i4>
      </vt:variant>
      <vt:variant>
        <vt:i4>368</vt:i4>
      </vt:variant>
      <vt:variant>
        <vt:i4>0</vt:i4>
      </vt:variant>
      <vt:variant>
        <vt:i4>5</vt:i4>
      </vt:variant>
      <vt:variant>
        <vt:lpwstr/>
      </vt:variant>
      <vt:variant>
        <vt:lpwstr>_Toc163547075</vt:lpwstr>
      </vt:variant>
      <vt:variant>
        <vt:i4>1310774</vt:i4>
      </vt:variant>
      <vt:variant>
        <vt:i4>362</vt:i4>
      </vt:variant>
      <vt:variant>
        <vt:i4>0</vt:i4>
      </vt:variant>
      <vt:variant>
        <vt:i4>5</vt:i4>
      </vt:variant>
      <vt:variant>
        <vt:lpwstr/>
      </vt:variant>
      <vt:variant>
        <vt:lpwstr>_Toc163547074</vt:lpwstr>
      </vt:variant>
      <vt:variant>
        <vt:i4>1310774</vt:i4>
      </vt:variant>
      <vt:variant>
        <vt:i4>356</vt:i4>
      </vt:variant>
      <vt:variant>
        <vt:i4>0</vt:i4>
      </vt:variant>
      <vt:variant>
        <vt:i4>5</vt:i4>
      </vt:variant>
      <vt:variant>
        <vt:lpwstr/>
      </vt:variant>
      <vt:variant>
        <vt:lpwstr>_Toc163547073</vt:lpwstr>
      </vt:variant>
      <vt:variant>
        <vt:i4>1310774</vt:i4>
      </vt:variant>
      <vt:variant>
        <vt:i4>350</vt:i4>
      </vt:variant>
      <vt:variant>
        <vt:i4>0</vt:i4>
      </vt:variant>
      <vt:variant>
        <vt:i4>5</vt:i4>
      </vt:variant>
      <vt:variant>
        <vt:lpwstr/>
      </vt:variant>
      <vt:variant>
        <vt:lpwstr>_Toc163547072</vt:lpwstr>
      </vt:variant>
      <vt:variant>
        <vt:i4>1310774</vt:i4>
      </vt:variant>
      <vt:variant>
        <vt:i4>344</vt:i4>
      </vt:variant>
      <vt:variant>
        <vt:i4>0</vt:i4>
      </vt:variant>
      <vt:variant>
        <vt:i4>5</vt:i4>
      </vt:variant>
      <vt:variant>
        <vt:lpwstr/>
      </vt:variant>
      <vt:variant>
        <vt:lpwstr>_Toc163547071</vt:lpwstr>
      </vt:variant>
      <vt:variant>
        <vt:i4>1310774</vt:i4>
      </vt:variant>
      <vt:variant>
        <vt:i4>338</vt:i4>
      </vt:variant>
      <vt:variant>
        <vt:i4>0</vt:i4>
      </vt:variant>
      <vt:variant>
        <vt:i4>5</vt:i4>
      </vt:variant>
      <vt:variant>
        <vt:lpwstr/>
      </vt:variant>
      <vt:variant>
        <vt:lpwstr>_Toc163547070</vt:lpwstr>
      </vt:variant>
      <vt:variant>
        <vt:i4>1376310</vt:i4>
      </vt:variant>
      <vt:variant>
        <vt:i4>332</vt:i4>
      </vt:variant>
      <vt:variant>
        <vt:i4>0</vt:i4>
      </vt:variant>
      <vt:variant>
        <vt:i4>5</vt:i4>
      </vt:variant>
      <vt:variant>
        <vt:lpwstr/>
      </vt:variant>
      <vt:variant>
        <vt:lpwstr>_Toc163547069</vt:lpwstr>
      </vt:variant>
      <vt:variant>
        <vt:i4>1376310</vt:i4>
      </vt:variant>
      <vt:variant>
        <vt:i4>326</vt:i4>
      </vt:variant>
      <vt:variant>
        <vt:i4>0</vt:i4>
      </vt:variant>
      <vt:variant>
        <vt:i4>5</vt:i4>
      </vt:variant>
      <vt:variant>
        <vt:lpwstr/>
      </vt:variant>
      <vt:variant>
        <vt:lpwstr>_Toc163547068</vt:lpwstr>
      </vt:variant>
      <vt:variant>
        <vt:i4>1376310</vt:i4>
      </vt:variant>
      <vt:variant>
        <vt:i4>320</vt:i4>
      </vt:variant>
      <vt:variant>
        <vt:i4>0</vt:i4>
      </vt:variant>
      <vt:variant>
        <vt:i4>5</vt:i4>
      </vt:variant>
      <vt:variant>
        <vt:lpwstr/>
      </vt:variant>
      <vt:variant>
        <vt:lpwstr>_Toc163547067</vt:lpwstr>
      </vt:variant>
      <vt:variant>
        <vt:i4>1376310</vt:i4>
      </vt:variant>
      <vt:variant>
        <vt:i4>314</vt:i4>
      </vt:variant>
      <vt:variant>
        <vt:i4>0</vt:i4>
      </vt:variant>
      <vt:variant>
        <vt:i4>5</vt:i4>
      </vt:variant>
      <vt:variant>
        <vt:lpwstr/>
      </vt:variant>
      <vt:variant>
        <vt:lpwstr>_Toc163547066</vt:lpwstr>
      </vt:variant>
      <vt:variant>
        <vt:i4>1376310</vt:i4>
      </vt:variant>
      <vt:variant>
        <vt:i4>308</vt:i4>
      </vt:variant>
      <vt:variant>
        <vt:i4>0</vt:i4>
      </vt:variant>
      <vt:variant>
        <vt:i4>5</vt:i4>
      </vt:variant>
      <vt:variant>
        <vt:lpwstr/>
      </vt:variant>
      <vt:variant>
        <vt:lpwstr>_Toc163547065</vt:lpwstr>
      </vt:variant>
      <vt:variant>
        <vt:i4>1376310</vt:i4>
      </vt:variant>
      <vt:variant>
        <vt:i4>302</vt:i4>
      </vt:variant>
      <vt:variant>
        <vt:i4>0</vt:i4>
      </vt:variant>
      <vt:variant>
        <vt:i4>5</vt:i4>
      </vt:variant>
      <vt:variant>
        <vt:lpwstr/>
      </vt:variant>
      <vt:variant>
        <vt:lpwstr>_Toc163547064</vt:lpwstr>
      </vt:variant>
      <vt:variant>
        <vt:i4>1376310</vt:i4>
      </vt:variant>
      <vt:variant>
        <vt:i4>296</vt:i4>
      </vt:variant>
      <vt:variant>
        <vt:i4>0</vt:i4>
      </vt:variant>
      <vt:variant>
        <vt:i4>5</vt:i4>
      </vt:variant>
      <vt:variant>
        <vt:lpwstr/>
      </vt:variant>
      <vt:variant>
        <vt:lpwstr>_Toc163547063</vt:lpwstr>
      </vt:variant>
      <vt:variant>
        <vt:i4>1376310</vt:i4>
      </vt:variant>
      <vt:variant>
        <vt:i4>290</vt:i4>
      </vt:variant>
      <vt:variant>
        <vt:i4>0</vt:i4>
      </vt:variant>
      <vt:variant>
        <vt:i4>5</vt:i4>
      </vt:variant>
      <vt:variant>
        <vt:lpwstr/>
      </vt:variant>
      <vt:variant>
        <vt:lpwstr>_Toc163547062</vt:lpwstr>
      </vt:variant>
      <vt:variant>
        <vt:i4>1376310</vt:i4>
      </vt:variant>
      <vt:variant>
        <vt:i4>284</vt:i4>
      </vt:variant>
      <vt:variant>
        <vt:i4>0</vt:i4>
      </vt:variant>
      <vt:variant>
        <vt:i4>5</vt:i4>
      </vt:variant>
      <vt:variant>
        <vt:lpwstr/>
      </vt:variant>
      <vt:variant>
        <vt:lpwstr>_Toc163547061</vt:lpwstr>
      </vt:variant>
      <vt:variant>
        <vt:i4>1376310</vt:i4>
      </vt:variant>
      <vt:variant>
        <vt:i4>278</vt:i4>
      </vt:variant>
      <vt:variant>
        <vt:i4>0</vt:i4>
      </vt:variant>
      <vt:variant>
        <vt:i4>5</vt:i4>
      </vt:variant>
      <vt:variant>
        <vt:lpwstr/>
      </vt:variant>
      <vt:variant>
        <vt:lpwstr>_Toc163547060</vt:lpwstr>
      </vt:variant>
      <vt:variant>
        <vt:i4>1441846</vt:i4>
      </vt:variant>
      <vt:variant>
        <vt:i4>272</vt:i4>
      </vt:variant>
      <vt:variant>
        <vt:i4>0</vt:i4>
      </vt:variant>
      <vt:variant>
        <vt:i4>5</vt:i4>
      </vt:variant>
      <vt:variant>
        <vt:lpwstr/>
      </vt:variant>
      <vt:variant>
        <vt:lpwstr>_Toc163547059</vt:lpwstr>
      </vt:variant>
      <vt:variant>
        <vt:i4>1441846</vt:i4>
      </vt:variant>
      <vt:variant>
        <vt:i4>266</vt:i4>
      </vt:variant>
      <vt:variant>
        <vt:i4>0</vt:i4>
      </vt:variant>
      <vt:variant>
        <vt:i4>5</vt:i4>
      </vt:variant>
      <vt:variant>
        <vt:lpwstr/>
      </vt:variant>
      <vt:variant>
        <vt:lpwstr>_Toc163547058</vt:lpwstr>
      </vt:variant>
      <vt:variant>
        <vt:i4>1441846</vt:i4>
      </vt:variant>
      <vt:variant>
        <vt:i4>260</vt:i4>
      </vt:variant>
      <vt:variant>
        <vt:i4>0</vt:i4>
      </vt:variant>
      <vt:variant>
        <vt:i4>5</vt:i4>
      </vt:variant>
      <vt:variant>
        <vt:lpwstr/>
      </vt:variant>
      <vt:variant>
        <vt:lpwstr>_Toc163547057</vt:lpwstr>
      </vt:variant>
      <vt:variant>
        <vt:i4>1441846</vt:i4>
      </vt:variant>
      <vt:variant>
        <vt:i4>254</vt:i4>
      </vt:variant>
      <vt:variant>
        <vt:i4>0</vt:i4>
      </vt:variant>
      <vt:variant>
        <vt:i4>5</vt:i4>
      </vt:variant>
      <vt:variant>
        <vt:lpwstr/>
      </vt:variant>
      <vt:variant>
        <vt:lpwstr>_Toc163547056</vt:lpwstr>
      </vt:variant>
      <vt:variant>
        <vt:i4>1441846</vt:i4>
      </vt:variant>
      <vt:variant>
        <vt:i4>248</vt:i4>
      </vt:variant>
      <vt:variant>
        <vt:i4>0</vt:i4>
      </vt:variant>
      <vt:variant>
        <vt:i4>5</vt:i4>
      </vt:variant>
      <vt:variant>
        <vt:lpwstr/>
      </vt:variant>
      <vt:variant>
        <vt:lpwstr>_Toc163547055</vt:lpwstr>
      </vt:variant>
      <vt:variant>
        <vt:i4>1441846</vt:i4>
      </vt:variant>
      <vt:variant>
        <vt:i4>242</vt:i4>
      </vt:variant>
      <vt:variant>
        <vt:i4>0</vt:i4>
      </vt:variant>
      <vt:variant>
        <vt:i4>5</vt:i4>
      </vt:variant>
      <vt:variant>
        <vt:lpwstr/>
      </vt:variant>
      <vt:variant>
        <vt:lpwstr>_Toc163547054</vt:lpwstr>
      </vt:variant>
      <vt:variant>
        <vt:i4>1441846</vt:i4>
      </vt:variant>
      <vt:variant>
        <vt:i4>236</vt:i4>
      </vt:variant>
      <vt:variant>
        <vt:i4>0</vt:i4>
      </vt:variant>
      <vt:variant>
        <vt:i4>5</vt:i4>
      </vt:variant>
      <vt:variant>
        <vt:lpwstr/>
      </vt:variant>
      <vt:variant>
        <vt:lpwstr>_Toc163547053</vt:lpwstr>
      </vt:variant>
      <vt:variant>
        <vt:i4>1441846</vt:i4>
      </vt:variant>
      <vt:variant>
        <vt:i4>230</vt:i4>
      </vt:variant>
      <vt:variant>
        <vt:i4>0</vt:i4>
      </vt:variant>
      <vt:variant>
        <vt:i4>5</vt:i4>
      </vt:variant>
      <vt:variant>
        <vt:lpwstr/>
      </vt:variant>
      <vt:variant>
        <vt:lpwstr>_Toc163547052</vt:lpwstr>
      </vt:variant>
      <vt:variant>
        <vt:i4>1441846</vt:i4>
      </vt:variant>
      <vt:variant>
        <vt:i4>224</vt:i4>
      </vt:variant>
      <vt:variant>
        <vt:i4>0</vt:i4>
      </vt:variant>
      <vt:variant>
        <vt:i4>5</vt:i4>
      </vt:variant>
      <vt:variant>
        <vt:lpwstr/>
      </vt:variant>
      <vt:variant>
        <vt:lpwstr>_Toc163547051</vt:lpwstr>
      </vt:variant>
      <vt:variant>
        <vt:i4>1441846</vt:i4>
      </vt:variant>
      <vt:variant>
        <vt:i4>218</vt:i4>
      </vt:variant>
      <vt:variant>
        <vt:i4>0</vt:i4>
      </vt:variant>
      <vt:variant>
        <vt:i4>5</vt:i4>
      </vt:variant>
      <vt:variant>
        <vt:lpwstr/>
      </vt:variant>
      <vt:variant>
        <vt:lpwstr>_Toc163547050</vt:lpwstr>
      </vt:variant>
      <vt:variant>
        <vt:i4>1507382</vt:i4>
      </vt:variant>
      <vt:variant>
        <vt:i4>212</vt:i4>
      </vt:variant>
      <vt:variant>
        <vt:i4>0</vt:i4>
      </vt:variant>
      <vt:variant>
        <vt:i4>5</vt:i4>
      </vt:variant>
      <vt:variant>
        <vt:lpwstr/>
      </vt:variant>
      <vt:variant>
        <vt:lpwstr>_Toc163547049</vt:lpwstr>
      </vt:variant>
      <vt:variant>
        <vt:i4>1507382</vt:i4>
      </vt:variant>
      <vt:variant>
        <vt:i4>206</vt:i4>
      </vt:variant>
      <vt:variant>
        <vt:i4>0</vt:i4>
      </vt:variant>
      <vt:variant>
        <vt:i4>5</vt:i4>
      </vt:variant>
      <vt:variant>
        <vt:lpwstr/>
      </vt:variant>
      <vt:variant>
        <vt:lpwstr>_Toc163547048</vt:lpwstr>
      </vt:variant>
      <vt:variant>
        <vt:i4>1507382</vt:i4>
      </vt:variant>
      <vt:variant>
        <vt:i4>200</vt:i4>
      </vt:variant>
      <vt:variant>
        <vt:i4>0</vt:i4>
      </vt:variant>
      <vt:variant>
        <vt:i4>5</vt:i4>
      </vt:variant>
      <vt:variant>
        <vt:lpwstr/>
      </vt:variant>
      <vt:variant>
        <vt:lpwstr>_Toc163547047</vt:lpwstr>
      </vt:variant>
      <vt:variant>
        <vt:i4>1507382</vt:i4>
      </vt:variant>
      <vt:variant>
        <vt:i4>194</vt:i4>
      </vt:variant>
      <vt:variant>
        <vt:i4>0</vt:i4>
      </vt:variant>
      <vt:variant>
        <vt:i4>5</vt:i4>
      </vt:variant>
      <vt:variant>
        <vt:lpwstr/>
      </vt:variant>
      <vt:variant>
        <vt:lpwstr>_Toc163547046</vt:lpwstr>
      </vt:variant>
      <vt:variant>
        <vt:i4>1507382</vt:i4>
      </vt:variant>
      <vt:variant>
        <vt:i4>188</vt:i4>
      </vt:variant>
      <vt:variant>
        <vt:i4>0</vt:i4>
      </vt:variant>
      <vt:variant>
        <vt:i4>5</vt:i4>
      </vt:variant>
      <vt:variant>
        <vt:lpwstr/>
      </vt:variant>
      <vt:variant>
        <vt:lpwstr>_Toc163547045</vt:lpwstr>
      </vt:variant>
      <vt:variant>
        <vt:i4>1507382</vt:i4>
      </vt:variant>
      <vt:variant>
        <vt:i4>182</vt:i4>
      </vt:variant>
      <vt:variant>
        <vt:i4>0</vt:i4>
      </vt:variant>
      <vt:variant>
        <vt:i4>5</vt:i4>
      </vt:variant>
      <vt:variant>
        <vt:lpwstr/>
      </vt:variant>
      <vt:variant>
        <vt:lpwstr>_Toc163547044</vt:lpwstr>
      </vt:variant>
      <vt:variant>
        <vt:i4>1507382</vt:i4>
      </vt:variant>
      <vt:variant>
        <vt:i4>176</vt:i4>
      </vt:variant>
      <vt:variant>
        <vt:i4>0</vt:i4>
      </vt:variant>
      <vt:variant>
        <vt:i4>5</vt:i4>
      </vt:variant>
      <vt:variant>
        <vt:lpwstr/>
      </vt:variant>
      <vt:variant>
        <vt:lpwstr>_Toc163547043</vt:lpwstr>
      </vt:variant>
      <vt:variant>
        <vt:i4>1507382</vt:i4>
      </vt:variant>
      <vt:variant>
        <vt:i4>170</vt:i4>
      </vt:variant>
      <vt:variant>
        <vt:i4>0</vt:i4>
      </vt:variant>
      <vt:variant>
        <vt:i4>5</vt:i4>
      </vt:variant>
      <vt:variant>
        <vt:lpwstr/>
      </vt:variant>
      <vt:variant>
        <vt:lpwstr>_Toc163547042</vt:lpwstr>
      </vt:variant>
      <vt:variant>
        <vt:i4>1507382</vt:i4>
      </vt:variant>
      <vt:variant>
        <vt:i4>164</vt:i4>
      </vt:variant>
      <vt:variant>
        <vt:i4>0</vt:i4>
      </vt:variant>
      <vt:variant>
        <vt:i4>5</vt:i4>
      </vt:variant>
      <vt:variant>
        <vt:lpwstr/>
      </vt:variant>
      <vt:variant>
        <vt:lpwstr>_Toc163547041</vt:lpwstr>
      </vt:variant>
      <vt:variant>
        <vt:i4>1507382</vt:i4>
      </vt:variant>
      <vt:variant>
        <vt:i4>158</vt:i4>
      </vt:variant>
      <vt:variant>
        <vt:i4>0</vt:i4>
      </vt:variant>
      <vt:variant>
        <vt:i4>5</vt:i4>
      </vt:variant>
      <vt:variant>
        <vt:lpwstr/>
      </vt:variant>
      <vt:variant>
        <vt:lpwstr>_Toc163547040</vt:lpwstr>
      </vt:variant>
      <vt:variant>
        <vt:i4>1048630</vt:i4>
      </vt:variant>
      <vt:variant>
        <vt:i4>152</vt:i4>
      </vt:variant>
      <vt:variant>
        <vt:i4>0</vt:i4>
      </vt:variant>
      <vt:variant>
        <vt:i4>5</vt:i4>
      </vt:variant>
      <vt:variant>
        <vt:lpwstr/>
      </vt:variant>
      <vt:variant>
        <vt:lpwstr>_Toc163547039</vt:lpwstr>
      </vt:variant>
      <vt:variant>
        <vt:i4>1048630</vt:i4>
      </vt:variant>
      <vt:variant>
        <vt:i4>146</vt:i4>
      </vt:variant>
      <vt:variant>
        <vt:i4>0</vt:i4>
      </vt:variant>
      <vt:variant>
        <vt:i4>5</vt:i4>
      </vt:variant>
      <vt:variant>
        <vt:lpwstr/>
      </vt:variant>
      <vt:variant>
        <vt:lpwstr>_Toc163547038</vt:lpwstr>
      </vt:variant>
      <vt:variant>
        <vt:i4>1048630</vt:i4>
      </vt:variant>
      <vt:variant>
        <vt:i4>140</vt:i4>
      </vt:variant>
      <vt:variant>
        <vt:i4>0</vt:i4>
      </vt:variant>
      <vt:variant>
        <vt:i4>5</vt:i4>
      </vt:variant>
      <vt:variant>
        <vt:lpwstr/>
      </vt:variant>
      <vt:variant>
        <vt:lpwstr>_Toc163547037</vt:lpwstr>
      </vt:variant>
      <vt:variant>
        <vt:i4>1048630</vt:i4>
      </vt:variant>
      <vt:variant>
        <vt:i4>134</vt:i4>
      </vt:variant>
      <vt:variant>
        <vt:i4>0</vt:i4>
      </vt:variant>
      <vt:variant>
        <vt:i4>5</vt:i4>
      </vt:variant>
      <vt:variant>
        <vt:lpwstr/>
      </vt:variant>
      <vt:variant>
        <vt:lpwstr>_Toc163547036</vt:lpwstr>
      </vt:variant>
      <vt:variant>
        <vt:i4>1048630</vt:i4>
      </vt:variant>
      <vt:variant>
        <vt:i4>128</vt:i4>
      </vt:variant>
      <vt:variant>
        <vt:i4>0</vt:i4>
      </vt:variant>
      <vt:variant>
        <vt:i4>5</vt:i4>
      </vt:variant>
      <vt:variant>
        <vt:lpwstr/>
      </vt:variant>
      <vt:variant>
        <vt:lpwstr>_Toc163547035</vt:lpwstr>
      </vt:variant>
      <vt:variant>
        <vt:i4>1048630</vt:i4>
      </vt:variant>
      <vt:variant>
        <vt:i4>122</vt:i4>
      </vt:variant>
      <vt:variant>
        <vt:i4>0</vt:i4>
      </vt:variant>
      <vt:variant>
        <vt:i4>5</vt:i4>
      </vt:variant>
      <vt:variant>
        <vt:lpwstr/>
      </vt:variant>
      <vt:variant>
        <vt:lpwstr>_Toc163547034</vt:lpwstr>
      </vt:variant>
      <vt:variant>
        <vt:i4>1048630</vt:i4>
      </vt:variant>
      <vt:variant>
        <vt:i4>116</vt:i4>
      </vt:variant>
      <vt:variant>
        <vt:i4>0</vt:i4>
      </vt:variant>
      <vt:variant>
        <vt:i4>5</vt:i4>
      </vt:variant>
      <vt:variant>
        <vt:lpwstr/>
      </vt:variant>
      <vt:variant>
        <vt:lpwstr>_Toc163547033</vt:lpwstr>
      </vt:variant>
      <vt:variant>
        <vt:i4>1048630</vt:i4>
      </vt:variant>
      <vt:variant>
        <vt:i4>110</vt:i4>
      </vt:variant>
      <vt:variant>
        <vt:i4>0</vt:i4>
      </vt:variant>
      <vt:variant>
        <vt:i4>5</vt:i4>
      </vt:variant>
      <vt:variant>
        <vt:lpwstr/>
      </vt:variant>
      <vt:variant>
        <vt:lpwstr>_Toc163547032</vt:lpwstr>
      </vt:variant>
      <vt:variant>
        <vt:i4>1048630</vt:i4>
      </vt:variant>
      <vt:variant>
        <vt:i4>104</vt:i4>
      </vt:variant>
      <vt:variant>
        <vt:i4>0</vt:i4>
      </vt:variant>
      <vt:variant>
        <vt:i4>5</vt:i4>
      </vt:variant>
      <vt:variant>
        <vt:lpwstr/>
      </vt:variant>
      <vt:variant>
        <vt:lpwstr>_Toc163547031</vt:lpwstr>
      </vt:variant>
      <vt:variant>
        <vt:i4>1048630</vt:i4>
      </vt:variant>
      <vt:variant>
        <vt:i4>98</vt:i4>
      </vt:variant>
      <vt:variant>
        <vt:i4>0</vt:i4>
      </vt:variant>
      <vt:variant>
        <vt:i4>5</vt:i4>
      </vt:variant>
      <vt:variant>
        <vt:lpwstr/>
      </vt:variant>
      <vt:variant>
        <vt:lpwstr>_Toc163547030</vt:lpwstr>
      </vt:variant>
      <vt:variant>
        <vt:i4>1114166</vt:i4>
      </vt:variant>
      <vt:variant>
        <vt:i4>92</vt:i4>
      </vt:variant>
      <vt:variant>
        <vt:i4>0</vt:i4>
      </vt:variant>
      <vt:variant>
        <vt:i4>5</vt:i4>
      </vt:variant>
      <vt:variant>
        <vt:lpwstr/>
      </vt:variant>
      <vt:variant>
        <vt:lpwstr>_Toc163547029</vt:lpwstr>
      </vt:variant>
      <vt:variant>
        <vt:i4>1114166</vt:i4>
      </vt:variant>
      <vt:variant>
        <vt:i4>86</vt:i4>
      </vt:variant>
      <vt:variant>
        <vt:i4>0</vt:i4>
      </vt:variant>
      <vt:variant>
        <vt:i4>5</vt:i4>
      </vt:variant>
      <vt:variant>
        <vt:lpwstr/>
      </vt:variant>
      <vt:variant>
        <vt:lpwstr>_Toc163547028</vt:lpwstr>
      </vt:variant>
      <vt:variant>
        <vt:i4>1114166</vt:i4>
      </vt:variant>
      <vt:variant>
        <vt:i4>80</vt:i4>
      </vt:variant>
      <vt:variant>
        <vt:i4>0</vt:i4>
      </vt:variant>
      <vt:variant>
        <vt:i4>5</vt:i4>
      </vt:variant>
      <vt:variant>
        <vt:lpwstr/>
      </vt:variant>
      <vt:variant>
        <vt:lpwstr>_Toc163547027</vt:lpwstr>
      </vt:variant>
      <vt:variant>
        <vt:i4>1114166</vt:i4>
      </vt:variant>
      <vt:variant>
        <vt:i4>74</vt:i4>
      </vt:variant>
      <vt:variant>
        <vt:i4>0</vt:i4>
      </vt:variant>
      <vt:variant>
        <vt:i4>5</vt:i4>
      </vt:variant>
      <vt:variant>
        <vt:lpwstr/>
      </vt:variant>
      <vt:variant>
        <vt:lpwstr>_Toc163547026</vt:lpwstr>
      </vt:variant>
      <vt:variant>
        <vt:i4>1114166</vt:i4>
      </vt:variant>
      <vt:variant>
        <vt:i4>68</vt:i4>
      </vt:variant>
      <vt:variant>
        <vt:i4>0</vt:i4>
      </vt:variant>
      <vt:variant>
        <vt:i4>5</vt:i4>
      </vt:variant>
      <vt:variant>
        <vt:lpwstr/>
      </vt:variant>
      <vt:variant>
        <vt:lpwstr>_Toc163547025</vt:lpwstr>
      </vt:variant>
      <vt:variant>
        <vt:i4>1114166</vt:i4>
      </vt:variant>
      <vt:variant>
        <vt:i4>62</vt:i4>
      </vt:variant>
      <vt:variant>
        <vt:i4>0</vt:i4>
      </vt:variant>
      <vt:variant>
        <vt:i4>5</vt:i4>
      </vt:variant>
      <vt:variant>
        <vt:lpwstr/>
      </vt:variant>
      <vt:variant>
        <vt:lpwstr>_Toc163547024</vt:lpwstr>
      </vt:variant>
      <vt:variant>
        <vt:i4>1114166</vt:i4>
      </vt:variant>
      <vt:variant>
        <vt:i4>56</vt:i4>
      </vt:variant>
      <vt:variant>
        <vt:i4>0</vt:i4>
      </vt:variant>
      <vt:variant>
        <vt:i4>5</vt:i4>
      </vt:variant>
      <vt:variant>
        <vt:lpwstr/>
      </vt:variant>
      <vt:variant>
        <vt:lpwstr>_Toc163547023</vt:lpwstr>
      </vt:variant>
      <vt:variant>
        <vt:i4>1114166</vt:i4>
      </vt:variant>
      <vt:variant>
        <vt:i4>50</vt:i4>
      </vt:variant>
      <vt:variant>
        <vt:i4>0</vt:i4>
      </vt:variant>
      <vt:variant>
        <vt:i4>5</vt:i4>
      </vt:variant>
      <vt:variant>
        <vt:lpwstr/>
      </vt:variant>
      <vt:variant>
        <vt:lpwstr>_Toc163547022</vt:lpwstr>
      </vt:variant>
      <vt:variant>
        <vt:i4>1114166</vt:i4>
      </vt:variant>
      <vt:variant>
        <vt:i4>44</vt:i4>
      </vt:variant>
      <vt:variant>
        <vt:i4>0</vt:i4>
      </vt:variant>
      <vt:variant>
        <vt:i4>5</vt:i4>
      </vt:variant>
      <vt:variant>
        <vt:lpwstr/>
      </vt:variant>
      <vt:variant>
        <vt:lpwstr>_Toc163547021</vt:lpwstr>
      </vt:variant>
      <vt:variant>
        <vt:i4>1114166</vt:i4>
      </vt:variant>
      <vt:variant>
        <vt:i4>38</vt:i4>
      </vt:variant>
      <vt:variant>
        <vt:i4>0</vt:i4>
      </vt:variant>
      <vt:variant>
        <vt:i4>5</vt:i4>
      </vt:variant>
      <vt:variant>
        <vt:lpwstr/>
      </vt:variant>
      <vt:variant>
        <vt:lpwstr>_Toc163547020</vt:lpwstr>
      </vt:variant>
      <vt:variant>
        <vt:i4>1179702</vt:i4>
      </vt:variant>
      <vt:variant>
        <vt:i4>32</vt:i4>
      </vt:variant>
      <vt:variant>
        <vt:i4>0</vt:i4>
      </vt:variant>
      <vt:variant>
        <vt:i4>5</vt:i4>
      </vt:variant>
      <vt:variant>
        <vt:lpwstr/>
      </vt:variant>
      <vt:variant>
        <vt:lpwstr>_Toc163547019</vt:lpwstr>
      </vt:variant>
      <vt:variant>
        <vt:i4>1179702</vt:i4>
      </vt:variant>
      <vt:variant>
        <vt:i4>26</vt:i4>
      </vt:variant>
      <vt:variant>
        <vt:i4>0</vt:i4>
      </vt:variant>
      <vt:variant>
        <vt:i4>5</vt:i4>
      </vt:variant>
      <vt:variant>
        <vt:lpwstr/>
      </vt:variant>
      <vt:variant>
        <vt:lpwstr>_Toc163547018</vt:lpwstr>
      </vt:variant>
      <vt:variant>
        <vt:i4>1179702</vt:i4>
      </vt:variant>
      <vt:variant>
        <vt:i4>20</vt:i4>
      </vt:variant>
      <vt:variant>
        <vt:i4>0</vt:i4>
      </vt:variant>
      <vt:variant>
        <vt:i4>5</vt:i4>
      </vt:variant>
      <vt:variant>
        <vt:lpwstr/>
      </vt:variant>
      <vt:variant>
        <vt:lpwstr>_Toc163547017</vt:lpwstr>
      </vt:variant>
      <vt:variant>
        <vt:i4>1179702</vt:i4>
      </vt:variant>
      <vt:variant>
        <vt:i4>14</vt:i4>
      </vt:variant>
      <vt:variant>
        <vt:i4>0</vt:i4>
      </vt:variant>
      <vt:variant>
        <vt:i4>5</vt:i4>
      </vt:variant>
      <vt:variant>
        <vt:lpwstr/>
      </vt:variant>
      <vt:variant>
        <vt:lpwstr>_Toc163547016</vt:lpwstr>
      </vt:variant>
      <vt:variant>
        <vt:i4>65547</vt:i4>
      </vt:variant>
      <vt:variant>
        <vt:i4>9</vt:i4>
      </vt:variant>
      <vt:variant>
        <vt:i4>0</vt:i4>
      </vt:variant>
      <vt:variant>
        <vt:i4>5</vt:i4>
      </vt:variant>
      <vt:variant>
        <vt:lpwstr>http://www.deeca.vic.gov.au/</vt:lpwstr>
      </vt:variant>
      <vt:variant>
        <vt:lpwstr/>
      </vt:variant>
      <vt:variant>
        <vt:i4>2687044</vt:i4>
      </vt:variant>
      <vt:variant>
        <vt:i4>6</vt:i4>
      </vt:variant>
      <vt:variant>
        <vt:i4>0</vt:i4>
      </vt:variant>
      <vt:variant>
        <vt:i4>5</vt:i4>
      </vt:variant>
      <vt:variant>
        <vt:lpwstr>mailto:customer.service@delwp.vic.gov.au</vt:lpwstr>
      </vt:variant>
      <vt:variant>
        <vt:lpwstr/>
      </vt:variant>
      <vt:variant>
        <vt:i4>6488166</vt:i4>
      </vt:variant>
      <vt:variant>
        <vt:i4>3</vt:i4>
      </vt:variant>
      <vt:variant>
        <vt:i4>0</vt:i4>
      </vt:variant>
      <vt:variant>
        <vt:i4>5</vt:i4>
      </vt:variant>
      <vt:variant>
        <vt:lpwstr>http://creativecommons.org/licenses/by/4.0/</vt:lpwstr>
      </vt:variant>
      <vt:variant>
        <vt:lpwstr/>
      </vt:variant>
      <vt:variant>
        <vt:i4>6488166</vt:i4>
      </vt:variant>
      <vt:variant>
        <vt:i4>0</vt:i4>
      </vt:variant>
      <vt:variant>
        <vt:i4>0</vt:i4>
      </vt:variant>
      <vt:variant>
        <vt:i4>5</vt:i4>
      </vt:variant>
      <vt:variant>
        <vt:lpwstr>http://creativecommons.org/licenses/by/4.0/</vt:lpwstr>
      </vt:variant>
      <vt:variant>
        <vt:lpwstr/>
      </vt:variant>
      <vt:variant>
        <vt:i4>6619248</vt:i4>
      </vt:variant>
      <vt:variant>
        <vt:i4>0</vt:i4>
      </vt:variant>
      <vt:variant>
        <vt:i4>0</vt:i4>
      </vt:variant>
      <vt:variant>
        <vt:i4>5</vt:i4>
      </vt:variant>
      <vt:variant>
        <vt:lpwstr>http://databank.worldbank.org/data/</vt:lpwstr>
      </vt:variant>
      <vt:variant>
        <vt:lpwstr/>
      </vt:variant>
      <vt:variant>
        <vt:i4>65547</vt:i4>
      </vt:variant>
      <vt:variant>
        <vt:i4>6</vt:i4>
      </vt:variant>
      <vt:variant>
        <vt:i4>0</vt:i4>
      </vt:variant>
      <vt:variant>
        <vt:i4>5</vt:i4>
      </vt:variant>
      <vt:variant>
        <vt:lpwstr>http://www.deeca.vic.gov.au/</vt:lpwstr>
      </vt:variant>
      <vt:variant>
        <vt:lpwstr/>
      </vt:variant>
      <vt:variant>
        <vt:i4>65547</vt:i4>
      </vt:variant>
      <vt:variant>
        <vt:i4>3</vt:i4>
      </vt:variant>
      <vt:variant>
        <vt:i4>0</vt:i4>
      </vt:variant>
      <vt:variant>
        <vt:i4>5</vt:i4>
      </vt:variant>
      <vt:variant>
        <vt:lpwstr>http://www.deeca.vic.gov.au/</vt:lpwstr>
      </vt:variant>
      <vt:variant>
        <vt:lpwstr/>
      </vt:variant>
      <vt:variant>
        <vt:i4>16</vt:i4>
      </vt:variant>
      <vt:variant>
        <vt:i4>0</vt:i4>
      </vt:variant>
      <vt:variant>
        <vt:i4>0</vt:i4>
      </vt:variant>
      <vt:variant>
        <vt:i4>5</vt:i4>
      </vt:variant>
      <vt:variant>
        <vt:lpwstr>C:\Users\fionadurante\Downloads\deeca.vic.gov.au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Great Ocean Road Coast and Parks Environmental-Economic Account</dc:title>
  <dc:subject>Technical Report</dc:subject>
  <dc:creator>Kathryn A Parker (DELWP)</dc:creator>
  <cp:keywords/>
  <dc:description/>
  <cp:lastModifiedBy>Cassandra L Allan (DEECA)</cp:lastModifiedBy>
  <cp:revision>4</cp:revision>
  <cp:lastPrinted>2022-06-17T19:14:00Z</cp:lastPrinted>
  <dcterms:created xsi:type="dcterms:W3CDTF">2025-02-03T04:19:00Z</dcterms:created>
  <dcterms:modified xsi:type="dcterms:W3CDTF">2025-02-03T04:58:00Z</dcterms:modified>
  <cp:category>Subtitle goes here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FooterTitle">
    <vt:lpwstr>Great Ocean Road Coast and Parks Environmental-Economic Account</vt:lpwstr>
  </property>
  <property fmtid="{D5CDD505-2E9C-101B-9397-08002B2CF9AE}" pid="3" name="xFooterSubtitle">
    <vt:lpwstr>Technical Report</vt:lpwstr>
  </property>
  <property fmtid="{D5CDD505-2E9C-101B-9397-08002B2CF9AE}" pid="4" name="ContentTypeId">
    <vt:lpwstr>0x01010015ED4D4A0C249143AD27B0CF73E861E2</vt:lpwstr>
  </property>
  <property fmtid="{D5CDD505-2E9C-101B-9397-08002B2CF9AE}" pid="5" name="MediaServiceImageTags">
    <vt:lpwstr/>
  </property>
  <property fmtid="{D5CDD505-2E9C-101B-9397-08002B2CF9AE}" pid="6" name="MSIP_Label_4257e2ab-f512-40e2-9c9a-c64247360765_Enabled">
    <vt:lpwstr>true</vt:lpwstr>
  </property>
  <property fmtid="{D5CDD505-2E9C-101B-9397-08002B2CF9AE}" pid="7" name="MSIP_Label_4257e2ab-f512-40e2-9c9a-c64247360765_SetDate">
    <vt:lpwstr>2024-05-14T05:00:17Z</vt:lpwstr>
  </property>
  <property fmtid="{D5CDD505-2E9C-101B-9397-08002B2CF9AE}" pid="8" name="MSIP_Label_4257e2ab-f512-40e2-9c9a-c64247360765_Method">
    <vt:lpwstr>Privileged</vt:lpwstr>
  </property>
  <property fmtid="{D5CDD505-2E9C-101B-9397-08002B2CF9AE}" pid="9" name="MSIP_Label_4257e2ab-f512-40e2-9c9a-c64247360765_Name">
    <vt:lpwstr>OFFICIAL</vt:lpwstr>
  </property>
  <property fmtid="{D5CDD505-2E9C-101B-9397-08002B2CF9AE}" pid="10" name="MSIP_Label_4257e2ab-f512-40e2-9c9a-c64247360765_SiteId">
    <vt:lpwstr>e8bdd6f7-fc18-4e48-a554-7f547927223b</vt:lpwstr>
  </property>
  <property fmtid="{D5CDD505-2E9C-101B-9397-08002B2CF9AE}" pid="11" name="MSIP_Label_4257e2ab-f512-40e2-9c9a-c64247360765_ActionId">
    <vt:lpwstr>72fda979-d122-41c3-ab21-ab7eaa251acc</vt:lpwstr>
  </property>
  <property fmtid="{D5CDD505-2E9C-101B-9397-08002B2CF9AE}" pid="12" name="MSIP_Label_4257e2ab-f512-40e2-9c9a-c64247360765_ContentBits">
    <vt:lpwstr>2</vt:lpwstr>
  </property>
</Properties>
</file>