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6305998"/>
    <w:p w14:paraId="18736B77" w14:textId="726E1A5C" w:rsidR="00254F12" w:rsidRPr="00862057" w:rsidRDefault="00DF2A5A" w:rsidP="001806EE">
      <w:pPr>
        <w:pStyle w:val="Heading1"/>
        <w:framePr w:wrap="around"/>
      </w:pPr>
      <w:sdt>
        <w:sdtPr>
          <w:alias w:val="Document Title"/>
          <w:tag w:val=""/>
          <w:id w:val="-432211567"/>
          <w:placeholder>
            <w:docPart w:val="BDB2CF2071944AD184FC0F87F432BB7A"/>
          </w:placeholder>
          <w:dataBinding w:prefixMappings="xmlns:ns0='http://purl.org/dc/elements/1.1/' xmlns:ns1='http://schemas.openxmlformats.org/package/2006/metadata/core-properties' " w:xpath="/ns1:coreProperties[1]/ns0:title[1]" w:storeItemID="{6C3C8BC8-F283-45AE-878A-BAB7291924A1}"/>
          <w:text/>
        </w:sdtPr>
        <w:sdtEndPr/>
        <w:sdtContent>
          <w:r w:rsidR="00023921">
            <w:t>Habitat Value</w:t>
          </w:r>
        </w:sdtContent>
      </w:sdt>
    </w:p>
    <w:sdt>
      <w:sdtPr>
        <w:alias w:val="Subtitle"/>
        <w:tag w:val=""/>
        <w:id w:val="328029620"/>
        <w:placeholder>
          <w:docPart w:val="497BB75B4EA44654A1B95C3E2AC9AD47"/>
        </w:placeholder>
        <w:dataBinding w:prefixMappings="xmlns:ns0='http://purl.org/dc/elements/1.1/' xmlns:ns1='http://schemas.openxmlformats.org/package/2006/metadata/core-properties' " w:xpath="/ns1:coreProperties[1]/ns0:subject[1]" w:storeItemID="{6C3C8BC8-F283-45AE-878A-BAB7291924A1}"/>
        <w:text/>
      </w:sdtPr>
      <w:sdtEndPr/>
      <w:sdtContent>
        <w:p w14:paraId="1EEE70DA" w14:textId="4A260C7F" w:rsidR="004C1F02" w:rsidRDefault="0027101A" w:rsidP="001806EE">
          <w:pPr>
            <w:pStyle w:val="Subtitle"/>
            <w:framePr w:wrap="around"/>
          </w:pPr>
          <w:r>
            <w:t xml:space="preserve">Habitat Value helps </w:t>
          </w:r>
          <w:r w:rsidR="00E561CF">
            <w:t>identify</w:t>
          </w:r>
          <w:r w:rsidR="009D0BAA">
            <w:t xml:space="preserve"> </w:t>
          </w:r>
          <w:r w:rsidR="007555FB">
            <w:t xml:space="preserve">the </w:t>
          </w:r>
          <w:r w:rsidR="009D0BAA">
            <w:t xml:space="preserve">relative </w:t>
          </w:r>
          <w:r w:rsidR="007555FB">
            <w:t>value of</w:t>
          </w:r>
          <w:r w:rsidR="009D0BAA">
            <w:t xml:space="preserve"> biodiversity </w:t>
          </w:r>
          <w:r w:rsidR="007555FB">
            <w:t>across</w:t>
          </w:r>
          <w:r w:rsidR="009D0BAA">
            <w:t xml:space="preserve"> Victoria</w:t>
          </w:r>
          <w:r w:rsidR="00E561CF">
            <w:t xml:space="preserve"> to assist in conservation and land-use planning</w:t>
          </w:r>
          <w:r w:rsidR="009D0BAA">
            <w:t>.</w:t>
          </w:r>
        </w:p>
      </w:sdtContent>
    </w:sdt>
    <w:p w14:paraId="3C6C0CA6" w14:textId="77777777" w:rsidR="00254F12" w:rsidRPr="004C1F02" w:rsidRDefault="00254F12" w:rsidP="004C1F02">
      <w:pPr>
        <w:pStyle w:val="xVicLogo"/>
        <w:framePr w:wrap="around"/>
      </w:pPr>
      <w:r w:rsidRPr="004C1F02">
        <w:rPr>
          <w:noProof/>
        </w:rPr>
        <w:drawing>
          <wp:inline distT="0" distB="0" distL="0" distR="0" wp14:anchorId="28D96B46" wp14:editId="37F5264F">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182E11A7" w14:textId="7D057AD6" w:rsidR="00712437" w:rsidRDefault="00DF2A5A" w:rsidP="00712437">
      <w:pPr>
        <w:pStyle w:val="xPartnerLogo"/>
        <w:framePr w:wrap="around"/>
      </w:pPr>
      <w:hyperlink r:id="rId16" w:tooltip="Visit DEECA" w:history="1">
        <w:r w:rsidR="00712437" w:rsidRPr="00712437">
          <w:rPr>
            <w:position w:val="6"/>
          </w:rPr>
          <w:t>deeca.vic.gov.au</w:t>
        </w:r>
      </w:hyperlink>
      <w:r w:rsidR="00712437">
        <w:t> </w:t>
      </w:r>
    </w:p>
    <w:p w14:paraId="3A67E2E0" w14:textId="34BA7E26" w:rsidR="008C06B8" w:rsidRDefault="00A8552A" w:rsidP="00FE7FB1">
      <w:pPr>
        <w:pStyle w:val="BodyText"/>
      </w:pPr>
      <w:r>
        <w:rPr>
          <w:noProof/>
        </w:rPr>
        <w:drawing>
          <wp:anchor distT="0" distB="0" distL="114300" distR="114300" simplePos="0" relativeHeight="251658248" behindDoc="1" locked="0" layoutInCell="1" allowOverlap="1" wp14:anchorId="0D623435" wp14:editId="71865A2F">
            <wp:simplePos x="0" y="0"/>
            <wp:positionH relativeFrom="column">
              <wp:posOffset>3326765</wp:posOffset>
            </wp:positionH>
            <wp:positionV relativeFrom="paragraph">
              <wp:posOffset>1845310</wp:posOffset>
            </wp:positionV>
            <wp:extent cx="3195320" cy="2275205"/>
            <wp:effectExtent l="0" t="0" r="5080" b="0"/>
            <wp:wrapTight wrapText="bothSides">
              <wp:wrapPolygon edited="0">
                <wp:start x="0" y="0"/>
                <wp:lineTo x="0" y="21341"/>
                <wp:lineTo x="21506" y="21341"/>
                <wp:lineTo x="21506" y="0"/>
                <wp:lineTo x="0" y="0"/>
              </wp:wrapPolygon>
            </wp:wrapTight>
            <wp:docPr id="1598105114" name="Picture 1" descr="A map of the is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05114" name="Picture 1" descr="A map of the isla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95320" cy="2275205"/>
                    </a:xfrm>
                    <a:prstGeom prst="rect">
                      <a:avLst/>
                    </a:prstGeom>
                  </pic:spPr>
                </pic:pic>
              </a:graphicData>
            </a:graphic>
          </wp:anchor>
        </w:drawing>
      </w:r>
      <w:r w:rsidR="00677D56">
        <w:rPr>
          <w:noProof/>
        </w:rPr>
        <w:drawing>
          <wp:anchor distT="0" distB="0" distL="114300" distR="114300" simplePos="0" relativeHeight="251658240" behindDoc="0" locked="1" layoutInCell="1" allowOverlap="1" wp14:anchorId="28E8AB1B" wp14:editId="01E9878E">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6B31719D" wp14:editId="62E0870D">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A0FE4B" id="Freeform: Shape 4"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58246" behindDoc="1" locked="1" layoutInCell="1" allowOverlap="1" wp14:anchorId="5AA9DC35" wp14:editId="4171B8F7">
            <wp:simplePos x="0" y="0"/>
            <wp:positionH relativeFrom="page">
              <wp:posOffset>6936105</wp:posOffset>
            </wp:positionH>
            <wp:positionV relativeFrom="page">
              <wp:posOffset>898525</wp:posOffset>
            </wp:positionV>
            <wp:extent cx="629285" cy="133540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9285" cy="1335405"/>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3" behindDoc="0" locked="1" layoutInCell="1" allowOverlap="1" wp14:anchorId="4FAC6423" wp14:editId="3DC6B5ED">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FA563E" id="Freeform: Shape 7" o:spid="_x0000_s1026" alt="&quot;&quot;" style="position:absolute;margin-left:413.8pt;margin-top:105.25pt;width:98.95pt;height:7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12649EE3" wp14:editId="39302D74">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41058C" id="Freeform: Shape 8" o:spid="_x0000_s1026" alt="&quot;&quot;" style="position:absolute;margin-left:380.55pt;margin-top:140.05pt;width:82.5pt;height:35.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084C7D75" wp14:editId="79759B76">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C517CE" id="Freeform: Shape 9" o:spid="_x0000_s1026" alt="&quot;&quot;" style="position:absolute;margin-left:446.25pt;margin-top:105.25pt;width:83.05pt;height:70.3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2" behindDoc="0" locked="1" layoutInCell="1" allowOverlap="1" wp14:anchorId="2FD9F348" wp14:editId="5756DCE8">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DCDFD8" id="Freeform: Shape 6" o:spid="_x0000_s1026" alt="&quot;&quot;" style="position:absolute;margin-left:463.65pt;margin-top:0;width:132.1pt;height:14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p>
    <w:p w14:paraId="3E776F7C" w14:textId="77777777" w:rsidR="00665916" w:rsidRPr="001E4586" w:rsidRDefault="00665916" w:rsidP="004C1F02">
      <w:pPr>
        <w:rPr>
          <w:sz w:val="10"/>
          <w:szCs w:val="10"/>
        </w:rPr>
        <w:sectPr w:rsidR="00665916" w:rsidRPr="001E4586" w:rsidSect="00CC1BE5">
          <w:headerReference w:type="even" r:id="rId21"/>
          <w:footerReference w:type="even" r:id="rId22"/>
          <w:footerReference w:type="default" r:id="rId23"/>
          <w:footerReference w:type="first" r:id="rId24"/>
          <w:type w:val="continuous"/>
          <w:pgSz w:w="11907" w:h="16839" w:code="9"/>
          <w:pgMar w:top="737" w:right="851" w:bottom="1701" w:left="851" w:header="284" w:footer="284" w:gutter="0"/>
          <w:cols w:space="454"/>
          <w:noEndnote/>
          <w:titlePg/>
          <w:docGrid w:linePitch="360"/>
        </w:sectPr>
      </w:pPr>
    </w:p>
    <w:bookmarkEnd w:id="0"/>
    <w:p w14:paraId="06FCC629" w14:textId="1D56E440" w:rsidR="00C337ED" w:rsidRDefault="00F87CA5" w:rsidP="001A7C6D">
      <w:pPr>
        <w:pStyle w:val="IntroFeatureText"/>
      </w:pPr>
      <w:r>
        <w:t xml:space="preserve">The </w:t>
      </w:r>
      <w:r w:rsidRPr="001077CB">
        <w:rPr>
          <w:b/>
          <w:bCs/>
        </w:rPr>
        <w:t>Habitat Value</w:t>
      </w:r>
      <w:r>
        <w:t xml:space="preserve"> map combines information on thousands of species habitats to show the relative biodiversity value of landscapes in Victoria. This can help to identify priority areas for protection</w:t>
      </w:r>
      <w:r w:rsidR="6A2E344C">
        <w:t xml:space="preserve"> and harm avoidance</w:t>
      </w:r>
      <w:r>
        <w:t>.</w:t>
      </w:r>
    </w:p>
    <w:p w14:paraId="2A4ACBC4" w14:textId="657CC1F6" w:rsidR="00C337ED" w:rsidRPr="008C06B8" w:rsidRDefault="00F87CA5" w:rsidP="008C06B8">
      <w:pPr>
        <w:pStyle w:val="Heading2"/>
        <w:spacing w:before="0"/>
      </w:pPr>
      <w:r>
        <w:t>Habitat Value</w:t>
      </w:r>
    </w:p>
    <w:p w14:paraId="55173823" w14:textId="2F3F73B7" w:rsidR="00CC11B6" w:rsidRDefault="00CC11B6" w:rsidP="008C06B8">
      <w:pPr>
        <w:pStyle w:val="NoSpacing"/>
      </w:pPr>
      <w:r w:rsidRPr="00CC11B6">
        <w:t>Biodiversity is all components of the living world: the number and variety of native plants, animals and other living things across our land</w:t>
      </w:r>
      <w:r w:rsidR="008B4EB1">
        <w:t xml:space="preserve"> </w:t>
      </w:r>
      <w:r w:rsidRPr="00CC11B6">
        <w:t xml:space="preserve">and </w:t>
      </w:r>
      <w:r w:rsidR="008B4EB1">
        <w:t>waters</w:t>
      </w:r>
      <w:r w:rsidRPr="00CC11B6">
        <w:t>. Victoria’s natural environment is richly diverse, unique, and precious.</w:t>
      </w:r>
    </w:p>
    <w:p w14:paraId="54F9266F" w14:textId="15507D23" w:rsidR="00CC11B6" w:rsidRPr="009A6B07" w:rsidRDefault="00B62953" w:rsidP="00B62953">
      <w:pPr>
        <w:pStyle w:val="BodyText"/>
      </w:pPr>
      <w:r>
        <w:t xml:space="preserve">To help identify areas </w:t>
      </w:r>
      <w:r w:rsidR="00D60A4D">
        <w:t xml:space="preserve">of </w:t>
      </w:r>
      <w:r w:rsidR="007C092D">
        <w:t xml:space="preserve">relative </w:t>
      </w:r>
      <w:r w:rsidR="00D60A4D">
        <w:t xml:space="preserve">biodiversity importance and </w:t>
      </w:r>
      <w:r>
        <w:t xml:space="preserve">inform land-use planning decisions, DEECA has developed a new map, called Habitat Value. The map combines </w:t>
      </w:r>
      <w:r w:rsidRPr="009A6B07">
        <w:t>information about where species are likely to live with maps of where native vegetation occurs across Victoria. Areas that can support either more species or a rare species have higher Habitat Value.</w:t>
      </w:r>
    </w:p>
    <w:p w14:paraId="36D782C5" w14:textId="285CE135" w:rsidR="00A960E4" w:rsidRDefault="00A960E4" w:rsidP="00540A9A">
      <w:pPr>
        <w:pStyle w:val="BodyText"/>
      </w:pPr>
      <w:r w:rsidRPr="009A6B07">
        <w:t xml:space="preserve">Understanding where areas of </w:t>
      </w:r>
      <w:r w:rsidR="00C848C5" w:rsidRPr="009A6B07">
        <w:t xml:space="preserve">relative </w:t>
      </w:r>
      <w:r w:rsidRPr="009A6B07">
        <w:t xml:space="preserve">high value are across the state </w:t>
      </w:r>
      <w:r w:rsidR="00DE7585" w:rsidRPr="009A6B07">
        <w:t>is important because decision-makers need access to an objective, comprehensive</w:t>
      </w:r>
      <w:r w:rsidR="00DE7585">
        <w:t xml:space="preserve"> and spatially explicit view to </w:t>
      </w:r>
      <w:r w:rsidR="00D519C2">
        <w:t xml:space="preserve">help </w:t>
      </w:r>
      <w:r w:rsidR="00DE7585">
        <w:t xml:space="preserve">make decisions that achieve the greatest overall benefit to biodiversity. </w:t>
      </w:r>
    </w:p>
    <w:p w14:paraId="3AA05A51" w14:textId="5DC415C6" w:rsidR="00C05ACD" w:rsidRDefault="00C05ACD" w:rsidP="00540A9A">
      <w:pPr>
        <w:pStyle w:val="BodyText"/>
      </w:pPr>
      <w:r>
        <w:t xml:space="preserve">Habitat Value can help inform conservation decision-making processes, such as: </w:t>
      </w:r>
    </w:p>
    <w:p w14:paraId="14BE120C" w14:textId="0E90D715" w:rsidR="00540A9A" w:rsidRDefault="00540A9A" w:rsidP="008106D6">
      <w:pPr>
        <w:pStyle w:val="ListBullet"/>
        <w:numPr>
          <w:ilvl w:val="0"/>
          <w:numId w:val="45"/>
        </w:numPr>
      </w:pPr>
      <w:r>
        <w:t xml:space="preserve">strategically avoiding biodiversity values when considering development footprints </w:t>
      </w:r>
    </w:p>
    <w:p w14:paraId="5AC7173F" w14:textId="7ED461D7" w:rsidR="00540A9A" w:rsidRDefault="00540A9A" w:rsidP="008106D6">
      <w:pPr>
        <w:pStyle w:val="ListBullet"/>
        <w:numPr>
          <w:ilvl w:val="0"/>
          <w:numId w:val="45"/>
        </w:numPr>
      </w:pPr>
      <w:r>
        <w:t>prioritising areas for protection</w:t>
      </w:r>
    </w:p>
    <w:p w14:paraId="43422FFD" w14:textId="16C6C245" w:rsidR="0006768E" w:rsidRDefault="00540A9A" w:rsidP="008106D6">
      <w:pPr>
        <w:pStyle w:val="ListBullet"/>
        <w:numPr>
          <w:ilvl w:val="0"/>
          <w:numId w:val="45"/>
        </w:numPr>
      </w:pPr>
      <w:r>
        <w:t xml:space="preserve">raising awareness of the </w:t>
      </w:r>
      <w:r w:rsidR="34E97B66">
        <w:t>distribution</w:t>
      </w:r>
      <w:r>
        <w:t xml:space="preserve"> of biodiversity values across Victoria</w:t>
      </w:r>
      <w:r w:rsidR="0006768E">
        <w:t>.</w:t>
      </w:r>
    </w:p>
    <w:p w14:paraId="33A32212" w14:textId="00178D60" w:rsidR="00EA5D54" w:rsidRDefault="00EA5D54" w:rsidP="00F3359B">
      <w:pPr>
        <w:pStyle w:val="ListBullet"/>
        <w:numPr>
          <w:ilvl w:val="0"/>
          <w:numId w:val="0"/>
        </w:numPr>
      </w:pPr>
      <w:r w:rsidRPr="00EA5D54">
        <w:rPr>
          <w:b/>
          <w:bCs/>
        </w:rPr>
        <w:t>Habitat Value is not a Go</w:t>
      </w:r>
      <w:r w:rsidR="00E80751">
        <w:rPr>
          <w:b/>
          <w:bCs/>
        </w:rPr>
        <w:t xml:space="preserve"> /</w:t>
      </w:r>
      <w:r w:rsidRPr="00EA5D54">
        <w:rPr>
          <w:b/>
          <w:bCs/>
        </w:rPr>
        <w:t xml:space="preserve"> No</w:t>
      </w:r>
      <w:r w:rsidR="00DF50DF">
        <w:rPr>
          <w:b/>
          <w:bCs/>
        </w:rPr>
        <w:t>-</w:t>
      </w:r>
      <w:r w:rsidRPr="00EA5D54">
        <w:rPr>
          <w:b/>
          <w:bCs/>
        </w:rPr>
        <w:t>Go map</w:t>
      </w:r>
      <w:r>
        <w:t>. It can</w:t>
      </w:r>
      <w:r w:rsidR="00DF50DF">
        <w:t>,</w:t>
      </w:r>
      <w:r>
        <w:t xml:space="preserve"> however, help developers understand where higher biodiversity values occur to support planning for the siting of infrastructure</w:t>
      </w:r>
      <w:r w:rsidR="00E80751">
        <w:t xml:space="preserve"> that may help streamline approvals</w:t>
      </w:r>
      <w:r>
        <w:t>.</w:t>
      </w:r>
    </w:p>
    <w:p w14:paraId="6137482E" w14:textId="32C11082" w:rsidR="00F3359B" w:rsidRDefault="001E4586" w:rsidP="00F3359B">
      <w:pPr>
        <w:pStyle w:val="ListBullet"/>
        <w:numPr>
          <w:ilvl w:val="0"/>
          <w:numId w:val="0"/>
        </w:numPr>
      </w:pPr>
      <w:r>
        <w:t xml:space="preserve">Habitat Value does not help identify which actions to undertake </w:t>
      </w:r>
      <w:r w:rsidR="00504305">
        <w:t>for biodiversity</w:t>
      </w:r>
      <w:r>
        <w:t>. DEECA has</w:t>
      </w:r>
      <w:r w:rsidR="00504305">
        <w:t xml:space="preserve"> another tool,</w:t>
      </w:r>
      <w:r>
        <w:t xml:space="preserve"> </w:t>
      </w:r>
      <w:bookmarkStart w:id="1" w:name="OLE_LINK1"/>
      <w:r w:rsidR="008B4EB1">
        <w:fldChar w:fldCharType="begin"/>
      </w:r>
      <w:r w:rsidR="008B4EB1">
        <w:instrText>HYPERLINK "https://www.environment.vic.gov.au/biodiversity/choosing-actions-for-nature"</w:instrText>
      </w:r>
      <w:r w:rsidR="008B4EB1">
        <w:fldChar w:fldCharType="separate"/>
      </w:r>
      <w:r w:rsidRPr="008B4EB1">
        <w:rPr>
          <w:rStyle w:val="Hyperlink"/>
        </w:rPr>
        <w:t>Strategic Management Prospects</w:t>
      </w:r>
      <w:bookmarkEnd w:id="1"/>
      <w:r w:rsidR="008B4EB1">
        <w:fldChar w:fldCharType="end"/>
      </w:r>
      <w:r w:rsidR="00504305">
        <w:t>,</w:t>
      </w:r>
      <w:r>
        <w:t xml:space="preserve"> to help</w:t>
      </w:r>
      <w:r w:rsidR="00504305">
        <w:t xml:space="preserve"> with this. </w:t>
      </w:r>
    </w:p>
    <w:p w14:paraId="0FDFF9BF" w14:textId="77777777" w:rsidR="00EA5D54" w:rsidRDefault="00EA5D54" w:rsidP="00F3359B">
      <w:pPr>
        <w:pStyle w:val="ListBullet"/>
        <w:numPr>
          <w:ilvl w:val="0"/>
          <w:numId w:val="0"/>
        </w:numPr>
      </w:pPr>
    </w:p>
    <w:p w14:paraId="2819B5C3" w14:textId="4FCDD41F" w:rsidR="00812255" w:rsidRPr="00516018" w:rsidRDefault="00812255" w:rsidP="00516018">
      <w:pPr>
        <w:rPr>
          <w:b/>
          <w:bCs/>
          <w:sz w:val="18"/>
          <w:szCs w:val="18"/>
        </w:rPr>
      </w:pPr>
      <w:r w:rsidRPr="00516018">
        <w:rPr>
          <w:b/>
          <w:bCs/>
          <w:sz w:val="18"/>
          <w:szCs w:val="18"/>
        </w:rPr>
        <w:t xml:space="preserve">Figure 1: </w:t>
      </w:r>
      <w:r w:rsidR="00C23BC9" w:rsidRPr="00516018">
        <w:rPr>
          <w:b/>
          <w:bCs/>
          <w:sz w:val="18"/>
          <w:szCs w:val="18"/>
        </w:rPr>
        <w:t>Habitat Value showing areas of biodiversity value ranked from highest (dark blue) to lowest (</w:t>
      </w:r>
      <w:r w:rsidR="0003021E">
        <w:rPr>
          <w:b/>
          <w:bCs/>
          <w:sz w:val="18"/>
          <w:szCs w:val="18"/>
        </w:rPr>
        <w:t>beige</w:t>
      </w:r>
      <w:r w:rsidR="00C23BC9" w:rsidRPr="00516018">
        <w:rPr>
          <w:b/>
          <w:bCs/>
          <w:sz w:val="18"/>
          <w:szCs w:val="18"/>
        </w:rPr>
        <w:t>)</w:t>
      </w:r>
    </w:p>
    <w:p w14:paraId="4A2489A5" w14:textId="77777777" w:rsidR="00B04934" w:rsidRDefault="00B04934" w:rsidP="00762015"/>
    <w:p w14:paraId="573A0BEF" w14:textId="7A80F3CE" w:rsidR="008B6FE3" w:rsidRPr="00762015" w:rsidRDefault="00EB7FE1" w:rsidP="00762015">
      <w:pPr>
        <w:pStyle w:val="Heading2"/>
      </w:pPr>
      <w:r>
        <w:t>Making</w:t>
      </w:r>
      <w:r w:rsidR="00A02557">
        <w:t xml:space="preserve"> </w:t>
      </w:r>
      <w:r>
        <w:t>the Habitat Value map</w:t>
      </w:r>
      <w:r w:rsidR="002723B4">
        <w:t xml:space="preserve"> </w:t>
      </w:r>
    </w:p>
    <w:p w14:paraId="6B300CC7" w14:textId="4F143A86" w:rsidR="002723B4" w:rsidRDefault="002723B4" w:rsidP="002723B4">
      <w:pPr>
        <w:pStyle w:val="Heading3"/>
      </w:pPr>
      <w:r>
        <w:t>Data Inputs</w:t>
      </w:r>
    </w:p>
    <w:p w14:paraId="2D672967" w14:textId="68062FCC" w:rsidR="002723B4" w:rsidRDefault="002723B4" w:rsidP="004105F6">
      <w:pPr>
        <w:pStyle w:val="Default"/>
        <w:spacing w:before="120"/>
        <w:rPr>
          <w:sz w:val="20"/>
          <w:szCs w:val="20"/>
        </w:rPr>
      </w:pPr>
      <w:r>
        <w:rPr>
          <w:sz w:val="20"/>
          <w:szCs w:val="20"/>
        </w:rPr>
        <w:t xml:space="preserve">Habitat Value includes information from the following spatial datasets: </w:t>
      </w:r>
    </w:p>
    <w:p w14:paraId="69AC18AD" w14:textId="4264E344" w:rsidR="002723B4" w:rsidRPr="00671934" w:rsidRDefault="002723B4" w:rsidP="004105F6">
      <w:pPr>
        <w:pStyle w:val="Default"/>
        <w:numPr>
          <w:ilvl w:val="0"/>
          <w:numId w:val="42"/>
        </w:numPr>
        <w:spacing w:before="120"/>
        <w:rPr>
          <w:sz w:val="20"/>
          <w:szCs w:val="20"/>
        </w:rPr>
      </w:pPr>
      <w:r w:rsidRPr="00671934">
        <w:rPr>
          <w:b/>
          <w:bCs/>
          <w:sz w:val="20"/>
          <w:szCs w:val="20"/>
        </w:rPr>
        <w:t>Habitat Distribution Models (HDMs</w:t>
      </w:r>
      <w:r w:rsidRPr="00671934">
        <w:rPr>
          <w:sz w:val="20"/>
          <w:szCs w:val="20"/>
        </w:rPr>
        <w:t xml:space="preserve">) predict where suitable habitat occurs for a species. </w:t>
      </w:r>
      <w:r w:rsidR="001976B0" w:rsidRPr="00671934">
        <w:rPr>
          <w:sz w:val="20"/>
          <w:szCs w:val="20"/>
        </w:rPr>
        <w:t xml:space="preserve">This includes the current potential distribution of likely habitat for </w:t>
      </w:r>
      <w:r w:rsidR="003568E0" w:rsidRPr="00671934">
        <w:rPr>
          <w:sz w:val="20"/>
          <w:szCs w:val="20"/>
        </w:rPr>
        <w:t xml:space="preserve">~4,200 species, including </w:t>
      </w:r>
      <w:r w:rsidR="00641C46" w:rsidRPr="00671934">
        <w:rPr>
          <w:sz w:val="20"/>
          <w:szCs w:val="20"/>
        </w:rPr>
        <w:t xml:space="preserve">all </w:t>
      </w:r>
      <w:r w:rsidR="0006768E" w:rsidRPr="00671934">
        <w:rPr>
          <w:sz w:val="20"/>
          <w:szCs w:val="20"/>
        </w:rPr>
        <w:t>terrestrial</w:t>
      </w:r>
      <w:r w:rsidR="003568E0" w:rsidRPr="00671934">
        <w:rPr>
          <w:sz w:val="20"/>
          <w:szCs w:val="20"/>
        </w:rPr>
        <w:t xml:space="preserve"> fauna and vascular flora</w:t>
      </w:r>
      <w:r w:rsidR="003F141B" w:rsidRPr="00671934">
        <w:rPr>
          <w:sz w:val="20"/>
          <w:szCs w:val="20"/>
        </w:rPr>
        <w:t xml:space="preserve">, as well as </w:t>
      </w:r>
      <w:r w:rsidR="00BF401E" w:rsidRPr="00671934">
        <w:rPr>
          <w:sz w:val="20"/>
          <w:szCs w:val="20"/>
        </w:rPr>
        <w:t xml:space="preserve">some </w:t>
      </w:r>
      <w:r w:rsidR="003F141B" w:rsidRPr="00671934">
        <w:rPr>
          <w:sz w:val="20"/>
          <w:szCs w:val="20"/>
        </w:rPr>
        <w:t xml:space="preserve">rare and threatened </w:t>
      </w:r>
      <w:r w:rsidR="00BF401E" w:rsidRPr="00671934">
        <w:rPr>
          <w:sz w:val="20"/>
          <w:szCs w:val="20"/>
        </w:rPr>
        <w:t>invertebrates</w:t>
      </w:r>
      <w:r w:rsidR="0006768E" w:rsidRPr="00671934">
        <w:rPr>
          <w:sz w:val="20"/>
          <w:szCs w:val="20"/>
        </w:rPr>
        <w:t xml:space="preserve">. </w:t>
      </w:r>
      <w:r w:rsidRPr="00671934">
        <w:rPr>
          <w:sz w:val="20"/>
          <w:szCs w:val="20"/>
        </w:rPr>
        <w:t xml:space="preserve">The </w:t>
      </w:r>
      <w:hyperlink r:id="rId25" w:history="1">
        <w:r w:rsidRPr="00671934">
          <w:rPr>
            <w:rStyle w:val="Hyperlink"/>
            <w:i/>
            <w:iCs/>
            <w:sz w:val="20"/>
            <w:szCs w:val="20"/>
          </w:rPr>
          <w:t xml:space="preserve">Habitat Distribution Models </w:t>
        </w:r>
        <w:r w:rsidRPr="00671934">
          <w:rPr>
            <w:rStyle w:val="Hyperlink"/>
            <w:sz w:val="20"/>
            <w:szCs w:val="20"/>
          </w:rPr>
          <w:t>information sheet</w:t>
        </w:r>
      </w:hyperlink>
      <w:r w:rsidRPr="00671934">
        <w:rPr>
          <w:sz w:val="20"/>
          <w:szCs w:val="20"/>
        </w:rPr>
        <w:t xml:space="preserve"> describes the development of these models</w:t>
      </w:r>
    </w:p>
    <w:p w14:paraId="0A3B90E6" w14:textId="63EBC38D" w:rsidR="002723B4" w:rsidRDefault="002723B4" w:rsidP="004105F6">
      <w:pPr>
        <w:pStyle w:val="Default"/>
        <w:numPr>
          <w:ilvl w:val="0"/>
          <w:numId w:val="42"/>
        </w:numPr>
        <w:spacing w:before="120"/>
        <w:rPr>
          <w:sz w:val="20"/>
          <w:szCs w:val="20"/>
        </w:rPr>
      </w:pPr>
      <w:r>
        <w:rPr>
          <w:b/>
          <w:bCs/>
          <w:sz w:val="20"/>
          <w:szCs w:val="20"/>
        </w:rPr>
        <w:t>Species observations</w:t>
      </w:r>
      <w:r>
        <w:rPr>
          <w:sz w:val="20"/>
          <w:szCs w:val="20"/>
        </w:rPr>
        <w:t xml:space="preserve">- for species without HDMs, records from the Victorian Biodiversity Atlas were used to identify valuable habitat </w:t>
      </w:r>
    </w:p>
    <w:p w14:paraId="34BBF502" w14:textId="25743E1D" w:rsidR="00660628" w:rsidRPr="00516018" w:rsidRDefault="00390EF4" w:rsidP="00516018">
      <w:pPr>
        <w:pStyle w:val="Default"/>
        <w:numPr>
          <w:ilvl w:val="0"/>
          <w:numId w:val="42"/>
        </w:numPr>
        <w:spacing w:before="120"/>
        <w:rPr>
          <w:sz w:val="20"/>
          <w:szCs w:val="20"/>
        </w:rPr>
      </w:pPr>
      <w:r>
        <w:rPr>
          <w:b/>
          <w:bCs/>
          <w:sz w:val="20"/>
          <w:szCs w:val="20"/>
        </w:rPr>
        <w:t>Land Cover Time Series</w:t>
      </w:r>
      <w:r w:rsidR="002723B4">
        <w:rPr>
          <w:b/>
          <w:bCs/>
          <w:sz w:val="20"/>
          <w:szCs w:val="20"/>
        </w:rPr>
        <w:t xml:space="preserve"> </w:t>
      </w:r>
      <w:r w:rsidR="002723B4">
        <w:rPr>
          <w:sz w:val="20"/>
          <w:szCs w:val="20"/>
        </w:rPr>
        <w:t xml:space="preserve">– satellite imagery </w:t>
      </w:r>
      <w:r w:rsidR="005108C3">
        <w:rPr>
          <w:sz w:val="20"/>
          <w:szCs w:val="20"/>
        </w:rPr>
        <w:t xml:space="preserve">was used </w:t>
      </w:r>
      <w:r w:rsidR="00F90E87">
        <w:rPr>
          <w:sz w:val="20"/>
          <w:szCs w:val="20"/>
        </w:rPr>
        <w:t>to generate a view of</w:t>
      </w:r>
      <w:r w:rsidR="002723B4">
        <w:rPr>
          <w:sz w:val="20"/>
          <w:szCs w:val="20"/>
        </w:rPr>
        <w:t xml:space="preserve"> </w:t>
      </w:r>
      <w:r w:rsidR="00F90E87">
        <w:rPr>
          <w:sz w:val="20"/>
          <w:szCs w:val="20"/>
        </w:rPr>
        <w:t>l</w:t>
      </w:r>
      <w:r w:rsidR="002723B4">
        <w:rPr>
          <w:sz w:val="20"/>
          <w:szCs w:val="20"/>
        </w:rPr>
        <w:t xml:space="preserve">and </w:t>
      </w:r>
      <w:r w:rsidR="00F90E87">
        <w:rPr>
          <w:sz w:val="20"/>
          <w:szCs w:val="20"/>
        </w:rPr>
        <w:t>c</w:t>
      </w:r>
      <w:r w:rsidR="002723B4">
        <w:rPr>
          <w:sz w:val="20"/>
          <w:szCs w:val="20"/>
        </w:rPr>
        <w:t>over,</w:t>
      </w:r>
      <w:r w:rsidR="008D2920">
        <w:rPr>
          <w:sz w:val="20"/>
          <w:szCs w:val="20"/>
        </w:rPr>
        <w:t xml:space="preserve"> which</w:t>
      </w:r>
      <w:r w:rsidR="002723B4">
        <w:rPr>
          <w:sz w:val="20"/>
          <w:szCs w:val="20"/>
        </w:rPr>
        <w:t xml:space="preserve"> identifies where native vegetation occurs. </w:t>
      </w:r>
      <w:r w:rsidR="001A7903">
        <w:rPr>
          <w:sz w:val="20"/>
          <w:szCs w:val="20"/>
        </w:rPr>
        <w:t xml:space="preserve">This was </w:t>
      </w:r>
      <w:r w:rsidR="0093379F">
        <w:rPr>
          <w:sz w:val="20"/>
          <w:szCs w:val="20"/>
        </w:rPr>
        <w:t>utilised</w:t>
      </w:r>
      <w:r w:rsidR="001A7903">
        <w:rPr>
          <w:sz w:val="20"/>
          <w:szCs w:val="20"/>
        </w:rPr>
        <w:t xml:space="preserve"> to remove lost habitat</w:t>
      </w:r>
      <w:r w:rsidR="00516018">
        <w:rPr>
          <w:sz w:val="20"/>
          <w:szCs w:val="20"/>
        </w:rPr>
        <w:t xml:space="preserve"> from HDMs prior to their use in creating the Habitat Value map</w:t>
      </w:r>
      <w:r w:rsidR="001A7903">
        <w:rPr>
          <w:sz w:val="20"/>
          <w:szCs w:val="20"/>
        </w:rPr>
        <w:t>.</w:t>
      </w:r>
    </w:p>
    <w:p w14:paraId="279B52F4" w14:textId="77777777" w:rsidR="00516018" w:rsidRDefault="00516018" w:rsidP="00660628">
      <w:pPr>
        <w:pStyle w:val="Default"/>
        <w:spacing w:before="120"/>
        <w:ind w:left="720"/>
        <w:rPr>
          <w:sz w:val="20"/>
          <w:szCs w:val="20"/>
        </w:rPr>
      </w:pPr>
    </w:p>
    <w:p w14:paraId="49C707EC" w14:textId="1DAEA173" w:rsidR="002723B4" w:rsidRDefault="00EB7FE1" w:rsidP="004105F6">
      <w:pPr>
        <w:pStyle w:val="Heading3"/>
      </w:pPr>
      <w:r>
        <w:lastRenderedPageBreak/>
        <w:t>Identifying high value areas</w:t>
      </w:r>
    </w:p>
    <w:p w14:paraId="006FE407" w14:textId="5C075F6B" w:rsidR="007475CD" w:rsidRPr="007475CD" w:rsidRDefault="007475CD" w:rsidP="007475CD">
      <w:pPr>
        <w:pStyle w:val="Default"/>
        <w:spacing w:before="120"/>
        <w:rPr>
          <w:rFonts w:asciiTheme="minorHAnsi" w:hAnsiTheme="minorHAnsi" w:cstheme="minorBidi"/>
          <w:sz w:val="20"/>
          <w:szCs w:val="20"/>
        </w:rPr>
      </w:pPr>
      <w:r w:rsidRPr="1A958694">
        <w:rPr>
          <w:rFonts w:asciiTheme="minorHAnsi" w:hAnsiTheme="minorHAnsi" w:cstheme="minorBidi"/>
          <w:sz w:val="20"/>
          <w:szCs w:val="20"/>
        </w:rPr>
        <w:t xml:space="preserve">The Habitat Value map was created using Zonation conservation planning software. The analysis ranks all locations across Victoria for their ability to represent </w:t>
      </w:r>
      <w:r w:rsidR="00C46D68">
        <w:rPr>
          <w:rFonts w:asciiTheme="minorHAnsi" w:hAnsiTheme="minorHAnsi" w:cstheme="minorBidi"/>
          <w:sz w:val="20"/>
          <w:szCs w:val="20"/>
        </w:rPr>
        <w:t>high value</w:t>
      </w:r>
      <w:r w:rsidR="00752DB5">
        <w:rPr>
          <w:rFonts w:asciiTheme="minorHAnsi" w:hAnsiTheme="minorHAnsi" w:cstheme="minorBidi"/>
          <w:sz w:val="20"/>
          <w:szCs w:val="20"/>
        </w:rPr>
        <w:t xml:space="preserve"> habitat for</w:t>
      </w:r>
      <w:r w:rsidRPr="1A958694">
        <w:rPr>
          <w:rFonts w:asciiTheme="minorHAnsi" w:hAnsiTheme="minorHAnsi" w:cstheme="minorBidi"/>
          <w:sz w:val="20"/>
          <w:szCs w:val="20"/>
        </w:rPr>
        <w:t xml:space="preserve"> Victoria’s plants and animals (vertebrate fauna and vascular flora). The ranking is based on </w:t>
      </w:r>
      <w:r w:rsidR="00193F4B">
        <w:rPr>
          <w:rFonts w:asciiTheme="minorHAnsi" w:hAnsiTheme="minorHAnsi" w:cstheme="minorBidi"/>
          <w:sz w:val="20"/>
          <w:szCs w:val="20"/>
        </w:rPr>
        <w:t>maximising the representation of each species</w:t>
      </w:r>
      <w:r w:rsidRPr="1A958694">
        <w:rPr>
          <w:rFonts w:asciiTheme="minorHAnsi" w:hAnsiTheme="minorHAnsi" w:cstheme="minorBidi"/>
          <w:sz w:val="20"/>
          <w:szCs w:val="20"/>
        </w:rPr>
        <w:t xml:space="preserve">. </w:t>
      </w:r>
    </w:p>
    <w:p w14:paraId="5F8B8987" w14:textId="77777777" w:rsidR="007475CD" w:rsidRPr="007475CD" w:rsidRDefault="007475CD" w:rsidP="007475CD">
      <w:pPr>
        <w:pStyle w:val="Default"/>
        <w:spacing w:before="120"/>
        <w:rPr>
          <w:rFonts w:asciiTheme="minorHAnsi" w:hAnsiTheme="minorHAnsi" w:cstheme="minorHAnsi"/>
          <w:sz w:val="20"/>
          <w:szCs w:val="20"/>
        </w:rPr>
      </w:pPr>
      <w:r w:rsidRPr="007475CD">
        <w:rPr>
          <w:rFonts w:asciiTheme="minorHAnsi" w:hAnsiTheme="minorHAnsi" w:cstheme="minorHAnsi"/>
          <w:sz w:val="20"/>
          <w:szCs w:val="20"/>
        </w:rPr>
        <w:t xml:space="preserve">The analysis starts by identifying locations with the lowest biodiversity value and then finds the location with the next lowest value. This process continues until all locations statewide are ranked from 0 (lowest value) to 100 (highest value). </w:t>
      </w:r>
    </w:p>
    <w:p w14:paraId="0727E799" w14:textId="75A6A88E" w:rsidR="007475CD" w:rsidRPr="007475CD" w:rsidRDefault="007475CD" w:rsidP="007475CD">
      <w:pPr>
        <w:pStyle w:val="Default"/>
        <w:spacing w:before="120"/>
        <w:rPr>
          <w:rFonts w:asciiTheme="minorHAnsi" w:hAnsiTheme="minorHAnsi" w:cstheme="minorHAnsi"/>
          <w:sz w:val="20"/>
          <w:szCs w:val="20"/>
        </w:rPr>
      </w:pPr>
      <w:r w:rsidRPr="007475CD">
        <w:rPr>
          <w:rFonts w:asciiTheme="minorHAnsi" w:hAnsiTheme="minorHAnsi" w:cstheme="minorHAnsi"/>
          <w:sz w:val="20"/>
          <w:szCs w:val="20"/>
        </w:rPr>
        <w:t xml:space="preserve">This iterative, bottom-up approach ensures that high value areas in the landscape are appropriately </w:t>
      </w:r>
      <w:r w:rsidR="00636F92">
        <w:rPr>
          <w:rFonts w:asciiTheme="minorHAnsi" w:hAnsiTheme="minorHAnsi" w:cstheme="minorHAnsi"/>
          <w:sz w:val="20"/>
          <w:szCs w:val="20"/>
        </w:rPr>
        <w:t xml:space="preserve">represented and </w:t>
      </w:r>
      <w:r w:rsidRPr="007475CD">
        <w:rPr>
          <w:rFonts w:asciiTheme="minorHAnsi" w:hAnsiTheme="minorHAnsi" w:cstheme="minorHAnsi"/>
          <w:sz w:val="20"/>
          <w:szCs w:val="20"/>
        </w:rPr>
        <w:t xml:space="preserve">connected to other high value areas. </w:t>
      </w:r>
    </w:p>
    <w:p w14:paraId="20EC9893" w14:textId="7E0939ED" w:rsidR="007475CD" w:rsidRPr="007475CD" w:rsidRDefault="007475CD" w:rsidP="007475CD">
      <w:pPr>
        <w:pStyle w:val="Default"/>
        <w:spacing w:before="120"/>
        <w:rPr>
          <w:rFonts w:asciiTheme="minorHAnsi" w:hAnsiTheme="minorHAnsi" w:cstheme="minorBidi"/>
          <w:sz w:val="20"/>
          <w:szCs w:val="20"/>
        </w:rPr>
      </w:pPr>
      <w:r w:rsidRPr="1A958694">
        <w:rPr>
          <w:rFonts w:asciiTheme="minorHAnsi" w:hAnsiTheme="minorHAnsi" w:cstheme="minorBidi"/>
          <w:sz w:val="20"/>
          <w:szCs w:val="20"/>
        </w:rPr>
        <w:t xml:space="preserve">Some locations with lower condition vegetation can still be highly ranked because they are the only remaining habitat for certain species (e.g. endemic species) or provide important </w:t>
      </w:r>
      <w:r w:rsidR="48BE4F63" w:rsidRPr="1A958694">
        <w:rPr>
          <w:rFonts w:asciiTheme="minorHAnsi" w:hAnsiTheme="minorHAnsi" w:cstheme="minorBidi"/>
          <w:sz w:val="20"/>
          <w:szCs w:val="20"/>
        </w:rPr>
        <w:t>connectivity between other important habitat</w:t>
      </w:r>
      <w:r w:rsidRPr="1A958694">
        <w:rPr>
          <w:rFonts w:asciiTheme="minorHAnsi" w:hAnsiTheme="minorHAnsi" w:cstheme="minorBidi"/>
          <w:sz w:val="20"/>
          <w:szCs w:val="20"/>
        </w:rPr>
        <w:t xml:space="preserve">. </w:t>
      </w:r>
    </w:p>
    <w:p w14:paraId="2704E5CD" w14:textId="465548E0" w:rsidR="00E82F57" w:rsidRPr="00B70C5F" w:rsidRDefault="007475CD" w:rsidP="00B70C5F">
      <w:pPr>
        <w:pStyle w:val="BodyText"/>
        <w:spacing w:after="0"/>
        <w:rPr>
          <w:rFonts w:cstheme="minorHAnsi"/>
        </w:rPr>
      </w:pPr>
      <w:r w:rsidRPr="007475CD">
        <w:rPr>
          <w:rFonts w:cstheme="minorHAnsi"/>
        </w:rPr>
        <w:t>Habitat Value rankings use Core-area Zonation to ensure rare species are carefully accounted for. Some areas with high Habitat Value may therefore be due to the occurrence of a single rare species despite supporting relatively few species overall.</w:t>
      </w:r>
    </w:p>
    <w:p w14:paraId="3E5763DE" w14:textId="77777777" w:rsidR="000B650E" w:rsidRDefault="000B650E" w:rsidP="0085284C">
      <w:pPr>
        <w:pStyle w:val="Heading2"/>
      </w:pPr>
      <w:bookmarkStart w:id="2" w:name="_Hlk131848832"/>
      <w:r w:rsidRPr="00455569">
        <w:t>Continuous improvement</w:t>
      </w:r>
    </w:p>
    <w:p w14:paraId="399F1557" w14:textId="17BC36EC" w:rsidR="000B650E" w:rsidRPr="00B77905" w:rsidRDefault="000B650E" w:rsidP="000B650E">
      <w:pPr>
        <w:pStyle w:val="BodyText"/>
      </w:pPr>
      <w:r>
        <w:t xml:space="preserve">We are committed to a continuous improvement approach, which enables products and tools to be updated as further data, computational power, research, and modelling methods become available. </w:t>
      </w:r>
    </w:p>
    <w:p w14:paraId="6AD1FA33" w14:textId="3CCE1E58" w:rsidR="00E82F57" w:rsidRDefault="000B650E" w:rsidP="000B650E">
      <w:pPr>
        <w:pStyle w:val="BodyText"/>
      </w:pPr>
      <w:r>
        <w:t xml:space="preserve">Everyone can contribute to the improvement of </w:t>
      </w:r>
      <w:r w:rsidR="009319D2">
        <w:t>these datasets</w:t>
      </w:r>
      <w:r w:rsidR="00682F90">
        <w:t xml:space="preserve">, </w:t>
      </w:r>
      <w:r w:rsidR="00B74BC3">
        <w:t>maps,</w:t>
      </w:r>
      <w:r w:rsidR="009319D2">
        <w:t xml:space="preserve"> and</w:t>
      </w:r>
      <w:r>
        <w:t xml:space="preserve"> tools. For example, by submitting species records to the Victorian Biodiversity Atlas</w:t>
      </w:r>
      <w:r w:rsidR="5EF77FC5">
        <w:t>,</w:t>
      </w:r>
      <w:r>
        <w:t xml:space="preserve"> which is a key source of information for </w:t>
      </w:r>
      <w:r w:rsidR="009319D2">
        <w:t>Habitat Value and other datasets and decision-support tools</w:t>
      </w:r>
      <w:r>
        <w:t xml:space="preserve">. Visit the </w:t>
      </w:r>
      <w:hyperlink r:id="rId26">
        <w:r w:rsidRPr="4BFDBD3A">
          <w:rPr>
            <w:rStyle w:val="Hyperlink"/>
          </w:rPr>
          <w:t>Victorian Biodiversity Atlas</w:t>
        </w:r>
      </w:hyperlink>
      <w:r>
        <w:t xml:space="preserve"> web page for more information.</w:t>
      </w:r>
    </w:p>
    <w:p w14:paraId="17761E8B" w14:textId="7A9C9719" w:rsidR="0085284C" w:rsidRDefault="009A5546" w:rsidP="0085284C">
      <w:pPr>
        <w:pStyle w:val="Heading3"/>
      </w:pPr>
      <w:r>
        <w:t>Building on existing tools</w:t>
      </w:r>
    </w:p>
    <w:p w14:paraId="297E86B3" w14:textId="1A161924" w:rsidR="0085284C" w:rsidRDefault="0085284C" w:rsidP="0085284C">
      <w:pPr>
        <w:pStyle w:val="BodyText"/>
      </w:pPr>
      <w:r>
        <w:t>Habitat Value</w:t>
      </w:r>
      <w:r w:rsidRPr="00872B10">
        <w:t xml:space="preserve"> </w:t>
      </w:r>
      <w:r w:rsidR="00C76B71">
        <w:t xml:space="preserve">builds upon previous decision support tools, including the </w:t>
      </w:r>
      <w:r>
        <w:t>Strategic Biodiversity Values (SBV) v4 dataset from 2016</w:t>
      </w:r>
      <w:r w:rsidR="00626176">
        <w:t>,</w:t>
      </w:r>
      <w:r>
        <w:t xml:space="preserve"> by:</w:t>
      </w:r>
    </w:p>
    <w:p w14:paraId="76025073" w14:textId="77777777" w:rsidR="0085284C" w:rsidRDefault="0085284C" w:rsidP="0085284C">
      <w:pPr>
        <w:pStyle w:val="BodyText"/>
        <w:numPr>
          <w:ilvl w:val="0"/>
          <w:numId w:val="43"/>
        </w:numPr>
      </w:pPr>
      <w:r>
        <w:t>Improving the spatial resolution from 225m pixels to 75m pixels</w:t>
      </w:r>
    </w:p>
    <w:p w14:paraId="51D53A4C" w14:textId="77777777" w:rsidR="0085284C" w:rsidRDefault="0085284C" w:rsidP="0085284C">
      <w:pPr>
        <w:pStyle w:val="BodyText"/>
        <w:numPr>
          <w:ilvl w:val="0"/>
          <w:numId w:val="43"/>
        </w:numPr>
      </w:pPr>
      <w:r>
        <w:t>Including all species where habitat models are available, rather than just threatened species</w:t>
      </w:r>
    </w:p>
    <w:p w14:paraId="3D2CE2FE" w14:textId="77777777" w:rsidR="00610AE5" w:rsidRDefault="0085284C">
      <w:pPr>
        <w:pStyle w:val="BodyText"/>
        <w:numPr>
          <w:ilvl w:val="0"/>
          <w:numId w:val="43"/>
        </w:numPr>
      </w:pPr>
      <w:r>
        <w:t>Including the latest Land Cover Time Series epoch to define native vs non-native land cover types</w:t>
      </w:r>
      <w:r w:rsidR="009A73A1">
        <w:t>.</w:t>
      </w:r>
    </w:p>
    <w:p w14:paraId="01540459" w14:textId="77777777" w:rsidR="00102505" w:rsidRDefault="00102505" w:rsidP="00102505">
      <w:pPr>
        <w:pStyle w:val="NoteHeading"/>
        <w:ind w:left="360"/>
      </w:pPr>
    </w:p>
    <w:p w14:paraId="6038507B" w14:textId="77777777" w:rsidR="00102505" w:rsidRDefault="00102505" w:rsidP="00102505">
      <w:pPr>
        <w:pStyle w:val="NoteHeading"/>
        <w:ind w:left="360"/>
      </w:pPr>
    </w:p>
    <w:p w14:paraId="523BB709" w14:textId="77777777" w:rsidR="00610AE5" w:rsidRDefault="00610AE5" w:rsidP="00610AE5">
      <w:pPr>
        <w:pStyle w:val="BodyText"/>
      </w:pPr>
    </w:p>
    <w:p w14:paraId="57E9C5C9" w14:textId="77777777" w:rsidR="00610AE5" w:rsidRPr="00390EF4" w:rsidRDefault="00610AE5" w:rsidP="0075493F">
      <w:pPr>
        <w:pStyle w:val="HighlightBoxText"/>
        <w:spacing w:before="0" w:after="0" w:line="200" w:lineRule="exact"/>
        <w:ind w:left="567" w:right="284"/>
        <w:rPr>
          <w:b/>
          <w:bCs/>
          <w:sz w:val="22"/>
          <w:szCs w:val="22"/>
        </w:rPr>
      </w:pPr>
      <w:r w:rsidRPr="00390EF4">
        <w:rPr>
          <w:b/>
          <w:bCs/>
          <w:sz w:val="22"/>
          <w:szCs w:val="22"/>
        </w:rPr>
        <w:t>How do I access Habitat Value?</w:t>
      </w:r>
    </w:p>
    <w:p w14:paraId="283877A2" w14:textId="77777777" w:rsidR="004A4231" w:rsidRDefault="004A4231" w:rsidP="0075493F">
      <w:pPr>
        <w:pStyle w:val="HighlightBoxText"/>
        <w:spacing w:before="0" w:after="0"/>
        <w:ind w:left="567" w:right="284"/>
        <w:rPr>
          <w:sz w:val="18"/>
          <w:szCs w:val="18"/>
        </w:rPr>
      </w:pPr>
    </w:p>
    <w:p w14:paraId="3E5590FA" w14:textId="0420F672" w:rsidR="00610AE5" w:rsidRPr="00390EF4" w:rsidRDefault="00610AE5" w:rsidP="0075493F">
      <w:pPr>
        <w:pStyle w:val="HighlightBoxText"/>
        <w:spacing w:before="0" w:after="0"/>
        <w:ind w:left="567" w:right="284"/>
        <w:rPr>
          <w:sz w:val="20"/>
        </w:rPr>
      </w:pPr>
      <w:r w:rsidRPr="00390EF4">
        <w:rPr>
          <w:sz w:val="20"/>
        </w:rPr>
        <w:t xml:space="preserve">You can view DEECA’s </w:t>
      </w:r>
      <w:r w:rsidR="00D15237">
        <w:rPr>
          <w:sz w:val="20"/>
        </w:rPr>
        <w:t>biodiversity spatial datasets</w:t>
      </w:r>
      <w:r w:rsidRPr="00390EF4">
        <w:rPr>
          <w:sz w:val="20"/>
        </w:rPr>
        <w:t xml:space="preserve">, including Habitat Value, using </w:t>
      </w:r>
      <w:hyperlink r:id="rId27" w:history="1">
        <w:r w:rsidRPr="00390EF4">
          <w:rPr>
            <w:rStyle w:val="Hyperlink"/>
            <w:sz w:val="20"/>
          </w:rPr>
          <w:t>NatureKit</w:t>
        </w:r>
      </w:hyperlink>
      <w:r w:rsidRPr="00390EF4">
        <w:rPr>
          <w:sz w:val="20"/>
        </w:rPr>
        <w:t xml:space="preserve"> – the department’s online biodiversity mapping and reporting tool. </w:t>
      </w:r>
    </w:p>
    <w:p w14:paraId="7C9227C7" w14:textId="77777777" w:rsidR="00D569B4" w:rsidRPr="00390EF4" w:rsidRDefault="00D569B4" w:rsidP="0075493F">
      <w:pPr>
        <w:pStyle w:val="HighlightBoxText"/>
        <w:spacing w:before="0" w:after="0"/>
        <w:ind w:left="567" w:right="284"/>
        <w:rPr>
          <w:sz w:val="20"/>
        </w:rPr>
      </w:pPr>
    </w:p>
    <w:p w14:paraId="1FF06AB8" w14:textId="5581B99E" w:rsidR="00D569B4" w:rsidRPr="00390EF4" w:rsidRDefault="00D569B4" w:rsidP="0075493F">
      <w:pPr>
        <w:pStyle w:val="HighlightBoxText"/>
        <w:spacing w:before="0" w:after="0"/>
        <w:ind w:left="567" w:right="284"/>
        <w:rPr>
          <w:sz w:val="20"/>
        </w:rPr>
      </w:pPr>
      <w:r w:rsidRPr="00390EF4">
        <w:rPr>
          <w:sz w:val="20"/>
        </w:rPr>
        <w:t xml:space="preserve">The Habitat Value </w:t>
      </w:r>
      <w:r w:rsidR="003466B8" w:rsidRPr="00390EF4">
        <w:rPr>
          <w:sz w:val="20"/>
        </w:rPr>
        <w:t xml:space="preserve">spatial </w:t>
      </w:r>
      <w:r w:rsidRPr="00390EF4">
        <w:rPr>
          <w:sz w:val="20"/>
        </w:rPr>
        <w:t xml:space="preserve">dataset can be downloaded from DEECA’s </w:t>
      </w:r>
      <w:hyperlink r:id="rId28" w:history="1">
        <w:r w:rsidRPr="00390EF4">
          <w:rPr>
            <w:rStyle w:val="Hyperlink"/>
            <w:sz w:val="20"/>
          </w:rPr>
          <w:t>DataShare</w:t>
        </w:r>
      </w:hyperlink>
      <w:r w:rsidRPr="00390EF4">
        <w:rPr>
          <w:sz w:val="20"/>
        </w:rPr>
        <w:t xml:space="preserve"> </w:t>
      </w:r>
      <w:r w:rsidR="00135B31" w:rsidRPr="00390EF4">
        <w:rPr>
          <w:sz w:val="20"/>
        </w:rPr>
        <w:t>platform</w:t>
      </w:r>
      <w:r w:rsidR="00D71A1B">
        <w:rPr>
          <w:sz w:val="20"/>
        </w:rPr>
        <w:t>.</w:t>
      </w:r>
    </w:p>
    <w:p w14:paraId="35FA1B6F" w14:textId="77777777" w:rsidR="00E63A64" w:rsidRDefault="00E63A64" w:rsidP="00E63A64">
      <w:pPr>
        <w:pStyle w:val="BodyText"/>
      </w:pPr>
    </w:p>
    <w:p w14:paraId="7D942910" w14:textId="5BEE1EAD" w:rsidR="00E63A64" w:rsidRPr="0075493F" w:rsidRDefault="004A4231" w:rsidP="0075493F">
      <w:pPr>
        <w:pStyle w:val="BodyText"/>
        <w:ind w:left="284"/>
      </w:pPr>
      <w:r w:rsidRPr="0075493F">
        <w:t xml:space="preserve">Habitat Value was </w:t>
      </w:r>
      <w:r w:rsidR="00ED3372" w:rsidRPr="0075493F">
        <w:t>produced</w:t>
      </w:r>
      <w:r w:rsidR="001E681A" w:rsidRPr="0075493F">
        <w:t xml:space="preserve"> </w:t>
      </w:r>
      <w:r w:rsidR="00ED3372" w:rsidRPr="0075493F">
        <w:t>utilising</w:t>
      </w:r>
      <w:r w:rsidR="00E50FD0" w:rsidRPr="0075493F">
        <w:t xml:space="preserve"> the technical expertise of the Arthur Rylah Institute</w:t>
      </w:r>
      <w:r w:rsidR="001B29C2">
        <w:t xml:space="preserve"> for Environmental Research</w:t>
      </w:r>
      <w:r w:rsidR="00E50FD0" w:rsidRPr="0075493F">
        <w:t xml:space="preserve"> (ARI).</w:t>
      </w:r>
      <w:r w:rsidR="00ED3372" w:rsidRPr="0075493F">
        <w:t xml:space="preserve"> </w:t>
      </w:r>
      <w:r w:rsidR="0075493F">
        <w:t>Vi</w:t>
      </w:r>
      <w:r w:rsidR="00413FEB">
        <w:t>s</w:t>
      </w:r>
      <w:r w:rsidR="0075493F">
        <w:t xml:space="preserve">it the </w:t>
      </w:r>
      <w:hyperlink r:id="rId29" w:history="1">
        <w:r w:rsidR="0075493F" w:rsidRPr="0075493F">
          <w:rPr>
            <w:rStyle w:val="Hyperlink"/>
          </w:rPr>
          <w:t>ARI website</w:t>
        </w:r>
      </w:hyperlink>
      <w:r w:rsidR="0075493F">
        <w:t xml:space="preserve"> to learn more about the Institute.</w:t>
      </w:r>
    </w:p>
    <w:p w14:paraId="548741C9" w14:textId="7E0CF5B9" w:rsidR="00FF209D" w:rsidRDefault="0085284C" w:rsidP="00610AE5">
      <w:pPr>
        <w:pStyle w:val="BodyText"/>
      </w:pPr>
      <w:r>
        <w:t xml:space="preserve"> </w:t>
      </w:r>
    </w:p>
    <w:p w14:paraId="75AF36D5" w14:textId="77777777" w:rsidR="00812255" w:rsidRPr="00113CFE" w:rsidRDefault="00812255" w:rsidP="00812255">
      <w:pPr>
        <w:pStyle w:val="DisclaimerText"/>
        <w:framePr w:wrap="around"/>
      </w:pPr>
      <w:r>
        <w:rPr>
          <w:noProof/>
        </w:rPr>
        <w:lastRenderedPageBreak/>
        <mc:AlternateContent>
          <mc:Choice Requires="wps">
            <w:drawing>
              <wp:inline distT="0" distB="0" distL="0" distR="0" wp14:anchorId="5A9FA4AB" wp14:editId="397D0E1C">
                <wp:extent cx="5287198" cy="985860"/>
                <wp:effectExtent l="0" t="0" r="8890" b="5080"/>
                <wp:docPr id="13" name="Freeform: Shape 13"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435CD5C5"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5A9FA4AB" id="Freeform: Shape 13" o:spid="_x0000_s1026"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46XAMAAAI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435CD5C5"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58247" behindDoc="0" locked="1" layoutInCell="1" allowOverlap="1" wp14:anchorId="0D9327C9" wp14:editId="6169F4CD">
            <wp:simplePos x="0" y="0"/>
            <wp:positionH relativeFrom="page">
              <wp:posOffset>4824730</wp:posOffset>
            </wp:positionH>
            <wp:positionV relativeFrom="line">
              <wp:posOffset>0</wp:posOffset>
            </wp:positionV>
            <wp:extent cx="1656000" cy="986400"/>
            <wp:effectExtent l="0" t="0" r="1905" b="444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5DD77A98" w14:textId="33E913C5" w:rsidR="00812255" w:rsidRPr="00113CFE" w:rsidRDefault="00812255" w:rsidP="00812255">
      <w:pPr>
        <w:pStyle w:val="DisclaimerText"/>
        <w:framePr w:wrap="around"/>
      </w:pPr>
      <w:r w:rsidRPr="00113CFE">
        <w:t>©</w:t>
      </w:r>
      <w:bookmarkStart w:id="3" w:name="_Copyright"/>
      <w:bookmarkEnd w:id="3"/>
      <w:r w:rsidRPr="00113CFE">
        <w:t xml:space="preserve"> The State of Victoria Department of Energy, Environment and Climate Action </w:t>
      </w:r>
      <w:r w:rsidR="00DA13D1">
        <w:t>October 2024</w:t>
      </w:r>
      <w:r w:rsidR="00AF7961">
        <w:t xml:space="preserve"> </w:t>
      </w:r>
    </w:p>
    <w:p w14:paraId="2E8704BE" w14:textId="77777777" w:rsidR="00812255" w:rsidRPr="008B65E6" w:rsidRDefault="00812255" w:rsidP="00812255">
      <w:pPr>
        <w:pStyle w:val="DisclaimerText"/>
        <w:framePr w:wrap="around"/>
        <w:rPr>
          <w:rFonts w:ascii="Arial Bold" w:hAnsi="Arial Bold"/>
        </w:rPr>
      </w:pPr>
      <w:bookmarkStart w:id="4" w:name="_CreativeCommonsMarker"/>
      <w:bookmarkStart w:id="5" w:name="_CreativeCommonsContent"/>
      <w:bookmarkEnd w:id="2"/>
      <w:bookmarkEnd w:id="4"/>
      <w:r w:rsidRPr="008B65E6">
        <w:rPr>
          <w:rFonts w:ascii="Arial Bold" w:hAnsi="Arial Bold"/>
        </w:rPr>
        <w:t>Creative Commons</w:t>
      </w:r>
    </w:p>
    <w:p w14:paraId="0CCDB99B" w14:textId="77777777" w:rsidR="00812255" w:rsidRPr="00113CFE" w:rsidRDefault="00812255" w:rsidP="00812255">
      <w:pPr>
        <w:pStyle w:val="DisclaimerText"/>
        <w:framePr w:wrap="around"/>
        <w:rPr>
          <w:rFonts w:ascii="Arial Bold" w:hAnsi="Arial Bold"/>
        </w:rPr>
      </w:pPr>
      <w:r w:rsidRPr="00113CFE">
        <w:t xml:space="preserve">This work is licensed under a Creative Commons Attribution 4.0 International licence, visit the </w:t>
      </w:r>
      <w:hyperlink r:id="rId31" w:tooltip="Creative Commons website" w:history="1">
        <w:r w:rsidRPr="00113CFE">
          <w:rPr>
            <w:u w:val="single"/>
          </w:rPr>
          <w:t>Creative Commons website</w:t>
        </w:r>
      </w:hyperlink>
      <w:r w:rsidRPr="00113CFE">
        <w:t xml:space="preserve"> (</w:t>
      </w:r>
      <w:hyperlink r:id="rId32" w:history="1">
        <w:r w:rsidRPr="00113CFE">
          <w:t>http://creativecommons.org/licenses/by/4.0/</w:t>
        </w:r>
      </w:hyperlink>
      <w:r w:rsidRPr="00113CFE">
        <w:t>).</w:t>
      </w:r>
    </w:p>
    <w:p w14:paraId="406AA2BF" w14:textId="1D39AB7E" w:rsidR="00812255" w:rsidRDefault="00812255" w:rsidP="00812255">
      <w:pPr>
        <w:pStyle w:val="DisclaimerText"/>
        <w:framePr w:wrap="around"/>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250B6A20" w14:textId="61ACE0BF" w:rsidR="00A52212" w:rsidRPr="00A52212" w:rsidRDefault="00A52212" w:rsidP="00812255">
      <w:pPr>
        <w:pStyle w:val="DisclaimerText"/>
        <w:framePr w:wrap="around"/>
      </w:pPr>
      <w:r w:rsidRPr="00113CFE">
        <w:t xml:space="preserve">ISBN </w:t>
      </w:r>
      <w:r w:rsidR="003A2D70" w:rsidRPr="003A2D70">
        <w:t>978-1-76136-994-0</w:t>
      </w:r>
      <w:r w:rsidRPr="00113CFE">
        <w:t xml:space="preserve"> (print) </w:t>
      </w:r>
      <w:r w:rsidRPr="00113CFE">
        <w:br/>
        <w:t xml:space="preserve">ISBN </w:t>
      </w:r>
      <w:r w:rsidR="003A2D70" w:rsidRPr="003A2D70">
        <w:t xml:space="preserve">978-1-76136-994-0 </w:t>
      </w:r>
      <w:r w:rsidRPr="00113CFE">
        <w:t>(pdf)</w:t>
      </w:r>
    </w:p>
    <w:p w14:paraId="55F25207" w14:textId="77777777" w:rsidR="00812255" w:rsidRPr="008B65E6" w:rsidRDefault="00812255" w:rsidP="00812255">
      <w:pPr>
        <w:pStyle w:val="DisclaimerText"/>
        <w:framePr w:wrap="around"/>
        <w:rPr>
          <w:rFonts w:ascii="Arial Bold" w:hAnsi="Arial Bold"/>
        </w:rPr>
      </w:pPr>
      <w:r w:rsidRPr="008B65E6">
        <w:rPr>
          <w:rFonts w:ascii="Arial Bold" w:hAnsi="Arial Bold"/>
        </w:rPr>
        <w:t>Disclaimer</w:t>
      </w:r>
    </w:p>
    <w:p w14:paraId="4C41ABD0" w14:textId="77777777" w:rsidR="00812255" w:rsidRPr="00113CFE" w:rsidRDefault="00812255" w:rsidP="00812255">
      <w:pPr>
        <w:pStyle w:val="DisclaimerText"/>
        <w:framePr w:wrap="around"/>
      </w:pPr>
      <w:r w:rsidRPr="00113CFE">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0E69192A" w14:textId="77777777" w:rsidR="00812255" w:rsidRPr="008B65E6" w:rsidRDefault="00812255" w:rsidP="00812255">
      <w:pPr>
        <w:pStyle w:val="DisclaimerText12pt"/>
        <w:framePr w:wrap="around"/>
        <w:rPr>
          <w:rFonts w:ascii="Arial Bold" w:hAnsi="Arial Bold"/>
        </w:rPr>
      </w:pPr>
      <w:r w:rsidRPr="008B65E6">
        <w:rPr>
          <w:rFonts w:ascii="Arial Bold" w:hAnsi="Arial Bold"/>
        </w:rPr>
        <w:t>Accessibility</w:t>
      </w:r>
    </w:p>
    <w:p w14:paraId="54D92125" w14:textId="095A556A" w:rsidR="00525647" w:rsidRDefault="00812255" w:rsidP="00F000FB">
      <w:pPr>
        <w:pStyle w:val="DisclaimerText12pt"/>
        <w:framePr w:wrap="around"/>
      </w:pPr>
      <w:r w:rsidRPr="00113CFE">
        <w:t xml:space="preserve">To receive this document in an alternative format, phone the Customer Service Centre on 136 186, email </w:t>
      </w:r>
      <w:hyperlink r:id="rId33" w:history="1">
        <w:r w:rsidRPr="00113CFE">
          <w:rPr>
            <w:szCs w:val="24"/>
            <w:u w:val="single"/>
          </w:rPr>
          <w:t>customer.service@delwp.vic.gov.au</w:t>
        </w:r>
      </w:hyperlink>
      <w:r w:rsidRPr="00113CFE">
        <w:t xml:space="preserve">, or contact National Relay Service on 133 677. Available at </w:t>
      </w:r>
      <w:hyperlink r:id="rId34" w:tooltip="Department of Energy, Environment and Climate Action website" w:history="1">
        <w:r w:rsidRPr="00113CFE">
          <w:rPr>
            <w:szCs w:val="24"/>
            <w:u w:val="single"/>
          </w:rPr>
          <w:t>DEECA website</w:t>
        </w:r>
      </w:hyperlink>
      <w:r w:rsidRPr="00113CFE">
        <w:t xml:space="preserve"> (</w:t>
      </w:r>
      <w:hyperlink r:id="rId35" w:history="1">
        <w:r w:rsidR="00E1400F" w:rsidRPr="00F35D35">
          <w:rPr>
            <w:rStyle w:val="Hyperlink"/>
          </w:rPr>
          <w:t>www.deeca.vic.gov.au</w:t>
        </w:r>
      </w:hyperlink>
      <w:r w:rsidRPr="00113CFE">
        <w:t>).</w:t>
      </w:r>
      <w:bookmarkEnd w:id="5"/>
    </w:p>
    <w:p w14:paraId="7DC9FF3A" w14:textId="77777777" w:rsidR="00E1400F" w:rsidRDefault="00E1400F" w:rsidP="00F000FB">
      <w:pPr>
        <w:pStyle w:val="DisclaimerText12pt"/>
        <w:framePr w:wrap="around"/>
      </w:pPr>
    </w:p>
    <w:p w14:paraId="31D887D5" w14:textId="6D02707D" w:rsidR="00E1400F" w:rsidRPr="006614E4" w:rsidRDefault="00E1400F" w:rsidP="00F000FB">
      <w:pPr>
        <w:pStyle w:val="DisclaimerText12pt"/>
        <w:framePr w:wrap="around"/>
      </w:pPr>
      <w:r>
        <w:t>Habi</w:t>
      </w:r>
      <w:r w:rsidR="00DD4409">
        <w:t xml:space="preserve">tat Value information is also available at the </w:t>
      </w:r>
      <w:hyperlink r:id="rId36" w:history="1">
        <w:r w:rsidR="00DD4409" w:rsidRPr="00DD4409">
          <w:rPr>
            <w:rStyle w:val="Hyperlink"/>
          </w:rPr>
          <w:t>Habitat Value website</w:t>
        </w:r>
      </w:hyperlink>
      <w:r w:rsidR="00DD4409">
        <w:t xml:space="preserve"> https://environment.vic.gov.au/biodiversity/habitat</w:t>
      </w:r>
      <w:r w:rsidR="0001704B">
        <w:t>-</w:t>
      </w:r>
      <w:r w:rsidR="00DD4409">
        <w:t>value</w:t>
      </w:r>
    </w:p>
    <w:sectPr w:rsidR="00E1400F" w:rsidRPr="006614E4" w:rsidSect="008B4EB1">
      <w:headerReference w:type="default" r:id="rId37"/>
      <w:footerReference w:type="even" r:id="rId38"/>
      <w:footerReference w:type="default" r:id="rId39"/>
      <w:footerReference w:type="first" r:id="rId40"/>
      <w:type w:val="continuous"/>
      <w:pgSz w:w="11907" w:h="16839" w:code="9"/>
      <w:pgMar w:top="1418" w:right="851" w:bottom="992" w:left="709" w:header="284" w:footer="284"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60700" w14:textId="77777777" w:rsidR="00CC1BE5" w:rsidRDefault="00CC1BE5" w:rsidP="00CD157B">
      <w:pPr>
        <w:pStyle w:val="NoSpacing"/>
      </w:pPr>
    </w:p>
    <w:p w14:paraId="5CC74D4F" w14:textId="77777777" w:rsidR="00CC1BE5" w:rsidRDefault="00CC1BE5"/>
  </w:endnote>
  <w:endnote w:type="continuationSeparator" w:id="0">
    <w:p w14:paraId="10E09304" w14:textId="77777777" w:rsidR="00CC1BE5" w:rsidRDefault="00CC1BE5" w:rsidP="00CD157B">
      <w:pPr>
        <w:pStyle w:val="NoSpacing"/>
      </w:pPr>
    </w:p>
    <w:p w14:paraId="1274CC22" w14:textId="77777777" w:rsidR="00CC1BE5" w:rsidRDefault="00CC1BE5"/>
  </w:endnote>
  <w:endnote w:type="continuationNotice" w:id="1">
    <w:p w14:paraId="03B6236E" w14:textId="77777777" w:rsidR="00CC1BE5" w:rsidRDefault="00CC1BE5" w:rsidP="00CD157B">
      <w:pPr>
        <w:pStyle w:val="NoSpacing"/>
      </w:pPr>
    </w:p>
    <w:p w14:paraId="7D79E0BD" w14:textId="77777777" w:rsidR="00CC1BE5" w:rsidRDefault="00CC1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21D1D63A" w14:textId="77777777">
      <w:trPr>
        <w:trHeight w:val="397"/>
      </w:trPr>
      <w:tc>
        <w:tcPr>
          <w:tcW w:w="340" w:type="dxa"/>
        </w:tcPr>
        <w:p w14:paraId="471F9AF8" w14:textId="77777777" w:rsidR="00A60698" w:rsidRPr="00D55628" w:rsidRDefault="006D5F71" w:rsidP="00A60698">
          <w:pPr>
            <w:pStyle w:val="FooterEvenPageNumber"/>
            <w:framePr w:wrap="auto" w:vAnchor="margin" w:hAnchor="text" w:yAlign="inline"/>
          </w:pPr>
          <w:r>
            <w:rPr>
              <w:noProof/>
            </w:rPr>
            <mc:AlternateContent>
              <mc:Choice Requires="wps">
                <w:drawing>
                  <wp:anchor distT="0" distB="0" distL="0" distR="0" simplePos="0" relativeHeight="251658253" behindDoc="0" locked="0" layoutInCell="1" allowOverlap="1" wp14:anchorId="250AC1EB" wp14:editId="28BE2C90">
                    <wp:simplePos x="536028" y="10263352"/>
                    <wp:positionH relativeFrom="page">
                      <wp:align>center</wp:align>
                    </wp:positionH>
                    <wp:positionV relativeFrom="page">
                      <wp:align>bottom</wp:align>
                    </wp:positionV>
                    <wp:extent cx="443865" cy="443865"/>
                    <wp:effectExtent l="0" t="0" r="12700"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B1484E"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0AC1EB" id="_x0000_t202" coordsize="21600,21600" o:spt="202" path="m,l,21600r21600,l21600,xe">
                    <v:stroke joinstyle="miter"/>
                    <v:path gradientshapeok="t" o:connecttype="rect"/>
                  </v:shapetype>
                  <v:shape id="Text Box 31" o:spid="_x0000_s1027"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8B1484E"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temporary/>
            <w:showingPlcHdr/>
          </w:sdtPr>
          <w:sdtEndPr/>
          <w:sdtContent>
            <w:p w14:paraId="2288EDEB" w14:textId="77777777" w:rsidR="00712437" w:rsidRDefault="00712437" w:rsidP="00712437">
              <w:pPr>
                <w:pStyle w:val="FooterEven"/>
              </w:pPr>
              <w:r w:rsidRPr="0093481A">
                <w:rPr>
                  <w:rStyle w:val="PlaceholderText"/>
                </w:rPr>
                <w:t>Insert title here</w:t>
              </w:r>
            </w:p>
          </w:sdtContent>
        </w:sdt>
        <w:sdt>
          <w:sdtPr>
            <w:alias w:val="Insert subtitle here"/>
            <w:tag w:val="Insert subtitle here"/>
            <w:id w:val="1569462724"/>
            <w:temporary/>
            <w:showingPlcHdr/>
          </w:sdtPr>
          <w:sdtEndPr/>
          <w:sdtContent>
            <w:p w14:paraId="7A1C1155" w14:textId="77777777" w:rsidR="00A60698" w:rsidRPr="00810C40" w:rsidRDefault="00712437" w:rsidP="00712437">
              <w:pPr>
                <w:pStyle w:val="FooterEven"/>
              </w:pPr>
              <w:r w:rsidRPr="0093481A">
                <w:rPr>
                  <w:rStyle w:val="PlaceholderText"/>
                </w:rPr>
                <w:t>Insert subtitle here</w:t>
              </w:r>
            </w:p>
          </w:sdtContent>
        </w:sdt>
      </w:tc>
    </w:tr>
  </w:tbl>
  <w:p w14:paraId="0A143BBA"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08BE912F" w14:textId="77777777">
      <w:trPr>
        <w:trHeight w:val="397"/>
      </w:trPr>
      <w:tc>
        <w:tcPr>
          <w:tcW w:w="9071" w:type="dxa"/>
        </w:tcPr>
        <w:p w14:paraId="5C04040F" w14:textId="77777777" w:rsidR="00712437" w:rsidRDefault="006D5F71" w:rsidP="00712437">
          <w:pPr>
            <w:pStyle w:val="FooterOdd"/>
          </w:pPr>
          <w:r>
            <w:rPr>
              <w:noProof/>
            </w:rPr>
            <mc:AlternateContent>
              <mc:Choice Requires="wps">
                <w:drawing>
                  <wp:anchor distT="0" distB="0" distL="0" distR="0" simplePos="0" relativeHeight="251658254" behindDoc="0" locked="0" layoutInCell="1" allowOverlap="1" wp14:anchorId="22C06223" wp14:editId="498199AD">
                    <wp:simplePos x="1040524" y="10263352"/>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823B1C"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06223" id="_x0000_t202" coordsize="21600,21600" o:spt="202" path="m,l,21600r21600,l21600,xe">
                    <v:stroke joinstyle="miter"/>
                    <v:path gradientshapeok="t" o:connecttype="rect"/>
                  </v:shapetype>
                  <v:shape id="Text Box 40" o:spid="_x0000_s1028" type="#_x0000_t202" alt="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7823B1C"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v:textbox>
                    <w10:wrap anchorx="page" anchory="page"/>
                  </v:shape>
                </w:pict>
              </mc:Fallback>
            </mc:AlternateContent>
          </w:r>
          <w:sdt>
            <w:sdtPr>
              <w:alias w:val="Insert title here"/>
              <w:tag w:val="Insert title here"/>
              <w:id w:val="-873618546"/>
              <w:temporary/>
              <w:showingPlcHdr/>
            </w:sdtPr>
            <w:sdtEndPr/>
            <w:sdtContent>
              <w:r w:rsidR="00712437" w:rsidRPr="0093481A">
                <w:rPr>
                  <w:rStyle w:val="PlaceholderText"/>
                </w:rPr>
                <w:t>Insert title here</w:t>
              </w:r>
            </w:sdtContent>
          </w:sdt>
        </w:p>
        <w:sdt>
          <w:sdtPr>
            <w:alias w:val="Insert subtitle here"/>
            <w:tag w:val="Insert subtitle here"/>
            <w:id w:val="-634798151"/>
            <w:temporary/>
            <w:showingPlcHdr/>
          </w:sdtPr>
          <w:sdtEndPr/>
          <w:sdtContent>
            <w:p w14:paraId="211C8C77" w14:textId="77777777" w:rsidR="00CD157B" w:rsidRPr="00CB1FB7" w:rsidRDefault="00712437" w:rsidP="00712437">
              <w:pPr>
                <w:pStyle w:val="FooterOdd"/>
                <w:rPr>
                  <w:b/>
                </w:rPr>
              </w:pPr>
              <w:r w:rsidRPr="0093481A">
                <w:rPr>
                  <w:rStyle w:val="PlaceholderText"/>
                </w:rPr>
                <w:t>Insert subtitle here</w:t>
              </w:r>
            </w:p>
          </w:sdtContent>
        </w:sdt>
      </w:tc>
      <w:tc>
        <w:tcPr>
          <w:tcW w:w="340" w:type="dxa"/>
        </w:tcPr>
        <w:p w14:paraId="5F4582FA"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11D45BD1"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2C53" w14:textId="644A5DCA" w:rsidR="00712437" w:rsidRDefault="006D5F71">
    <w:pPr>
      <w:pStyle w:val="Footer"/>
    </w:pPr>
    <w:r>
      <w:rPr>
        <w:noProof/>
      </w:rPr>
      <mc:AlternateContent>
        <mc:Choice Requires="wps">
          <w:drawing>
            <wp:anchor distT="0" distB="0" distL="0" distR="0" simplePos="0" relativeHeight="251658252" behindDoc="0" locked="0" layoutInCell="1" allowOverlap="1" wp14:anchorId="0BF16E33" wp14:editId="481D40AA">
              <wp:simplePos x="536028" y="10389476"/>
              <wp:positionH relativeFrom="page">
                <wp:align>center</wp:align>
              </wp:positionH>
              <wp:positionV relativeFrom="page">
                <wp:align>bottom</wp:align>
              </wp:positionV>
              <wp:extent cx="443865" cy="443865"/>
              <wp:effectExtent l="0" t="0" r="635"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4BEF1"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F16E33" id="_x0000_t202" coordsize="21600,21600" o:spt="202" path="m,l,21600r21600,l21600,xe">
              <v:stroke joinstyle="miter"/>
              <v:path gradientshapeok="t" o:connecttype="rect"/>
            </v:shapetype>
            <v:shape id="Text Box 27" o:spid="_x0000_s1029"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A4BEF1"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DE8E" w14:textId="77777777" w:rsidR="006D5F71" w:rsidRDefault="006D5F71">
    <w:pPr>
      <w:pStyle w:val="Footer"/>
    </w:pPr>
    <w:r>
      <w:rPr>
        <w:noProof/>
      </w:rPr>
      <mc:AlternateContent>
        <mc:Choice Requires="wps">
          <w:drawing>
            <wp:anchor distT="0" distB="0" distL="0" distR="0" simplePos="0" relativeHeight="251658255" behindDoc="0" locked="0" layoutInCell="1" allowOverlap="1" wp14:anchorId="3D9DBF43" wp14:editId="67BF4CA6">
              <wp:simplePos x="536028" y="10389476"/>
              <wp:positionH relativeFrom="page">
                <wp:align>center</wp:align>
              </wp:positionH>
              <wp:positionV relativeFrom="page">
                <wp:align>bottom</wp:align>
              </wp:positionV>
              <wp:extent cx="443865" cy="443865"/>
              <wp:effectExtent l="0" t="0" r="635" b="0"/>
              <wp:wrapNone/>
              <wp:docPr id="43"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6B6B4D"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9DBF43" id="_x0000_t202" coordsize="21600,21600" o:spt="202" path="m,l,21600r21600,l21600,xe">
              <v:stroke joinstyle="miter"/>
              <v:path gradientshapeok="t" o:connecttype="rect"/>
            </v:shapetype>
            <v:shape id="Text Box 43" o:spid="_x0000_s1030" type="#_x0000_t202" alt="OFFICIAL"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36B6B4D"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33B61" w14:textId="77777777" w:rsidR="006D5F71" w:rsidRDefault="006D5F71">
    <w:pPr>
      <w:pStyle w:val="Footer"/>
    </w:pPr>
    <w:r>
      <w:rPr>
        <w:noProof/>
      </w:rPr>
      <mc:AlternateContent>
        <mc:Choice Requires="wps">
          <w:drawing>
            <wp:anchor distT="0" distB="0" distL="0" distR="0" simplePos="0" relativeHeight="251658256" behindDoc="0" locked="0" layoutInCell="1" allowOverlap="1" wp14:anchorId="30EC57F1" wp14:editId="75F69802">
              <wp:simplePos x="536028" y="10389476"/>
              <wp:positionH relativeFrom="page">
                <wp:align>center</wp:align>
              </wp:positionH>
              <wp:positionV relativeFrom="page">
                <wp:align>bottom</wp:align>
              </wp:positionV>
              <wp:extent cx="443865" cy="443865"/>
              <wp:effectExtent l="0" t="0" r="635" b="0"/>
              <wp:wrapNone/>
              <wp:docPr id="45"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F81EB8"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EC57F1" id="_x0000_t202" coordsize="21600,21600" o:spt="202" path="m,l,21600r21600,l21600,xe">
              <v:stroke joinstyle="miter"/>
              <v:path gradientshapeok="t" o:connecttype="rect"/>
            </v:shapetype>
            <v:shape id="Text Box 45" o:spid="_x0000_s1031" type="#_x0000_t202" alt="OFFICIAL"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8F81EB8" w14:textId="77777777" w:rsidR="006D5F71" w:rsidRPr="006D5F71" w:rsidRDefault="006D5F71" w:rsidP="006D5F71">
                    <w:pPr>
                      <w:spacing w:after="0"/>
                      <w:rPr>
                        <w:rFonts w:ascii="Calibri" w:eastAsia="Calibri" w:hAnsi="Calibri" w:cs="Calibri"/>
                        <w:noProof/>
                        <w:color w:val="000000"/>
                        <w:sz w:val="24"/>
                        <w:szCs w:val="24"/>
                      </w:rPr>
                    </w:pPr>
                    <w:r w:rsidRPr="006D5F71">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6CE7DD7BB70741FA8ACEEB8AE73F44E4"/>
      </w:placeholder>
      <w:temporary/>
      <w:showingPlcHdr/>
      <w15:appearance w15:val="hidden"/>
    </w:sdtPr>
    <w:sdtEndPr/>
    <w:sdtContent>
      <w:p w14:paraId="429AD13D" w14:textId="77777777" w:rsidR="00F4216B" w:rsidRDefault="00F4216B">
        <w:pPr>
          <w:pStyle w:val="Footer"/>
        </w:pPr>
        <w:r>
          <w:t>[Type here]</w:t>
        </w:r>
      </w:p>
    </w:sdtContent>
  </w:sdt>
  <w:p w14:paraId="6B97BC9E" w14:textId="34F3EDC0" w:rsidR="006D5F71" w:rsidRDefault="006D5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DB2E9" w14:textId="77777777" w:rsidR="00CC1BE5" w:rsidRPr="0056073C" w:rsidRDefault="00CC1BE5" w:rsidP="005D764F">
      <w:pPr>
        <w:pStyle w:val="FootnoteSeparator"/>
      </w:pPr>
    </w:p>
    <w:p w14:paraId="2A256BA3" w14:textId="77777777" w:rsidR="00CC1BE5" w:rsidRDefault="00CC1BE5"/>
  </w:footnote>
  <w:footnote w:type="continuationSeparator" w:id="0">
    <w:p w14:paraId="0BDA2064" w14:textId="77777777" w:rsidR="00CC1BE5" w:rsidRPr="00CA30B7" w:rsidRDefault="00CC1BE5" w:rsidP="006D5A90">
      <w:pPr>
        <w:rPr>
          <w:lang w:val="en-US"/>
        </w:rPr>
      </w:pPr>
      <w:r w:rsidRPr="00CA30B7">
        <w:rPr>
          <w:lang w:val="en-US"/>
        </w:rPr>
        <w:t>_______</w:t>
      </w:r>
    </w:p>
    <w:p w14:paraId="4A195C64" w14:textId="77777777" w:rsidR="00CC1BE5" w:rsidRDefault="00CC1BE5"/>
  </w:footnote>
  <w:footnote w:type="continuationNotice" w:id="1">
    <w:p w14:paraId="2286C940" w14:textId="77777777" w:rsidR="00CC1BE5" w:rsidRDefault="00CC1BE5" w:rsidP="006D5A90"/>
    <w:p w14:paraId="27E35CB1" w14:textId="77777777" w:rsidR="00CC1BE5" w:rsidRDefault="00CC1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B1719" w14:textId="59A62291"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29E3ED3B" wp14:editId="2810BBBD">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AEDE5D" id="Freeform: Shape 3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24FF0A31" wp14:editId="6736CD0B">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25799C4" id="Freeform: Shape 33"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3C6517A2" wp14:editId="0D486644">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304E394" id="Freeform: Shape 3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2D87EBF6" wp14:editId="52740B1E">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C2996E" id="Freeform: Shape 37"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48DB5411" wp14:editId="2134E5AC">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38CECF" id="Freeform: Shape 3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055BB4A1" wp14:editId="2A2D405C">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FDFC74" id="Freeform: Shape 3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7901EF92"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7894"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2546A50F" wp14:editId="2236E820">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99A6006"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F73C587" wp14:editId="076DA4D6">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91357B"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4596296" wp14:editId="4427DADA">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6096EA"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803A62D" wp14:editId="4F0AE30A">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7BB3D0"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FB4D68A" wp14:editId="07975928">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DE7A15"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54441218" wp14:editId="52771642">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20815E1"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104251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68B37FE"/>
    <w:multiLevelType w:val="multilevel"/>
    <w:tmpl w:val="A2EE2272"/>
    <w:name w:val="DEPIListBullets"/>
    <w:lvl w:ilvl="0">
      <w:start w:val="1"/>
      <w:numFmt w:val="bullet"/>
      <w:lvlText w:val="•"/>
      <w:lvlJc w:val="left"/>
      <w:pPr>
        <w:tabs>
          <w:tab w:val="num" w:pos="170"/>
        </w:tabs>
        <w:ind w:left="170" w:hanging="170"/>
      </w:pPr>
      <w:rPr>
        <w:rFonts w:ascii="Times New Roman" w:hAnsi="Times New Roman" w:cs="Times New Roman" w:hint="default"/>
        <w:b w:val="0"/>
        <w:i w:val="0"/>
        <w:color w:val="232222"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232222"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8A05BE5"/>
    <w:multiLevelType w:val="hybridMultilevel"/>
    <w:tmpl w:val="2E062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9"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A6E0943"/>
    <w:multiLevelType w:val="hybridMultilevel"/>
    <w:tmpl w:val="DA5220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5EA058A2"/>
    <w:multiLevelType w:val="hybridMultilevel"/>
    <w:tmpl w:val="F9442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22C0893"/>
    <w:multiLevelType w:val="hybridMultilevel"/>
    <w:tmpl w:val="ED6AA28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7D284207"/>
    <w:multiLevelType w:val="multilevel"/>
    <w:tmpl w:val="0C00BBDA"/>
    <w:name w:val="Lst_HighlightBullets"/>
    <w:lvl w:ilvl="0">
      <w:start w:val="1"/>
      <w:numFmt w:val="bullet"/>
      <w:pStyle w:val="HighlightBoxBullet"/>
      <w:lvlText w:val=""/>
      <w:lvlJc w:val="left"/>
      <w:pPr>
        <w:ind w:left="644" w:hanging="360"/>
      </w:pPr>
      <w:rPr>
        <w:rFonts w:ascii="Symbol" w:hAnsi="Symbol"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4"/>
  </w:num>
  <w:num w:numId="4" w16cid:durableId="985085104">
    <w:abstractNumId w:val="12"/>
  </w:num>
  <w:num w:numId="5" w16cid:durableId="1872112631">
    <w:abstractNumId w:val="15"/>
  </w:num>
  <w:num w:numId="6" w16cid:durableId="336812815">
    <w:abstractNumId w:val="28"/>
  </w:num>
  <w:num w:numId="7" w16cid:durableId="155153463">
    <w:abstractNumId w:val="4"/>
  </w:num>
  <w:num w:numId="8" w16cid:durableId="1428236886">
    <w:abstractNumId w:val="32"/>
  </w:num>
  <w:num w:numId="9" w16cid:durableId="1644658156">
    <w:abstractNumId w:val="23"/>
  </w:num>
  <w:num w:numId="10" w16cid:durableId="103154041">
    <w:abstractNumId w:val="34"/>
  </w:num>
  <w:num w:numId="11" w16cid:durableId="2129203638">
    <w:abstractNumId w:val="37"/>
  </w:num>
  <w:num w:numId="12" w16cid:durableId="377365663">
    <w:abstractNumId w:val="29"/>
  </w:num>
  <w:num w:numId="13" w16cid:durableId="1308436166">
    <w:abstractNumId w:val="31"/>
  </w:num>
  <w:num w:numId="14" w16cid:durableId="1335643199">
    <w:abstractNumId w:val="42"/>
  </w:num>
  <w:num w:numId="15" w16cid:durableId="384449836">
    <w:abstractNumId w:val="10"/>
  </w:num>
  <w:num w:numId="16" w16cid:durableId="1160577431">
    <w:abstractNumId w:val="33"/>
  </w:num>
  <w:num w:numId="17" w16cid:durableId="27071314">
    <w:abstractNumId w:val="9"/>
  </w:num>
  <w:num w:numId="18" w16cid:durableId="338120444">
    <w:abstractNumId w:val="7"/>
  </w:num>
  <w:num w:numId="19" w16cid:durableId="1673139647">
    <w:abstractNumId w:val="19"/>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39"/>
  </w:num>
  <w:num w:numId="34" w16cid:durableId="196283207">
    <w:abstractNumId w:val="43"/>
  </w:num>
  <w:num w:numId="35" w16cid:durableId="1742215375">
    <w:abstractNumId w:val="54"/>
  </w:num>
  <w:num w:numId="36" w16cid:durableId="664823544">
    <w:abstractNumId w:val="50"/>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2"/>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9983443">
    <w:abstractNumId w:val="6"/>
  </w:num>
  <w:num w:numId="42" w16cid:durableId="840045737">
    <w:abstractNumId w:val="45"/>
  </w:num>
  <w:num w:numId="43" w16cid:durableId="2132362817">
    <w:abstractNumId w:val="30"/>
  </w:num>
  <w:num w:numId="44" w16cid:durableId="1219247480">
    <w:abstractNumId w:val="40"/>
  </w:num>
  <w:num w:numId="45" w16cid:durableId="458498426">
    <w:abstractNumId w:val="46"/>
  </w:num>
  <w:num w:numId="46" w16cid:durableId="41139031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Tru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5950EF"/>
    <w:rsid w:val="00000194"/>
    <w:rsid w:val="00000812"/>
    <w:rsid w:val="00000901"/>
    <w:rsid w:val="00001391"/>
    <w:rsid w:val="00001706"/>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516"/>
    <w:rsid w:val="000139F9"/>
    <w:rsid w:val="00013C91"/>
    <w:rsid w:val="000147D8"/>
    <w:rsid w:val="00014AD2"/>
    <w:rsid w:val="000152AC"/>
    <w:rsid w:val="00015655"/>
    <w:rsid w:val="000160DB"/>
    <w:rsid w:val="0001645A"/>
    <w:rsid w:val="00016927"/>
    <w:rsid w:val="00016F11"/>
    <w:rsid w:val="0001704B"/>
    <w:rsid w:val="00017A37"/>
    <w:rsid w:val="00017E78"/>
    <w:rsid w:val="000200A9"/>
    <w:rsid w:val="00020166"/>
    <w:rsid w:val="00020425"/>
    <w:rsid w:val="0002048A"/>
    <w:rsid w:val="00020A83"/>
    <w:rsid w:val="00020D21"/>
    <w:rsid w:val="00022FC9"/>
    <w:rsid w:val="0002313E"/>
    <w:rsid w:val="000231D2"/>
    <w:rsid w:val="00023619"/>
    <w:rsid w:val="00023921"/>
    <w:rsid w:val="00024DE5"/>
    <w:rsid w:val="00024F9A"/>
    <w:rsid w:val="0002586C"/>
    <w:rsid w:val="000265EA"/>
    <w:rsid w:val="00026DA1"/>
    <w:rsid w:val="00026DC2"/>
    <w:rsid w:val="00026F6C"/>
    <w:rsid w:val="000273C5"/>
    <w:rsid w:val="00030105"/>
    <w:rsid w:val="0003021E"/>
    <w:rsid w:val="00030A38"/>
    <w:rsid w:val="0003160B"/>
    <w:rsid w:val="0003300C"/>
    <w:rsid w:val="000332EC"/>
    <w:rsid w:val="000334AA"/>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559E"/>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631"/>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178"/>
    <w:rsid w:val="000672C6"/>
    <w:rsid w:val="0006768E"/>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7E9"/>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5D47"/>
    <w:rsid w:val="00086400"/>
    <w:rsid w:val="0008678B"/>
    <w:rsid w:val="00086C5B"/>
    <w:rsid w:val="00087019"/>
    <w:rsid w:val="00087157"/>
    <w:rsid w:val="0008765C"/>
    <w:rsid w:val="0008789E"/>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82A"/>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2E0"/>
    <w:rsid w:val="000B6301"/>
    <w:rsid w:val="000B650E"/>
    <w:rsid w:val="000B65EE"/>
    <w:rsid w:val="000B6854"/>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3BE"/>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505"/>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4E92"/>
    <w:rsid w:val="0011501B"/>
    <w:rsid w:val="001153CE"/>
    <w:rsid w:val="001156B1"/>
    <w:rsid w:val="0011585A"/>
    <w:rsid w:val="0011610F"/>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5B31"/>
    <w:rsid w:val="0013609B"/>
    <w:rsid w:val="001369F7"/>
    <w:rsid w:val="00136DBE"/>
    <w:rsid w:val="001378AA"/>
    <w:rsid w:val="00137A24"/>
    <w:rsid w:val="00137E68"/>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47EF1"/>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D4A"/>
    <w:rsid w:val="00162EBC"/>
    <w:rsid w:val="0016336A"/>
    <w:rsid w:val="00163A5B"/>
    <w:rsid w:val="00163A88"/>
    <w:rsid w:val="00163CD9"/>
    <w:rsid w:val="00164012"/>
    <w:rsid w:val="001640D2"/>
    <w:rsid w:val="001644C7"/>
    <w:rsid w:val="00164716"/>
    <w:rsid w:val="00164A05"/>
    <w:rsid w:val="001651B6"/>
    <w:rsid w:val="00165E60"/>
    <w:rsid w:val="00166097"/>
    <w:rsid w:val="00166DAD"/>
    <w:rsid w:val="00166E6D"/>
    <w:rsid w:val="00166F0A"/>
    <w:rsid w:val="00166FB5"/>
    <w:rsid w:val="00167022"/>
    <w:rsid w:val="0016718E"/>
    <w:rsid w:val="0017060B"/>
    <w:rsid w:val="00170701"/>
    <w:rsid w:val="00171B71"/>
    <w:rsid w:val="00171C7C"/>
    <w:rsid w:val="00172637"/>
    <w:rsid w:val="001726D4"/>
    <w:rsid w:val="001728B5"/>
    <w:rsid w:val="001729F6"/>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953"/>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3F4B"/>
    <w:rsid w:val="00194013"/>
    <w:rsid w:val="001942E7"/>
    <w:rsid w:val="001945C8"/>
    <w:rsid w:val="00194A76"/>
    <w:rsid w:val="00194AAE"/>
    <w:rsid w:val="00194B60"/>
    <w:rsid w:val="00195D19"/>
    <w:rsid w:val="00195DF5"/>
    <w:rsid w:val="00196A24"/>
    <w:rsid w:val="00196E13"/>
    <w:rsid w:val="0019756C"/>
    <w:rsid w:val="001976B0"/>
    <w:rsid w:val="00197D54"/>
    <w:rsid w:val="001A0A7C"/>
    <w:rsid w:val="001A0FC3"/>
    <w:rsid w:val="001A1E8A"/>
    <w:rsid w:val="001A26B9"/>
    <w:rsid w:val="001A3352"/>
    <w:rsid w:val="001A3695"/>
    <w:rsid w:val="001A403F"/>
    <w:rsid w:val="001A4052"/>
    <w:rsid w:val="001A44AA"/>
    <w:rsid w:val="001A4A74"/>
    <w:rsid w:val="001A59BB"/>
    <w:rsid w:val="001A5A0F"/>
    <w:rsid w:val="001A5B24"/>
    <w:rsid w:val="001A5B3F"/>
    <w:rsid w:val="001A5C62"/>
    <w:rsid w:val="001A63B0"/>
    <w:rsid w:val="001A6B09"/>
    <w:rsid w:val="001A7903"/>
    <w:rsid w:val="001A7C6D"/>
    <w:rsid w:val="001B017B"/>
    <w:rsid w:val="001B08FF"/>
    <w:rsid w:val="001B1992"/>
    <w:rsid w:val="001B1B2B"/>
    <w:rsid w:val="001B1CD9"/>
    <w:rsid w:val="001B204A"/>
    <w:rsid w:val="001B2370"/>
    <w:rsid w:val="001B29C2"/>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646F"/>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3EA3"/>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93"/>
    <w:rsid w:val="001E43CC"/>
    <w:rsid w:val="001E4586"/>
    <w:rsid w:val="001E48EA"/>
    <w:rsid w:val="001E51A2"/>
    <w:rsid w:val="001E57CA"/>
    <w:rsid w:val="001E59A1"/>
    <w:rsid w:val="001E5CD5"/>
    <w:rsid w:val="001E6421"/>
    <w:rsid w:val="001E6674"/>
    <w:rsid w:val="001E67C2"/>
    <w:rsid w:val="001E681A"/>
    <w:rsid w:val="001E70EA"/>
    <w:rsid w:val="001E74B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5D"/>
    <w:rsid w:val="00207596"/>
    <w:rsid w:val="00207E74"/>
    <w:rsid w:val="002100E3"/>
    <w:rsid w:val="00210137"/>
    <w:rsid w:val="00210B5C"/>
    <w:rsid w:val="00210C96"/>
    <w:rsid w:val="00210D2E"/>
    <w:rsid w:val="00211075"/>
    <w:rsid w:val="00211747"/>
    <w:rsid w:val="002117DD"/>
    <w:rsid w:val="00211AC7"/>
    <w:rsid w:val="00212101"/>
    <w:rsid w:val="00213177"/>
    <w:rsid w:val="00213867"/>
    <w:rsid w:val="00213B2D"/>
    <w:rsid w:val="002140D2"/>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17FB8"/>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0B1"/>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A25"/>
    <w:rsid w:val="00265C0D"/>
    <w:rsid w:val="00265DE2"/>
    <w:rsid w:val="0026655E"/>
    <w:rsid w:val="002671CE"/>
    <w:rsid w:val="0026756C"/>
    <w:rsid w:val="002676DE"/>
    <w:rsid w:val="00267DD0"/>
    <w:rsid w:val="0027011C"/>
    <w:rsid w:val="00270243"/>
    <w:rsid w:val="00270817"/>
    <w:rsid w:val="00270869"/>
    <w:rsid w:val="0027086E"/>
    <w:rsid w:val="0027101A"/>
    <w:rsid w:val="002715E9"/>
    <w:rsid w:val="0027194F"/>
    <w:rsid w:val="002723B4"/>
    <w:rsid w:val="0027240B"/>
    <w:rsid w:val="00272580"/>
    <w:rsid w:val="002725C1"/>
    <w:rsid w:val="002726AA"/>
    <w:rsid w:val="00272792"/>
    <w:rsid w:val="00272A50"/>
    <w:rsid w:val="0027305A"/>
    <w:rsid w:val="002737F3"/>
    <w:rsid w:val="0027394E"/>
    <w:rsid w:val="00273AC0"/>
    <w:rsid w:val="00273C00"/>
    <w:rsid w:val="00273F55"/>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B74"/>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6D9"/>
    <w:rsid w:val="002D7AA5"/>
    <w:rsid w:val="002E03B0"/>
    <w:rsid w:val="002E0ED2"/>
    <w:rsid w:val="002E1116"/>
    <w:rsid w:val="002E18B5"/>
    <w:rsid w:val="002E1F33"/>
    <w:rsid w:val="002E22BE"/>
    <w:rsid w:val="002E2394"/>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41E"/>
    <w:rsid w:val="00303508"/>
    <w:rsid w:val="00303E72"/>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6AD2"/>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3D4"/>
    <w:rsid w:val="00343AA5"/>
    <w:rsid w:val="00343DDD"/>
    <w:rsid w:val="00343F93"/>
    <w:rsid w:val="00344669"/>
    <w:rsid w:val="0034494D"/>
    <w:rsid w:val="00344AB7"/>
    <w:rsid w:val="00344AF5"/>
    <w:rsid w:val="00344D6E"/>
    <w:rsid w:val="003456FF"/>
    <w:rsid w:val="003457F1"/>
    <w:rsid w:val="00345FCD"/>
    <w:rsid w:val="003466B8"/>
    <w:rsid w:val="003466F7"/>
    <w:rsid w:val="00346ADF"/>
    <w:rsid w:val="00347812"/>
    <w:rsid w:val="00347B98"/>
    <w:rsid w:val="00347C3F"/>
    <w:rsid w:val="00347DED"/>
    <w:rsid w:val="00350014"/>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8E0"/>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456"/>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2"/>
    <w:rsid w:val="00384E94"/>
    <w:rsid w:val="00384FF4"/>
    <w:rsid w:val="0038559E"/>
    <w:rsid w:val="00386B09"/>
    <w:rsid w:val="00386D61"/>
    <w:rsid w:val="00387193"/>
    <w:rsid w:val="00390EF4"/>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6AB"/>
    <w:rsid w:val="003A1206"/>
    <w:rsid w:val="003A2BFF"/>
    <w:rsid w:val="003A2D70"/>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A43"/>
    <w:rsid w:val="003B6C97"/>
    <w:rsid w:val="003B6F56"/>
    <w:rsid w:val="003B71A1"/>
    <w:rsid w:val="003B7362"/>
    <w:rsid w:val="003B74BE"/>
    <w:rsid w:val="003B75ED"/>
    <w:rsid w:val="003B7771"/>
    <w:rsid w:val="003B781C"/>
    <w:rsid w:val="003C0011"/>
    <w:rsid w:val="003C0185"/>
    <w:rsid w:val="003C074C"/>
    <w:rsid w:val="003C0A6C"/>
    <w:rsid w:val="003C1F69"/>
    <w:rsid w:val="003C2448"/>
    <w:rsid w:val="003C25F9"/>
    <w:rsid w:val="003C2BDA"/>
    <w:rsid w:val="003C2C0D"/>
    <w:rsid w:val="003C2C66"/>
    <w:rsid w:val="003C300B"/>
    <w:rsid w:val="003C30EC"/>
    <w:rsid w:val="003C390B"/>
    <w:rsid w:val="003C3B57"/>
    <w:rsid w:val="003C4776"/>
    <w:rsid w:val="003C5140"/>
    <w:rsid w:val="003C6914"/>
    <w:rsid w:val="003C6ECF"/>
    <w:rsid w:val="003C75D1"/>
    <w:rsid w:val="003C7903"/>
    <w:rsid w:val="003C7A8F"/>
    <w:rsid w:val="003C7D07"/>
    <w:rsid w:val="003D1B95"/>
    <w:rsid w:val="003D2616"/>
    <w:rsid w:val="003D2A34"/>
    <w:rsid w:val="003D2FC3"/>
    <w:rsid w:val="003D3028"/>
    <w:rsid w:val="003D3FBD"/>
    <w:rsid w:val="003D3FE1"/>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4B4A"/>
    <w:rsid w:val="003E5011"/>
    <w:rsid w:val="003E55A4"/>
    <w:rsid w:val="003E63BD"/>
    <w:rsid w:val="003E6915"/>
    <w:rsid w:val="003E7083"/>
    <w:rsid w:val="003E7163"/>
    <w:rsid w:val="003E7911"/>
    <w:rsid w:val="003E7DAE"/>
    <w:rsid w:val="003F009A"/>
    <w:rsid w:val="003F065A"/>
    <w:rsid w:val="003F0C2C"/>
    <w:rsid w:val="003F0C6C"/>
    <w:rsid w:val="003F141B"/>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5F6"/>
    <w:rsid w:val="00410659"/>
    <w:rsid w:val="00411642"/>
    <w:rsid w:val="00412A85"/>
    <w:rsid w:val="00413AAE"/>
    <w:rsid w:val="00413FEB"/>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5D3"/>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899"/>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6EF"/>
    <w:rsid w:val="00463E1E"/>
    <w:rsid w:val="0046413C"/>
    <w:rsid w:val="004646F8"/>
    <w:rsid w:val="00464870"/>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778D1"/>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202"/>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5F9F"/>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231"/>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305"/>
    <w:rsid w:val="005047D7"/>
    <w:rsid w:val="00505AA9"/>
    <w:rsid w:val="00505D82"/>
    <w:rsid w:val="00505E4F"/>
    <w:rsid w:val="00506B38"/>
    <w:rsid w:val="00507541"/>
    <w:rsid w:val="00507966"/>
    <w:rsid w:val="00507B7B"/>
    <w:rsid w:val="00507F8E"/>
    <w:rsid w:val="00510836"/>
    <w:rsid w:val="005108C3"/>
    <w:rsid w:val="00510E09"/>
    <w:rsid w:val="00510EB4"/>
    <w:rsid w:val="0051166C"/>
    <w:rsid w:val="00511DD3"/>
    <w:rsid w:val="0051335C"/>
    <w:rsid w:val="00513D22"/>
    <w:rsid w:val="00514C53"/>
    <w:rsid w:val="00516018"/>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010D"/>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0A9A"/>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3EA3"/>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57D4D"/>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969"/>
    <w:rsid w:val="00593EF8"/>
    <w:rsid w:val="00594B88"/>
    <w:rsid w:val="005950EF"/>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732"/>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1CF"/>
    <w:rsid w:val="005B6842"/>
    <w:rsid w:val="005B6B22"/>
    <w:rsid w:val="005B6DB4"/>
    <w:rsid w:val="005B7FE2"/>
    <w:rsid w:val="005C0269"/>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ED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5D7"/>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CF4"/>
    <w:rsid w:val="00600057"/>
    <w:rsid w:val="00600DB4"/>
    <w:rsid w:val="0060101B"/>
    <w:rsid w:val="00601060"/>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AE5"/>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A2F"/>
    <w:rsid w:val="00625EF4"/>
    <w:rsid w:val="00626176"/>
    <w:rsid w:val="00626215"/>
    <w:rsid w:val="00627DAE"/>
    <w:rsid w:val="00627F94"/>
    <w:rsid w:val="00630C13"/>
    <w:rsid w:val="006310C1"/>
    <w:rsid w:val="00631E3B"/>
    <w:rsid w:val="00631F4C"/>
    <w:rsid w:val="00631FAF"/>
    <w:rsid w:val="00632211"/>
    <w:rsid w:val="00632574"/>
    <w:rsid w:val="00632B00"/>
    <w:rsid w:val="00632F36"/>
    <w:rsid w:val="00633405"/>
    <w:rsid w:val="006335A3"/>
    <w:rsid w:val="00633FDC"/>
    <w:rsid w:val="00634070"/>
    <w:rsid w:val="00634701"/>
    <w:rsid w:val="00634A06"/>
    <w:rsid w:val="00634A69"/>
    <w:rsid w:val="00634DC0"/>
    <w:rsid w:val="00635DCD"/>
    <w:rsid w:val="006364F7"/>
    <w:rsid w:val="00636E15"/>
    <w:rsid w:val="00636EE0"/>
    <w:rsid w:val="00636F92"/>
    <w:rsid w:val="0063747A"/>
    <w:rsid w:val="0063799B"/>
    <w:rsid w:val="00637C68"/>
    <w:rsid w:val="00637E93"/>
    <w:rsid w:val="00637F16"/>
    <w:rsid w:val="006404EF"/>
    <w:rsid w:val="00640F20"/>
    <w:rsid w:val="00641C46"/>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6E8F"/>
    <w:rsid w:val="006572F0"/>
    <w:rsid w:val="0065751D"/>
    <w:rsid w:val="006576A7"/>
    <w:rsid w:val="006579BD"/>
    <w:rsid w:val="00657DAA"/>
    <w:rsid w:val="0066034F"/>
    <w:rsid w:val="00660628"/>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93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2F90"/>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D95"/>
    <w:rsid w:val="00694F35"/>
    <w:rsid w:val="006953A7"/>
    <w:rsid w:val="00695A70"/>
    <w:rsid w:val="00695C8F"/>
    <w:rsid w:val="0069789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A4A"/>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0A"/>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3AFC"/>
    <w:rsid w:val="006D4826"/>
    <w:rsid w:val="006D5110"/>
    <w:rsid w:val="006D51BE"/>
    <w:rsid w:val="006D5A90"/>
    <w:rsid w:val="006D5F71"/>
    <w:rsid w:val="006D682B"/>
    <w:rsid w:val="006D6D16"/>
    <w:rsid w:val="006D6EA3"/>
    <w:rsid w:val="006D788B"/>
    <w:rsid w:val="006D7ABD"/>
    <w:rsid w:val="006D7B69"/>
    <w:rsid w:val="006E00BF"/>
    <w:rsid w:val="006E0F4E"/>
    <w:rsid w:val="006E0FAB"/>
    <w:rsid w:val="006E10F1"/>
    <w:rsid w:val="006E182D"/>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437"/>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9C6"/>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324E"/>
    <w:rsid w:val="00734E3B"/>
    <w:rsid w:val="00735EAB"/>
    <w:rsid w:val="0073663C"/>
    <w:rsid w:val="0073689E"/>
    <w:rsid w:val="0073792B"/>
    <w:rsid w:val="00737F14"/>
    <w:rsid w:val="00740175"/>
    <w:rsid w:val="00740A16"/>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5CD"/>
    <w:rsid w:val="00747643"/>
    <w:rsid w:val="0074779E"/>
    <w:rsid w:val="007477CD"/>
    <w:rsid w:val="007503C3"/>
    <w:rsid w:val="00750C1C"/>
    <w:rsid w:val="0075101B"/>
    <w:rsid w:val="00751028"/>
    <w:rsid w:val="007510EB"/>
    <w:rsid w:val="007511DC"/>
    <w:rsid w:val="00751412"/>
    <w:rsid w:val="00751956"/>
    <w:rsid w:val="007519A9"/>
    <w:rsid w:val="007527C2"/>
    <w:rsid w:val="00752DB5"/>
    <w:rsid w:val="0075327D"/>
    <w:rsid w:val="00753CBF"/>
    <w:rsid w:val="00753E3C"/>
    <w:rsid w:val="007547D9"/>
    <w:rsid w:val="0075493F"/>
    <w:rsid w:val="00754973"/>
    <w:rsid w:val="007555FB"/>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015"/>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0DA"/>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092D"/>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1F1"/>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6D6"/>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924"/>
    <w:rsid w:val="00830A76"/>
    <w:rsid w:val="008310EA"/>
    <w:rsid w:val="00831C65"/>
    <w:rsid w:val="00831CBA"/>
    <w:rsid w:val="00832059"/>
    <w:rsid w:val="0083215A"/>
    <w:rsid w:val="0083274E"/>
    <w:rsid w:val="0083275D"/>
    <w:rsid w:val="008338F1"/>
    <w:rsid w:val="00833F28"/>
    <w:rsid w:val="00833F6B"/>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84C"/>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65F"/>
    <w:rsid w:val="008759D2"/>
    <w:rsid w:val="008763E8"/>
    <w:rsid w:val="0087650A"/>
    <w:rsid w:val="00876557"/>
    <w:rsid w:val="00877C5B"/>
    <w:rsid w:val="00877FD6"/>
    <w:rsid w:val="0088019F"/>
    <w:rsid w:val="008802B7"/>
    <w:rsid w:val="00880C5F"/>
    <w:rsid w:val="00880E76"/>
    <w:rsid w:val="0088122D"/>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4EB1"/>
    <w:rsid w:val="008B5895"/>
    <w:rsid w:val="008B634B"/>
    <w:rsid w:val="008B6764"/>
    <w:rsid w:val="008B6856"/>
    <w:rsid w:val="008B6FE3"/>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20"/>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77"/>
    <w:rsid w:val="009207FE"/>
    <w:rsid w:val="00921438"/>
    <w:rsid w:val="00922232"/>
    <w:rsid w:val="009223A8"/>
    <w:rsid w:val="00922885"/>
    <w:rsid w:val="00922905"/>
    <w:rsid w:val="009232A6"/>
    <w:rsid w:val="0092346E"/>
    <w:rsid w:val="0092351F"/>
    <w:rsid w:val="00923958"/>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9D2"/>
    <w:rsid w:val="00931B7E"/>
    <w:rsid w:val="00932457"/>
    <w:rsid w:val="00932545"/>
    <w:rsid w:val="00932715"/>
    <w:rsid w:val="0093292E"/>
    <w:rsid w:val="0093379F"/>
    <w:rsid w:val="009337AC"/>
    <w:rsid w:val="0093393D"/>
    <w:rsid w:val="00933DB9"/>
    <w:rsid w:val="00934249"/>
    <w:rsid w:val="00934EA1"/>
    <w:rsid w:val="00934F00"/>
    <w:rsid w:val="009356DE"/>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4C8"/>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97D5A"/>
    <w:rsid w:val="009A083C"/>
    <w:rsid w:val="009A144F"/>
    <w:rsid w:val="009A1F4F"/>
    <w:rsid w:val="009A2C7E"/>
    <w:rsid w:val="009A2DA7"/>
    <w:rsid w:val="009A331D"/>
    <w:rsid w:val="009A36D0"/>
    <w:rsid w:val="009A370B"/>
    <w:rsid w:val="009A3D30"/>
    <w:rsid w:val="009A3D84"/>
    <w:rsid w:val="009A4449"/>
    <w:rsid w:val="009A46E0"/>
    <w:rsid w:val="009A4954"/>
    <w:rsid w:val="009A4B34"/>
    <w:rsid w:val="009A51CB"/>
    <w:rsid w:val="009A5206"/>
    <w:rsid w:val="009A5287"/>
    <w:rsid w:val="009A5546"/>
    <w:rsid w:val="009A5A0E"/>
    <w:rsid w:val="009A5B03"/>
    <w:rsid w:val="009A670D"/>
    <w:rsid w:val="009A6B07"/>
    <w:rsid w:val="009A6F0F"/>
    <w:rsid w:val="009A73A1"/>
    <w:rsid w:val="009A757C"/>
    <w:rsid w:val="009A76A0"/>
    <w:rsid w:val="009A7701"/>
    <w:rsid w:val="009A780F"/>
    <w:rsid w:val="009A7817"/>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0BAA"/>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E45"/>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557"/>
    <w:rsid w:val="00A029F4"/>
    <w:rsid w:val="00A037E2"/>
    <w:rsid w:val="00A059B5"/>
    <w:rsid w:val="00A05B0B"/>
    <w:rsid w:val="00A06056"/>
    <w:rsid w:val="00A0688C"/>
    <w:rsid w:val="00A07CED"/>
    <w:rsid w:val="00A10499"/>
    <w:rsid w:val="00A1198A"/>
    <w:rsid w:val="00A120F3"/>
    <w:rsid w:val="00A12E40"/>
    <w:rsid w:val="00A13B18"/>
    <w:rsid w:val="00A13BA1"/>
    <w:rsid w:val="00A1473C"/>
    <w:rsid w:val="00A14905"/>
    <w:rsid w:val="00A1573D"/>
    <w:rsid w:val="00A1582B"/>
    <w:rsid w:val="00A158EC"/>
    <w:rsid w:val="00A158FD"/>
    <w:rsid w:val="00A1606D"/>
    <w:rsid w:val="00A163FA"/>
    <w:rsid w:val="00A16C33"/>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4B1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212"/>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D5F"/>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52A"/>
    <w:rsid w:val="00A85731"/>
    <w:rsid w:val="00A85E99"/>
    <w:rsid w:val="00A86607"/>
    <w:rsid w:val="00A8679F"/>
    <w:rsid w:val="00A86F0E"/>
    <w:rsid w:val="00A878F9"/>
    <w:rsid w:val="00A87D1B"/>
    <w:rsid w:val="00A90568"/>
    <w:rsid w:val="00A91763"/>
    <w:rsid w:val="00A9194C"/>
    <w:rsid w:val="00A91D05"/>
    <w:rsid w:val="00A92577"/>
    <w:rsid w:val="00A93280"/>
    <w:rsid w:val="00A934FE"/>
    <w:rsid w:val="00A935BE"/>
    <w:rsid w:val="00A94064"/>
    <w:rsid w:val="00A94789"/>
    <w:rsid w:val="00A95961"/>
    <w:rsid w:val="00A9596E"/>
    <w:rsid w:val="00A95EFD"/>
    <w:rsid w:val="00A95F86"/>
    <w:rsid w:val="00A960E4"/>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196"/>
    <w:rsid w:val="00AA670E"/>
    <w:rsid w:val="00AA676A"/>
    <w:rsid w:val="00AA69E3"/>
    <w:rsid w:val="00AA7BCB"/>
    <w:rsid w:val="00AA7DC2"/>
    <w:rsid w:val="00AB0123"/>
    <w:rsid w:val="00AB08D7"/>
    <w:rsid w:val="00AB1553"/>
    <w:rsid w:val="00AB2548"/>
    <w:rsid w:val="00AB29EE"/>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961"/>
    <w:rsid w:val="00AF7AB9"/>
    <w:rsid w:val="00AF7FD7"/>
    <w:rsid w:val="00B004A4"/>
    <w:rsid w:val="00B008AC"/>
    <w:rsid w:val="00B00DA6"/>
    <w:rsid w:val="00B01269"/>
    <w:rsid w:val="00B0144E"/>
    <w:rsid w:val="00B015E4"/>
    <w:rsid w:val="00B01604"/>
    <w:rsid w:val="00B01B58"/>
    <w:rsid w:val="00B0257E"/>
    <w:rsid w:val="00B02AEE"/>
    <w:rsid w:val="00B03010"/>
    <w:rsid w:val="00B03701"/>
    <w:rsid w:val="00B0441A"/>
    <w:rsid w:val="00B04934"/>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596A"/>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5"/>
    <w:rsid w:val="00B47309"/>
    <w:rsid w:val="00B47812"/>
    <w:rsid w:val="00B50B42"/>
    <w:rsid w:val="00B50E2F"/>
    <w:rsid w:val="00B517EA"/>
    <w:rsid w:val="00B51E7B"/>
    <w:rsid w:val="00B5220B"/>
    <w:rsid w:val="00B527AB"/>
    <w:rsid w:val="00B52A44"/>
    <w:rsid w:val="00B531EB"/>
    <w:rsid w:val="00B542E1"/>
    <w:rsid w:val="00B543C4"/>
    <w:rsid w:val="00B543EC"/>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F2C"/>
    <w:rsid w:val="00B620F0"/>
    <w:rsid w:val="00B62287"/>
    <w:rsid w:val="00B62953"/>
    <w:rsid w:val="00B62A99"/>
    <w:rsid w:val="00B633EF"/>
    <w:rsid w:val="00B6379A"/>
    <w:rsid w:val="00B639F3"/>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5F"/>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BC3"/>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33F"/>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4E"/>
    <w:rsid w:val="00BB7854"/>
    <w:rsid w:val="00BB78B1"/>
    <w:rsid w:val="00BB7917"/>
    <w:rsid w:val="00BB7E78"/>
    <w:rsid w:val="00BC02FD"/>
    <w:rsid w:val="00BC0F21"/>
    <w:rsid w:val="00BC17CA"/>
    <w:rsid w:val="00BC1B43"/>
    <w:rsid w:val="00BC2269"/>
    <w:rsid w:val="00BC230C"/>
    <w:rsid w:val="00BC272D"/>
    <w:rsid w:val="00BC2C3E"/>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DC4"/>
    <w:rsid w:val="00BE5E33"/>
    <w:rsid w:val="00BE68A7"/>
    <w:rsid w:val="00BE7D49"/>
    <w:rsid w:val="00BE7F5B"/>
    <w:rsid w:val="00BF0652"/>
    <w:rsid w:val="00BF081E"/>
    <w:rsid w:val="00BF0B78"/>
    <w:rsid w:val="00BF0BFA"/>
    <w:rsid w:val="00BF0FE7"/>
    <w:rsid w:val="00BF1830"/>
    <w:rsid w:val="00BF2581"/>
    <w:rsid w:val="00BF3C8D"/>
    <w:rsid w:val="00BF401E"/>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06E"/>
    <w:rsid w:val="00C05ACD"/>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BC9"/>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69C0"/>
    <w:rsid w:val="00C37DCF"/>
    <w:rsid w:val="00C41448"/>
    <w:rsid w:val="00C41C5D"/>
    <w:rsid w:val="00C41E93"/>
    <w:rsid w:val="00C44908"/>
    <w:rsid w:val="00C450B6"/>
    <w:rsid w:val="00C4541E"/>
    <w:rsid w:val="00C45696"/>
    <w:rsid w:val="00C456FE"/>
    <w:rsid w:val="00C45C7E"/>
    <w:rsid w:val="00C45E20"/>
    <w:rsid w:val="00C4695B"/>
    <w:rsid w:val="00C46D68"/>
    <w:rsid w:val="00C47369"/>
    <w:rsid w:val="00C4752A"/>
    <w:rsid w:val="00C4780E"/>
    <w:rsid w:val="00C47920"/>
    <w:rsid w:val="00C47E51"/>
    <w:rsid w:val="00C503CB"/>
    <w:rsid w:val="00C506AA"/>
    <w:rsid w:val="00C50C02"/>
    <w:rsid w:val="00C5185F"/>
    <w:rsid w:val="00C51B17"/>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16"/>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6B71"/>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8C5"/>
    <w:rsid w:val="00C84FED"/>
    <w:rsid w:val="00C8647A"/>
    <w:rsid w:val="00C86516"/>
    <w:rsid w:val="00C86B61"/>
    <w:rsid w:val="00C86D7C"/>
    <w:rsid w:val="00C87581"/>
    <w:rsid w:val="00C8777C"/>
    <w:rsid w:val="00C87F39"/>
    <w:rsid w:val="00C900A1"/>
    <w:rsid w:val="00C90167"/>
    <w:rsid w:val="00C9067B"/>
    <w:rsid w:val="00C90987"/>
    <w:rsid w:val="00C913A2"/>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7CD"/>
    <w:rsid w:val="00CA1BF5"/>
    <w:rsid w:val="00CA1DF5"/>
    <w:rsid w:val="00CA1FAB"/>
    <w:rsid w:val="00CA2BA0"/>
    <w:rsid w:val="00CA2E68"/>
    <w:rsid w:val="00CA2FF7"/>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0B7"/>
    <w:rsid w:val="00CB2F0A"/>
    <w:rsid w:val="00CB3CB4"/>
    <w:rsid w:val="00CB3F22"/>
    <w:rsid w:val="00CB4ABF"/>
    <w:rsid w:val="00CB55FF"/>
    <w:rsid w:val="00CB5926"/>
    <w:rsid w:val="00CB6E35"/>
    <w:rsid w:val="00CB75DC"/>
    <w:rsid w:val="00CC0170"/>
    <w:rsid w:val="00CC02F2"/>
    <w:rsid w:val="00CC065F"/>
    <w:rsid w:val="00CC11B6"/>
    <w:rsid w:val="00CC1413"/>
    <w:rsid w:val="00CC1573"/>
    <w:rsid w:val="00CC1B2D"/>
    <w:rsid w:val="00CC1BE5"/>
    <w:rsid w:val="00CC2156"/>
    <w:rsid w:val="00CC2333"/>
    <w:rsid w:val="00CC2DB1"/>
    <w:rsid w:val="00CC31DE"/>
    <w:rsid w:val="00CC40E5"/>
    <w:rsid w:val="00CC41A2"/>
    <w:rsid w:val="00CC41B7"/>
    <w:rsid w:val="00CC4726"/>
    <w:rsid w:val="00CC4B9E"/>
    <w:rsid w:val="00CC545D"/>
    <w:rsid w:val="00CC5633"/>
    <w:rsid w:val="00CC57C6"/>
    <w:rsid w:val="00CC5B42"/>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3BF"/>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3AF"/>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0B4"/>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237"/>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AFB"/>
    <w:rsid w:val="00D35BC8"/>
    <w:rsid w:val="00D3669C"/>
    <w:rsid w:val="00D402CC"/>
    <w:rsid w:val="00D407E4"/>
    <w:rsid w:val="00D409EB"/>
    <w:rsid w:val="00D40A74"/>
    <w:rsid w:val="00D40CC2"/>
    <w:rsid w:val="00D40D70"/>
    <w:rsid w:val="00D4148F"/>
    <w:rsid w:val="00D41724"/>
    <w:rsid w:val="00D42208"/>
    <w:rsid w:val="00D42BBE"/>
    <w:rsid w:val="00D437EF"/>
    <w:rsid w:val="00D43D10"/>
    <w:rsid w:val="00D45815"/>
    <w:rsid w:val="00D45E0D"/>
    <w:rsid w:val="00D45FE2"/>
    <w:rsid w:val="00D46335"/>
    <w:rsid w:val="00D4671B"/>
    <w:rsid w:val="00D4710B"/>
    <w:rsid w:val="00D47D8E"/>
    <w:rsid w:val="00D47E5F"/>
    <w:rsid w:val="00D50585"/>
    <w:rsid w:val="00D517A7"/>
    <w:rsid w:val="00D5184A"/>
    <w:rsid w:val="00D519C2"/>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9B4"/>
    <w:rsid w:val="00D56B9A"/>
    <w:rsid w:val="00D570AD"/>
    <w:rsid w:val="00D57128"/>
    <w:rsid w:val="00D5772F"/>
    <w:rsid w:val="00D57DDF"/>
    <w:rsid w:val="00D60604"/>
    <w:rsid w:val="00D60A4D"/>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A1B"/>
    <w:rsid w:val="00D71DCF"/>
    <w:rsid w:val="00D725F5"/>
    <w:rsid w:val="00D7293C"/>
    <w:rsid w:val="00D72CD7"/>
    <w:rsid w:val="00D72DAB"/>
    <w:rsid w:val="00D739C2"/>
    <w:rsid w:val="00D741BC"/>
    <w:rsid w:val="00D7477B"/>
    <w:rsid w:val="00D7487A"/>
    <w:rsid w:val="00D74AE4"/>
    <w:rsid w:val="00D7555B"/>
    <w:rsid w:val="00D763C9"/>
    <w:rsid w:val="00D76D32"/>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3D1"/>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A7F18"/>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05"/>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409"/>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E7585"/>
    <w:rsid w:val="00DF0883"/>
    <w:rsid w:val="00DF0A0D"/>
    <w:rsid w:val="00DF0E92"/>
    <w:rsid w:val="00DF1865"/>
    <w:rsid w:val="00DF1AED"/>
    <w:rsid w:val="00DF1CF7"/>
    <w:rsid w:val="00DF1E45"/>
    <w:rsid w:val="00DF1EC7"/>
    <w:rsid w:val="00DF1EE7"/>
    <w:rsid w:val="00DF1F92"/>
    <w:rsid w:val="00DF23FB"/>
    <w:rsid w:val="00DF2537"/>
    <w:rsid w:val="00DF2654"/>
    <w:rsid w:val="00DF2835"/>
    <w:rsid w:val="00DF2A5A"/>
    <w:rsid w:val="00DF313A"/>
    <w:rsid w:val="00DF3196"/>
    <w:rsid w:val="00DF3716"/>
    <w:rsid w:val="00DF37BF"/>
    <w:rsid w:val="00DF39C3"/>
    <w:rsid w:val="00DF3CCC"/>
    <w:rsid w:val="00DF3DA2"/>
    <w:rsid w:val="00DF3DD0"/>
    <w:rsid w:val="00DF404C"/>
    <w:rsid w:val="00DF495D"/>
    <w:rsid w:val="00DF4F52"/>
    <w:rsid w:val="00DF50DF"/>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010"/>
    <w:rsid w:val="00E02698"/>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00F"/>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0EC"/>
    <w:rsid w:val="00E261C2"/>
    <w:rsid w:val="00E26215"/>
    <w:rsid w:val="00E2624C"/>
    <w:rsid w:val="00E26401"/>
    <w:rsid w:val="00E27914"/>
    <w:rsid w:val="00E279C6"/>
    <w:rsid w:val="00E3070E"/>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ABB"/>
    <w:rsid w:val="00E45DDA"/>
    <w:rsid w:val="00E45FB1"/>
    <w:rsid w:val="00E4675C"/>
    <w:rsid w:val="00E468EB"/>
    <w:rsid w:val="00E46F8B"/>
    <w:rsid w:val="00E470F3"/>
    <w:rsid w:val="00E47100"/>
    <w:rsid w:val="00E4770F"/>
    <w:rsid w:val="00E4790E"/>
    <w:rsid w:val="00E50382"/>
    <w:rsid w:val="00E50E19"/>
    <w:rsid w:val="00E50F38"/>
    <w:rsid w:val="00E50FD0"/>
    <w:rsid w:val="00E514E3"/>
    <w:rsid w:val="00E5184B"/>
    <w:rsid w:val="00E51AF9"/>
    <w:rsid w:val="00E5234E"/>
    <w:rsid w:val="00E53ADF"/>
    <w:rsid w:val="00E53BCD"/>
    <w:rsid w:val="00E5409A"/>
    <w:rsid w:val="00E54D85"/>
    <w:rsid w:val="00E561CF"/>
    <w:rsid w:val="00E56B40"/>
    <w:rsid w:val="00E56CE6"/>
    <w:rsid w:val="00E5717B"/>
    <w:rsid w:val="00E571CA"/>
    <w:rsid w:val="00E578E2"/>
    <w:rsid w:val="00E5799B"/>
    <w:rsid w:val="00E60556"/>
    <w:rsid w:val="00E60F93"/>
    <w:rsid w:val="00E61AEC"/>
    <w:rsid w:val="00E61BCF"/>
    <w:rsid w:val="00E62624"/>
    <w:rsid w:val="00E63A64"/>
    <w:rsid w:val="00E63D14"/>
    <w:rsid w:val="00E63D2B"/>
    <w:rsid w:val="00E64905"/>
    <w:rsid w:val="00E64A11"/>
    <w:rsid w:val="00E64CC9"/>
    <w:rsid w:val="00E64D2A"/>
    <w:rsid w:val="00E64DCE"/>
    <w:rsid w:val="00E654A3"/>
    <w:rsid w:val="00E65977"/>
    <w:rsid w:val="00E65D1E"/>
    <w:rsid w:val="00E661E7"/>
    <w:rsid w:val="00E662EB"/>
    <w:rsid w:val="00E66A4B"/>
    <w:rsid w:val="00E66DDE"/>
    <w:rsid w:val="00E66F30"/>
    <w:rsid w:val="00E670F9"/>
    <w:rsid w:val="00E671AC"/>
    <w:rsid w:val="00E7013C"/>
    <w:rsid w:val="00E704CD"/>
    <w:rsid w:val="00E71119"/>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37"/>
    <w:rsid w:val="00E76BB5"/>
    <w:rsid w:val="00E76D85"/>
    <w:rsid w:val="00E7705E"/>
    <w:rsid w:val="00E77892"/>
    <w:rsid w:val="00E80751"/>
    <w:rsid w:val="00E80B65"/>
    <w:rsid w:val="00E82548"/>
    <w:rsid w:val="00E8280C"/>
    <w:rsid w:val="00E82A2A"/>
    <w:rsid w:val="00E82F57"/>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76B"/>
    <w:rsid w:val="00E91E54"/>
    <w:rsid w:val="00E91F3D"/>
    <w:rsid w:val="00E91F54"/>
    <w:rsid w:val="00E92C80"/>
    <w:rsid w:val="00E92FBE"/>
    <w:rsid w:val="00E933D4"/>
    <w:rsid w:val="00E93454"/>
    <w:rsid w:val="00E93BB9"/>
    <w:rsid w:val="00E93CB4"/>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5D5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B7FE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72"/>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6B64"/>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0FB"/>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2FA"/>
    <w:rsid w:val="00F0769A"/>
    <w:rsid w:val="00F07FCB"/>
    <w:rsid w:val="00F106C7"/>
    <w:rsid w:val="00F10911"/>
    <w:rsid w:val="00F116FC"/>
    <w:rsid w:val="00F117C2"/>
    <w:rsid w:val="00F11BAD"/>
    <w:rsid w:val="00F11D93"/>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358"/>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59B"/>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16B"/>
    <w:rsid w:val="00F42509"/>
    <w:rsid w:val="00F42555"/>
    <w:rsid w:val="00F4294A"/>
    <w:rsid w:val="00F42EE4"/>
    <w:rsid w:val="00F42EE8"/>
    <w:rsid w:val="00F43C66"/>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66BE"/>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693"/>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33E"/>
    <w:rsid w:val="00F76A30"/>
    <w:rsid w:val="00F76DD6"/>
    <w:rsid w:val="00F76E8B"/>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87CA5"/>
    <w:rsid w:val="00F90736"/>
    <w:rsid w:val="00F90E87"/>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354"/>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B80"/>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0B9"/>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32"/>
    <w:rsid w:val="00FE6A61"/>
    <w:rsid w:val="00FE6E5C"/>
    <w:rsid w:val="00FE7768"/>
    <w:rsid w:val="00FE7FB1"/>
    <w:rsid w:val="00FF002A"/>
    <w:rsid w:val="00FF01B7"/>
    <w:rsid w:val="00FF0356"/>
    <w:rsid w:val="00FF09C3"/>
    <w:rsid w:val="00FF0B8C"/>
    <w:rsid w:val="00FF0BA9"/>
    <w:rsid w:val="00FF0CC1"/>
    <w:rsid w:val="00FF0E0E"/>
    <w:rsid w:val="00FF1407"/>
    <w:rsid w:val="00FF209D"/>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1A958694"/>
    <w:rsid w:val="34E97B66"/>
    <w:rsid w:val="48BE4F63"/>
    <w:rsid w:val="50E8F801"/>
    <w:rsid w:val="5861DBB6"/>
    <w:rsid w:val="5EF77FC5"/>
    <w:rsid w:val="69ACC9F4"/>
    <w:rsid w:val="6A2E344C"/>
    <w:rsid w:val="7CCCA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C4AC6"/>
  <w15:docId w15:val="{BE49F2D4-359C-49C8-911D-FCF3CD03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E02698"/>
    <w:pPr>
      <w:spacing w:before="70" w:after="70"/>
    </w:pPr>
    <w:rPr>
      <w:color w:val="201547" w:themeColor="text2"/>
    </w:r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shd w:val="clear" w:color="auto" w:fill="CDDC29" w:themeFill="accent2"/>
      </w:tcPr>
    </w:tblStylePr>
    <w:tblStylePr w:type="firstCol">
      <w:tblPr/>
      <w:tcPr>
        <w:shd w:val="clear" w:color="auto" w:fill="FFFFFF" w:themeFill="background1"/>
      </w:tcPr>
    </w:tblStylePr>
    <w:tblStylePr w:type="band1Vert">
      <w:tblPr/>
      <w:tcPr>
        <w:shd w:val="clear" w:color="auto" w:fill="F2F6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712437"/>
    <w:pPr>
      <w:framePr w:h="709" w:hRule="exact" w:wrap="around" w:vAnchor="page" w:hAnchor="page" w:x="568" w:y="15452" w:anchorLock="1"/>
      <w:spacing w:after="40" w:line="300" w:lineRule="atLeast"/>
      <w:contextualSpacing/>
    </w:pPr>
    <w:rPr>
      <w:b/>
      <w:color w:val="201547" w:themeColor="text2"/>
      <w:sz w:val="25"/>
    </w:r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D76D32"/>
    <w:pPr>
      <w:pBdr>
        <w:top w:val="single" w:sz="4" w:space="10" w:color="CDDC29" w:themeColor="accent2"/>
      </w:pBdr>
      <w:spacing w:before="200" w:after="160"/>
      <w:ind w:left="284" w:right="284"/>
    </w:pPr>
    <w:rPr>
      <w:iCs/>
      <w:color w:val="232222" w:themeColor="text1"/>
    </w:rPr>
  </w:style>
  <w:style w:type="character" w:customStyle="1" w:styleId="QuoteChar">
    <w:name w:val="Quote Char"/>
    <w:basedOn w:val="DefaultParagraphFont"/>
    <w:link w:val="Quote"/>
    <w:rsid w:val="00D76D32"/>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D76D32"/>
    <w:pPr>
      <w:numPr>
        <w:numId w:val="35"/>
      </w:numPr>
      <w:ind w:left="567" w:hanging="283"/>
    </w:pPr>
  </w:style>
  <w:style w:type="paragraph" w:customStyle="1" w:styleId="HighlightBoxHeading">
    <w:name w:val="Highlight Box Heading"/>
    <w:basedOn w:val="HighlightBoxText"/>
    <w:next w:val="HighlightBoxText"/>
    <w:qFormat/>
    <w:rsid w:val="00D76D32"/>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D76D32"/>
    <w:pPr>
      <w:pBdr>
        <w:top w:val="single" w:sz="4" w:space="14" w:color="CDDC29" w:themeColor="accent2"/>
        <w:left w:val="single" w:sz="4" w:space="12" w:color="CDDC29" w:themeColor="accent2"/>
        <w:bottom w:val="single" w:sz="4" w:space="14" w:color="CDDC29" w:themeColor="accent2"/>
        <w:right w:val="single" w:sz="4" w:space="12" w:color="CDDC29" w:themeColor="accent2"/>
      </w:pBdr>
      <w:shd w:val="clear" w:color="auto" w:fill="CDDC29" w:themeFill="accent2"/>
      <w:tabs>
        <w:tab w:val="left" w:pos="2268"/>
        <w:tab w:val="left" w:pos="4536"/>
        <w:tab w:val="left" w:pos="6804"/>
        <w:tab w:val="right" w:pos="9638"/>
      </w:tabs>
      <w:spacing w:line="300" w:lineRule="exact"/>
      <w:ind w:left="283" w:right="283"/>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E02698"/>
    <w:pPr>
      <w:keepNext/>
    </w:pPr>
    <w:rPr>
      <w:b/>
      <w:color w:val="201547" w:themeColor="text2"/>
    </w:rPr>
  </w:style>
  <w:style w:type="paragraph" w:customStyle="1" w:styleId="TableHeadingCentre">
    <w:name w:val="Table Heading Centre"/>
    <w:basedOn w:val="TableTextCentre"/>
    <w:qFormat/>
    <w:rsid w:val="00E02698"/>
    <w:pPr>
      <w:keepNext/>
    </w:pPr>
    <w:rPr>
      <w:b/>
      <w:color w:val="201547" w:themeColor="text2"/>
    </w:rPr>
  </w:style>
  <w:style w:type="paragraph" w:customStyle="1" w:styleId="TableHeadingRight">
    <w:name w:val="Table Heading Right"/>
    <w:basedOn w:val="TableTextRight"/>
    <w:qFormat/>
    <w:rsid w:val="00E02698"/>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Default">
    <w:name w:val="Default"/>
    <w:rsid w:val="00B62953"/>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https://www.environment.vic.gov.au/biodiversity/victorian-biodiversity-atlas" TargetMode="External"/><Relationship Id="rId39" Type="http://schemas.openxmlformats.org/officeDocument/2006/relationships/footer" Target="footer5.xml"/><Relationship Id="rId21" Type="http://schemas.openxmlformats.org/officeDocument/2006/relationships/header" Target="header1.xml"/><Relationship Id="rId34" Type="http://schemas.openxmlformats.org/officeDocument/2006/relationships/hyperlink" Target="http://www.deeca.vic.gov.au/" TargetMode="External"/><Relationship Id="rId42"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s\fionadurante\Downloads\deeca.vic.gov.au" TargetMode="External"/><Relationship Id="rId20" Type="http://schemas.openxmlformats.org/officeDocument/2006/relationships/image" Target="media/image6.png"/><Relationship Id="rId29" Type="http://schemas.openxmlformats.org/officeDocument/2006/relationships/hyperlink" Target="https://ari.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creativecommons.org/licenses/by/4.0/" TargetMode="External"/><Relationship Id="rId37" Type="http://schemas.openxmlformats.org/officeDocument/2006/relationships/header" Target="header2.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2.xml"/><Relationship Id="rId28" Type="http://schemas.openxmlformats.org/officeDocument/2006/relationships/hyperlink" Target="https://datashare.maps.vic.gov.au/" TargetMode="External"/><Relationship Id="rId36" Type="http://schemas.openxmlformats.org/officeDocument/2006/relationships/hyperlink" Target="https://environment.vic.gov.au/biodiversity/habitat_value" TargetMode="External"/><Relationship Id="rId10" Type="http://schemas.openxmlformats.org/officeDocument/2006/relationships/settings" Target="settings.xml"/><Relationship Id="rId19" Type="http://schemas.openxmlformats.org/officeDocument/2006/relationships/image" Target="media/image5.svg"/><Relationship Id="rId31" Type="http://schemas.openxmlformats.org/officeDocument/2006/relationships/hyperlink" Target="http://creativecommons.org/licenses/by/4.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yperlink" Target="https://naturekit.biodiversity.vic.gov.au" TargetMode="External"/><Relationship Id="rId30" Type="http://schemas.openxmlformats.org/officeDocument/2006/relationships/image" Target="media/image7.png"/><Relationship Id="rId35" Type="http://schemas.openxmlformats.org/officeDocument/2006/relationships/hyperlink" Target="http://www.deeca.vic.gov.au"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yperlink" Target="https://www.environment.vic.gov.au/__data/assets/pdf_file/0036/82989/2-NaturePrint-Habitat-Models.pdf" TargetMode="External"/><Relationship Id="rId33" Type="http://schemas.openxmlformats.org/officeDocument/2006/relationships/hyperlink" Target="mailto:customer.service@delwp.vic.gov.au" TargetMode="External"/><Relationship Id="rId38"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B2CF2071944AD184FC0F87F432BB7A"/>
        <w:category>
          <w:name w:val="General"/>
          <w:gallery w:val="placeholder"/>
        </w:category>
        <w:types>
          <w:type w:val="bbPlcHdr"/>
        </w:types>
        <w:behaviors>
          <w:behavior w:val="content"/>
        </w:behaviors>
        <w:guid w:val="{4B3DA186-976E-443B-BB4E-FB24D5A6597C}"/>
      </w:docPartPr>
      <w:docPartBody>
        <w:p w:rsidR="00647590" w:rsidRDefault="00F37F32">
          <w:pPr>
            <w:pStyle w:val="BDB2CF2071944AD184FC0F87F432BB7A"/>
          </w:pPr>
          <w:r w:rsidRPr="000C4F86">
            <w:rPr>
              <w:rStyle w:val="PlaceholderText"/>
            </w:rPr>
            <w:t>[Title]</w:t>
          </w:r>
        </w:p>
      </w:docPartBody>
    </w:docPart>
    <w:docPart>
      <w:docPartPr>
        <w:name w:val="497BB75B4EA44654A1B95C3E2AC9AD47"/>
        <w:category>
          <w:name w:val="General"/>
          <w:gallery w:val="placeholder"/>
        </w:category>
        <w:types>
          <w:type w:val="bbPlcHdr"/>
        </w:types>
        <w:behaviors>
          <w:behavior w:val="content"/>
        </w:behaviors>
        <w:guid w:val="{43A60208-C0A1-4B71-A7BB-A1738075A3F2}"/>
      </w:docPartPr>
      <w:docPartBody>
        <w:p w:rsidR="00647590" w:rsidRDefault="00F37F32">
          <w:pPr>
            <w:pStyle w:val="497BB75B4EA44654A1B95C3E2AC9AD47"/>
          </w:pPr>
          <w:r>
            <w:rPr>
              <w:color w:val="156082" w:themeColor="accent1"/>
              <w:sz w:val="28"/>
              <w:szCs w:val="28"/>
            </w:rPr>
            <w:t>[Document subtitle]</w:t>
          </w:r>
        </w:p>
      </w:docPartBody>
    </w:docPart>
    <w:docPart>
      <w:docPartPr>
        <w:name w:val="6CE7DD7BB70741FA8ACEEB8AE73F44E4"/>
        <w:category>
          <w:name w:val="General"/>
          <w:gallery w:val="placeholder"/>
        </w:category>
        <w:types>
          <w:type w:val="bbPlcHdr"/>
        </w:types>
        <w:behaviors>
          <w:behavior w:val="content"/>
        </w:behaviors>
        <w:guid w:val="{2D7BC039-6330-433F-9FA0-F6EE29669A21}"/>
      </w:docPartPr>
      <w:docPartBody>
        <w:p w:rsidR="00F37F32" w:rsidRDefault="00647590" w:rsidP="00647590">
          <w:pPr>
            <w:pStyle w:val="6CE7DD7BB70741FA8ACEEB8AE73F44E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CF"/>
    <w:rsid w:val="00037D6D"/>
    <w:rsid w:val="00503E67"/>
    <w:rsid w:val="005A0732"/>
    <w:rsid w:val="00647590"/>
    <w:rsid w:val="00830924"/>
    <w:rsid w:val="00853C82"/>
    <w:rsid w:val="0088122D"/>
    <w:rsid w:val="00997D5A"/>
    <w:rsid w:val="00B81BCF"/>
    <w:rsid w:val="00CA5C0E"/>
    <w:rsid w:val="00D47D8E"/>
    <w:rsid w:val="00D6455F"/>
    <w:rsid w:val="00E10DC9"/>
    <w:rsid w:val="00E76B37"/>
    <w:rsid w:val="00F23AE5"/>
    <w:rsid w:val="00F37F32"/>
    <w:rsid w:val="00FE6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BDB2CF2071944AD184FC0F87F432BB7A">
    <w:name w:val="BDB2CF2071944AD184FC0F87F432BB7A"/>
  </w:style>
  <w:style w:type="paragraph" w:customStyle="1" w:styleId="497BB75B4EA44654A1B95C3E2AC9AD47">
    <w:name w:val="497BB75B4EA44654A1B95C3E2AC9AD47"/>
  </w:style>
  <w:style w:type="paragraph" w:customStyle="1" w:styleId="6CE7DD7BB70741FA8ACEEB8AE73F44E4">
    <w:name w:val="6CE7DD7BB70741FA8ACEEB8AE73F44E4"/>
    <w:rsid w:val="00647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ECA RECAFP_Green Theme">
  <a:themeElements>
    <a:clrScheme name="DEECA">
      <a:dk1>
        <a:srgbClr val="232222"/>
      </a:dk1>
      <a:lt1>
        <a:sysClr val="window" lastClr="FFFFFF"/>
      </a:lt1>
      <a:dk2>
        <a:srgbClr val="201547"/>
      </a:dk2>
      <a:lt2>
        <a:srgbClr val="F2F6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lcf76f155ced4ddcb4097134ff3c332f xmlns="2ef6f452-b7e6-4239-b4a1-1b764a755816">
      <Terms xmlns="http://schemas.microsoft.com/office/infopath/2007/PartnerControls"/>
    </lcf76f155ced4ddcb4097134ff3c332f>
    <Description_x002f_ID xmlns="2ef6f452-b7e6-4239-b4a1-1b764a755816" xsi:nil="true"/>
    <SharedWithUsers xmlns="df12b182-c6c2-471e-b196-d6ae1d71d502">
      <UserInfo>
        <DisplayName>Sarah A Martin (DEECA)</DisplayName>
        <AccountId>464</AccountId>
        <AccountType/>
      </UserInfo>
      <UserInfo>
        <DisplayName>David C Attard (DEECA)</DisplayName>
        <AccountId>688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B85CC67FC3ED4C4098EDED1300F2D975" ma:contentTypeVersion="24" ma:contentTypeDescription="Create a new document." ma:contentTypeScope="" ma:versionID="05e3c02037f9de452854e85d0a8ecf3c">
  <xsd:schema xmlns:xsd="http://www.w3.org/2001/XMLSchema" xmlns:xs="http://www.w3.org/2001/XMLSchema" xmlns:p="http://schemas.microsoft.com/office/2006/metadata/properties" xmlns:ns2="a5f32de4-e402-4188-b034-e71ca7d22e54" xmlns:ns3="2ef6f452-b7e6-4239-b4a1-1b764a755816" xmlns:ns4="df12b182-c6c2-471e-b196-d6ae1d71d502" xmlns:ns5="9fd47c19-1c4a-4d7d-b342-c10cef269344" targetNamespace="http://schemas.microsoft.com/office/2006/metadata/properties" ma:root="true" ma:fieldsID="b9625d6a6298b655c673266a837a49d8" ns2:_="" ns3:_="" ns4:_="" ns5:_="">
    <xsd:import namespace="a5f32de4-e402-4188-b034-e71ca7d22e54"/>
    <xsd:import namespace="2ef6f452-b7e6-4239-b4a1-1b764a755816"/>
    <xsd:import namespace="df12b182-c6c2-471e-b196-d6ae1d71d502"/>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Description_x002f_ID" minOccurs="0"/>
                <xsd:element ref="ns3:MediaServiceDateTaken" minOccurs="0"/>
                <xsd:element ref="ns3:MediaServiceLocation" minOccurs="0"/>
                <xsd:element ref="ns3:lcf76f155ced4ddcb4097134ff3c332f" minOccurs="0"/>
                <xsd:element ref="ns5: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f6f452-b7e6-4239-b4a1-1b764a7558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_x002f_ID" ma:index="21" nillable="true" ma:displayName="Description/ID" ma:description="Break out box ID that document content relates to" ma:format="Dropdown" ma:internalName="Description_x002f_ID">
      <xsd:simpleType>
        <xsd:restriction base="dms:Text">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12b182-c6c2-471e-b196-d6ae1d71d50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8b97c74-6bdd-4c08-8c4c-c015215742be}" ma:internalName="TaxCatchAll" ma:showField="CatchAllData" ma:web="df12b182-c6c2-471e-b196-d6ae1d71d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www.w3.org/XML/1998/namespace"/>
    <ds:schemaRef ds:uri="http://schemas.openxmlformats.org/package/2006/metadata/core-properties"/>
    <ds:schemaRef ds:uri="http://purl.org/dc/elements/1.1/"/>
    <ds:schemaRef ds:uri="http://schemas.microsoft.com/office/2006/documentManagement/types"/>
    <ds:schemaRef ds:uri="2ef6f452-b7e6-4239-b4a1-1b764a755816"/>
    <ds:schemaRef ds:uri="http://purl.org/dc/dcmitype/"/>
    <ds:schemaRef ds:uri="df12b182-c6c2-471e-b196-d6ae1d71d502"/>
    <ds:schemaRef ds:uri="http://purl.org/dc/terms/"/>
    <ds:schemaRef ds:uri="a5f32de4-e402-4188-b034-e71ca7d22e54"/>
    <ds:schemaRef ds:uri="9fd47c19-1c4a-4d7d-b342-c10cef269344"/>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3ECC43A2-C6C7-4216-97F2-651BE35FE151}">
  <ds:schemaRefs>
    <ds:schemaRef ds:uri="http://schemas.microsoft.com/sharepoint/events"/>
  </ds:schemaRefs>
</ds:datastoreItem>
</file>

<file path=customXml/itemProps5.xml><?xml version="1.0" encoding="utf-8"?>
<ds:datastoreItem xmlns:ds="http://schemas.openxmlformats.org/officeDocument/2006/customXml" ds:itemID="{CDE8D7CC-F607-4C9A-B06C-A7CA12472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2ef6f452-b7e6-4239-b4a1-1b764a755816"/>
    <ds:schemaRef ds:uri="df12b182-c6c2-471e-b196-d6ae1d71d50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B4F002-1FB6-4CF1-8EC4-C03A20B8BBCA}">
  <ds:schemaRefs>
    <ds:schemaRef ds:uri="Microsoft.SharePoint.Taxonomy.ContentTypeSync"/>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Habitat Value</vt:lpstr>
    </vt:vector>
  </TitlesOfParts>
  <Company/>
  <LinksUpToDate>false</LinksUpToDate>
  <CharactersWithSpaces>7868</CharactersWithSpaces>
  <SharedDoc>false</SharedDoc>
  <HLinks>
    <vt:vector size="78" baseType="variant">
      <vt:variant>
        <vt:i4>2883613</vt:i4>
      </vt:variant>
      <vt:variant>
        <vt:i4>36</vt:i4>
      </vt:variant>
      <vt:variant>
        <vt:i4>0</vt:i4>
      </vt:variant>
      <vt:variant>
        <vt:i4>5</vt:i4>
      </vt:variant>
      <vt:variant>
        <vt:lpwstr>https://environment.vic.gov.au/biodiversity/habitat_value</vt:lpwstr>
      </vt:variant>
      <vt:variant>
        <vt:lpwstr/>
      </vt:variant>
      <vt:variant>
        <vt:i4>65547</vt:i4>
      </vt:variant>
      <vt:variant>
        <vt:i4>33</vt:i4>
      </vt:variant>
      <vt:variant>
        <vt:i4>0</vt:i4>
      </vt:variant>
      <vt:variant>
        <vt:i4>5</vt:i4>
      </vt:variant>
      <vt:variant>
        <vt:lpwstr>http://www.deeca.vic.gov.au/</vt:lpwstr>
      </vt:variant>
      <vt:variant>
        <vt:lpwstr/>
      </vt:variant>
      <vt:variant>
        <vt:i4>65547</vt:i4>
      </vt:variant>
      <vt:variant>
        <vt:i4>30</vt:i4>
      </vt:variant>
      <vt:variant>
        <vt:i4>0</vt:i4>
      </vt:variant>
      <vt:variant>
        <vt:i4>5</vt:i4>
      </vt:variant>
      <vt:variant>
        <vt:lpwstr>http://www.deeca.vic.gov.au/</vt:lpwstr>
      </vt:variant>
      <vt:variant>
        <vt:lpwstr/>
      </vt:variant>
      <vt:variant>
        <vt:i4>2687044</vt:i4>
      </vt:variant>
      <vt:variant>
        <vt:i4>27</vt:i4>
      </vt:variant>
      <vt:variant>
        <vt:i4>0</vt:i4>
      </vt:variant>
      <vt:variant>
        <vt:i4>5</vt:i4>
      </vt:variant>
      <vt:variant>
        <vt:lpwstr>mailto:customer.service@delwp.vic.gov.au</vt:lpwstr>
      </vt:variant>
      <vt:variant>
        <vt:lpwstr/>
      </vt:variant>
      <vt:variant>
        <vt:i4>6488166</vt:i4>
      </vt:variant>
      <vt:variant>
        <vt:i4>24</vt:i4>
      </vt:variant>
      <vt:variant>
        <vt:i4>0</vt:i4>
      </vt:variant>
      <vt:variant>
        <vt:i4>5</vt:i4>
      </vt:variant>
      <vt:variant>
        <vt:lpwstr>http://creativecommons.org/licenses/by/4.0/</vt:lpwstr>
      </vt:variant>
      <vt:variant>
        <vt:lpwstr/>
      </vt:variant>
      <vt:variant>
        <vt:i4>6488166</vt:i4>
      </vt:variant>
      <vt:variant>
        <vt:i4>21</vt:i4>
      </vt:variant>
      <vt:variant>
        <vt:i4>0</vt:i4>
      </vt:variant>
      <vt:variant>
        <vt:i4>5</vt:i4>
      </vt:variant>
      <vt:variant>
        <vt:lpwstr>http://creativecommons.org/licenses/by/4.0/</vt:lpwstr>
      </vt:variant>
      <vt:variant>
        <vt:lpwstr/>
      </vt:variant>
      <vt:variant>
        <vt:i4>4063277</vt:i4>
      </vt:variant>
      <vt:variant>
        <vt:i4>18</vt:i4>
      </vt:variant>
      <vt:variant>
        <vt:i4>0</vt:i4>
      </vt:variant>
      <vt:variant>
        <vt:i4>5</vt:i4>
      </vt:variant>
      <vt:variant>
        <vt:lpwstr>https://ari.vic.gov.au/</vt:lpwstr>
      </vt:variant>
      <vt:variant>
        <vt:lpwstr/>
      </vt:variant>
      <vt:variant>
        <vt:i4>8192103</vt:i4>
      </vt:variant>
      <vt:variant>
        <vt:i4>15</vt:i4>
      </vt:variant>
      <vt:variant>
        <vt:i4>0</vt:i4>
      </vt:variant>
      <vt:variant>
        <vt:i4>5</vt:i4>
      </vt:variant>
      <vt:variant>
        <vt:lpwstr>https://datashare.maps.vic.gov.au/</vt:lpwstr>
      </vt:variant>
      <vt:variant>
        <vt:lpwstr/>
      </vt:variant>
      <vt:variant>
        <vt:i4>7602284</vt:i4>
      </vt:variant>
      <vt:variant>
        <vt:i4>12</vt:i4>
      </vt:variant>
      <vt:variant>
        <vt:i4>0</vt:i4>
      </vt:variant>
      <vt:variant>
        <vt:i4>5</vt:i4>
      </vt:variant>
      <vt:variant>
        <vt:lpwstr>https://naturekit.biodiversity.vic.gov.au/</vt:lpwstr>
      </vt:variant>
      <vt:variant>
        <vt:lpwstr/>
      </vt:variant>
      <vt:variant>
        <vt:i4>1245262</vt:i4>
      </vt:variant>
      <vt:variant>
        <vt:i4>9</vt:i4>
      </vt:variant>
      <vt:variant>
        <vt:i4>0</vt:i4>
      </vt:variant>
      <vt:variant>
        <vt:i4>5</vt:i4>
      </vt:variant>
      <vt:variant>
        <vt:lpwstr>https://www.environment.vic.gov.au/biodiversity/victorian-biodiversity-atlas</vt:lpwstr>
      </vt:variant>
      <vt:variant>
        <vt:lpwstr/>
      </vt:variant>
      <vt:variant>
        <vt:i4>6553628</vt:i4>
      </vt:variant>
      <vt:variant>
        <vt:i4>6</vt:i4>
      </vt:variant>
      <vt:variant>
        <vt:i4>0</vt:i4>
      </vt:variant>
      <vt:variant>
        <vt:i4>5</vt:i4>
      </vt:variant>
      <vt:variant>
        <vt:lpwstr>https://www.environment.vic.gov.au/__data/assets/pdf_file/0036/82989/2-NaturePrint-Habitat-Models.pdf</vt:lpwstr>
      </vt:variant>
      <vt:variant>
        <vt:lpwstr/>
      </vt:variant>
      <vt:variant>
        <vt:i4>2818094</vt:i4>
      </vt:variant>
      <vt:variant>
        <vt:i4>3</vt:i4>
      </vt:variant>
      <vt:variant>
        <vt:i4>0</vt:i4>
      </vt:variant>
      <vt:variant>
        <vt:i4>5</vt:i4>
      </vt:variant>
      <vt:variant>
        <vt:lpwstr>https://www.environment.vic.gov.au/biodiversity/choosing-actions-for-nature</vt:lpwstr>
      </vt:variant>
      <vt:variant>
        <vt:lpwstr/>
      </vt:variant>
      <vt:variant>
        <vt:i4>16</vt:i4>
      </vt:variant>
      <vt:variant>
        <vt:i4>0</vt:i4>
      </vt:variant>
      <vt:variant>
        <vt:i4>0</vt:i4>
      </vt:variant>
      <vt:variant>
        <vt:i4>5</vt:i4>
      </vt:variant>
      <vt:variant>
        <vt:lpwstr>C:\Users\fionadurante\Downloads\deeca.vic.gov.au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Value</dc:title>
  <dc:subject>Habitat Value helps identify the relative value of biodiversity across Victoria to assist in conservation and land-use planning.</dc:subject>
  <dc:creator>Ella L Kelly (DEECA)</dc:creator>
  <cp:keywords/>
  <dc:description/>
  <cp:lastModifiedBy>Cobie A Farmer (DEECA)</cp:lastModifiedBy>
  <cp:revision>2</cp:revision>
  <cp:lastPrinted>2024-10-29T22:42:00Z</cp:lastPrinted>
  <dcterms:created xsi:type="dcterms:W3CDTF">2024-10-29T23:08:00Z</dcterms:created>
  <dcterms:modified xsi:type="dcterms:W3CDTF">2024-10-29T23:08:00Z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0x010100B85CC67FC3ED4C4098EDED1300F2D975</vt:lpwstr>
  </property>
  <property fmtid="{D5CDD505-2E9C-101B-9397-08002B2CF9AE}" pid="5" name="MediaServiceImageTags">
    <vt:lpwstr/>
  </property>
  <property fmtid="{D5CDD505-2E9C-101B-9397-08002B2CF9AE}" pid="6" name="ClassificationContentMarkingFooterShapeIds">
    <vt:lpwstr>1b,1f,28,2a,2b,2d</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2023-10-25T22:39:28Z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2f2d1c8c-3226-4b45-9f91-2815893b69bd</vt:lpwstr>
  </property>
  <property fmtid="{D5CDD505-2E9C-101B-9397-08002B2CF9AE}" pid="15" name="MSIP_Label_4257e2ab-f512-40e2-9c9a-c64247360765_ContentBits">
    <vt:lpwstr>2</vt:lpwstr>
  </property>
  <property fmtid="{D5CDD505-2E9C-101B-9397-08002B2CF9AE}" pid="16" name="Agency">
    <vt:i4>1</vt:i4>
  </property>
  <property fmtid="{D5CDD505-2E9C-101B-9397-08002B2CF9AE}" pid="17" name="Division">
    <vt:i4>5</vt:i4>
  </property>
  <property fmtid="{D5CDD505-2E9C-101B-9397-08002B2CF9AE}" pid="18" name="Dissemination Limiting Marker">
    <vt:i4>2</vt:i4>
  </property>
  <property fmtid="{D5CDD505-2E9C-101B-9397-08002B2CF9AE}" pid="19" name="Security Classification">
    <vt:i4>3</vt:i4>
  </property>
</Properties>
</file>