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1203" w14:textId="5996F984" w:rsidR="00132474" w:rsidRPr="00650CD2" w:rsidRDefault="00650CD2" w:rsidP="00650CD2">
      <w:pPr>
        <w:pStyle w:val="Title"/>
        <w:spacing w:line="276" w:lineRule="auto"/>
        <w:rPr>
          <w:lang w:val="en-US"/>
        </w:rPr>
      </w:pPr>
      <w:r w:rsidRPr="00650CD2">
        <w:rPr>
          <w:lang w:val="en-US"/>
        </w:rPr>
        <w:t>Great Ocean Road Coast and Parks</w:t>
      </w:r>
    </w:p>
    <w:p w14:paraId="3C98D2BC" w14:textId="2042EA2F" w:rsidR="00132474" w:rsidRDefault="00650CD2" w:rsidP="00650CD2">
      <w:pPr>
        <w:pStyle w:val="Heading1"/>
        <w:spacing w:before="0" w:after="720"/>
        <w:rPr>
          <w:lang w:val="en-US"/>
        </w:rPr>
      </w:pPr>
      <w:r w:rsidRPr="00650CD2">
        <w:rPr>
          <w:lang w:val="en-US"/>
        </w:rPr>
        <w:t>Environmental Economic Account</w:t>
      </w:r>
    </w:p>
    <w:p w14:paraId="08237BA9" w14:textId="50BDD836" w:rsidR="00650CD2" w:rsidRDefault="00650CD2" w:rsidP="002E5F4D">
      <w:pPr>
        <w:pStyle w:val="BodyText"/>
        <w:spacing w:after="480" w:line="480" w:lineRule="auto"/>
      </w:pPr>
      <w:r w:rsidRPr="002E5F4D">
        <w:rPr>
          <w:b/>
          <w:bCs/>
        </w:rPr>
        <w:t>3.9 million</w:t>
      </w:r>
      <w:r>
        <w:t xml:space="preserve"> </w:t>
      </w:r>
      <w:r w:rsidRPr="00650CD2">
        <w:t xml:space="preserve">annual tourism visits can be attributed to the existence of ecosystems of the </w:t>
      </w:r>
      <w:r w:rsidRPr="00650CD2">
        <w:rPr>
          <w:lang w:val="en-US"/>
        </w:rPr>
        <w:t>Great Ocean Road Coast and Parks</w:t>
      </w:r>
      <w:r w:rsidRPr="00650CD2">
        <w:rPr>
          <w:lang w:val="en-AU"/>
        </w:rPr>
        <w:t xml:space="preserve"> </w:t>
      </w:r>
      <w:r w:rsidRPr="00650CD2">
        <w:t>(valued at $520</w:t>
      </w:r>
      <w:r>
        <w:t xml:space="preserve"> million</w:t>
      </w:r>
      <w:r w:rsidRPr="00650CD2">
        <w:t xml:space="preserve"> per year based on travel cost).</w:t>
      </w:r>
    </w:p>
    <w:p w14:paraId="2EC5AF99" w14:textId="79F77018" w:rsidR="00650CD2" w:rsidRPr="00650CD2" w:rsidRDefault="00650CD2" w:rsidP="00650CD2">
      <w:pPr>
        <w:pStyle w:val="BodyText"/>
      </w:pPr>
      <w:r w:rsidRPr="00650CD2">
        <w:t xml:space="preserve">The existence of </w:t>
      </w:r>
      <w:r w:rsidRPr="002E5F4D">
        <w:rPr>
          <w:b/>
          <w:bCs/>
        </w:rPr>
        <w:t xml:space="preserve">ecosystems in the region is highly valued by society </w:t>
      </w:r>
      <w:r w:rsidRPr="00650CD2">
        <w:t>as shown by:</w:t>
      </w:r>
    </w:p>
    <w:p w14:paraId="5F3B2056" w14:textId="21F3AA1D" w:rsidR="00650CD2" w:rsidRPr="00650CD2" w:rsidRDefault="00650CD2" w:rsidP="00650CD2">
      <w:pPr>
        <w:pStyle w:val="ListBullet"/>
      </w:pPr>
      <w:r w:rsidRPr="002E5F4D">
        <w:rPr>
          <w:b/>
          <w:bCs/>
        </w:rPr>
        <w:t>Over 1,300</w:t>
      </w:r>
      <w:r>
        <w:t xml:space="preserve"> </w:t>
      </w:r>
      <w:r w:rsidRPr="00650CD2">
        <w:t>people participating in community stewardship</w:t>
      </w:r>
    </w:p>
    <w:p w14:paraId="0B77436A" w14:textId="425F7138" w:rsidR="00650CD2" w:rsidRDefault="00650CD2" w:rsidP="002E5F4D">
      <w:pPr>
        <w:pStyle w:val="ListBullet"/>
        <w:spacing w:after="480"/>
      </w:pPr>
      <w:r w:rsidRPr="002E5F4D">
        <w:rPr>
          <w:b/>
          <w:bCs/>
        </w:rPr>
        <w:t>40,000</w:t>
      </w:r>
      <w:r>
        <w:t xml:space="preserve"> </w:t>
      </w:r>
      <w:r w:rsidRPr="00650CD2">
        <w:t>hectares of national parks and nature and</w:t>
      </w:r>
      <w:r>
        <w:t xml:space="preserve"> </w:t>
      </w:r>
      <w:r w:rsidRPr="00650CD2">
        <w:t>conservation reserves</w:t>
      </w:r>
    </w:p>
    <w:p w14:paraId="4686F1AD" w14:textId="7C132FCB" w:rsidR="002E5F4D" w:rsidRPr="00650CD2" w:rsidRDefault="002E5F4D" w:rsidP="002E5F4D">
      <w:pPr>
        <w:pStyle w:val="BodyText"/>
      </w:pPr>
      <w:r w:rsidRPr="00650CD2">
        <w:t xml:space="preserve">In 2019, the </w:t>
      </w:r>
      <w:r w:rsidR="00600114" w:rsidRPr="00650CD2">
        <w:rPr>
          <w:lang w:val="en-US"/>
        </w:rPr>
        <w:t>Great Ocean Road Coast and Parks</w:t>
      </w:r>
      <w:r w:rsidR="00600114" w:rsidRPr="00650CD2">
        <w:t xml:space="preserve"> </w:t>
      </w:r>
      <w:r w:rsidRPr="00650CD2">
        <w:t>region was largely</w:t>
      </w:r>
      <w:r>
        <w:t xml:space="preserve"> </w:t>
      </w:r>
      <w:r w:rsidRPr="00650CD2">
        <w:t>covered by:</w:t>
      </w:r>
    </w:p>
    <w:p w14:paraId="41F25350" w14:textId="77777777" w:rsidR="002E5F4D" w:rsidRPr="00650CD2" w:rsidRDefault="002E5F4D" w:rsidP="002E5F4D">
      <w:pPr>
        <w:pStyle w:val="ListBullet"/>
      </w:pPr>
      <w:r w:rsidRPr="00650CD2">
        <w:rPr>
          <w:b/>
          <w:bCs/>
        </w:rPr>
        <w:t xml:space="preserve">128,000 hectares </w:t>
      </w:r>
      <w:r w:rsidRPr="00650CD2">
        <w:t>of marine habitats</w:t>
      </w:r>
    </w:p>
    <w:p w14:paraId="208C6EE4" w14:textId="4C6D691F" w:rsidR="002E5F4D" w:rsidRPr="00650CD2" w:rsidRDefault="002E5F4D" w:rsidP="002E5F4D">
      <w:pPr>
        <w:pStyle w:val="ListBullet"/>
        <w:spacing w:after="480"/>
      </w:pPr>
      <w:r w:rsidRPr="00650CD2">
        <w:rPr>
          <w:b/>
          <w:bCs/>
        </w:rPr>
        <w:t xml:space="preserve">36,000 hectares </w:t>
      </w:r>
      <w:r w:rsidRPr="00650CD2">
        <w:t>of forests</w:t>
      </w:r>
    </w:p>
    <w:p w14:paraId="16D7C89B" w14:textId="564073F6" w:rsidR="00650CD2" w:rsidRPr="00650CD2" w:rsidRDefault="00650CD2" w:rsidP="002E5F4D">
      <w:pPr>
        <w:pStyle w:val="BodyText"/>
        <w:spacing w:after="480" w:line="480" w:lineRule="auto"/>
      </w:pPr>
      <w:r w:rsidRPr="00650CD2">
        <w:t xml:space="preserve">Engagement with the </w:t>
      </w:r>
      <w:r w:rsidRPr="00650CD2">
        <w:rPr>
          <w:b/>
          <w:bCs/>
        </w:rPr>
        <w:t>Wadawurrung Traditional Owners</w:t>
      </w:r>
      <w:r w:rsidRPr="00650CD2">
        <w:t xml:space="preserve"> identified a desire to recognise their objectives to protect tangible attributes of the region’s natural environment for their cultural value through referencing and reporting on metrics in their Country Plans.</w:t>
      </w:r>
    </w:p>
    <w:p w14:paraId="70ACC760" w14:textId="3FF8FBE2" w:rsidR="00650CD2" w:rsidRPr="00650CD2" w:rsidRDefault="00650CD2" w:rsidP="00650CD2">
      <w:pPr>
        <w:pStyle w:val="BodyText"/>
        <w:rPr>
          <w:lang w:val="en-US"/>
        </w:rPr>
      </w:pPr>
      <w:r w:rsidRPr="00650CD2">
        <w:rPr>
          <w:b/>
          <w:bCs/>
          <w:lang w:val="en-US"/>
        </w:rPr>
        <w:t>35m tonnes of CO</w:t>
      </w:r>
      <w:r w:rsidRPr="00650CD2">
        <w:rPr>
          <w:b/>
          <w:bCs/>
          <w:vertAlign w:val="subscript"/>
          <w:lang w:val="en-US"/>
        </w:rPr>
        <w:t>2</w:t>
      </w:r>
      <w:r w:rsidRPr="00650CD2">
        <w:rPr>
          <w:b/>
          <w:bCs/>
          <w:lang w:val="en-US"/>
        </w:rPr>
        <w:t>e</w:t>
      </w:r>
      <w:r>
        <w:rPr>
          <w:lang w:val="en-US"/>
        </w:rPr>
        <w:t xml:space="preserve"> </w:t>
      </w:r>
      <w:r w:rsidRPr="00650CD2">
        <w:rPr>
          <w:lang w:val="en-US"/>
        </w:rPr>
        <w:t xml:space="preserve">is stored in ecosystems across the </w:t>
      </w:r>
      <w:r w:rsidR="00600114" w:rsidRPr="00650CD2">
        <w:rPr>
          <w:lang w:val="en-US"/>
        </w:rPr>
        <w:t>Great Ocean Road Coast and Parks</w:t>
      </w:r>
      <w:r w:rsidRPr="00650CD2">
        <w:rPr>
          <w:lang w:val="en-US"/>
        </w:rPr>
        <w:t xml:space="preserve">, valued at: </w:t>
      </w:r>
    </w:p>
    <w:p w14:paraId="464259EE" w14:textId="4E465265" w:rsidR="00650CD2" w:rsidRDefault="00650CD2" w:rsidP="002E5F4D">
      <w:pPr>
        <w:pStyle w:val="ListBullet"/>
        <w:spacing w:after="120"/>
      </w:pPr>
      <w:r w:rsidRPr="00650CD2">
        <w:rPr>
          <w:b/>
          <w:bCs/>
        </w:rPr>
        <w:t>$60m</w:t>
      </w:r>
      <w:r>
        <w:t xml:space="preserve"> </w:t>
      </w:r>
      <w:r w:rsidRPr="00650CD2">
        <w:t>per year (based on avoided cost of carbon offsets)</w:t>
      </w:r>
    </w:p>
    <w:p w14:paraId="4B8C158F" w14:textId="74DA1CB9" w:rsidR="00650CD2" w:rsidRDefault="00650CD2" w:rsidP="002E5F4D">
      <w:pPr>
        <w:pStyle w:val="BodyText"/>
        <w:spacing w:after="120"/>
        <w:rPr>
          <w:lang w:val="en-US"/>
        </w:rPr>
      </w:pPr>
      <w:r>
        <w:rPr>
          <w:lang w:val="en-US"/>
        </w:rPr>
        <w:t>or</w:t>
      </w:r>
    </w:p>
    <w:p w14:paraId="12D3DE1A" w14:textId="5FD9F7C2" w:rsidR="00650CD2" w:rsidRPr="00650CD2" w:rsidRDefault="00650CD2" w:rsidP="002E5F4D">
      <w:pPr>
        <w:pStyle w:val="ListBullet"/>
        <w:spacing w:after="480"/>
      </w:pPr>
      <w:r w:rsidRPr="00650CD2">
        <w:rPr>
          <w:b/>
          <w:bCs/>
        </w:rPr>
        <w:t>$180m</w:t>
      </w:r>
      <w:r>
        <w:t xml:space="preserve"> </w:t>
      </w:r>
      <w:r w:rsidRPr="00650CD2">
        <w:t>per year (based on the social cost of carbon)</w:t>
      </w:r>
    </w:p>
    <w:p w14:paraId="29BF95C1" w14:textId="28080912" w:rsidR="00650CD2" w:rsidRPr="00650CD2" w:rsidRDefault="00650CD2" w:rsidP="002E5F4D">
      <w:pPr>
        <w:pStyle w:val="BodyText"/>
      </w:pPr>
      <w:r w:rsidRPr="00650CD2">
        <w:lastRenderedPageBreak/>
        <w:t>Supporting the recreational experience of visitors</w:t>
      </w:r>
      <w:r w:rsidR="002E5F4D">
        <w:t xml:space="preserve"> </w:t>
      </w:r>
      <w:r w:rsidRPr="00650CD2">
        <w:t>to the region includes:</w:t>
      </w:r>
    </w:p>
    <w:p w14:paraId="420731AD" w14:textId="4D41C42D" w:rsidR="00650CD2" w:rsidRPr="00650CD2" w:rsidRDefault="00650CD2" w:rsidP="002E5F4D">
      <w:pPr>
        <w:pStyle w:val="ListBullet"/>
      </w:pPr>
      <w:r w:rsidRPr="00650CD2">
        <w:rPr>
          <w:b/>
          <w:bCs/>
        </w:rPr>
        <w:t>240km</w:t>
      </w:r>
      <w:r w:rsidR="002E5F4D">
        <w:rPr>
          <w:b/>
          <w:bCs/>
        </w:rPr>
        <w:t xml:space="preserve"> </w:t>
      </w:r>
      <w:r w:rsidRPr="00650CD2">
        <w:t>of walking tracks</w:t>
      </w:r>
    </w:p>
    <w:p w14:paraId="1DF162C8" w14:textId="4C5E1C01" w:rsidR="00650CD2" w:rsidRPr="00650CD2" w:rsidRDefault="00650CD2" w:rsidP="002E5F4D">
      <w:pPr>
        <w:pStyle w:val="ListBullet"/>
        <w:spacing w:after="480"/>
      </w:pPr>
      <w:r w:rsidRPr="00650CD2">
        <w:rPr>
          <w:b/>
          <w:bCs/>
        </w:rPr>
        <w:t>70km</w:t>
      </w:r>
      <w:r w:rsidR="002E5F4D">
        <w:rPr>
          <w:b/>
          <w:bCs/>
        </w:rPr>
        <w:t xml:space="preserve"> </w:t>
      </w:r>
      <w:r w:rsidRPr="00650CD2">
        <w:t>of mountain bike tracks and bike paths</w:t>
      </w:r>
    </w:p>
    <w:p w14:paraId="26AA8F51" w14:textId="603EF5DD" w:rsidR="00650CD2" w:rsidRPr="00650CD2" w:rsidRDefault="00650CD2" w:rsidP="002E5F4D">
      <w:pPr>
        <w:pStyle w:val="BodyText"/>
        <w:spacing w:line="480" w:lineRule="auto"/>
      </w:pPr>
      <w:r w:rsidRPr="00650CD2">
        <w:rPr>
          <w:b/>
          <w:bCs/>
        </w:rPr>
        <w:t>Coastal and marine habitats provide coastal protection services</w:t>
      </w:r>
      <w:r w:rsidRPr="00650CD2">
        <w:t xml:space="preserve"> to</w:t>
      </w:r>
      <w:r w:rsidR="002E5F4D">
        <w:t xml:space="preserve"> </w:t>
      </w:r>
      <w:r w:rsidRPr="00650CD2">
        <w:t xml:space="preserve">varying degrees along 240km of the </w:t>
      </w:r>
      <w:r w:rsidR="00600114" w:rsidRPr="00650CD2">
        <w:rPr>
          <w:lang w:val="en-US"/>
        </w:rPr>
        <w:t>Great Ocean Road Coast and Parks</w:t>
      </w:r>
      <w:r w:rsidR="00600114" w:rsidRPr="00650CD2">
        <w:t xml:space="preserve"> </w:t>
      </w:r>
      <w:r w:rsidRPr="00650CD2">
        <w:t xml:space="preserve">coastline (valued at </w:t>
      </w:r>
      <w:r w:rsidR="002E5F4D">
        <w:t xml:space="preserve">between </w:t>
      </w:r>
      <w:r w:rsidRPr="00650CD2">
        <w:t>3</w:t>
      </w:r>
      <w:r w:rsidR="002E5F4D">
        <w:t xml:space="preserve"> to </w:t>
      </w:r>
      <w:r w:rsidRPr="00650CD2">
        <w:t>10</w:t>
      </w:r>
      <w:r w:rsidR="002E5F4D">
        <w:t xml:space="preserve"> million dollars</w:t>
      </w:r>
      <w:r w:rsidRPr="00650CD2">
        <w:t xml:space="preserve"> per year based on the replacement cost of seawalls providing equivalent exposure reduction).</w:t>
      </w:r>
    </w:p>
    <w:p w14:paraId="0DA6CF22" w14:textId="77777777" w:rsidR="00650CD2" w:rsidRPr="00650CD2" w:rsidRDefault="00650CD2" w:rsidP="002E5F4D">
      <w:pPr>
        <w:pStyle w:val="BodyText"/>
        <w:spacing w:after="480" w:line="480" w:lineRule="auto"/>
      </w:pPr>
      <w:r w:rsidRPr="00650CD2">
        <w:t>This environmental-economic account takes stock of current ecosystem assets in the Great Ocean Road Coast and Parks – in terms of their extent, location, and condition – and quantifies and values the flow of ecosystem services that these assets generate for people, who enjoy benefits from them.</w:t>
      </w:r>
    </w:p>
    <w:p w14:paraId="7980A74E" w14:textId="30C0158B" w:rsidR="002E5F4D" w:rsidRPr="00650CD2" w:rsidRDefault="00650CD2" w:rsidP="00650CD2">
      <w:pPr>
        <w:pStyle w:val="BodyText"/>
      </w:pPr>
      <w:r w:rsidRPr="00650CD2">
        <w:t>For more information go to:</w:t>
      </w:r>
      <w:r w:rsidR="002E5F4D">
        <w:t xml:space="preserve"> </w:t>
      </w:r>
      <w:hyperlink r:id="rId8" w:tooltip="Hyperlink to website giving information regarding Accounting for the environment" w:history="1">
        <w:r w:rsidR="009A683D">
          <w:rPr>
            <w:rStyle w:val="Hyperlink"/>
          </w:rPr>
          <w:t>environment.vic.gov.au/accounting-for-the-environment</w:t>
        </w:r>
      </w:hyperlink>
    </w:p>
    <w:p w14:paraId="64A129E0" w14:textId="78DA1E3E" w:rsidR="00BB4AFE" w:rsidRDefault="00BB4AFE" w:rsidP="00BB4AFE">
      <w:pPr>
        <w:pStyle w:val="BodyText"/>
        <w:spacing w:before="480"/>
      </w:pPr>
      <w:r>
        <w:t xml:space="preserve">© The State of Victoria Department of Energy, Environment and Climate Action June 2024. </w:t>
      </w:r>
    </w:p>
    <w:p w14:paraId="15D052EA" w14:textId="77777777" w:rsidR="00BB4AFE" w:rsidRDefault="00BB4AFE" w:rsidP="00BB4AFE">
      <w:pPr>
        <w:pStyle w:val="HeadingFOUR"/>
      </w:pPr>
      <w:r>
        <w:t>Creative Commons</w:t>
      </w:r>
    </w:p>
    <w:p w14:paraId="74099AFE" w14:textId="77777777" w:rsidR="00BB4AFE" w:rsidRDefault="00BB4AFE" w:rsidP="00BB4AFE">
      <w:pPr>
        <w:pStyle w:val="BodyText"/>
      </w:pPr>
      <w:r>
        <w:t xml:space="preserve">This work is licensed under a Creative Commons Attribution 4.0 International licence, visit the </w:t>
      </w:r>
      <w:hyperlink r:id="rId9" w:tooltip="Hyperlink to the Creative Commons website" w:history="1">
        <w:r w:rsidRPr="00152A8B">
          <w:rPr>
            <w:rStyle w:val="Hyperlink"/>
          </w:rPr>
          <w:t>Creative Commons website</w:t>
        </w:r>
      </w:hyperlink>
      <w:r>
        <w:t xml:space="preserve"> (</w:t>
      </w:r>
      <w:hyperlink r:id="rId10" w:tooltip="Hyperlink to the Creative Commons website" w:history="1">
        <w:r w:rsidRPr="00152A8B">
          <w:rPr>
            <w:rStyle w:val="Hyperlink"/>
          </w:rPr>
          <w:t>http://creativecommons.org/licenses/by/4.0/</w:t>
        </w:r>
      </w:hyperlink>
      <w:r>
        <w:t>).</w:t>
      </w:r>
    </w:p>
    <w:p w14:paraId="2F8C071F" w14:textId="77777777" w:rsidR="00BB4AFE" w:rsidRDefault="00BB4AFE" w:rsidP="00BB4AFE">
      <w:pPr>
        <w:pStyle w:val="BodyText"/>
      </w:pPr>
      <w: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3286E72" w14:textId="77777777" w:rsidR="00BB4AFE" w:rsidRDefault="00BB4AFE" w:rsidP="00BB4AFE">
      <w:pPr>
        <w:pStyle w:val="HeadingFOUR"/>
      </w:pPr>
      <w:r>
        <w:t>Disclaimer</w:t>
      </w:r>
    </w:p>
    <w:p w14:paraId="6121E374" w14:textId="77777777" w:rsidR="00BB4AFE" w:rsidRDefault="00BB4AFE" w:rsidP="00BB4AFE">
      <w:pPr>
        <w:pStyle w:val="BodyText"/>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w:t>
      </w:r>
      <w:r>
        <w:lastRenderedPageBreak/>
        <w:t>your particular purposes and therefore disclaims all liability for any error, loss or other consequence which may arise from you relying on any information in this publication.</w:t>
      </w:r>
    </w:p>
    <w:p w14:paraId="6C1FC363" w14:textId="77777777" w:rsidR="00BB4AFE" w:rsidRDefault="00BB4AFE" w:rsidP="00BB4AFE">
      <w:pPr>
        <w:pStyle w:val="HeadingFOUR"/>
      </w:pPr>
      <w:r>
        <w:t>Accessibility</w:t>
      </w:r>
    </w:p>
    <w:p w14:paraId="4DD94160" w14:textId="62C716F3" w:rsidR="00132474" w:rsidRPr="002559EF" w:rsidRDefault="00BB4AFE" w:rsidP="00650CD2">
      <w:pPr>
        <w:pStyle w:val="BodyText"/>
      </w:pPr>
      <w:r>
        <w:t xml:space="preserve">To receive this document in an alternative format, phone the Customer Service Centre on 136 186, email </w:t>
      </w:r>
      <w:hyperlink r:id="rId11" w:tooltip="Customer Service Centre email address" w:history="1">
        <w:r w:rsidRPr="00152A8B">
          <w:rPr>
            <w:rStyle w:val="Hyperlink"/>
          </w:rPr>
          <w:t>customer.service@delwp.vic.gov.au</w:t>
        </w:r>
      </w:hyperlink>
      <w:r>
        <w:t xml:space="preserve">, or contact National Relay Service on 133 677. Available at </w:t>
      </w:r>
      <w:hyperlink r:id="rId12" w:tooltip="Hyperlink to the Department of Energy, Environment and Climate Action website" w:history="1">
        <w:r w:rsidRPr="00152A8B">
          <w:rPr>
            <w:rStyle w:val="Hyperlink"/>
          </w:rPr>
          <w:t>DEECA website</w:t>
        </w:r>
      </w:hyperlink>
      <w:r>
        <w:t xml:space="preserve"> (</w:t>
      </w:r>
      <w:hyperlink r:id="rId13" w:tooltip="Hyperlink to the Department of Energy, Environment and Climate Action website" w:history="1">
        <w:r w:rsidRPr="00152A8B">
          <w:rPr>
            <w:rStyle w:val="Hyperlink"/>
          </w:rPr>
          <w:t>www.deeca.vic.gov.au</w:t>
        </w:r>
      </w:hyperlink>
      <w:r>
        <w:t>).</w:t>
      </w:r>
    </w:p>
    <w:sectPr w:rsidR="00132474" w:rsidRPr="002559EF" w:rsidSect="00B314A2">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40F1" w14:textId="77777777" w:rsidR="00A00BE6" w:rsidRDefault="00A00BE6" w:rsidP="00F2730B">
      <w:pPr>
        <w:spacing w:after="0" w:line="240" w:lineRule="auto"/>
      </w:pPr>
      <w:r>
        <w:separator/>
      </w:r>
    </w:p>
  </w:endnote>
  <w:endnote w:type="continuationSeparator" w:id="0">
    <w:p w14:paraId="516BA29B" w14:textId="77777777" w:rsidR="00A00BE6" w:rsidRDefault="00A00BE6"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VIC SemiBold">
    <w:altName w:val="Calibri"/>
    <w:panose1 w:val="000007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D664F" w14:textId="77777777" w:rsidR="00A00BE6" w:rsidRDefault="00A00BE6" w:rsidP="00F2730B">
      <w:pPr>
        <w:spacing w:after="0" w:line="240" w:lineRule="auto"/>
      </w:pPr>
      <w:r>
        <w:separator/>
      </w:r>
    </w:p>
  </w:footnote>
  <w:footnote w:type="continuationSeparator" w:id="0">
    <w:p w14:paraId="05DC052E" w14:textId="77777777" w:rsidR="00A00BE6" w:rsidRDefault="00A00BE6"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58A2A05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0"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1"/>
  </w:num>
  <w:num w:numId="2" w16cid:durableId="601570190">
    <w:abstractNumId w:val="20"/>
  </w:num>
  <w:num w:numId="3" w16cid:durableId="1813522522">
    <w:abstractNumId w:val="3"/>
  </w:num>
  <w:num w:numId="4" w16cid:durableId="533276510">
    <w:abstractNumId w:val="19"/>
  </w:num>
  <w:num w:numId="5" w16cid:durableId="771362055">
    <w:abstractNumId w:val="2"/>
  </w:num>
  <w:num w:numId="6" w16cid:durableId="3823149">
    <w:abstractNumId w:val="16"/>
  </w:num>
  <w:num w:numId="7" w16cid:durableId="338390637">
    <w:abstractNumId w:val="5"/>
  </w:num>
  <w:num w:numId="8" w16cid:durableId="182984412">
    <w:abstractNumId w:val="18"/>
  </w:num>
  <w:num w:numId="9" w16cid:durableId="853954488">
    <w:abstractNumId w:val="14"/>
  </w:num>
  <w:num w:numId="10" w16cid:durableId="307325374">
    <w:abstractNumId w:val="8"/>
  </w:num>
  <w:num w:numId="11" w16cid:durableId="1207567416">
    <w:abstractNumId w:val="10"/>
  </w:num>
  <w:num w:numId="12" w16cid:durableId="1714499310">
    <w:abstractNumId w:val="9"/>
  </w:num>
  <w:num w:numId="13" w16cid:durableId="1557817223">
    <w:abstractNumId w:val="17"/>
  </w:num>
  <w:num w:numId="14" w16cid:durableId="766468131">
    <w:abstractNumId w:val="6"/>
  </w:num>
  <w:num w:numId="15" w16cid:durableId="401634644">
    <w:abstractNumId w:val="4"/>
  </w:num>
  <w:num w:numId="16" w16cid:durableId="2004504209">
    <w:abstractNumId w:val="12"/>
  </w:num>
  <w:num w:numId="17" w16cid:durableId="1333338980">
    <w:abstractNumId w:val="7"/>
  </w:num>
  <w:num w:numId="18" w16cid:durableId="2077896738">
    <w:abstractNumId w:val="13"/>
  </w:num>
  <w:num w:numId="19" w16cid:durableId="318195612">
    <w:abstractNumId w:val="0"/>
  </w:num>
  <w:num w:numId="20" w16cid:durableId="172572898">
    <w:abstractNumId w:val="15"/>
  </w:num>
  <w:num w:numId="21" w16cid:durableId="13068183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55D4"/>
    <w:rsid w:val="00010851"/>
    <w:rsid w:val="00010D69"/>
    <w:rsid w:val="000159E0"/>
    <w:rsid w:val="000210D8"/>
    <w:rsid w:val="00021E90"/>
    <w:rsid w:val="00024973"/>
    <w:rsid w:val="00024EED"/>
    <w:rsid w:val="0003252D"/>
    <w:rsid w:val="00033D9B"/>
    <w:rsid w:val="00035E6B"/>
    <w:rsid w:val="000378C7"/>
    <w:rsid w:val="0004007B"/>
    <w:rsid w:val="000403E9"/>
    <w:rsid w:val="00040921"/>
    <w:rsid w:val="00045691"/>
    <w:rsid w:val="000505A5"/>
    <w:rsid w:val="00050A02"/>
    <w:rsid w:val="00060F88"/>
    <w:rsid w:val="0006211F"/>
    <w:rsid w:val="00062635"/>
    <w:rsid w:val="00063821"/>
    <w:rsid w:val="000670B1"/>
    <w:rsid w:val="000747B4"/>
    <w:rsid w:val="00077243"/>
    <w:rsid w:val="00083F92"/>
    <w:rsid w:val="00096052"/>
    <w:rsid w:val="00096F20"/>
    <w:rsid w:val="000A06C8"/>
    <w:rsid w:val="000A07D7"/>
    <w:rsid w:val="000A09C6"/>
    <w:rsid w:val="000A2E17"/>
    <w:rsid w:val="000B0305"/>
    <w:rsid w:val="000B181D"/>
    <w:rsid w:val="000B62B5"/>
    <w:rsid w:val="000C021F"/>
    <w:rsid w:val="000C259F"/>
    <w:rsid w:val="000C4A37"/>
    <w:rsid w:val="000C4B11"/>
    <w:rsid w:val="000D4E1A"/>
    <w:rsid w:val="000D7F89"/>
    <w:rsid w:val="000F00F6"/>
    <w:rsid w:val="000F4892"/>
    <w:rsid w:val="000F491B"/>
    <w:rsid w:val="000F4C2F"/>
    <w:rsid w:val="00101019"/>
    <w:rsid w:val="00104647"/>
    <w:rsid w:val="00105A0B"/>
    <w:rsid w:val="001073C1"/>
    <w:rsid w:val="001104F7"/>
    <w:rsid w:val="001164EC"/>
    <w:rsid w:val="00121F0D"/>
    <w:rsid w:val="00124CDD"/>
    <w:rsid w:val="00125150"/>
    <w:rsid w:val="001273C5"/>
    <w:rsid w:val="00131B14"/>
    <w:rsid w:val="00132474"/>
    <w:rsid w:val="001326C2"/>
    <w:rsid w:val="00135B36"/>
    <w:rsid w:val="001450B6"/>
    <w:rsid w:val="001475FA"/>
    <w:rsid w:val="001500AB"/>
    <w:rsid w:val="00150D75"/>
    <w:rsid w:val="00151489"/>
    <w:rsid w:val="00152A8B"/>
    <w:rsid w:val="00156D15"/>
    <w:rsid w:val="00163F36"/>
    <w:rsid w:val="0016764A"/>
    <w:rsid w:val="001708FE"/>
    <w:rsid w:val="00170B1E"/>
    <w:rsid w:val="00172357"/>
    <w:rsid w:val="00175022"/>
    <w:rsid w:val="00185ABC"/>
    <w:rsid w:val="00187524"/>
    <w:rsid w:val="00192DC5"/>
    <w:rsid w:val="0019451B"/>
    <w:rsid w:val="001A118C"/>
    <w:rsid w:val="001A358E"/>
    <w:rsid w:val="001A4A2B"/>
    <w:rsid w:val="001A5DB2"/>
    <w:rsid w:val="001A6F8B"/>
    <w:rsid w:val="001B02D0"/>
    <w:rsid w:val="001B1361"/>
    <w:rsid w:val="001B1B3A"/>
    <w:rsid w:val="001B2A51"/>
    <w:rsid w:val="001B37AF"/>
    <w:rsid w:val="001B4C0B"/>
    <w:rsid w:val="001B72F0"/>
    <w:rsid w:val="001C10D8"/>
    <w:rsid w:val="001C1D65"/>
    <w:rsid w:val="001D3828"/>
    <w:rsid w:val="001D5686"/>
    <w:rsid w:val="001E332A"/>
    <w:rsid w:val="001E3FB4"/>
    <w:rsid w:val="001E4386"/>
    <w:rsid w:val="001E4846"/>
    <w:rsid w:val="001E5B9F"/>
    <w:rsid w:val="001E6288"/>
    <w:rsid w:val="001F01C9"/>
    <w:rsid w:val="001F1BBD"/>
    <w:rsid w:val="001F2925"/>
    <w:rsid w:val="002020A7"/>
    <w:rsid w:val="00202A5B"/>
    <w:rsid w:val="0020318C"/>
    <w:rsid w:val="00203251"/>
    <w:rsid w:val="00212461"/>
    <w:rsid w:val="00214345"/>
    <w:rsid w:val="002143C5"/>
    <w:rsid w:val="0021482C"/>
    <w:rsid w:val="00215E01"/>
    <w:rsid w:val="00231129"/>
    <w:rsid w:val="00233B8B"/>
    <w:rsid w:val="00236EB6"/>
    <w:rsid w:val="00241796"/>
    <w:rsid w:val="00241E12"/>
    <w:rsid w:val="00244E10"/>
    <w:rsid w:val="0024556C"/>
    <w:rsid w:val="002460FA"/>
    <w:rsid w:val="00246623"/>
    <w:rsid w:val="00252A99"/>
    <w:rsid w:val="00252B69"/>
    <w:rsid w:val="002533B0"/>
    <w:rsid w:val="00253CE5"/>
    <w:rsid w:val="002565F3"/>
    <w:rsid w:val="002612BF"/>
    <w:rsid w:val="0026182E"/>
    <w:rsid w:val="002623BE"/>
    <w:rsid w:val="002629BE"/>
    <w:rsid w:val="0026417C"/>
    <w:rsid w:val="00266DF9"/>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2E19"/>
    <w:rsid w:val="00295CE3"/>
    <w:rsid w:val="002A2BEF"/>
    <w:rsid w:val="002A3002"/>
    <w:rsid w:val="002C3499"/>
    <w:rsid w:val="002C41F0"/>
    <w:rsid w:val="002C75FC"/>
    <w:rsid w:val="002D0B3A"/>
    <w:rsid w:val="002D2205"/>
    <w:rsid w:val="002D26FB"/>
    <w:rsid w:val="002D5D38"/>
    <w:rsid w:val="002D70AB"/>
    <w:rsid w:val="002D75AD"/>
    <w:rsid w:val="002E1F5B"/>
    <w:rsid w:val="002E34E8"/>
    <w:rsid w:val="002E4FE6"/>
    <w:rsid w:val="002E5F4D"/>
    <w:rsid w:val="002F0246"/>
    <w:rsid w:val="002F08A3"/>
    <w:rsid w:val="002F0A22"/>
    <w:rsid w:val="002F2CD2"/>
    <w:rsid w:val="002F5028"/>
    <w:rsid w:val="003016EC"/>
    <w:rsid w:val="0030735D"/>
    <w:rsid w:val="00307463"/>
    <w:rsid w:val="00307AE3"/>
    <w:rsid w:val="0031002A"/>
    <w:rsid w:val="00310309"/>
    <w:rsid w:val="003116DC"/>
    <w:rsid w:val="00311725"/>
    <w:rsid w:val="00320AAB"/>
    <w:rsid w:val="00320E94"/>
    <w:rsid w:val="003226E3"/>
    <w:rsid w:val="00332FE6"/>
    <w:rsid w:val="003367D8"/>
    <w:rsid w:val="00337320"/>
    <w:rsid w:val="0034757B"/>
    <w:rsid w:val="00350920"/>
    <w:rsid w:val="00352F44"/>
    <w:rsid w:val="003560A1"/>
    <w:rsid w:val="003616B0"/>
    <w:rsid w:val="00365844"/>
    <w:rsid w:val="0036602E"/>
    <w:rsid w:val="003815C1"/>
    <w:rsid w:val="0038278D"/>
    <w:rsid w:val="0038291F"/>
    <w:rsid w:val="00384270"/>
    <w:rsid w:val="003857A1"/>
    <w:rsid w:val="003931F4"/>
    <w:rsid w:val="00395B17"/>
    <w:rsid w:val="00397BEF"/>
    <w:rsid w:val="003A0ADE"/>
    <w:rsid w:val="003A1991"/>
    <w:rsid w:val="003A393C"/>
    <w:rsid w:val="003A42CC"/>
    <w:rsid w:val="003A5555"/>
    <w:rsid w:val="003A6086"/>
    <w:rsid w:val="003A72CF"/>
    <w:rsid w:val="003B25BA"/>
    <w:rsid w:val="003B4A00"/>
    <w:rsid w:val="003C2291"/>
    <w:rsid w:val="003C7DED"/>
    <w:rsid w:val="003D16D7"/>
    <w:rsid w:val="003D1F96"/>
    <w:rsid w:val="003D4796"/>
    <w:rsid w:val="003E3C61"/>
    <w:rsid w:val="003E5B1D"/>
    <w:rsid w:val="003E6B4D"/>
    <w:rsid w:val="003F0FE0"/>
    <w:rsid w:val="003F1409"/>
    <w:rsid w:val="003F26AC"/>
    <w:rsid w:val="003F3BF3"/>
    <w:rsid w:val="003F3D0A"/>
    <w:rsid w:val="003F5AFF"/>
    <w:rsid w:val="003F682C"/>
    <w:rsid w:val="00400E4D"/>
    <w:rsid w:val="0040225E"/>
    <w:rsid w:val="00404B9B"/>
    <w:rsid w:val="00404F0E"/>
    <w:rsid w:val="00407A5A"/>
    <w:rsid w:val="004163B5"/>
    <w:rsid w:val="00423210"/>
    <w:rsid w:val="004233C0"/>
    <w:rsid w:val="00434824"/>
    <w:rsid w:val="00450334"/>
    <w:rsid w:val="00451ABC"/>
    <w:rsid w:val="0045371F"/>
    <w:rsid w:val="00454FF3"/>
    <w:rsid w:val="004554EA"/>
    <w:rsid w:val="00460D9F"/>
    <w:rsid w:val="00463C15"/>
    <w:rsid w:val="0046520A"/>
    <w:rsid w:val="00467943"/>
    <w:rsid w:val="004702C7"/>
    <w:rsid w:val="00471616"/>
    <w:rsid w:val="00471860"/>
    <w:rsid w:val="0047195C"/>
    <w:rsid w:val="004732CA"/>
    <w:rsid w:val="00473A1E"/>
    <w:rsid w:val="00480600"/>
    <w:rsid w:val="00482AF4"/>
    <w:rsid w:val="00484253"/>
    <w:rsid w:val="004875F9"/>
    <w:rsid w:val="00490B9B"/>
    <w:rsid w:val="00490E07"/>
    <w:rsid w:val="00492757"/>
    <w:rsid w:val="004976B7"/>
    <w:rsid w:val="004A0E5A"/>
    <w:rsid w:val="004A68CA"/>
    <w:rsid w:val="004B20C4"/>
    <w:rsid w:val="004B30FB"/>
    <w:rsid w:val="004B752D"/>
    <w:rsid w:val="004C32A5"/>
    <w:rsid w:val="004C5429"/>
    <w:rsid w:val="004D2E96"/>
    <w:rsid w:val="004D4014"/>
    <w:rsid w:val="004E2D9F"/>
    <w:rsid w:val="004E4CB9"/>
    <w:rsid w:val="004E6D88"/>
    <w:rsid w:val="004F77CA"/>
    <w:rsid w:val="00506B0D"/>
    <w:rsid w:val="00510677"/>
    <w:rsid w:val="00513A03"/>
    <w:rsid w:val="00515813"/>
    <w:rsid w:val="00515C9C"/>
    <w:rsid w:val="00515EE5"/>
    <w:rsid w:val="0051674C"/>
    <w:rsid w:val="00526FFF"/>
    <w:rsid w:val="00532EA0"/>
    <w:rsid w:val="0053353B"/>
    <w:rsid w:val="0053537A"/>
    <w:rsid w:val="00536DD7"/>
    <w:rsid w:val="0054395D"/>
    <w:rsid w:val="00546380"/>
    <w:rsid w:val="005479C6"/>
    <w:rsid w:val="0055238D"/>
    <w:rsid w:val="005554F3"/>
    <w:rsid w:val="00555CD9"/>
    <w:rsid w:val="00556105"/>
    <w:rsid w:val="005576A9"/>
    <w:rsid w:val="005576D8"/>
    <w:rsid w:val="00560C0D"/>
    <w:rsid w:val="00561FF9"/>
    <w:rsid w:val="00562EF3"/>
    <w:rsid w:val="00564079"/>
    <w:rsid w:val="005659D9"/>
    <w:rsid w:val="00565E34"/>
    <w:rsid w:val="00573734"/>
    <w:rsid w:val="0057561A"/>
    <w:rsid w:val="00576223"/>
    <w:rsid w:val="00577C9B"/>
    <w:rsid w:val="00597962"/>
    <w:rsid w:val="005A0FCC"/>
    <w:rsid w:val="005A1B66"/>
    <w:rsid w:val="005A1BCD"/>
    <w:rsid w:val="005A2D1B"/>
    <w:rsid w:val="005A35B7"/>
    <w:rsid w:val="005A3AC9"/>
    <w:rsid w:val="005A6B8F"/>
    <w:rsid w:val="005A7BF4"/>
    <w:rsid w:val="005B0BB4"/>
    <w:rsid w:val="005B10AD"/>
    <w:rsid w:val="005B593D"/>
    <w:rsid w:val="005B5FC2"/>
    <w:rsid w:val="005C1D42"/>
    <w:rsid w:val="005C4602"/>
    <w:rsid w:val="005C79C1"/>
    <w:rsid w:val="005D1F35"/>
    <w:rsid w:val="005D4D35"/>
    <w:rsid w:val="005D632D"/>
    <w:rsid w:val="005D72B8"/>
    <w:rsid w:val="005E0BF1"/>
    <w:rsid w:val="005E2B4C"/>
    <w:rsid w:val="005E393E"/>
    <w:rsid w:val="005E3F95"/>
    <w:rsid w:val="005E730C"/>
    <w:rsid w:val="005E7912"/>
    <w:rsid w:val="005E7E0B"/>
    <w:rsid w:val="005F05E4"/>
    <w:rsid w:val="005F1A1C"/>
    <w:rsid w:val="00600114"/>
    <w:rsid w:val="00601DBE"/>
    <w:rsid w:val="00605A83"/>
    <w:rsid w:val="0061034E"/>
    <w:rsid w:val="00611355"/>
    <w:rsid w:val="0061249E"/>
    <w:rsid w:val="00616CF4"/>
    <w:rsid w:val="00620098"/>
    <w:rsid w:val="0062675C"/>
    <w:rsid w:val="00627C9D"/>
    <w:rsid w:val="006353A0"/>
    <w:rsid w:val="006368F9"/>
    <w:rsid w:val="00642F1E"/>
    <w:rsid w:val="00645230"/>
    <w:rsid w:val="006466AF"/>
    <w:rsid w:val="00650CD2"/>
    <w:rsid w:val="006528C9"/>
    <w:rsid w:val="0065671E"/>
    <w:rsid w:val="00661813"/>
    <w:rsid w:val="00661920"/>
    <w:rsid w:val="0066651F"/>
    <w:rsid w:val="00673096"/>
    <w:rsid w:val="006810F9"/>
    <w:rsid w:val="0068129E"/>
    <w:rsid w:val="00684BBF"/>
    <w:rsid w:val="00685936"/>
    <w:rsid w:val="006872C0"/>
    <w:rsid w:val="00694C93"/>
    <w:rsid w:val="006955A0"/>
    <w:rsid w:val="00696E55"/>
    <w:rsid w:val="00697519"/>
    <w:rsid w:val="006A3A6E"/>
    <w:rsid w:val="006A4557"/>
    <w:rsid w:val="006A4DC0"/>
    <w:rsid w:val="006B1AFC"/>
    <w:rsid w:val="006B4C87"/>
    <w:rsid w:val="006B6218"/>
    <w:rsid w:val="006C32E8"/>
    <w:rsid w:val="006D30B7"/>
    <w:rsid w:val="006D4F10"/>
    <w:rsid w:val="006D5080"/>
    <w:rsid w:val="006E5AC4"/>
    <w:rsid w:val="006E5B70"/>
    <w:rsid w:val="006E7774"/>
    <w:rsid w:val="006E786E"/>
    <w:rsid w:val="006F6B4C"/>
    <w:rsid w:val="00700BF1"/>
    <w:rsid w:val="007012DF"/>
    <w:rsid w:val="0071440E"/>
    <w:rsid w:val="0071469C"/>
    <w:rsid w:val="00715677"/>
    <w:rsid w:val="00726F73"/>
    <w:rsid w:val="0073035C"/>
    <w:rsid w:val="007317D7"/>
    <w:rsid w:val="0073229A"/>
    <w:rsid w:val="007334FF"/>
    <w:rsid w:val="00733E6C"/>
    <w:rsid w:val="00740461"/>
    <w:rsid w:val="00741E55"/>
    <w:rsid w:val="00744AA7"/>
    <w:rsid w:val="00746868"/>
    <w:rsid w:val="00750D1B"/>
    <w:rsid w:val="007520C4"/>
    <w:rsid w:val="0075368B"/>
    <w:rsid w:val="00753D3B"/>
    <w:rsid w:val="007547F5"/>
    <w:rsid w:val="00760099"/>
    <w:rsid w:val="00764EAB"/>
    <w:rsid w:val="00767C6C"/>
    <w:rsid w:val="00772A54"/>
    <w:rsid w:val="00775061"/>
    <w:rsid w:val="007828AC"/>
    <w:rsid w:val="00782B24"/>
    <w:rsid w:val="00785918"/>
    <w:rsid w:val="00793193"/>
    <w:rsid w:val="007972D5"/>
    <w:rsid w:val="007A006C"/>
    <w:rsid w:val="007A019C"/>
    <w:rsid w:val="007A02EE"/>
    <w:rsid w:val="007A16FB"/>
    <w:rsid w:val="007A261A"/>
    <w:rsid w:val="007A526F"/>
    <w:rsid w:val="007A5657"/>
    <w:rsid w:val="007A7ED1"/>
    <w:rsid w:val="007B211D"/>
    <w:rsid w:val="007B23BC"/>
    <w:rsid w:val="007B509C"/>
    <w:rsid w:val="007B65B8"/>
    <w:rsid w:val="007C1092"/>
    <w:rsid w:val="007C1E53"/>
    <w:rsid w:val="007C24A9"/>
    <w:rsid w:val="007C41AA"/>
    <w:rsid w:val="007D3A61"/>
    <w:rsid w:val="007D5225"/>
    <w:rsid w:val="007D58CB"/>
    <w:rsid w:val="007E1BDA"/>
    <w:rsid w:val="007E2A3D"/>
    <w:rsid w:val="007E2EB8"/>
    <w:rsid w:val="007E6240"/>
    <w:rsid w:val="007F180E"/>
    <w:rsid w:val="007F1AB7"/>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3811"/>
    <w:rsid w:val="0082692C"/>
    <w:rsid w:val="00827815"/>
    <w:rsid w:val="008335CF"/>
    <w:rsid w:val="008364D5"/>
    <w:rsid w:val="00840E7A"/>
    <w:rsid w:val="0084376B"/>
    <w:rsid w:val="008452F6"/>
    <w:rsid w:val="008475CB"/>
    <w:rsid w:val="00852A79"/>
    <w:rsid w:val="008562E7"/>
    <w:rsid w:val="008563EE"/>
    <w:rsid w:val="0085770A"/>
    <w:rsid w:val="00863E6B"/>
    <w:rsid w:val="00874D3A"/>
    <w:rsid w:val="00876FBF"/>
    <w:rsid w:val="00880B31"/>
    <w:rsid w:val="0088165C"/>
    <w:rsid w:val="00884818"/>
    <w:rsid w:val="00886D42"/>
    <w:rsid w:val="008935B5"/>
    <w:rsid w:val="008941D0"/>
    <w:rsid w:val="0089467E"/>
    <w:rsid w:val="00897169"/>
    <w:rsid w:val="008A06F8"/>
    <w:rsid w:val="008A150E"/>
    <w:rsid w:val="008A44D0"/>
    <w:rsid w:val="008B0D01"/>
    <w:rsid w:val="008B7A3D"/>
    <w:rsid w:val="008C31DE"/>
    <w:rsid w:val="008C3BE0"/>
    <w:rsid w:val="008C3D83"/>
    <w:rsid w:val="008C71C0"/>
    <w:rsid w:val="008D1B1A"/>
    <w:rsid w:val="008D2EAE"/>
    <w:rsid w:val="008E0DEB"/>
    <w:rsid w:val="008E0E71"/>
    <w:rsid w:val="008E3973"/>
    <w:rsid w:val="008E6603"/>
    <w:rsid w:val="008E69E6"/>
    <w:rsid w:val="008F350A"/>
    <w:rsid w:val="00900F9F"/>
    <w:rsid w:val="009033BD"/>
    <w:rsid w:val="00904039"/>
    <w:rsid w:val="00910401"/>
    <w:rsid w:val="00911A34"/>
    <w:rsid w:val="00912683"/>
    <w:rsid w:val="00912B69"/>
    <w:rsid w:val="00912DD1"/>
    <w:rsid w:val="0092332B"/>
    <w:rsid w:val="00926553"/>
    <w:rsid w:val="00933FE2"/>
    <w:rsid w:val="0093403C"/>
    <w:rsid w:val="009434B7"/>
    <w:rsid w:val="0096063F"/>
    <w:rsid w:val="00962DA1"/>
    <w:rsid w:val="0096541E"/>
    <w:rsid w:val="00965F42"/>
    <w:rsid w:val="009746FC"/>
    <w:rsid w:val="00975227"/>
    <w:rsid w:val="0098122F"/>
    <w:rsid w:val="00990684"/>
    <w:rsid w:val="0099081D"/>
    <w:rsid w:val="009940F3"/>
    <w:rsid w:val="009A19C2"/>
    <w:rsid w:val="009A37D5"/>
    <w:rsid w:val="009A683D"/>
    <w:rsid w:val="009B1A0A"/>
    <w:rsid w:val="009B1F92"/>
    <w:rsid w:val="009C1A6D"/>
    <w:rsid w:val="009C55EA"/>
    <w:rsid w:val="009C565D"/>
    <w:rsid w:val="009D0070"/>
    <w:rsid w:val="009D1A61"/>
    <w:rsid w:val="009D1E59"/>
    <w:rsid w:val="009D3FEB"/>
    <w:rsid w:val="009D7B95"/>
    <w:rsid w:val="009E2BDB"/>
    <w:rsid w:val="009E417E"/>
    <w:rsid w:val="009E52EF"/>
    <w:rsid w:val="009E5947"/>
    <w:rsid w:val="009E761C"/>
    <w:rsid w:val="009F26C0"/>
    <w:rsid w:val="009F308A"/>
    <w:rsid w:val="009F57D1"/>
    <w:rsid w:val="009F5E71"/>
    <w:rsid w:val="00A00BE6"/>
    <w:rsid w:val="00A012C7"/>
    <w:rsid w:val="00A03959"/>
    <w:rsid w:val="00A10D57"/>
    <w:rsid w:val="00A11DEC"/>
    <w:rsid w:val="00A13E2A"/>
    <w:rsid w:val="00A14049"/>
    <w:rsid w:val="00A16E58"/>
    <w:rsid w:val="00A2445D"/>
    <w:rsid w:val="00A30B87"/>
    <w:rsid w:val="00A32BCC"/>
    <w:rsid w:val="00A3713E"/>
    <w:rsid w:val="00A3786E"/>
    <w:rsid w:val="00A42F8A"/>
    <w:rsid w:val="00A509D3"/>
    <w:rsid w:val="00A56B9D"/>
    <w:rsid w:val="00A639B8"/>
    <w:rsid w:val="00A66710"/>
    <w:rsid w:val="00A67B1E"/>
    <w:rsid w:val="00A72005"/>
    <w:rsid w:val="00A76DC6"/>
    <w:rsid w:val="00A803C5"/>
    <w:rsid w:val="00A80DB1"/>
    <w:rsid w:val="00A80EB7"/>
    <w:rsid w:val="00A842C0"/>
    <w:rsid w:val="00A93914"/>
    <w:rsid w:val="00A96FA1"/>
    <w:rsid w:val="00AA033C"/>
    <w:rsid w:val="00AA45F8"/>
    <w:rsid w:val="00AB025E"/>
    <w:rsid w:val="00AB048F"/>
    <w:rsid w:val="00AB4ACE"/>
    <w:rsid w:val="00AB6104"/>
    <w:rsid w:val="00AB79D2"/>
    <w:rsid w:val="00AB7BD4"/>
    <w:rsid w:val="00AC5812"/>
    <w:rsid w:val="00AC5CFD"/>
    <w:rsid w:val="00AC6D47"/>
    <w:rsid w:val="00AD4396"/>
    <w:rsid w:val="00AD5001"/>
    <w:rsid w:val="00AD7F22"/>
    <w:rsid w:val="00AE0F04"/>
    <w:rsid w:val="00AE397A"/>
    <w:rsid w:val="00AE66E0"/>
    <w:rsid w:val="00AF5F4E"/>
    <w:rsid w:val="00B0026D"/>
    <w:rsid w:val="00B01AE9"/>
    <w:rsid w:val="00B036EA"/>
    <w:rsid w:val="00B05C8D"/>
    <w:rsid w:val="00B06E29"/>
    <w:rsid w:val="00B13805"/>
    <w:rsid w:val="00B138F6"/>
    <w:rsid w:val="00B142F1"/>
    <w:rsid w:val="00B14FBE"/>
    <w:rsid w:val="00B1742F"/>
    <w:rsid w:val="00B25450"/>
    <w:rsid w:val="00B314A2"/>
    <w:rsid w:val="00B33E41"/>
    <w:rsid w:val="00B35AD1"/>
    <w:rsid w:val="00B40E55"/>
    <w:rsid w:val="00B437D8"/>
    <w:rsid w:val="00B51AC8"/>
    <w:rsid w:val="00B520CF"/>
    <w:rsid w:val="00B573B1"/>
    <w:rsid w:val="00B64711"/>
    <w:rsid w:val="00B65755"/>
    <w:rsid w:val="00B658CD"/>
    <w:rsid w:val="00B66945"/>
    <w:rsid w:val="00B712B3"/>
    <w:rsid w:val="00B71F5A"/>
    <w:rsid w:val="00B74A19"/>
    <w:rsid w:val="00B75868"/>
    <w:rsid w:val="00B80DD2"/>
    <w:rsid w:val="00B84C3C"/>
    <w:rsid w:val="00B868B3"/>
    <w:rsid w:val="00BA2EE9"/>
    <w:rsid w:val="00BA4CD9"/>
    <w:rsid w:val="00BA5EAE"/>
    <w:rsid w:val="00BB4AFE"/>
    <w:rsid w:val="00BB7BE8"/>
    <w:rsid w:val="00BC0A72"/>
    <w:rsid w:val="00BC0CD6"/>
    <w:rsid w:val="00BC2466"/>
    <w:rsid w:val="00BC579A"/>
    <w:rsid w:val="00BC661C"/>
    <w:rsid w:val="00BD34D3"/>
    <w:rsid w:val="00BE09DE"/>
    <w:rsid w:val="00BE0B32"/>
    <w:rsid w:val="00BE1D2C"/>
    <w:rsid w:val="00BF02CA"/>
    <w:rsid w:val="00BF1C64"/>
    <w:rsid w:val="00BF6DBE"/>
    <w:rsid w:val="00C03FBA"/>
    <w:rsid w:val="00C07867"/>
    <w:rsid w:val="00C103A5"/>
    <w:rsid w:val="00C10BA8"/>
    <w:rsid w:val="00C122AF"/>
    <w:rsid w:val="00C13A95"/>
    <w:rsid w:val="00C14FE6"/>
    <w:rsid w:val="00C173AC"/>
    <w:rsid w:val="00C20104"/>
    <w:rsid w:val="00C20D01"/>
    <w:rsid w:val="00C2301E"/>
    <w:rsid w:val="00C23328"/>
    <w:rsid w:val="00C3751A"/>
    <w:rsid w:val="00C412FF"/>
    <w:rsid w:val="00C41C42"/>
    <w:rsid w:val="00C41F25"/>
    <w:rsid w:val="00C43336"/>
    <w:rsid w:val="00C44560"/>
    <w:rsid w:val="00C45CF0"/>
    <w:rsid w:val="00C6259B"/>
    <w:rsid w:val="00C62E58"/>
    <w:rsid w:val="00C65271"/>
    <w:rsid w:val="00C71AEC"/>
    <w:rsid w:val="00C77C1E"/>
    <w:rsid w:val="00C92318"/>
    <w:rsid w:val="00CA0E01"/>
    <w:rsid w:val="00CA3282"/>
    <w:rsid w:val="00CA33D3"/>
    <w:rsid w:val="00CA71CC"/>
    <w:rsid w:val="00CB2252"/>
    <w:rsid w:val="00CB3B62"/>
    <w:rsid w:val="00CC6C44"/>
    <w:rsid w:val="00CD0AA8"/>
    <w:rsid w:val="00CD2217"/>
    <w:rsid w:val="00CD3108"/>
    <w:rsid w:val="00CE394E"/>
    <w:rsid w:val="00CE60C5"/>
    <w:rsid w:val="00CF2858"/>
    <w:rsid w:val="00D00A75"/>
    <w:rsid w:val="00D00FF2"/>
    <w:rsid w:val="00D03821"/>
    <w:rsid w:val="00D10094"/>
    <w:rsid w:val="00D10395"/>
    <w:rsid w:val="00D121C3"/>
    <w:rsid w:val="00D1334E"/>
    <w:rsid w:val="00D1720D"/>
    <w:rsid w:val="00D209D5"/>
    <w:rsid w:val="00D24556"/>
    <w:rsid w:val="00D26A00"/>
    <w:rsid w:val="00D2758B"/>
    <w:rsid w:val="00D27AF4"/>
    <w:rsid w:val="00D35365"/>
    <w:rsid w:val="00D37662"/>
    <w:rsid w:val="00D44761"/>
    <w:rsid w:val="00D46731"/>
    <w:rsid w:val="00D50B49"/>
    <w:rsid w:val="00D52FF3"/>
    <w:rsid w:val="00D54C6D"/>
    <w:rsid w:val="00D55DB2"/>
    <w:rsid w:val="00D57213"/>
    <w:rsid w:val="00D62C9C"/>
    <w:rsid w:val="00D63DD7"/>
    <w:rsid w:val="00D66968"/>
    <w:rsid w:val="00D67748"/>
    <w:rsid w:val="00D7738C"/>
    <w:rsid w:val="00D8189F"/>
    <w:rsid w:val="00D81AAB"/>
    <w:rsid w:val="00D8403B"/>
    <w:rsid w:val="00D86BCD"/>
    <w:rsid w:val="00D871E0"/>
    <w:rsid w:val="00D877EA"/>
    <w:rsid w:val="00D931BC"/>
    <w:rsid w:val="00D9405A"/>
    <w:rsid w:val="00D96D80"/>
    <w:rsid w:val="00DA2645"/>
    <w:rsid w:val="00DA537A"/>
    <w:rsid w:val="00DA5A0B"/>
    <w:rsid w:val="00DB16C0"/>
    <w:rsid w:val="00DB2F86"/>
    <w:rsid w:val="00DB500B"/>
    <w:rsid w:val="00DB7D85"/>
    <w:rsid w:val="00DC0304"/>
    <w:rsid w:val="00DC3BE3"/>
    <w:rsid w:val="00DD342E"/>
    <w:rsid w:val="00DD6767"/>
    <w:rsid w:val="00DE1E42"/>
    <w:rsid w:val="00DE3999"/>
    <w:rsid w:val="00DE416A"/>
    <w:rsid w:val="00DE76BB"/>
    <w:rsid w:val="00DE76F0"/>
    <w:rsid w:val="00DF071B"/>
    <w:rsid w:val="00DF27D7"/>
    <w:rsid w:val="00E00C8A"/>
    <w:rsid w:val="00E01FCC"/>
    <w:rsid w:val="00E07A62"/>
    <w:rsid w:val="00E11A71"/>
    <w:rsid w:val="00E157A5"/>
    <w:rsid w:val="00E2494E"/>
    <w:rsid w:val="00E25D0B"/>
    <w:rsid w:val="00E33DED"/>
    <w:rsid w:val="00E34982"/>
    <w:rsid w:val="00E37BF1"/>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59FE"/>
    <w:rsid w:val="00E924AC"/>
    <w:rsid w:val="00E93CA1"/>
    <w:rsid w:val="00E95B04"/>
    <w:rsid w:val="00E97655"/>
    <w:rsid w:val="00EB1FFC"/>
    <w:rsid w:val="00EB323D"/>
    <w:rsid w:val="00EB3DDE"/>
    <w:rsid w:val="00EB5B27"/>
    <w:rsid w:val="00EC5782"/>
    <w:rsid w:val="00EC5D45"/>
    <w:rsid w:val="00ED1DE9"/>
    <w:rsid w:val="00ED1FD5"/>
    <w:rsid w:val="00EE5012"/>
    <w:rsid w:val="00EE6E3F"/>
    <w:rsid w:val="00EF5372"/>
    <w:rsid w:val="00EF5936"/>
    <w:rsid w:val="00EF5E0B"/>
    <w:rsid w:val="00F017F7"/>
    <w:rsid w:val="00F03033"/>
    <w:rsid w:val="00F138D1"/>
    <w:rsid w:val="00F148EB"/>
    <w:rsid w:val="00F14FDC"/>
    <w:rsid w:val="00F1500A"/>
    <w:rsid w:val="00F15770"/>
    <w:rsid w:val="00F1720B"/>
    <w:rsid w:val="00F177F3"/>
    <w:rsid w:val="00F21502"/>
    <w:rsid w:val="00F22E6E"/>
    <w:rsid w:val="00F253F6"/>
    <w:rsid w:val="00F26E05"/>
    <w:rsid w:val="00F2730B"/>
    <w:rsid w:val="00F32C3C"/>
    <w:rsid w:val="00F32F35"/>
    <w:rsid w:val="00F3506F"/>
    <w:rsid w:val="00F415BA"/>
    <w:rsid w:val="00F41B13"/>
    <w:rsid w:val="00F46B85"/>
    <w:rsid w:val="00F5165D"/>
    <w:rsid w:val="00F526A1"/>
    <w:rsid w:val="00F56A1C"/>
    <w:rsid w:val="00F56F97"/>
    <w:rsid w:val="00F60B10"/>
    <w:rsid w:val="00F65380"/>
    <w:rsid w:val="00F80708"/>
    <w:rsid w:val="00F81B23"/>
    <w:rsid w:val="00F864C4"/>
    <w:rsid w:val="00F86A04"/>
    <w:rsid w:val="00F87B42"/>
    <w:rsid w:val="00F93CBE"/>
    <w:rsid w:val="00F958EF"/>
    <w:rsid w:val="00F96DD0"/>
    <w:rsid w:val="00F97E91"/>
    <w:rsid w:val="00F97ED2"/>
    <w:rsid w:val="00FA1214"/>
    <w:rsid w:val="00FA1F9A"/>
    <w:rsid w:val="00FA7197"/>
    <w:rsid w:val="00FB2E83"/>
    <w:rsid w:val="00FB7831"/>
    <w:rsid w:val="00FC1016"/>
    <w:rsid w:val="00FC10F2"/>
    <w:rsid w:val="00FC3582"/>
    <w:rsid w:val="00FC4659"/>
    <w:rsid w:val="00FC4832"/>
    <w:rsid w:val="00FD03DA"/>
    <w:rsid w:val="00FD0B1B"/>
    <w:rsid w:val="00FD26F6"/>
    <w:rsid w:val="00FD57D0"/>
    <w:rsid w:val="00FE0619"/>
    <w:rsid w:val="00FE0DA8"/>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D2"/>
    <w:pPr>
      <w:suppressAutoHyphens/>
      <w:spacing w:after="200"/>
    </w:pPr>
    <w:rPr>
      <w:sz w:val="24"/>
    </w:rPr>
  </w:style>
  <w:style w:type="paragraph" w:styleId="Heading1">
    <w:name w:val="heading 1"/>
    <w:basedOn w:val="Normal"/>
    <w:next w:val="Normal"/>
    <w:link w:val="Heading1Char"/>
    <w:uiPriority w:val="9"/>
    <w:qFormat/>
    <w:rsid w:val="00A3713E"/>
    <w:pPr>
      <w:keepNext/>
      <w:keepLines/>
      <w:spacing w:before="240"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7A02EE"/>
    <w:pPr>
      <w:keepNext/>
      <w:keepLines/>
      <w:spacing w:before="120" w:after="24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D00A75"/>
    <w:pPr>
      <w:keepNext/>
      <w:keepLines/>
      <w:spacing w:before="120" w:after="60" w:line="360" w:lineRule="auto"/>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7D58CB"/>
    <w:pPr>
      <w:keepNext/>
      <w:keepLines/>
      <w:numPr>
        <w:ilvl w:val="3"/>
        <w:numId w:val="1"/>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6"/>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7"/>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47195C"/>
    <w:pPr>
      <w:spacing w:after="240" w:line="800" w:lineRule="exact"/>
    </w:pPr>
    <w:rPr>
      <w:rFonts w:asciiTheme="majorHAnsi" w:eastAsiaTheme="majorEastAsia" w:hAnsiTheme="majorHAnsi" w:cs="Times New Roman (Headings CS)"/>
      <w:b/>
      <w:bCs/>
      <w:spacing w:val="8"/>
      <w:kern w:val="28"/>
      <w:sz w:val="72"/>
      <w:szCs w:val="58"/>
      <w:lang w:val="en-GB"/>
    </w:rPr>
  </w:style>
  <w:style w:type="character" w:customStyle="1" w:styleId="TitleChar">
    <w:name w:val="Title Char"/>
    <w:basedOn w:val="DefaultParagraphFont"/>
    <w:link w:val="Title"/>
    <w:uiPriority w:val="10"/>
    <w:rsid w:val="0047195C"/>
    <w:rPr>
      <w:rFonts w:asciiTheme="majorHAnsi" w:eastAsiaTheme="majorEastAsia" w:hAnsiTheme="majorHAnsi" w:cs="Times New Roman (Headings CS)"/>
      <w:b/>
      <w:bCs/>
      <w:spacing w:val="8"/>
      <w:kern w:val="28"/>
      <w:sz w:val="72"/>
      <w:szCs w:val="58"/>
      <w:lang w:val="en-GB"/>
    </w:rPr>
  </w:style>
  <w:style w:type="paragraph" w:styleId="Subtitle">
    <w:name w:val="Subtitle"/>
    <w:basedOn w:val="Normal"/>
    <w:next w:val="Normal"/>
    <w:link w:val="SubtitleChar"/>
    <w:uiPriority w:val="11"/>
    <w:qFormat/>
    <w:rsid w:val="00050A02"/>
    <w:pPr>
      <w:numPr>
        <w:ilvl w:val="1"/>
      </w:numPr>
      <w:spacing w:before="240" w:after="480"/>
    </w:pPr>
    <w:rPr>
      <w:b/>
      <w:sz w:val="48"/>
      <w:szCs w:val="36"/>
    </w:rPr>
  </w:style>
  <w:style w:type="character" w:customStyle="1" w:styleId="SubtitleChar">
    <w:name w:val="Subtitle Char"/>
    <w:basedOn w:val="DefaultParagraphFont"/>
    <w:link w:val="Subtitle"/>
    <w:uiPriority w:val="11"/>
    <w:rsid w:val="00050A02"/>
    <w:rPr>
      <w:b/>
      <w:sz w:val="48"/>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A3713E"/>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paragraph" w:customStyle="1" w:styleId="Heading1numbered">
    <w:name w:val="Heading 1 (numbered)"/>
    <w:basedOn w:val="Heading1"/>
    <w:qFormat/>
    <w:rsid w:val="00E6112B"/>
    <w:pPr>
      <w:numPr>
        <w:numId w:val="1"/>
      </w:numPr>
    </w:pPr>
  </w:style>
  <w:style w:type="character" w:customStyle="1" w:styleId="Heading2Char">
    <w:name w:val="Heading 2 Char"/>
    <w:basedOn w:val="DefaultParagraphFont"/>
    <w:link w:val="Heading2"/>
    <w:uiPriority w:val="9"/>
    <w:rsid w:val="007A02EE"/>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D00A75"/>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1"/>
      </w:numPr>
    </w:pPr>
  </w:style>
  <w:style w:type="paragraph" w:customStyle="1" w:styleId="Heading3numbered">
    <w:name w:val="Heading 3 (numbered)"/>
    <w:basedOn w:val="Heading3"/>
    <w:qFormat/>
    <w:rsid w:val="00BE09DE"/>
    <w:pPr>
      <w:numPr>
        <w:ilvl w:val="2"/>
        <w:numId w:val="1"/>
      </w:numPr>
    </w:pPr>
  </w:style>
  <w:style w:type="character" w:customStyle="1" w:styleId="Heading4Char">
    <w:name w:val="Heading 4 Char"/>
    <w:basedOn w:val="DefaultParagraphFont"/>
    <w:link w:val="Heading4"/>
    <w:uiPriority w:val="9"/>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C20104"/>
    <w:pPr>
      <w:numPr>
        <w:numId w:val="2"/>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471860"/>
    <w:pPr>
      <w:spacing w:before="120" w:after="120" w:line="360" w:lineRule="auto"/>
    </w:pPr>
    <w:rPr>
      <w:rFonts w:cstheme="minorHAnsi"/>
      <w:b/>
      <w:bCs/>
      <w:szCs w:val="20"/>
    </w:rPr>
  </w:style>
  <w:style w:type="paragraph" w:styleId="TOC2">
    <w:name w:val="toc 2"/>
    <w:basedOn w:val="Normal"/>
    <w:next w:val="Normal"/>
    <w:uiPriority w:val="39"/>
    <w:unhideWhenUsed/>
    <w:rsid w:val="00471860"/>
    <w:pPr>
      <w:spacing w:before="120" w:after="120" w:line="360" w:lineRule="auto"/>
    </w:pPr>
    <w:rPr>
      <w:rFonts w:cstheme="minorHAnsi"/>
      <w:iCs/>
      <w:szCs w:val="20"/>
    </w:rPr>
  </w:style>
  <w:style w:type="paragraph" w:styleId="TOC3">
    <w:name w:val="toc 3"/>
    <w:basedOn w:val="Normal"/>
    <w:next w:val="Normal"/>
    <w:uiPriority w:val="39"/>
    <w:unhideWhenUsed/>
    <w:rsid w:val="007520C4"/>
    <w:pPr>
      <w:spacing w:after="0"/>
      <w:ind w:left="480"/>
    </w:pPr>
    <w:rPr>
      <w:rFonts w:cstheme="minorHAnsi"/>
      <w:sz w:val="20"/>
      <w:szCs w:val="20"/>
    </w:rPr>
  </w:style>
  <w:style w:type="paragraph" w:styleId="BodyText">
    <w:name w:val="Body Text"/>
    <w:basedOn w:val="Normal"/>
    <w:link w:val="BodyTextChar"/>
    <w:uiPriority w:val="99"/>
    <w:unhideWhenUsed/>
    <w:rsid w:val="00407A5A"/>
    <w:pPr>
      <w:spacing w:after="240" w:line="360" w:lineRule="auto"/>
    </w:pPr>
    <w:rPr>
      <w:rFonts w:cs="Times New Roman (Body CS)"/>
      <w:kern w:val="24"/>
      <w:lang w:val="en-GB"/>
    </w:rPr>
  </w:style>
  <w:style w:type="character" w:customStyle="1" w:styleId="BodyTextChar">
    <w:name w:val="Body Text Char"/>
    <w:basedOn w:val="DefaultParagraphFont"/>
    <w:link w:val="BodyText"/>
    <w:uiPriority w:val="99"/>
    <w:rsid w:val="00407A5A"/>
    <w:rPr>
      <w:rFonts w:cs="Times New Roman (Body CS)"/>
      <w:kern w:val="24"/>
      <w:sz w:val="24"/>
      <w:lang w:val="en-GB"/>
    </w:rPr>
  </w:style>
  <w:style w:type="paragraph" w:styleId="ListBullet">
    <w:name w:val="List Bullet"/>
    <w:basedOn w:val="BodyText"/>
    <w:uiPriority w:val="99"/>
    <w:unhideWhenUsed/>
    <w:rsid w:val="00404F0E"/>
    <w:pPr>
      <w:numPr>
        <w:numId w:val="3"/>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FD57D0"/>
    <w:pPr>
      <w:spacing w:after="120"/>
    </w:pPr>
    <w:rPr>
      <w:color w:val="000000" w:themeColor="text1"/>
      <w:sz w:val="25"/>
      <w:szCs w:val="25"/>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3A5555"/>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471860"/>
    <w:pPr>
      <w:spacing w:before="240" w:after="240" w:line="360" w:lineRule="auto"/>
    </w:pPr>
    <w:rPr>
      <w:rFonts w:asciiTheme="majorHAnsi" w:eastAsiaTheme="majorEastAsia" w:hAnsiTheme="majorHAnsi" w:cs="Times New Roman (Headings CS)"/>
      <w:b/>
      <w:bCs/>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20"/>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21"/>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5238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 w:type="paragraph" w:customStyle="1" w:styleId="Statistic">
    <w:name w:val="Statistic"/>
    <w:basedOn w:val="ListBullet"/>
    <w:qFormat/>
    <w:rsid w:val="00DA5A0B"/>
    <w:pPr>
      <w:numPr>
        <w:numId w:val="0"/>
      </w:numPr>
    </w:pPr>
    <w:rPr>
      <w:b/>
      <w:bCs/>
      <w:sz w:val="28"/>
      <w:szCs w:val="28"/>
    </w:rPr>
  </w:style>
  <w:style w:type="character" w:styleId="PlaceholderText">
    <w:name w:val="Placeholder Text"/>
    <w:basedOn w:val="DefaultParagraphFont"/>
    <w:uiPriority w:val="99"/>
    <w:rsid w:val="00CE394E"/>
    <w:rPr>
      <w:color w:val="auto"/>
      <w:bdr w:val="none" w:sz="0" w:space="0" w:color="auto"/>
      <w:shd w:val="clear" w:color="auto" w:fill="FFFF00"/>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BoldBodyText">
    <w:name w:val="Bold Body Text"/>
    <w:basedOn w:val="BodyText"/>
    <w:qFormat/>
    <w:rsid w:val="00024973"/>
    <w:pPr>
      <w:suppressAutoHyphens w:val="0"/>
      <w:spacing w:before="120" w:after="120" w:line="240" w:lineRule="atLeast"/>
    </w:pPr>
    <w:rPr>
      <w:rFonts w:ascii="Arial Bold" w:eastAsia="Times New Roman" w:hAnsi="Arial Bold" w:cs="Times New Roman"/>
      <w:bCs/>
      <w:kern w:val="0"/>
      <w:sz w:val="20"/>
      <w:szCs w:val="20"/>
      <w:lang w:val="en-AU"/>
    </w:rPr>
  </w:style>
  <w:style w:type="paragraph" w:customStyle="1" w:styleId="BodyNormal">
    <w:name w:val="Body Normal"/>
    <w:basedOn w:val="Normal"/>
    <w:qFormat/>
    <w:rsid w:val="00024973"/>
    <w:pPr>
      <w:suppressAutoHyphens w:val="0"/>
      <w:spacing w:before="240" w:after="120" w:line="288" w:lineRule="auto"/>
      <w:jc w:val="both"/>
    </w:pPr>
    <w:rPr>
      <w:rFonts w:ascii="Arial" w:eastAsiaTheme="minorHAnsi" w:hAnsi="Arial"/>
      <w:sz w:val="20"/>
      <w:szCs w:val="16"/>
      <w:lang w:eastAsia="en-US"/>
    </w:rPr>
  </w:style>
  <w:style w:type="character" w:customStyle="1" w:styleId="normaltextrun">
    <w:name w:val="normaltextrun"/>
    <w:basedOn w:val="DefaultParagraphFont"/>
    <w:rsid w:val="00252A99"/>
  </w:style>
  <w:style w:type="character" w:customStyle="1" w:styleId="wacimagecontainer">
    <w:name w:val="wacimagecontainer"/>
    <w:basedOn w:val="DefaultParagraphFont"/>
    <w:rsid w:val="00252A99"/>
  </w:style>
  <w:style w:type="character" w:customStyle="1" w:styleId="eop">
    <w:name w:val="eop"/>
    <w:basedOn w:val="DefaultParagraphFont"/>
    <w:rsid w:val="00252A99"/>
  </w:style>
  <w:style w:type="paragraph" w:customStyle="1" w:styleId="Default">
    <w:name w:val="Default"/>
    <w:rsid w:val="005A7BF4"/>
    <w:pPr>
      <w:autoSpaceDE w:val="0"/>
      <w:autoSpaceDN w:val="0"/>
      <w:adjustRightInd w:val="0"/>
      <w:spacing w:after="0" w:line="240" w:lineRule="auto"/>
    </w:pPr>
    <w:rPr>
      <w:rFonts w:ascii="VIC" w:hAnsi="VIC" w:cs="V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ment.vic.gov.au/accounting-for-the-environment" TargetMode="External"/><Relationship Id="rId13" Type="http://schemas.openxmlformats.org/officeDocument/2006/relationships/hyperlink" Target="http://www.deeca.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eca.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delwp.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Anna L Ritman (DEECA)</cp:lastModifiedBy>
  <cp:revision>2</cp:revision>
  <dcterms:created xsi:type="dcterms:W3CDTF">2025-01-29T00:12:00Z</dcterms:created>
  <dcterms:modified xsi:type="dcterms:W3CDTF">2025-01-29T00:12:00Z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