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</w:pPr>
      <w:r>
        <w:rPr/>
        <w:t>Municipal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Waste</w:t>
      </w:r>
      <w:r>
        <w:rPr>
          <w:spacing w:val="-6"/>
        </w:rPr>
        <w:t> </w:t>
      </w:r>
      <w:r>
        <w:rPr/>
        <w:t>Levy</w:t>
      </w:r>
      <w:r>
        <w:rPr>
          <w:spacing w:val="-6"/>
        </w:rPr>
        <w:t> </w:t>
      </w:r>
      <w:r>
        <w:rPr/>
        <w:t>cash</w:t>
      </w:r>
      <w:r>
        <w:rPr>
          <w:spacing w:val="-5"/>
        </w:rPr>
        <w:t> </w:t>
      </w:r>
      <w:r>
        <w:rPr>
          <w:spacing w:val="-2"/>
        </w:rPr>
        <w:t>flows</w:t>
      </w:r>
    </w:p>
    <w:p>
      <w:pPr>
        <w:spacing w:line="240" w:lineRule="auto" w:before="76" w:after="0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2"/>
        <w:gridCol w:w="1412"/>
        <w:gridCol w:w="1412"/>
      </w:tblGrid>
      <w:tr>
        <w:trPr>
          <w:trHeight w:val="451" w:hRule="atLeast"/>
        </w:trPr>
        <w:tc>
          <w:tcPr>
            <w:tcW w:w="7612" w:type="dxa"/>
            <w:tcBorders>
              <w:top w:val="nil"/>
              <w:left w:val="nil"/>
            </w:tcBorders>
            <w:shd w:val="clear" w:color="auto" w:fill="C5ECF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tcBorders>
              <w:top w:val="nil"/>
            </w:tcBorders>
            <w:shd w:val="clear" w:color="auto" w:fill="C5ECFF"/>
          </w:tcPr>
          <w:p>
            <w:pPr>
              <w:pStyle w:val="TableParagraph"/>
              <w:spacing w:before="137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($</w:t>
            </w:r>
            <w:r>
              <w:rPr>
                <w:b/>
                <w:spacing w:val="-2"/>
                <w:sz w:val="19"/>
              </w:rPr>
              <w:t> million)</w:t>
            </w:r>
          </w:p>
        </w:tc>
        <w:tc>
          <w:tcPr>
            <w:tcW w:w="1412" w:type="dxa"/>
            <w:tcBorders>
              <w:top w:val="nil"/>
              <w:right w:val="nil"/>
            </w:tcBorders>
            <w:shd w:val="clear" w:color="auto" w:fill="C5ECFF"/>
          </w:tcPr>
          <w:p>
            <w:pPr>
              <w:pStyle w:val="TableParagraph"/>
              <w:spacing w:before="137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($</w:t>
            </w:r>
            <w:r>
              <w:rPr>
                <w:b/>
                <w:spacing w:val="-2"/>
                <w:sz w:val="19"/>
              </w:rPr>
              <w:t> million)</w:t>
            </w:r>
          </w:p>
        </w:tc>
      </w:tr>
      <w:tr>
        <w:trPr>
          <w:trHeight w:val="450" w:hRule="atLeast"/>
        </w:trPr>
        <w:tc>
          <w:tcPr>
            <w:tcW w:w="7612" w:type="dxa"/>
            <w:tcBorders>
              <w:left w:val="nil"/>
            </w:tcBorders>
            <w:shd w:val="clear" w:color="auto" w:fill="8BD8FF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Opening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z w:val="19"/>
              </w:rPr>
              <w:t>cash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balance</w:t>
            </w:r>
          </w:p>
        </w:tc>
        <w:tc>
          <w:tcPr>
            <w:tcW w:w="1412" w:type="dxa"/>
            <w:shd w:val="clear" w:color="auto" w:fill="8BD8F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tcBorders>
              <w:right w:val="nil"/>
            </w:tcBorders>
            <w:shd w:val="clear" w:color="auto" w:fill="8BD8FF"/>
          </w:tcPr>
          <w:p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0.00</w:t>
            </w:r>
          </w:p>
        </w:tc>
      </w:tr>
      <w:tr>
        <w:trPr>
          <w:trHeight w:val="910" w:hRule="atLeast"/>
        </w:trPr>
        <w:tc>
          <w:tcPr>
            <w:tcW w:w="7612" w:type="dxa"/>
            <w:tcBorders>
              <w:left w:val="nil"/>
              <w:right w:val="nil"/>
            </w:tcBorders>
            <w:shd w:val="clear" w:color="auto" w:fill="C5ECFF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Plus</w:t>
            </w:r>
          </w:p>
          <w:p>
            <w:pPr>
              <w:pStyle w:val="TableParagraph"/>
              <w:spacing w:before="205"/>
              <w:rPr>
                <w:sz w:val="19"/>
              </w:rPr>
            </w:pPr>
            <w:r>
              <w:rPr>
                <w:sz w:val="19"/>
              </w:rPr>
              <w:t>Municipal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Industrial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Waste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Levy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funds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transfer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from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EPA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C5ECF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C5ECFF"/>
          </w:tcPr>
          <w:p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84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55"/>
              <w:rPr>
                <w:sz w:val="19"/>
              </w:rPr>
            </w:pPr>
            <w:r>
              <w:rPr>
                <w:spacing w:val="-2"/>
                <w:sz w:val="19"/>
              </w:rPr>
              <w:t>482.17</w:t>
            </w:r>
          </w:p>
        </w:tc>
      </w:tr>
      <w:tr>
        <w:trPr>
          <w:trHeight w:val="450" w:hRule="atLeast"/>
        </w:trPr>
        <w:tc>
          <w:tcPr>
            <w:tcW w:w="7612" w:type="dxa"/>
            <w:tcBorders>
              <w:left w:val="nil"/>
            </w:tcBorders>
            <w:shd w:val="clear" w:color="auto" w:fill="8BD8FF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Receipts</w:t>
            </w:r>
          </w:p>
        </w:tc>
        <w:tc>
          <w:tcPr>
            <w:tcW w:w="1412" w:type="dxa"/>
            <w:shd w:val="clear" w:color="auto" w:fill="8BD8F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tcBorders>
              <w:right w:val="nil"/>
            </w:tcBorders>
            <w:shd w:val="clear" w:color="auto" w:fill="8BD8FF"/>
          </w:tcPr>
          <w:p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482.17</w:t>
            </w:r>
          </w:p>
        </w:tc>
      </w:tr>
      <w:tr>
        <w:trPr>
          <w:trHeight w:val="490" w:hRule="atLeast"/>
        </w:trPr>
        <w:tc>
          <w:tcPr>
            <w:tcW w:w="7612" w:type="dxa"/>
            <w:tcBorders>
              <w:left w:val="nil"/>
              <w:bottom w:val="nil"/>
            </w:tcBorders>
            <w:shd w:val="clear" w:color="auto" w:fill="C5ECFF"/>
          </w:tcPr>
          <w:p>
            <w:pPr>
              <w:pStyle w:val="TableParagraph"/>
              <w:rPr>
                <w:i/>
                <w:sz w:val="19"/>
              </w:rPr>
            </w:pPr>
            <w:r>
              <w:rPr>
                <w:i/>
                <w:spacing w:val="-4"/>
                <w:sz w:val="19"/>
              </w:rPr>
              <w:t>Less</w:t>
            </w:r>
          </w:p>
        </w:tc>
        <w:tc>
          <w:tcPr>
            <w:tcW w:w="1412" w:type="dxa"/>
            <w:tcBorders>
              <w:bottom w:val="nil"/>
            </w:tcBorders>
            <w:shd w:val="clear" w:color="auto" w:fill="C5ECF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vMerge w:val="restart"/>
            <w:tcBorders>
              <w:left w:val="nil"/>
              <w:right w:val="nil"/>
            </w:tcBorders>
            <w:shd w:val="clear" w:color="auto" w:fill="C5ECF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7612" w:type="dxa"/>
            <w:tcBorders>
              <w:top w:val="nil"/>
              <w:left w:val="nil"/>
              <w:bottom w:val="nil"/>
            </w:tcBorders>
            <w:shd w:val="clear" w:color="auto" w:fill="C5ECFF"/>
          </w:tcPr>
          <w:p>
            <w:pPr>
              <w:pStyle w:val="TableParagraph"/>
              <w:spacing w:before="97"/>
              <w:rPr>
                <w:sz w:val="19"/>
              </w:rPr>
            </w:pPr>
            <w:r>
              <w:rPr>
                <w:sz w:val="19"/>
              </w:rPr>
              <w:t>Environment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Protection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Authority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C5ECFF"/>
          </w:tcPr>
          <w:p>
            <w:pPr>
              <w:pStyle w:val="TableParagraph"/>
              <w:spacing w:before="97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96.40</w:t>
            </w:r>
          </w:p>
        </w:tc>
        <w:tc>
          <w:tcPr>
            <w:tcW w:w="1412" w:type="dxa"/>
            <w:vMerge/>
            <w:tcBorders>
              <w:top w:val="nil"/>
              <w:left w:val="nil"/>
              <w:right w:val="nil"/>
            </w:tcBorders>
            <w:shd w:val="clear" w:color="auto" w:fill="C5EC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7612" w:type="dxa"/>
            <w:tcBorders>
              <w:top w:val="nil"/>
              <w:left w:val="nil"/>
            </w:tcBorders>
            <w:shd w:val="clear" w:color="auto" w:fill="C5ECFF"/>
          </w:tcPr>
          <w:p>
            <w:pPr>
              <w:pStyle w:val="TableParagraph"/>
              <w:spacing w:before="97"/>
              <w:rPr>
                <w:sz w:val="19"/>
              </w:rPr>
            </w:pPr>
            <w:r>
              <w:rPr>
                <w:sz w:val="19"/>
              </w:rPr>
              <w:t>Parks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Victoria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C5ECFF"/>
          </w:tcPr>
          <w:p>
            <w:pPr>
              <w:pStyle w:val="TableParagraph"/>
              <w:spacing w:before="97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22.25</w:t>
            </w:r>
          </w:p>
        </w:tc>
        <w:tc>
          <w:tcPr>
            <w:tcW w:w="1412" w:type="dxa"/>
            <w:vMerge/>
            <w:tcBorders>
              <w:top w:val="nil"/>
              <w:left w:val="nil"/>
              <w:right w:val="nil"/>
            </w:tcBorders>
            <w:shd w:val="clear" w:color="auto" w:fill="C5EC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7612" w:type="dxa"/>
            <w:tcBorders>
              <w:left w:val="nil"/>
              <w:bottom w:val="nil"/>
            </w:tcBorders>
            <w:shd w:val="clear" w:color="auto" w:fill="C5ECFF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Sustainability</w:t>
            </w:r>
            <w:r>
              <w:rPr>
                <w:spacing w:val="13"/>
                <w:sz w:val="19"/>
              </w:rPr>
              <w:t> </w:t>
            </w:r>
            <w:r>
              <w:rPr>
                <w:spacing w:val="-2"/>
                <w:sz w:val="19"/>
              </w:rPr>
              <w:t>Victoria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C5ECF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4"/>
                <w:sz w:val="19"/>
              </w:rPr>
              <w:t>18.86</w:t>
            </w:r>
          </w:p>
        </w:tc>
        <w:tc>
          <w:tcPr>
            <w:tcW w:w="1412" w:type="dxa"/>
            <w:vMerge w:val="restart"/>
            <w:tcBorders>
              <w:left w:val="nil"/>
              <w:right w:val="nil"/>
            </w:tcBorders>
            <w:shd w:val="clear" w:color="auto" w:fill="C5ECF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7612" w:type="dxa"/>
            <w:tcBorders>
              <w:top w:val="nil"/>
              <w:left w:val="nil"/>
              <w:bottom w:val="nil"/>
            </w:tcBorders>
            <w:shd w:val="clear" w:color="auto" w:fill="C5ECFF"/>
          </w:tcPr>
          <w:p>
            <w:pPr>
              <w:pStyle w:val="TableParagraph"/>
              <w:spacing w:before="97"/>
              <w:rPr>
                <w:sz w:val="19"/>
              </w:rPr>
            </w:pPr>
            <w:r>
              <w:rPr>
                <w:sz w:val="19"/>
              </w:rPr>
              <w:t>Recycling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Victoria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C5ECFF"/>
          </w:tcPr>
          <w:p>
            <w:pPr>
              <w:pStyle w:val="TableParagraph"/>
              <w:spacing w:before="97"/>
              <w:ind w:left="50"/>
              <w:rPr>
                <w:sz w:val="19"/>
              </w:rPr>
            </w:pPr>
            <w:r>
              <w:rPr>
                <w:spacing w:val="-4"/>
                <w:sz w:val="19"/>
              </w:rPr>
              <w:t>8.71</w:t>
            </w:r>
          </w:p>
        </w:tc>
        <w:tc>
          <w:tcPr>
            <w:tcW w:w="1412" w:type="dxa"/>
            <w:vMerge/>
            <w:tcBorders>
              <w:top w:val="nil"/>
              <w:left w:val="nil"/>
              <w:right w:val="nil"/>
            </w:tcBorders>
            <w:shd w:val="clear" w:color="auto" w:fill="C5EC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7612" w:type="dxa"/>
            <w:tcBorders>
              <w:top w:val="nil"/>
              <w:left w:val="nil"/>
              <w:bottom w:val="nil"/>
            </w:tcBorders>
            <w:shd w:val="clear" w:color="auto" w:fill="C5ECFF"/>
          </w:tcPr>
          <w:p>
            <w:pPr>
              <w:pStyle w:val="TableParagraph"/>
              <w:spacing w:before="97"/>
              <w:rPr>
                <w:sz w:val="19"/>
              </w:rPr>
            </w:pPr>
            <w:r>
              <w:rPr>
                <w:sz w:val="19"/>
              </w:rPr>
              <w:t>Commissioner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Environmental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Sustainability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C5ECFF"/>
          </w:tcPr>
          <w:p>
            <w:pPr>
              <w:pStyle w:val="TableParagraph"/>
              <w:spacing w:before="97"/>
              <w:ind w:left="50"/>
              <w:rPr>
                <w:sz w:val="19"/>
              </w:rPr>
            </w:pPr>
            <w:r>
              <w:rPr>
                <w:spacing w:val="-4"/>
                <w:sz w:val="19"/>
              </w:rPr>
              <w:t>2.10</w:t>
            </w:r>
          </w:p>
        </w:tc>
        <w:tc>
          <w:tcPr>
            <w:tcW w:w="1412" w:type="dxa"/>
            <w:vMerge/>
            <w:tcBorders>
              <w:top w:val="nil"/>
              <w:left w:val="nil"/>
              <w:right w:val="nil"/>
            </w:tcBorders>
            <w:shd w:val="clear" w:color="auto" w:fill="C5EC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7612" w:type="dxa"/>
            <w:tcBorders>
              <w:top w:val="nil"/>
              <w:left w:val="nil"/>
            </w:tcBorders>
            <w:shd w:val="clear" w:color="auto" w:fill="C5ECFF"/>
          </w:tcPr>
          <w:p>
            <w:pPr>
              <w:pStyle w:val="TableParagraph"/>
              <w:spacing w:before="97"/>
              <w:rPr>
                <w:sz w:val="19"/>
              </w:rPr>
            </w:pPr>
            <w:r>
              <w:rPr>
                <w:sz w:val="19"/>
              </w:rPr>
              <w:t>Victorian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Environmental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Assessment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Council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C5ECFF"/>
          </w:tcPr>
          <w:p>
            <w:pPr>
              <w:pStyle w:val="TableParagraph"/>
              <w:spacing w:before="97"/>
              <w:ind w:left="50"/>
              <w:rPr>
                <w:sz w:val="19"/>
              </w:rPr>
            </w:pPr>
            <w:r>
              <w:rPr>
                <w:spacing w:val="-4"/>
                <w:sz w:val="19"/>
              </w:rPr>
              <w:t>1.20</w:t>
            </w:r>
          </w:p>
        </w:tc>
        <w:tc>
          <w:tcPr>
            <w:tcW w:w="1412" w:type="dxa"/>
            <w:vMerge/>
            <w:tcBorders>
              <w:top w:val="nil"/>
              <w:left w:val="nil"/>
              <w:right w:val="nil"/>
            </w:tcBorders>
            <w:shd w:val="clear" w:color="auto" w:fill="C5EC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7612" w:type="dxa"/>
            <w:tcBorders>
              <w:left w:val="nil"/>
            </w:tcBorders>
            <w:shd w:val="clear" w:color="auto" w:fill="C5ECFF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Trust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Nature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C5ECF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4"/>
                <w:sz w:val="19"/>
              </w:rPr>
              <w:t>0.32</w:t>
            </w:r>
          </w:p>
        </w:tc>
        <w:tc>
          <w:tcPr>
            <w:tcW w:w="1412" w:type="dxa"/>
            <w:tcBorders>
              <w:right w:val="nil"/>
            </w:tcBorders>
            <w:shd w:val="clear" w:color="auto" w:fill="C5ECF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5" w:hRule="atLeast"/>
        </w:trPr>
        <w:tc>
          <w:tcPr>
            <w:tcW w:w="7612" w:type="dxa"/>
            <w:tcBorders>
              <w:left w:val="nil"/>
              <w:bottom w:val="nil"/>
            </w:tcBorders>
            <w:shd w:val="clear" w:color="auto" w:fill="8BD8FF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Agency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Payments</w:t>
            </w:r>
          </w:p>
        </w:tc>
        <w:tc>
          <w:tcPr>
            <w:tcW w:w="1412" w:type="dxa"/>
            <w:tcBorders>
              <w:bottom w:val="nil"/>
            </w:tcBorders>
            <w:shd w:val="clear" w:color="auto" w:fill="8BD8FF"/>
          </w:tcPr>
          <w:p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149.84</w:t>
            </w:r>
          </w:p>
        </w:tc>
        <w:tc>
          <w:tcPr>
            <w:tcW w:w="1412" w:type="dxa"/>
            <w:tcBorders>
              <w:bottom w:val="nil"/>
              <w:right w:val="nil"/>
            </w:tcBorders>
            <w:shd w:val="clear" w:color="auto" w:fill="8BD8FF"/>
          </w:tcPr>
          <w:p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149.84</w:t>
            </w:r>
          </w:p>
        </w:tc>
      </w:tr>
      <w:tr>
        <w:trPr>
          <w:trHeight w:val="415" w:hRule="atLeast"/>
        </w:trPr>
        <w:tc>
          <w:tcPr>
            <w:tcW w:w="7612" w:type="dxa"/>
            <w:tcBorders>
              <w:top w:val="nil"/>
              <w:left w:val="nil"/>
            </w:tcBorders>
            <w:shd w:val="clear" w:color="auto" w:fill="8BD8FF"/>
          </w:tcPr>
          <w:p>
            <w:pPr>
              <w:pStyle w:val="TableParagraph"/>
              <w:spacing w:before="10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Sub-</w:t>
            </w:r>
            <w:r>
              <w:rPr>
                <w:b/>
                <w:spacing w:val="-4"/>
                <w:sz w:val="19"/>
              </w:rPr>
              <w:t>total</w:t>
            </w:r>
          </w:p>
        </w:tc>
        <w:tc>
          <w:tcPr>
            <w:tcW w:w="1412" w:type="dxa"/>
            <w:tcBorders>
              <w:top w:val="nil"/>
            </w:tcBorders>
            <w:shd w:val="clear" w:color="auto" w:fill="8BD8F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tcBorders>
              <w:top w:val="nil"/>
              <w:right w:val="nil"/>
            </w:tcBorders>
            <w:shd w:val="clear" w:color="auto" w:fill="8BD8FF"/>
          </w:tcPr>
          <w:p>
            <w:pPr>
              <w:pStyle w:val="TableParagraph"/>
              <w:spacing w:before="102"/>
              <w:ind w:left="5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332.33</w:t>
            </w:r>
          </w:p>
        </w:tc>
      </w:tr>
      <w:tr>
        <w:trPr>
          <w:trHeight w:val="450" w:hRule="atLeast"/>
        </w:trPr>
        <w:tc>
          <w:tcPr>
            <w:tcW w:w="7612" w:type="dxa"/>
            <w:tcBorders>
              <w:left w:val="nil"/>
            </w:tcBorders>
            <w:shd w:val="clear" w:color="auto" w:fill="C5ECFF"/>
          </w:tcPr>
          <w:p>
            <w:pPr>
              <w:pStyle w:val="TableParagraph"/>
              <w:spacing w:before="137"/>
              <w:rPr>
                <w:i/>
                <w:sz w:val="19"/>
              </w:rPr>
            </w:pPr>
            <w:r>
              <w:rPr>
                <w:i/>
                <w:spacing w:val="-4"/>
                <w:sz w:val="19"/>
              </w:rPr>
              <w:t>Less</w:t>
            </w:r>
          </w:p>
        </w:tc>
        <w:tc>
          <w:tcPr>
            <w:tcW w:w="1412" w:type="dxa"/>
            <w:vMerge w:val="restart"/>
            <w:tcBorders>
              <w:left w:val="nil"/>
              <w:right w:val="nil"/>
            </w:tcBorders>
            <w:shd w:val="clear" w:color="auto" w:fill="C5ECF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tcBorders>
              <w:right w:val="nil"/>
            </w:tcBorders>
            <w:shd w:val="clear" w:color="auto" w:fill="C5ECF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7612" w:type="dxa"/>
            <w:tcBorders>
              <w:left w:val="nil"/>
            </w:tcBorders>
            <w:shd w:val="clear" w:color="auto" w:fill="C5ECFF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Balance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transferred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Sustainability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Fund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Account</w:t>
            </w:r>
          </w:p>
        </w:tc>
        <w:tc>
          <w:tcPr>
            <w:tcW w:w="1412" w:type="dxa"/>
            <w:vMerge/>
            <w:tcBorders>
              <w:top w:val="nil"/>
              <w:left w:val="nil"/>
              <w:right w:val="nil"/>
            </w:tcBorders>
            <w:shd w:val="clear" w:color="auto" w:fill="C5E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tcBorders>
              <w:right w:val="nil"/>
            </w:tcBorders>
            <w:shd w:val="clear" w:color="auto" w:fill="C5ECF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332.33</w:t>
            </w:r>
          </w:p>
        </w:tc>
      </w:tr>
      <w:tr>
        <w:trPr>
          <w:trHeight w:val="451" w:hRule="atLeast"/>
        </w:trPr>
        <w:tc>
          <w:tcPr>
            <w:tcW w:w="7612" w:type="dxa"/>
            <w:tcBorders>
              <w:left w:val="nil"/>
              <w:bottom w:val="nil"/>
            </w:tcBorders>
            <w:shd w:val="clear" w:color="auto" w:fill="8BD8FF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Closing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cash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balance</w:t>
            </w:r>
          </w:p>
        </w:tc>
        <w:tc>
          <w:tcPr>
            <w:tcW w:w="1412" w:type="dxa"/>
            <w:tcBorders>
              <w:bottom w:val="nil"/>
            </w:tcBorders>
            <w:shd w:val="clear" w:color="auto" w:fill="8BD8FF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tcBorders>
              <w:bottom w:val="nil"/>
              <w:right w:val="nil"/>
            </w:tcBorders>
            <w:shd w:val="clear" w:color="auto" w:fill="8BD8FF"/>
          </w:tcPr>
          <w:p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0.00</w:t>
            </w:r>
          </w:p>
        </w:tc>
      </w:tr>
    </w:tbl>
    <w:sectPr>
      <w:footerReference w:type="default" r:id="rId5"/>
      <w:type w:val="continuous"/>
      <w:pgSz w:w="11910" w:h="16840"/>
      <w:pgMar w:header="0" w:footer="507" w:top="1060" w:bottom="700" w:left="620" w:right="6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IC">
    <w:altName w:val="VIC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3423920</wp:posOffset>
              </wp:positionH>
              <wp:positionV relativeFrom="page">
                <wp:posOffset>10231582</wp:posOffset>
              </wp:positionV>
              <wp:extent cx="711200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12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9.600006pt;margin-top:805.636414pt;width:56pt;height:15.45pt;mso-position-horizontal-relative:page;mso-position-vertical-relative:page;z-index:-1581721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IC" w:hAnsi="VIC" w:eastAsia="VIC" w:cs="V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6"/>
    </w:pPr>
    <w:rPr>
      <w:rFonts w:ascii="VIC" w:hAnsi="VIC" w:eastAsia="VIC" w:cs="VIC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6"/>
      <w:ind w:left="57"/>
    </w:pPr>
    <w:rPr>
      <w:rFonts w:ascii="VIC" w:hAnsi="VIC" w:eastAsia="VIC" w:cs="VIC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er0x</dc:creator>
  <dc:title>Microsoft Word - MIWL Cash Flow 2023-24.docx</dc:title>
  <dcterms:created xsi:type="dcterms:W3CDTF">2024-10-25T04:13:15Z</dcterms:created>
  <dcterms:modified xsi:type="dcterms:W3CDTF">2024-10-25T04:13:15Z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2024-10-25T00:00:00Z</vt:filetime>
  </property>
  <property fmtid="{D5CDD505-2E9C-101B-9397-08002B2CF9AE}" pid="5" name="Producer">
    <vt:lpwstr>Acrobat Distiller 22.0 (Windows)</vt:lpwstr>
  </property>
</Properties>
</file>